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rFonts w:ascii="Times New Roman" w:hAnsi="Times New Roman"/>
          <w:sz w:val="24"/>
        </w:rPr>
      </w:pPr>
      <w:r>
        <w:rPr>
          <w:rFonts w:ascii="Times New Roman" w:hAnsi="Times New Roman"/>
          <w:sz w:val="24"/>
        </w:rPr>
        <w:t>PRILOG XXI.</w:t>
      </w:r>
    </w:p>
    <w:p w14:paraId="55B2E7E1" w14:textId="065A927F" w:rsidR="0040604D" w:rsidRDefault="0040604D" w:rsidP="003E55AB">
      <w:pPr>
        <w:spacing w:before="0"/>
        <w:jc w:val="center"/>
        <w:rPr>
          <w:rFonts w:ascii="Times New Roman" w:hAnsi="Times New Roman"/>
          <w:b/>
          <w:sz w:val="24"/>
        </w:rPr>
      </w:pPr>
      <w:r>
        <w:rPr>
          <w:rFonts w:ascii="Times New Roman" w:hAnsi="Times New Roman"/>
          <w:b/>
          <w:sz w:val="24"/>
        </w:rPr>
        <w:t>UPUTE ZA IZVJEŠĆIVANJE O KONCENTRACIJI KAPACITETA LIKVIDNOSNE POKRIVENOSTI</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1.</w:t>
      </w:r>
      <w:r>
        <w:rPr>
          <w:rFonts w:ascii="Times New Roman" w:hAnsi="Times New Roman"/>
          <w:sz w:val="24"/>
        </w:rPr>
        <w:tab/>
        <w:t xml:space="preserve">Kako bi se prikupile informacije o koncentraciji kapaciteta </w:t>
      </w:r>
      <w:proofErr w:type="spellStart"/>
      <w:r>
        <w:rPr>
          <w:rFonts w:ascii="Times New Roman" w:hAnsi="Times New Roman"/>
          <w:sz w:val="24"/>
        </w:rPr>
        <w:t>likvidnosne</w:t>
      </w:r>
      <w:proofErr w:type="spellEnd"/>
      <w:r>
        <w:rPr>
          <w:rFonts w:ascii="Times New Roman" w:hAnsi="Times New Roman"/>
          <w:sz w:val="24"/>
        </w:rPr>
        <w:t xml:space="preserve"> pokrivenosti institucije koja izvješćuje s obzirom na deset najvećih imovina koje drži ili </w:t>
      </w:r>
      <w:proofErr w:type="spellStart"/>
      <w:r>
        <w:rPr>
          <w:rFonts w:ascii="Times New Roman" w:hAnsi="Times New Roman"/>
          <w:sz w:val="24"/>
        </w:rPr>
        <w:t>likvidnosnih</w:t>
      </w:r>
      <w:proofErr w:type="spellEnd"/>
      <w:r>
        <w:rPr>
          <w:rFonts w:ascii="Times New Roman" w:hAnsi="Times New Roman"/>
          <w:sz w:val="24"/>
        </w:rPr>
        <w:t xml:space="preserve"> linija dodijeljenih instituciji za tu namjenu na temelju obrasca C 71.00, institucije primjenjuju upute iz ovog Priloga.</w:t>
      </w:r>
    </w:p>
    <w:p w14:paraId="6D98D095" w14:textId="6A747233" w:rsidR="00672B1B"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2.</w:t>
      </w:r>
      <w:r>
        <w:rPr>
          <w:rFonts w:ascii="Times New Roman" w:hAnsi="Times New Roman"/>
          <w:sz w:val="24"/>
        </w:rPr>
        <w:tab/>
        <w:t xml:space="preserve">Ako je izdavatelju ili drugoj ugovornoj strani dodijeljeno više od jedne vrste proizvoda, valuta ili stupnja kreditne kvalitete, iskazuje se ukupni iznos. Vrsta proizvoda, valuta ili stupanj kreditne kvalitete koji se iskazuju oni su koji su relevantni za najveći udio koncentracije kapaciteta </w:t>
      </w:r>
      <w:proofErr w:type="spellStart"/>
      <w:r>
        <w:rPr>
          <w:rFonts w:ascii="Times New Roman" w:hAnsi="Times New Roman"/>
          <w:sz w:val="24"/>
        </w:rPr>
        <w:t>likvidnosne</w:t>
      </w:r>
      <w:proofErr w:type="spellEnd"/>
      <w:r>
        <w:rPr>
          <w:rFonts w:ascii="Times New Roman" w:hAnsi="Times New Roman"/>
          <w:sz w:val="24"/>
        </w:rPr>
        <w:t xml:space="preserve"> pokrivenosti. </w:t>
      </w:r>
    </w:p>
    <w:p w14:paraId="1A86D9FE" w14:textId="2D9CE2DF" w:rsidR="00FF4741"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3.</w:t>
      </w:r>
      <w:r>
        <w:rPr>
          <w:rFonts w:ascii="Times New Roman" w:hAnsi="Times New Roman"/>
          <w:sz w:val="24"/>
        </w:rPr>
        <w:tab/>
        <w:t xml:space="preserve">Kapacitet </w:t>
      </w:r>
      <w:proofErr w:type="spellStart"/>
      <w:r>
        <w:rPr>
          <w:rFonts w:ascii="Times New Roman" w:hAnsi="Times New Roman"/>
          <w:sz w:val="24"/>
        </w:rPr>
        <w:t>likvidnosne</w:t>
      </w:r>
      <w:proofErr w:type="spellEnd"/>
      <w:r>
        <w:rPr>
          <w:rFonts w:ascii="Times New Roman" w:hAnsi="Times New Roman"/>
          <w:sz w:val="24"/>
        </w:rPr>
        <w:t xml:space="preserve"> pokrivenosti u obrascu C 71.00 jednak je onome u obrascu C 66.01, s tom razlikom što je imovina iskazana kao kapacitet </w:t>
      </w:r>
      <w:proofErr w:type="spellStart"/>
      <w:r>
        <w:rPr>
          <w:rFonts w:ascii="Times New Roman" w:hAnsi="Times New Roman"/>
          <w:sz w:val="24"/>
        </w:rPr>
        <w:t>likvidnosne</w:t>
      </w:r>
      <w:proofErr w:type="spellEnd"/>
      <w:r>
        <w:rPr>
          <w:rFonts w:ascii="Times New Roman" w:hAnsi="Times New Roman"/>
          <w:sz w:val="24"/>
        </w:rPr>
        <w:t xml:space="preserve"> pokrivenosti za potrebe obrasca C 71.00 neopterećena kako bi bila dostupna instituciji za unovčavanje na referentni izvještajni datum.</w:t>
      </w:r>
    </w:p>
    <w:p w14:paraId="52C95F92" w14:textId="76B8503D" w:rsidR="00EF029F"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4.</w:t>
      </w:r>
      <w:r>
        <w:rPr>
          <w:rFonts w:ascii="Times New Roman" w:hAnsi="Times New Roman"/>
          <w:sz w:val="24"/>
        </w:rPr>
        <w:tab/>
        <w:t>Za izračun koncentracija za potrebe izvješćivanja u obrascu C 71.00 po značajnoj valuti, institucije upotrebljavaju koncentracije u svim valutama.</w:t>
      </w:r>
    </w:p>
    <w:p w14:paraId="5D592CDE" w14:textId="137C55E0" w:rsidR="0005633D"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5.</w:t>
      </w:r>
      <w:r>
        <w:rPr>
          <w:rFonts w:ascii="Times New Roman" w:hAnsi="Times New Roman"/>
          <w:sz w:val="24"/>
        </w:rPr>
        <w:tab/>
        <w:t xml:space="preserve">Ako izdavatelj ili druga ugovorna strana pripadaju većem broju grupa povezanih osoba, koncentracija kapaciteta </w:t>
      </w:r>
      <w:proofErr w:type="spellStart"/>
      <w:r>
        <w:rPr>
          <w:rFonts w:ascii="Times New Roman" w:hAnsi="Times New Roman"/>
          <w:sz w:val="24"/>
        </w:rPr>
        <w:t>likvidnosne</w:t>
      </w:r>
      <w:proofErr w:type="spellEnd"/>
      <w:r>
        <w:rPr>
          <w:rFonts w:ascii="Times New Roman" w:hAnsi="Times New Roman"/>
          <w:sz w:val="24"/>
        </w:rPr>
        <w:t xml:space="preserve"> pokrivenosti iskazuje se samo jednom u grupi s većom koncentracijom kapaciteta </w:t>
      </w:r>
      <w:proofErr w:type="spellStart"/>
      <w:r>
        <w:rPr>
          <w:rFonts w:ascii="Times New Roman" w:hAnsi="Times New Roman"/>
          <w:sz w:val="24"/>
        </w:rPr>
        <w:t>likvidnosne</w:t>
      </w:r>
      <w:proofErr w:type="spellEnd"/>
      <w:r>
        <w:rPr>
          <w:rFonts w:ascii="Times New Roman" w:hAnsi="Times New Roman"/>
          <w:sz w:val="24"/>
        </w:rPr>
        <w:t xml:space="preserve"> pokrivenosti.</w:t>
      </w:r>
    </w:p>
    <w:p w14:paraId="2C0B2260" w14:textId="17EB1C17" w:rsidR="00CB05F9" w:rsidRPr="0081623B" w:rsidRDefault="00292B75" w:rsidP="003E55AB">
      <w:pPr>
        <w:widowControl w:val="0"/>
        <w:spacing w:before="0" w:line="280" w:lineRule="atLeast"/>
        <w:ind w:left="714" w:hanging="357"/>
        <w:rPr>
          <w:rFonts w:ascii="Times New Roman" w:hAnsi="Times New Roman"/>
          <w:sz w:val="24"/>
        </w:rPr>
      </w:pPr>
      <w:r>
        <w:rPr>
          <w:rFonts w:ascii="Times New Roman" w:hAnsi="Times New Roman"/>
          <w:sz w:val="24"/>
        </w:rPr>
        <w:t>6.</w:t>
      </w:r>
      <w:r>
        <w:rPr>
          <w:rFonts w:ascii="Times New Roman" w:hAnsi="Times New Roman"/>
          <w:sz w:val="24"/>
        </w:rPr>
        <w:tab/>
        <w:t xml:space="preserve">Osim za redak 120, koncentracije kapaciteta </w:t>
      </w:r>
      <w:proofErr w:type="spellStart"/>
      <w:r>
        <w:rPr>
          <w:rFonts w:ascii="Times New Roman" w:hAnsi="Times New Roman"/>
          <w:sz w:val="24"/>
        </w:rPr>
        <w:t>likvidnosne</w:t>
      </w:r>
      <w:proofErr w:type="spellEnd"/>
      <w:r>
        <w:rPr>
          <w:rFonts w:ascii="Times New Roman" w:hAnsi="Times New Roman"/>
          <w:sz w:val="24"/>
        </w:rPr>
        <w:t xml:space="preserve"> pokrivenosti kada je središnja banka izdavatelj ili druga ugovorna strana ne iskazuju se u ovom obrascu. U slučaju da institucija ima pri središnjoj banci unaprijed utvrđene pozicije imovine za stalno raspoložive mogućnosti i u mjeri u kojoj ta imovina pripada imovini deset najvećih izdavatelja ili drugih ugovornih strana neopterećenog kapaciteta </w:t>
      </w:r>
      <w:proofErr w:type="spellStart"/>
      <w:r>
        <w:rPr>
          <w:rFonts w:ascii="Times New Roman" w:hAnsi="Times New Roman"/>
          <w:sz w:val="24"/>
        </w:rPr>
        <w:t>likvidnosne</w:t>
      </w:r>
      <w:proofErr w:type="spellEnd"/>
      <w:r>
        <w:rPr>
          <w:rFonts w:ascii="Times New Roman" w:hAnsi="Times New Roman"/>
          <w:sz w:val="24"/>
        </w:rPr>
        <w:t xml:space="preserve"> pokrivenosti, institucija iskazuje izvornog izdavatelja i izvornu vrstu proizvoda. </w:t>
      </w:r>
    </w:p>
    <w:p w14:paraId="423289FA" w14:textId="77777777" w:rsidR="00E05204" w:rsidRPr="009A684A" w:rsidRDefault="00E05204" w:rsidP="003E55AB">
      <w:pPr>
        <w:spacing w:before="0"/>
        <w:rPr>
          <w:rFonts w:ascii="Times New Roman" w:hAnsi="Times New Roman"/>
          <w:sz w:val="24"/>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rFonts w:ascii="Times New Roman" w:hAnsi="Times New Roman"/>
                <w:sz w:val="24"/>
              </w:rPr>
            </w:pPr>
            <w:r>
              <w:rPr>
                <w:rFonts w:ascii="Times New Roman" w:hAnsi="Times New Roman"/>
                <w:sz w:val="24"/>
              </w:rPr>
              <w:t>Stupac</w:t>
            </w:r>
          </w:p>
        </w:tc>
        <w:tc>
          <w:tcPr>
            <w:tcW w:w="7306" w:type="dxa"/>
            <w:shd w:val="clear" w:color="auto" w:fill="EEECE1" w:themeFill="background2"/>
          </w:tcPr>
          <w:p w14:paraId="7398AC24" w14:textId="77777777" w:rsidR="00E05204" w:rsidRPr="0081623B" w:rsidRDefault="00E05204" w:rsidP="003E55AB">
            <w:pPr>
              <w:spacing w:before="0"/>
              <w:rPr>
                <w:rFonts w:ascii="Times New Roman" w:hAnsi="Times New Roman"/>
                <w:sz w:val="24"/>
              </w:rPr>
            </w:pPr>
            <w:r>
              <w:rPr>
                <w:rFonts w:ascii="Times New Roman" w:hAnsi="Times New Roman"/>
                <w:sz w:val="24"/>
              </w:rPr>
              <w:t>Pravna osnova i upute</w:t>
            </w:r>
          </w:p>
        </w:tc>
      </w:tr>
      <w:tr w:rsidR="00E05204" w:rsidRPr="0081623B" w14:paraId="32AA40F1" w14:textId="77777777" w:rsidTr="00845EB1">
        <w:tc>
          <w:tcPr>
            <w:tcW w:w="990" w:type="dxa"/>
          </w:tcPr>
          <w:p w14:paraId="79D5F65E" w14:textId="77777777" w:rsidR="00E05204" w:rsidRPr="0081623B" w:rsidRDefault="00125C48" w:rsidP="003E55AB">
            <w:pPr>
              <w:spacing w:before="0"/>
              <w:rPr>
                <w:rFonts w:ascii="Times New Roman" w:hAnsi="Times New Roman"/>
                <w:sz w:val="24"/>
              </w:rPr>
            </w:pPr>
            <w:r>
              <w:rPr>
                <w:rFonts w:ascii="Times New Roman" w:hAnsi="Times New Roman"/>
                <w:sz w:val="24"/>
              </w:rPr>
              <w:t>010</w:t>
            </w:r>
          </w:p>
        </w:tc>
        <w:tc>
          <w:tcPr>
            <w:tcW w:w="7306" w:type="dxa"/>
          </w:tcPr>
          <w:p w14:paraId="20597254" w14:textId="73E89BCB"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Naziv izdavatelja</w:t>
            </w:r>
          </w:p>
          <w:p w14:paraId="36B02E7E" w14:textId="56EF9FD1" w:rsidR="00E05204" w:rsidRPr="0081623B" w:rsidRDefault="00E05204" w:rsidP="003E55AB">
            <w:pPr>
              <w:spacing w:before="0"/>
              <w:rPr>
                <w:rFonts w:ascii="Times New Roman" w:hAnsi="Times New Roman"/>
                <w:sz w:val="24"/>
              </w:rPr>
            </w:pPr>
            <w:r>
              <w:rPr>
                <w:rFonts w:ascii="Times New Roman" w:hAnsi="Times New Roman"/>
                <w:sz w:val="24"/>
              </w:rPr>
              <w:t xml:space="preserve">Nazivi deset najvećih izdavatelja neopterećene imovine ili drugih ugovornih strana neiskorištenih obvezujućih </w:t>
            </w:r>
            <w:proofErr w:type="spellStart"/>
            <w:r>
              <w:rPr>
                <w:rFonts w:ascii="Times New Roman" w:hAnsi="Times New Roman"/>
                <w:sz w:val="24"/>
              </w:rPr>
              <w:t>likvidnosnih</w:t>
            </w:r>
            <w:proofErr w:type="spellEnd"/>
            <w:r>
              <w:rPr>
                <w:rFonts w:ascii="Times New Roman" w:hAnsi="Times New Roman"/>
                <w:sz w:val="24"/>
              </w:rPr>
              <w:t xml:space="preserve"> linija dodijeljenih instituciji navode se silaznim redoslijedom u stupcu 010. Najveći se navodi u stavci 1.01, drugi po redu u stavci 1.02 i tako dalje. O izdavateljima i drugim ugovornim stranama koji čine grupu povezanih osoba izvješćuje se kao o jednoj koncentraciji.</w:t>
            </w:r>
          </w:p>
          <w:p w14:paraId="4E01B5DA" w14:textId="4F0E946D" w:rsidR="00E05204" w:rsidRPr="0081623B" w:rsidRDefault="00E05204" w:rsidP="003E55AB">
            <w:pPr>
              <w:spacing w:before="0"/>
              <w:rPr>
                <w:rFonts w:ascii="Times New Roman" w:hAnsi="Times New Roman"/>
                <w:sz w:val="24"/>
              </w:rPr>
            </w:pPr>
            <w:r>
              <w:rPr>
                <w:rFonts w:ascii="Times New Roman" w:hAnsi="Times New Roman"/>
                <w:sz w:val="24"/>
              </w:rPr>
              <w:t xml:space="preserve">Navedeni naziv izdavatelja/druge ugovorne strane puni je naziv pravnog subjekta koje je izdalo imovinu ili dodijelilo </w:t>
            </w:r>
            <w:proofErr w:type="spellStart"/>
            <w:r>
              <w:rPr>
                <w:rFonts w:ascii="Times New Roman" w:hAnsi="Times New Roman"/>
                <w:sz w:val="24"/>
              </w:rPr>
              <w:t>likvidnosne</w:t>
            </w:r>
            <w:proofErr w:type="spellEnd"/>
            <w:r>
              <w:rPr>
                <w:rFonts w:ascii="Times New Roman" w:hAnsi="Times New Roman"/>
                <w:sz w:val="24"/>
              </w:rPr>
              <w:t xml:space="preserve"> linije, uključujući svako upućivanje na vrstu društva u skladu s nacionalnim pravom trgovačkih društava.</w:t>
            </w:r>
          </w:p>
        </w:tc>
      </w:tr>
      <w:tr w:rsidR="00E05204" w:rsidRPr="0081623B" w14:paraId="5485249F" w14:textId="77777777" w:rsidTr="00845EB1">
        <w:tc>
          <w:tcPr>
            <w:tcW w:w="990" w:type="dxa"/>
          </w:tcPr>
          <w:p w14:paraId="488A21BC" w14:textId="77777777" w:rsidR="00E05204" w:rsidRPr="0081623B" w:rsidRDefault="00125C48" w:rsidP="003E55AB">
            <w:pPr>
              <w:spacing w:before="0"/>
              <w:rPr>
                <w:rFonts w:ascii="Times New Roman" w:hAnsi="Times New Roman"/>
                <w:sz w:val="24"/>
              </w:rPr>
            </w:pPr>
            <w:r>
              <w:rPr>
                <w:rFonts w:ascii="Times New Roman" w:hAnsi="Times New Roman"/>
                <w:sz w:val="24"/>
              </w:rPr>
              <w:t>020</w:t>
            </w:r>
          </w:p>
        </w:tc>
        <w:tc>
          <w:tcPr>
            <w:tcW w:w="7306" w:type="dxa"/>
          </w:tcPr>
          <w:p w14:paraId="763D0E5F" w14:textId="77777777" w:rsidR="00E05204" w:rsidRPr="0081623B" w:rsidRDefault="00E05204" w:rsidP="003E55AB">
            <w:pPr>
              <w:spacing w:before="0"/>
              <w:rPr>
                <w:rStyle w:val="InstructionsTabelleberschrift"/>
                <w:rFonts w:ascii="Times New Roman" w:hAnsi="Times New Roman"/>
                <w:sz w:val="24"/>
              </w:rPr>
            </w:pPr>
            <w:r>
              <w:rPr>
                <w:rStyle w:val="InstructionsTabelleberschrift"/>
                <w:rFonts w:ascii="Times New Roman" w:hAnsi="Times New Roman"/>
                <w:sz w:val="24"/>
              </w:rPr>
              <w:t>Oznaka LEI</w:t>
            </w:r>
          </w:p>
          <w:p w14:paraId="7861A1B2" w14:textId="190A7764" w:rsidR="00E05204" w:rsidRPr="003E55AB" w:rsidRDefault="00E05204" w:rsidP="003E55AB">
            <w:pPr>
              <w:spacing w:before="0"/>
              <w:rPr>
                <w:rFonts w:ascii="Times New Roman" w:hAnsi="Times New Roman"/>
                <w:b/>
                <w:sz w:val="24"/>
              </w:rPr>
            </w:pPr>
            <w:r>
              <w:rPr>
                <w:rFonts w:ascii="Times New Roman" w:hAnsi="Times New Roman"/>
                <w:bCs/>
                <w:sz w:val="24"/>
              </w:rPr>
              <w:lastRenderedPageBreak/>
              <w:t>Identifikacijska</w:t>
            </w:r>
            <w:r>
              <w:rPr>
                <w:rFonts w:ascii="Times New Roman" w:hAnsi="Times New Roman"/>
                <w:sz w:val="24"/>
              </w:rPr>
              <w:t xml:space="preserve"> oznaka </w:t>
            </w:r>
            <w:r>
              <w:rPr>
                <w:rFonts w:ascii="Times New Roman" w:hAnsi="Times New Roman"/>
                <w:bCs/>
                <w:sz w:val="24"/>
              </w:rPr>
              <w:t>pravnog subjekta druge ugovorne strane</w:t>
            </w:r>
            <w:r>
              <w:rPr>
                <w:rFonts w:ascii="Times New Roman" w:hAnsi="Times New Roman"/>
                <w:sz w:val="24"/>
              </w:rPr>
              <w:t>.</w:t>
            </w:r>
            <w:r>
              <w:rPr>
                <w:rFonts w:ascii="Times New Roman" w:hAnsi="Times New Roman"/>
                <w:bCs/>
                <w:sz w:val="24"/>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030</w:t>
            </w:r>
          </w:p>
        </w:tc>
        <w:tc>
          <w:tcPr>
            <w:tcW w:w="7306" w:type="dxa"/>
          </w:tcPr>
          <w:p w14:paraId="6DAF3DB3" w14:textId="4B8E1486" w:rsidR="00E05204" w:rsidRPr="0081623B" w:rsidRDefault="004C1638" w:rsidP="003E55AB">
            <w:pPr>
              <w:spacing w:before="0"/>
              <w:rPr>
                <w:rFonts w:ascii="Times New Roman" w:hAnsi="Times New Roman"/>
                <w:b/>
                <w:sz w:val="24"/>
                <w:u w:val="single"/>
              </w:rPr>
            </w:pPr>
            <w:r>
              <w:rPr>
                <w:rFonts w:ascii="Times New Roman" w:hAnsi="Times New Roman"/>
                <w:b/>
                <w:sz w:val="24"/>
                <w:u w:val="single"/>
              </w:rPr>
              <w:t>Sektor izdavatelja</w:t>
            </w:r>
          </w:p>
          <w:p w14:paraId="62F53B63" w14:textId="27347E6E" w:rsidR="00E05204" w:rsidRPr="003E55A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Svakom izdavatelju ili svakoj drugoj ugovornoj strani dodjeljuje se jedan sektor na temelju kategorija gospodarskih sektora u skladu s FINREP-om:</w:t>
            </w:r>
          </w:p>
          <w:p w14:paraId="563180C8" w14:textId="31A14F6F" w:rsidR="00E05204" w:rsidRPr="0081623B" w:rsidRDefault="00E05204" w:rsidP="003E55AB">
            <w:pPr>
              <w:pStyle w:val="InstructionsText"/>
              <w:spacing w:after="120"/>
              <w:rPr>
                <w:rStyle w:val="FormatvorlageInstructionsTabelleText"/>
                <w:rFonts w:ascii="Times New Roman" w:hAnsi="Times New Roman"/>
                <w:sz w:val="24"/>
              </w:rPr>
            </w:pPr>
            <w:r>
              <w:rPr>
                <w:rStyle w:val="FormatvorlageInstructionsTabelleText"/>
                <w:rFonts w:ascii="Times New Roman" w:hAnsi="Times New Roman"/>
                <w:sz w:val="24"/>
              </w:rPr>
              <w:t xml:space="preserve">i. opće države; ii. kreditne institucije; iii. ostala financijska društva; iv. nefinancijska društva; v. kućanstva. </w:t>
            </w:r>
          </w:p>
          <w:p w14:paraId="3E53ACDF" w14:textId="14712E31"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Za grupe povezanih osoba sektor se ne iskazuje.  </w:t>
            </w:r>
          </w:p>
        </w:tc>
      </w:tr>
      <w:tr w:rsidR="00E05204" w:rsidRPr="0081623B" w14:paraId="66F40C8E" w14:textId="77777777" w:rsidTr="00845EB1">
        <w:tc>
          <w:tcPr>
            <w:tcW w:w="990" w:type="dxa"/>
          </w:tcPr>
          <w:p w14:paraId="5F55844F" w14:textId="77777777" w:rsidR="00E05204" w:rsidRPr="0081623B" w:rsidRDefault="00125C48" w:rsidP="003E55AB">
            <w:pPr>
              <w:spacing w:before="0"/>
              <w:rPr>
                <w:rFonts w:ascii="Times New Roman" w:hAnsi="Times New Roman"/>
                <w:sz w:val="24"/>
              </w:rPr>
            </w:pPr>
            <w:r>
              <w:rPr>
                <w:rFonts w:ascii="Times New Roman" w:hAnsi="Times New Roman"/>
                <w:sz w:val="24"/>
              </w:rPr>
              <w:t>040</w:t>
            </w:r>
          </w:p>
        </w:tc>
        <w:tc>
          <w:tcPr>
            <w:tcW w:w="7306" w:type="dxa"/>
          </w:tcPr>
          <w:p w14:paraId="6EC1C162" w14:textId="488287EA"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 xml:space="preserve">Boravište izdavatelja </w:t>
            </w:r>
          </w:p>
          <w:p w14:paraId="0F33DF35" w14:textId="5D560384" w:rsidR="00E05204" w:rsidRPr="0081623B" w:rsidRDefault="00E05204" w:rsidP="003E55AB">
            <w:pPr>
              <w:spacing w:before="0"/>
              <w:rPr>
                <w:rStyle w:val="FormatvorlageInstructionsTabelleText"/>
                <w:rFonts w:ascii="Times New Roman" w:hAnsi="Times New Roman"/>
                <w:sz w:val="24"/>
              </w:rPr>
            </w:pPr>
            <w:r>
              <w:rPr>
                <w:rStyle w:val="FormatvorlageInstructionsTabelleText"/>
                <w:rFonts w:ascii="Times New Roman" w:hAnsi="Times New Roman"/>
                <w:sz w:val="24"/>
              </w:rPr>
              <w:t xml:space="preserve">Upotrebljava se oznaka ISO 3166-1-alfa-2 zemlje u kojoj su izdavatelj ili druga ugovorna strana osnovani, uključujući pseudo oznake ISO za međunarodne organizacije iz posljednjeg izdanja </w:t>
            </w:r>
            <w:proofErr w:type="spellStart"/>
            <w:r>
              <w:rPr>
                <w:rStyle w:val="FormatvorlageInstructionsTabelleText"/>
                <w:rFonts w:ascii="Times New Roman" w:hAnsi="Times New Roman"/>
                <w:sz w:val="24"/>
              </w:rPr>
              <w:t>Eurostatova</w:t>
            </w:r>
            <w:proofErr w:type="spellEnd"/>
            <w:r>
              <w:rPr>
                <w:rStyle w:val="FormatvorlageInstructionsTabelleText"/>
                <w:rFonts w:ascii="Times New Roman" w:hAnsi="Times New Roman"/>
                <w:sz w:val="24"/>
              </w:rPr>
              <w:t xml:space="preserve"> „Priručnika za platne bilance”. </w:t>
            </w:r>
          </w:p>
          <w:p w14:paraId="60598FF1" w14:textId="5505D19C" w:rsidR="00E05204" w:rsidRPr="0081623B" w:rsidRDefault="00E05204" w:rsidP="003E55AB">
            <w:pPr>
              <w:spacing w:before="0"/>
              <w:rPr>
                <w:rFonts w:ascii="Times New Roman" w:hAnsi="Times New Roman"/>
                <w:sz w:val="24"/>
              </w:rPr>
            </w:pPr>
            <w:r>
              <w:rPr>
                <w:rStyle w:val="FormatvorlageInstructionsTabelleText"/>
                <w:rFonts w:ascii="Times New Roman" w:hAnsi="Times New Roman"/>
                <w:sz w:val="24"/>
              </w:rPr>
              <w:t xml:space="preserve">Za grupe povezanih osoba zemlja se ne iskazuje. </w:t>
            </w:r>
          </w:p>
        </w:tc>
      </w:tr>
      <w:tr w:rsidR="00E05204" w:rsidRPr="0081623B" w14:paraId="0F08D697" w14:textId="77777777" w:rsidTr="00845EB1">
        <w:tc>
          <w:tcPr>
            <w:tcW w:w="990" w:type="dxa"/>
          </w:tcPr>
          <w:p w14:paraId="3B929507" w14:textId="77777777" w:rsidR="00E05204" w:rsidRPr="0081623B" w:rsidRDefault="00125C48" w:rsidP="003E55AB">
            <w:pPr>
              <w:spacing w:before="0"/>
              <w:rPr>
                <w:rFonts w:ascii="Times New Roman" w:hAnsi="Times New Roman"/>
                <w:sz w:val="24"/>
              </w:rPr>
            </w:pPr>
            <w:r>
              <w:rPr>
                <w:rFonts w:ascii="Times New Roman" w:hAnsi="Times New Roman"/>
                <w:sz w:val="24"/>
              </w:rPr>
              <w:t>050</w:t>
            </w:r>
          </w:p>
        </w:tc>
        <w:tc>
          <w:tcPr>
            <w:tcW w:w="7306" w:type="dxa"/>
          </w:tcPr>
          <w:p w14:paraId="016C0789"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Vrsta proizvoda</w:t>
            </w:r>
          </w:p>
          <w:p w14:paraId="7DC48699" w14:textId="3405D5A6" w:rsidR="00E05204" w:rsidRPr="0081623B" w:rsidRDefault="00E05204" w:rsidP="003E55AB">
            <w:pPr>
              <w:spacing w:before="0"/>
              <w:rPr>
                <w:rFonts w:ascii="Times New Roman" w:hAnsi="Times New Roman"/>
                <w:sz w:val="24"/>
              </w:rPr>
            </w:pPr>
            <w:r>
              <w:rPr>
                <w:rFonts w:ascii="Times New Roman" w:hAnsi="Times New Roman"/>
                <w:sz w:val="24"/>
              </w:rPr>
              <w:t xml:space="preserve">Za izdavatelje/druge ugovorne strane navedene u stupcu 010 dodjeljuje se vrsta proizvoda </w:t>
            </w:r>
            <w:r>
              <w:rPr>
                <w:rStyle w:val="FormatvorlageInstructionsTabelleText"/>
                <w:rFonts w:ascii="Times New Roman" w:hAnsi="Times New Roman"/>
                <w:sz w:val="24"/>
              </w:rPr>
              <w:t>koja odgovara</w:t>
            </w:r>
            <w:r>
              <w:rPr>
                <w:rFonts w:ascii="Times New Roman" w:hAnsi="Times New Roman"/>
                <w:sz w:val="24"/>
              </w:rPr>
              <w:t xml:space="preserve"> proizvodu u kojem se drži imovina ili u kojem je primljen rezervni zajam za likvidnost, s pomoću sljedećih oznaka navedenih podebljanim slovima:</w:t>
            </w:r>
          </w:p>
          <w:p w14:paraId="1CB9AEA2" w14:textId="6EDC6F2E" w:rsidR="00E05204" w:rsidRPr="0081623B" w:rsidRDefault="00E05204" w:rsidP="003E55AB">
            <w:pPr>
              <w:pStyle w:val="ListParagraph"/>
              <w:numPr>
                <w:ilvl w:val="0"/>
                <w:numId w:val="4"/>
              </w:numPr>
              <w:spacing w:before="0"/>
              <w:rPr>
                <w:rFonts w:ascii="Times New Roman" w:hAnsi="Times New Roman"/>
                <w:sz w:val="24"/>
              </w:rPr>
            </w:pPr>
            <w:bookmarkStart w:id="0" w:name="OLE_LINK1"/>
            <w:proofErr w:type="spellStart"/>
            <w:r>
              <w:rPr>
                <w:rFonts w:ascii="Times New Roman" w:hAnsi="Times New Roman"/>
                <w:b/>
                <w:sz w:val="24"/>
              </w:rPr>
              <w:t>SrB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nadređene</w:t>
            </w:r>
            <w:r>
              <w:rPr>
                <w:rFonts w:ascii="Times New Roman" w:hAnsi="Times New Roman"/>
                <w:sz w:val="24"/>
              </w:rPr>
              <w:t xml:space="preserve"> obveznice); </w:t>
            </w:r>
          </w:p>
          <w:p w14:paraId="6ADB0D10" w14:textId="7357AEF5"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SubB</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podređene</w:t>
            </w:r>
            <w:r>
              <w:rPr>
                <w:rFonts w:ascii="Times New Roman" w:hAnsi="Times New Roman"/>
                <w:sz w:val="24"/>
              </w:rPr>
              <w:t xml:space="preserve"> obveznice);</w:t>
            </w:r>
          </w:p>
          <w:p w14:paraId="08EFBEC2" w14:textId="5FF6EE23"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CP </w:t>
            </w:r>
            <w:r>
              <w:rPr>
                <w:rFonts w:ascii="Times New Roman" w:hAnsi="Times New Roman"/>
                <w:sz w:val="24"/>
              </w:rPr>
              <w:t>(</w:t>
            </w:r>
            <w:r>
              <w:rPr>
                <w:rStyle w:val="FormatvorlageInstructionsTabelleText"/>
                <w:rFonts w:ascii="Times New Roman" w:hAnsi="Times New Roman"/>
                <w:sz w:val="24"/>
              </w:rPr>
              <w:t>komercijalni</w:t>
            </w:r>
            <w:r>
              <w:rPr>
                <w:rFonts w:ascii="Times New Roman" w:hAnsi="Times New Roman"/>
                <w:sz w:val="24"/>
              </w:rPr>
              <w:t xml:space="preserve"> zapisi);</w:t>
            </w:r>
          </w:p>
          <w:p w14:paraId="71AB267C" w14:textId="2722007C"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 xml:space="preserve">CB </w:t>
            </w:r>
            <w:r>
              <w:rPr>
                <w:rFonts w:ascii="Times New Roman" w:hAnsi="Times New Roman"/>
                <w:sz w:val="24"/>
              </w:rPr>
              <w:t xml:space="preserve">(pokrivene </w:t>
            </w:r>
            <w:r>
              <w:rPr>
                <w:rStyle w:val="FormatvorlageInstructionsTabelleText"/>
                <w:rFonts w:ascii="Times New Roman" w:hAnsi="Times New Roman"/>
                <w:sz w:val="24"/>
              </w:rPr>
              <w:t>obveznice</w:t>
            </w:r>
            <w:r>
              <w:rPr>
                <w:rFonts w:ascii="Times New Roman" w:hAnsi="Times New Roman"/>
                <w:sz w:val="24"/>
              </w:rPr>
              <w:t xml:space="preserve">); </w:t>
            </w:r>
          </w:p>
          <w:p w14:paraId="16004F55" w14:textId="4EBDEEC7"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US (</w:t>
            </w:r>
            <w:r>
              <w:rPr>
                <w:rStyle w:val="FormatvorlageInstructionsTabelleText"/>
                <w:rFonts w:ascii="Times New Roman" w:hAnsi="Times New Roman"/>
                <w:sz w:val="24"/>
              </w:rPr>
              <w:t>vrijednosni papiri</w:t>
            </w:r>
            <w:r>
              <w:rPr>
                <w:rFonts w:ascii="Times New Roman" w:hAnsi="Times New Roman"/>
                <w:sz w:val="24"/>
              </w:rPr>
              <w:t xml:space="preserve"> UCITS, tj. financijski instrumenti koji predstavljaju vrijednosni papir ili udio u njemu, koji je izdao subjekt za zajednička ulaganja u prenosive vrijednosne papire);</w:t>
            </w:r>
          </w:p>
          <w:p w14:paraId="2E54EB88" w14:textId="73B3ACBF" w:rsidR="00E05204" w:rsidRPr="0081623B" w:rsidRDefault="00E05204" w:rsidP="003E55AB">
            <w:pPr>
              <w:pStyle w:val="ListParagraph"/>
              <w:numPr>
                <w:ilvl w:val="0"/>
                <w:numId w:val="4"/>
              </w:numPr>
              <w:spacing w:before="0"/>
              <w:rPr>
                <w:rFonts w:ascii="Times New Roman" w:hAnsi="Times New Roman"/>
                <w:sz w:val="24"/>
              </w:rPr>
            </w:pPr>
            <w:r>
              <w:rPr>
                <w:rFonts w:ascii="Times New Roman" w:hAnsi="Times New Roman"/>
                <w:b/>
                <w:sz w:val="24"/>
              </w:rPr>
              <w:t>ABS (</w:t>
            </w:r>
            <w:r>
              <w:rPr>
                <w:rFonts w:ascii="Times New Roman" w:hAnsi="Times New Roman"/>
                <w:sz w:val="24"/>
              </w:rPr>
              <w:t>vrijednosni papiri osigurani imovinom);</w:t>
            </w:r>
          </w:p>
          <w:p w14:paraId="47B806DE" w14:textId="0B534D77"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CrCl</w:t>
            </w:r>
            <w:proofErr w:type="spellEnd"/>
            <w:r>
              <w:rPr>
                <w:rFonts w:ascii="Times New Roman" w:hAnsi="Times New Roman"/>
                <w:b/>
                <w:sz w:val="24"/>
              </w:rPr>
              <w:t xml:space="preserve"> </w:t>
            </w:r>
            <w:r>
              <w:rPr>
                <w:rFonts w:ascii="Times New Roman" w:hAnsi="Times New Roman"/>
                <w:sz w:val="24"/>
              </w:rPr>
              <w:t xml:space="preserve">(kreditno </w:t>
            </w:r>
            <w:r>
              <w:rPr>
                <w:rStyle w:val="FormatvorlageInstructionsTabelleText"/>
                <w:rFonts w:ascii="Times New Roman" w:hAnsi="Times New Roman"/>
                <w:sz w:val="24"/>
              </w:rPr>
              <w:t>potraživanje</w:t>
            </w:r>
            <w:r>
              <w:rPr>
                <w:rFonts w:ascii="Times New Roman" w:hAnsi="Times New Roman"/>
                <w:sz w:val="24"/>
              </w:rPr>
              <w:t xml:space="preserve">); </w:t>
            </w:r>
          </w:p>
          <w:p w14:paraId="77F497F4" w14:textId="220D3D3A"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Eq</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vlasnički instrumenti</w:t>
            </w:r>
            <w:r>
              <w:rPr>
                <w:rFonts w:ascii="Times New Roman" w:hAnsi="Times New Roman"/>
                <w:sz w:val="24"/>
              </w:rPr>
              <w:t xml:space="preserve">); </w:t>
            </w:r>
          </w:p>
          <w:p w14:paraId="3F4E3AAB" w14:textId="5007592A"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Zlato</w:t>
            </w:r>
            <w:r>
              <w:rPr>
                <w:rFonts w:ascii="Times New Roman" w:hAnsi="Times New Roman"/>
                <w:sz w:val="24"/>
              </w:rPr>
              <w:t xml:space="preserve"> (ako je riječ o fizičkom zlatu, što se može tretirati kao jedinstvena druga ugovorna strana);</w:t>
            </w:r>
          </w:p>
          <w:p w14:paraId="6AE61C73" w14:textId="026D514D" w:rsidR="00E05204" w:rsidRPr="0081623B" w:rsidRDefault="00E05204" w:rsidP="003E55AB">
            <w:pPr>
              <w:pStyle w:val="ListParagraph"/>
              <w:numPr>
                <w:ilvl w:val="0"/>
                <w:numId w:val="4"/>
              </w:numPr>
              <w:spacing w:before="0"/>
              <w:rPr>
                <w:rFonts w:ascii="Times New Roman" w:hAnsi="Times New Roman"/>
                <w:sz w:val="24"/>
              </w:rPr>
            </w:pPr>
            <w:proofErr w:type="spellStart"/>
            <w:r>
              <w:rPr>
                <w:rFonts w:ascii="Times New Roman" w:hAnsi="Times New Roman"/>
                <w:b/>
                <w:sz w:val="24"/>
              </w:rPr>
              <w:t>LiqL</w:t>
            </w:r>
            <w:proofErr w:type="spellEnd"/>
            <w:r>
              <w:rPr>
                <w:rFonts w:ascii="Times New Roman" w:hAnsi="Times New Roman"/>
                <w:b/>
                <w:sz w:val="24"/>
              </w:rPr>
              <w:t xml:space="preserve"> </w:t>
            </w:r>
            <w:r>
              <w:rPr>
                <w:rFonts w:ascii="Times New Roman" w:hAnsi="Times New Roman"/>
                <w:sz w:val="24"/>
              </w:rPr>
              <w:t>(</w:t>
            </w:r>
            <w:r>
              <w:rPr>
                <w:rStyle w:val="FormatvorlageInstructionsTabelleText"/>
                <w:rFonts w:ascii="Times New Roman" w:hAnsi="Times New Roman"/>
                <w:sz w:val="24"/>
              </w:rPr>
              <w:t>neiskorištene</w:t>
            </w:r>
            <w:r>
              <w:rPr>
                <w:rFonts w:ascii="Times New Roman" w:hAnsi="Times New Roman"/>
                <w:sz w:val="24"/>
              </w:rPr>
              <w:t xml:space="preserve"> obvezujuće </w:t>
            </w:r>
            <w:proofErr w:type="spellStart"/>
            <w:r>
              <w:rPr>
                <w:rFonts w:ascii="Times New Roman" w:hAnsi="Times New Roman"/>
                <w:sz w:val="24"/>
              </w:rPr>
              <w:t>likvidnosne</w:t>
            </w:r>
            <w:proofErr w:type="spellEnd"/>
            <w:r>
              <w:rPr>
                <w:rFonts w:ascii="Times New Roman" w:hAnsi="Times New Roman"/>
                <w:sz w:val="24"/>
              </w:rPr>
              <w:t xml:space="preserve"> linije dodijeljene instituciji);</w:t>
            </w:r>
          </w:p>
          <w:p w14:paraId="23B5C30F" w14:textId="792C14AB" w:rsidR="00E05204" w:rsidRPr="0081623B" w:rsidRDefault="00E05204" w:rsidP="003E55AB">
            <w:pPr>
              <w:pStyle w:val="ListParagraph"/>
              <w:numPr>
                <w:ilvl w:val="0"/>
                <w:numId w:val="4"/>
              </w:numPr>
              <w:spacing w:before="0"/>
              <w:rPr>
                <w:rFonts w:ascii="Times New Roman" w:hAnsi="Times New Roman"/>
                <w:b/>
                <w:sz w:val="24"/>
              </w:rPr>
            </w:pPr>
            <w:r>
              <w:rPr>
                <w:rFonts w:ascii="Times New Roman" w:hAnsi="Times New Roman"/>
                <w:b/>
                <w:sz w:val="24"/>
              </w:rPr>
              <w:t>OPT</w:t>
            </w:r>
            <w:r>
              <w:rPr>
                <w:rFonts w:ascii="Times New Roman" w:hAnsi="Times New Roman"/>
                <w:sz w:val="24"/>
              </w:rPr>
              <w:t xml:space="preserve"> (</w:t>
            </w:r>
            <w:r>
              <w:rPr>
                <w:rStyle w:val="FormatvorlageInstructionsTabelleText"/>
                <w:rFonts w:ascii="Times New Roman" w:hAnsi="Times New Roman"/>
                <w:sz w:val="24"/>
              </w:rPr>
              <w:t>druga</w:t>
            </w:r>
            <w:r>
              <w:rPr>
                <w:rFonts w:ascii="Times New Roman" w:hAnsi="Times New Roman"/>
                <w:sz w:val="24"/>
              </w:rPr>
              <w:t xml:space="preserve"> vrsta proizvoda)</w:t>
            </w:r>
            <w:bookmarkEnd w:id="0"/>
            <w:r>
              <w:rPr>
                <w:rFonts w:ascii="Times New Roman" w:hAnsi="Times New Roman"/>
                <w:sz w:val="24"/>
              </w:rPr>
              <w:t>.</w:t>
            </w:r>
          </w:p>
        </w:tc>
      </w:tr>
      <w:tr w:rsidR="00E05204" w:rsidRPr="0081623B" w14:paraId="4C932A7E" w14:textId="77777777" w:rsidTr="00845EB1">
        <w:tc>
          <w:tcPr>
            <w:tcW w:w="990" w:type="dxa"/>
          </w:tcPr>
          <w:p w14:paraId="611D24E9" w14:textId="77777777" w:rsidR="00E05204" w:rsidRPr="0081623B" w:rsidRDefault="00125C48" w:rsidP="003E55AB">
            <w:pPr>
              <w:spacing w:before="0"/>
              <w:rPr>
                <w:rFonts w:ascii="Times New Roman" w:hAnsi="Times New Roman"/>
                <w:sz w:val="24"/>
              </w:rPr>
            </w:pPr>
            <w:r>
              <w:rPr>
                <w:rFonts w:ascii="Times New Roman" w:hAnsi="Times New Roman"/>
                <w:sz w:val="24"/>
              </w:rPr>
              <w:t>060</w:t>
            </w:r>
          </w:p>
        </w:tc>
        <w:tc>
          <w:tcPr>
            <w:tcW w:w="7306" w:type="dxa"/>
          </w:tcPr>
          <w:p w14:paraId="361DF87B"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Valuta</w:t>
            </w:r>
          </w:p>
          <w:p w14:paraId="1D458B95" w14:textId="787E8F88" w:rsidR="00C05CCA" w:rsidRPr="0081623B" w:rsidRDefault="004C1638" w:rsidP="003E55AB">
            <w:pPr>
              <w:spacing w:before="0"/>
              <w:rPr>
                <w:rFonts w:ascii="Times New Roman" w:hAnsi="Times New Roman"/>
                <w:sz w:val="24"/>
              </w:rPr>
            </w:pPr>
            <w:r>
              <w:rPr>
                <w:rFonts w:ascii="Times New Roman" w:hAnsi="Times New Roman"/>
                <w:sz w:val="24"/>
              </w:rPr>
              <w:t xml:space="preserve">Izdavateljima ili drugim ugovornim stranama navedenima u stupcu 010 </w:t>
            </w:r>
            <w:r w:rsidR="009A684A">
              <w:rPr>
                <w:rFonts w:ascii="Times New Roman" w:hAnsi="Times New Roman"/>
                <w:sz w:val="24"/>
              </w:rPr>
              <w:t>dodjeljuje</w:t>
            </w:r>
            <w:r>
              <w:rPr>
                <w:rFonts w:ascii="Times New Roman" w:hAnsi="Times New Roman"/>
                <w:sz w:val="24"/>
              </w:rPr>
              <w:t xml:space="preserve"> se oznaka ISO za valutu u stupcu 060 koja odgovara denominaciji primljene imovine ili neiskorištene obvezujuće </w:t>
            </w:r>
            <w:proofErr w:type="spellStart"/>
            <w:r>
              <w:rPr>
                <w:rFonts w:ascii="Times New Roman" w:hAnsi="Times New Roman"/>
                <w:sz w:val="24"/>
              </w:rPr>
              <w:t>likvidnosne</w:t>
            </w:r>
            <w:proofErr w:type="spellEnd"/>
            <w:r>
              <w:rPr>
                <w:rFonts w:ascii="Times New Roman" w:hAnsi="Times New Roman"/>
                <w:sz w:val="24"/>
              </w:rPr>
              <w:t xml:space="preserve"> l</w:t>
            </w:r>
            <w:r w:rsidR="00946450">
              <w:rPr>
                <w:rFonts w:ascii="Times New Roman" w:hAnsi="Times New Roman"/>
                <w:sz w:val="24"/>
              </w:rPr>
              <w:t xml:space="preserve">inije dodijeljene instituciji. </w:t>
            </w:r>
            <w:r>
              <w:rPr>
                <w:rFonts w:ascii="Times New Roman" w:hAnsi="Times New Roman"/>
                <w:sz w:val="24"/>
              </w:rPr>
              <w:t xml:space="preserve">Iskazuje se </w:t>
            </w:r>
            <w:proofErr w:type="spellStart"/>
            <w:r>
              <w:rPr>
                <w:rFonts w:ascii="Times New Roman" w:hAnsi="Times New Roman"/>
                <w:sz w:val="24"/>
              </w:rPr>
              <w:t>troslovna</w:t>
            </w:r>
            <w:proofErr w:type="spellEnd"/>
            <w:r>
              <w:rPr>
                <w:rFonts w:ascii="Times New Roman" w:hAnsi="Times New Roman"/>
                <w:sz w:val="24"/>
              </w:rPr>
              <w:t xml:space="preserve"> oznaka jedinice valute u skladu s normom ISO 4217. </w:t>
            </w:r>
          </w:p>
          <w:p w14:paraId="74611C9A" w14:textId="73FE19CB" w:rsidR="00774708" w:rsidRPr="0081623B" w:rsidRDefault="00047ECB" w:rsidP="003E55AB">
            <w:pPr>
              <w:spacing w:before="0"/>
              <w:rPr>
                <w:rFonts w:ascii="Times New Roman" w:hAnsi="Times New Roman"/>
                <w:sz w:val="24"/>
              </w:rPr>
            </w:pPr>
            <w:r>
              <w:rPr>
                <w:rFonts w:ascii="Times New Roman" w:hAnsi="Times New Roman"/>
                <w:sz w:val="24"/>
              </w:rPr>
              <w:t>Ako koncentracija ka</w:t>
            </w:r>
            <w:bookmarkStart w:id="1" w:name="_GoBack"/>
            <w:bookmarkEnd w:id="1"/>
            <w:r>
              <w:rPr>
                <w:rFonts w:ascii="Times New Roman" w:hAnsi="Times New Roman"/>
                <w:sz w:val="24"/>
              </w:rPr>
              <w:t xml:space="preserve">paciteta </w:t>
            </w:r>
            <w:proofErr w:type="spellStart"/>
            <w:r>
              <w:rPr>
                <w:rFonts w:ascii="Times New Roman" w:hAnsi="Times New Roman"/>
                <w:sz w:val="24"/>
              </w:rPr>
              <w:t>likvidnosne</w:t>
            </w:r>
            <w:proofErr w:type="spellEnd"/>
            <w:r>
              <w:rPr>
                <w:rFonts w:ascii="Times New Roman" w:hAnsi="Times New Roman"/>
                <w:sz w:val="24"/>
              </w:rPr>
              <w:t xml:space="preserve"> pokrivenosti sadržava </w:t>
            </w:r>
            <w:proofErr w:type="spellStart"/>
            <w:r>
              <w:rPr>
                <w:rFonts w:ascii="Times New Roman" w:hAnsi="Times New Roman"/>
                <w:sz w:val="24"/>
              </w:rPr>
              <w:t>viševalutnu</w:t>
            </w:r>
            <w:proofErr w:type="spellEnd"/>
            <w:r>
              <w:rPr>
                <w:rFonts w:ascii="Times New Roman" w:hAnsi="Times New Roman"/>
                <w:sz w:val="24"/>
              </w:rPr>
              <w:t xml:space="preserve"> liniju, ta se linija računa kao valuta koja prevladava u ostatku koncentracije. U pogledu odvojenog izvješćivanja u značajnim valutama kako je određeno u članku 415. stavku 2. Uredbe (EU) br. 575/2013, </w:t>
            </w:r>
            <w:r>
              <w:rPr>
                <w:rFonts w:ascii="Times New Roman" w:hAnsi="Times New Roman"/>
                <w:sz w:val="24"/>
              </w:rPr>
              <w:lastRenderedPageBreak/>
              <w:t xml:space="preserve">institucije procjenjuju valutu u kojoj bi tok mogao nastati te iskazuju stavku samo u toj značajnoj valuti u skladu s uputama za odvojeno izvješćivanje po značajnim valutama o zahtjevu za </w:t>
            </w:r>
            <w:proofErr w:type="spellStart"/>
            <w:r>
              <w:rPr>
                <w:rFonts w:ascii="Times New Roman" w:hAnsi="Times New Roman"/>
                <w:sz w:val="24"/>
              </w:rPr>
              <w:t>likvidnosnu</w:t>
            </w:r>
            <w:proofErr w:type="spellEnd"/>
            <w:r>
              <w:rPr>
                <w:rFonts w:ascii="Times New Roman" w:hAnsi="Times New Roman"/>
                <w:sz w:val="24"/>
              </w:rPr>
              <w:t xml:space="preserve"> pokrivenost u skladu s Uredbom (EU) 2016/322. </w:t>
            </w:r>
          </w:p>
        </w:tc>
      </w:tr>
      <w:tr w:rsidR="00E05204" w:rsidRPr="0081623B" w14:paraId="73A43F51" w14:textId="77777777" w:rsidTr="00845EB1">
        <w:tc>
          <w:tcPr>
            <w:tcW w:w="990" w:type="dxa"/>
          </w:tcPr>
          <w:p w14:paraId="44D208DA" w14:textId="77777777" w:rsidR="00E05204" w:rsidRPr="0081623B" w:rsidRDefault="00125C48" w:rsidP="003E55AB">
            <w:pPr>
              <w:spacing w:before="0"/>
              <w:rPr>
                <w:rFonts w:ascii="Times New Roman" w:hAnsi="Times New Roman"/>
                <w:sz w:val="24"/>
              </w:rPr>
            </w:pPr>
            <w:r>
              <w:rPr>
                <w:rFonts w:ascii="Times New Roman" w:hAnsi="Times New Roman"/>
                <w:sz w:val="24"/>
              </w:rPr>
              <w:lastRenderedPageBreak/>
              <w:t>070</w:t>
            </w:r>
          </w:p>
        </w:tc>
        <w:tc>
          <w:tcPr>
            <w:tcW w:w="7306" w:type="dxa"/>
          </w:tcPr>
          <w:p w14:paraId="48AA6E4F"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Stupanj kreditne kvalitete</w:t>
            </w:r>
          </w:p>
          <w:p w14:paraId="692CB839" w14:textId="76307C3A" w:rsidR="00E05204" w:rsidRPr="0081623B" w:rsidRDefault="00966F82" w:rsidP="003E55AB">
            <w:pPr>
              <w:spacing w:before="0"/>
              <w:rPr>
                <w:rFonts w:ascii="Times New Roman" w:hAnsi="Times New Roman"/>
                <w:sz w:val="24"/>
                <w:u w:val="single"/>
              </w:rPr>
            </w:pPr>
            <w:r>
              <w:rPr>
                <w:rFonts w:ascii="Times New Roman" w:hAnsi="Times New Roman"/>
                <w:sz w:val="24"/>
              </w:rPr>
              <w:t>Odgovarajući stupanj kreditne kvalitete, koji je jednak onome iz stavki iskazanih u ljestvici dospijeća, dodjeljuje se u skladu s Uredbom (EU) br. 575/2013. Ako ne postoji kreditni rejting, dodjeljuje se stupanj „bez rejtinga”.</w:t>
            </w:r>
          </w:p>
        </w:tc>
      </w:tr>
      <w:tr w:rsidR="00E05204" w:rsidRPr="0081623B" w14:paraId="2461383F" w14:textId="77777777" w:rsidTr="00845EB1">
        <w:tc>
          <w:tcPr>
            <w:tcW w:w="990" w:type="dxa"/>
          </w:tcPr>
          <w:p w14:paraId="7F1DF3BE" w14:textId="77777777" w:rsidR="00E05204" w:rsidRPr="0081623B" w:rsidRDefault="00125C48" w:rsidP="003E55AB">
            <w:pPr>
              <w:spacing w:before="0"/>
              <w:rPr>
                <w:rFonts w:ascii="Times New Roman" w:hAnsi="Times New Roman"/>
                <w:sz w:val="24"/>
              </w:rPr>
            </w:pPr>
            <w:r>
              <w:rPr>
                <w:rFonts w:ascii="Times New Roman" w:hAnsi="Times New Roman"/>
                <w:sz w:val="24"/>
              </w:rPr>
              <w:t>080</w:t>
            </w:r>
          </w:p>
        </w:tc>
        <w:tc>
          <w:tcPr>
            <w:tcW w:w="7306" w:type="dxa"/>
          </w:tcPr>
          <w:p w14:paraId="3B1CC0D3" w14:textId="77777777" w:rsidR="00E05204" w:rsidRPr="0081623B" w:rsidRDefault="00E05204" w:rsidP="003E55AB">
            <w:pPr>
              <w:spacing w:before="0"/>
              <w:rPr>
                <w:rFonts w:ascii="Times New Roman" w:hAnsi="Times New Roman"/>
                <w:b/>
                <w:sz w:val="24"/>
                <w:u w:val="single"/>
              </w:rPr>
            </w:pPr>
            <w:proofErr w:type="spellStart"/>
            <w:r>
              <w:rPr>
                <w:rFonts w:ascii="Times New Roman" w:hAnsi="Times New Roman"/>
                <w:b/>
                <w:sz w:val="24"/>
                <w:u w:val="single"/>
              </w:rPr>
              <w:t>MtM</w:t>
            </w:r>
            <w:proofErr w:type="spellEnd"/>
            <w:r>
              <w:rPr>
                <w:rFonts w:ascii="Times New Roman" w:hAnsi="Times New Roman"/>
                <w:b/>
                <w:sz w:val="24"/>
                <w:u w:val="single"/>
              </w:rPr>
              <w:t xml:space="preserve"> vrijednost/nominalna vrijednost</w:t>
            </w:r>
          </w:p>
          <w:p w14:paraId="78CE7B68" w14:textId="7B52544C" w:rsidR="00E05204" w:rsidRPr="0081623B" w:rsidRDefault="00E05204" w:rsidP="003E55AB">
            <w:pPr>
              <w:spacing w:before="0"/>
              <w:rPr>
                <w:rFonts w:ascii="Times New Roman" w:hAnsi="Times New Roman"/>
                <w:sz w:val="24"/>
              </w:rPr>
            </w:pPr>
            <w:r>
              <w:rPr>
                <w:rFonts w:ascii="Times New Roman" w:hAnsi="Times New Roman"/>
                <w:sz w:val="24"/>
              </w:rPr>
              <w:t xml:space="preserve">Tržišna vrijednost ili fer vrijednost imovine ili, ako je primjenjivo, nominalna vrijednost neiskorištene obvezujuće </w:t>
            </w:r>
            <w:proofErr w:type="spellStart"/>
            <w:r>
              <w:rPr>
                <w:rFonts w:ascii="Times New Roman" w:hAnsi="Times New Roman"/>
                <w:sz w:val="24"/>
              </w:rPr>
              <w:t>likvidnosne</w:t>
            </w:r>
            <w:proofErr w:type="spellEnd"/>
            <w:r>
              <w:rPr>
                <w:rFonts w:ascii="Times New Roman" w:hAnsi="Times New Roman"/>
                <w:sz w:val="24"/>
              </w:rPr>
              <w:t xml:space="preserve"> linije dodijeljene instituciji. </w:t>
            </w:r>
          </w:p>
        </w:tc>
      </w:tr>
      <w:tr w:rsidR="00E05204" w:rsidRPr="0081623B" w14:paraId="74EA2D80" w14:textId="77777777" w:rsidTr="00845EB1">
        <w:tc>
          <w:tcPr>
            <w:tcW w:w="990" w:type="dxa"/>
          </w:tcPr>
          <w:p w14:paraId="40B79F48" w14:textId="77777777" w:rsidR="00E05204" w:rsidRPr="0081623B" w:rsidRDefault="00125C48" w:rsidP="003E55AB">
            <w:pPr>
              <w:spacing w:before="0"/>
              <w:rPr>
                <w:rFonts w:ascii="Times New Roman" w:hAnsi="Times New Roman"/>
                <w:sz w:val="24"/>
              </w:rPr>
            </w:pPr>
            <w:r>
              <w:rPr>
                <w:rFonts w:ascii="Times New Roman" w:hAnsi="Times New Roman"/>
                <w:sz w:val="24"/>
              </w:rPr>
              <w:t>090</w:t>
            </w:r>
          </w:p>
        </w:tc>
        <w:tc>
          <w:tcPr>
            <w:tcW w:w="7306" w:type="dxa"/>
          </w:tcPr>
          <w:p w14:paraId="5F665131" w14:textId="77777777" w:rsidR="00E05204" w:rsidRPr="0081623B" w:rsidRDefault="00E05204" w:rsidP="003E55AB">
            <w:pPr>
              <w:spacing w:before="0"/>
              <w:rPr>
                <w:rFonts w:ascii="Times New Roman" w:hAnsi="Times New Roman"/>
                <w:b/>
                <w:sz w:val="24"/>
                <w:u w:val="single"/>
              </w:rPr>
            </w:pPr>
            <w:r>
              <w:rPr>
                <w:rFonts w:ascii="Times New Roman" w:hAnsi="Times New Roman"/>
                <w:b/>
                <w:sz w:val="24"/>
                <w:u w:val="single"/>
              </w:rPr>
              <w:t>Vrijednost kolaterala koji je prihvatljiv za središnju banku</w:t>
            </w:r>
          </w:p>
          <w:p w14:paraId="507C4FE8" w14:textId="2078D53B" w:rsidR="00E05204" w:rsidRPr="0081623B" w:rsidRDefault="00E05204" w:rsidP="003E55AB">
            <w:pPr>
              <w:spacing w:before="0"/>
              <w:rPr>
                <w:rFonts w:ascii="Times New Roman" w:hAnsi="Times New Roman"/>
                <w:sz w:val="24"/>
              </w:rPr>
            </w:pPr>
            <w:r>
              <w:rPr>
                <w:rFonts w:ascii="Times New Roman" w:hAnsi="Times New Roman"/>
                <w:sz w:val="24"/>
              </w:rPr>
              <w:t xml:space="preserve"> Vrijednost kolaterala u skladu s pravilima središnje banke za stalno raspoložive mogućnosti za određenu imovinu.</w:t>
            </w:r>
          </w:p>
          <w:p w14:paraId="4C124B93" w14:textId="3D1AA419" w:rsidR="00BA0551" w:rsidRPr="0081623B" w:rsidRDefault="00B457F4" w:rsidP="003E55AB">
            <w:pPr>
              <w:spacing w:before="0"/>
              <w:rPr>
                <w:rFonts w:ascii="Times New Roman" w:hAnsi="Times New Roman"/>
                <w:sz w:val="24"/>
              </w:rPr>
            </w:pPr>
            <w:r>
              <w:rPr>
                <w:rFonts w:ascii="Times New Roman" w:hAnsi="Times New Roman"/>
                <w:sz w:val="24"/>
              </w:rPr>
              <w:t>Za imovinu iskazanu u valuti koja je uključena u Uredbu (EU) 2015/233 kao valuta u kojoj je prihvatljivost kod središnje banke iznimno usko definirana, institucije to polje ne popunjavaju.</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EF427E6" w:rsidR="008E3ABF" w:rsidRDefault="008E3ABF">
        <w:pPr>
          <w:pStyle w:val="Footer"/>
          <w:jc w:val="center"/>
        </w:pPr>
        <w:r>
          <w:fldChar w:fldCharType="begin"/>
        </w:r>
        <w:r>
          <w:instrText xml:space="preserve"> PAGE   \* MERGEFORMAT </w:instrText>
        </w:r>
        <w:r>
          <w:fldChar w:fldCharType="separate"/>
        </w:r>
        <w:r w:rsidR="00946450">
          <w:rPr>
            <w:noProof/>
          </w:rPr>
          <w:t>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7B88D7A6" w:rsidR="009B3D8D" w:rsidRDefault="009B3D8D">
        <w:pPr>
          <w:pStyle w:val="Footer"/>
          <w:jc w:val="center"/>
        </w:pPr>
        <w:r>
          <w:fldChar w:fldCharType="begin"/>
        </w:r>
        <w:r>
          <w:instrText xml:space="preserve"> PAGE   \* MERGEFORMAT </w:instrText>
        </w:r>
        <w:r>
          <w:fldChar w:fldCharType="separate"/>
        </w:r>
        <w:r w:rsidR="00946450">
          <w:rPr>
            <w:noProof/>
          </w:rPr>
          <w:t>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96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450"/>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684A"/>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hr-H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hr-H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hr-HR"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hr-HR" w:eastAsia="en-US" w:bidi="ar-SA"/>
    </w:rPr>
  </w:style>
  <w:style w:type="character" w:customStyle="1" w:styleId="FunoteChar">
    <w:name w:val="Fußnote Char"/>
    <w:aliases w:val=" Char Char Char"/>
    <w:semiHidden/>
    <w:rsid w:val="009D253B"/>
    <w:rPr>
      <w:rFonts w:ascii="Arial" w:hAnsi="Arial"/>
      <w:sz w:val="18"/>
      <w:lang w:val="hr-H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hr-H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hr-H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hr-H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hr-HR" w:eastAsia="de-DE"/>
    </w:rPr>
  </w:style>
  <w:style w:type="paragraph" w:styleId="Revision">
    <w:name w:val="Revision"/>
    <w:hidden/>
    <w:uiPriority w:val="99"/>
    <w:semiHidden/>
    <w:rsid w:val="0089454F"/>
    <w:rPr>
      <w:rFonts w:ascii="Verdana" w:hAnsi="Verdana"/>
      <w:szCs w:val="24"/>
      <w:lang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hr-H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eastAsia="fr-FR"/>
    </w:rPr>
  </w:style>
  <w:style w:type="table" w:styleId="TableGrid">
    <w:name w:val="Table Grid"/>
    <w:basedOn w:val="TableNormal"/>
    <w:uiPriority w:val="59"/>
    <w:rsid w:val="00E05204"/>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hr-H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7A1A8-AFB3-4F80-B4D6-093A8F74E539}">
  <ds:schemaRefs>
    <ds:schemaRef ds:uri="http://schemas.openxmlformats.org/officeDocument/2006/bibliography"/>
  </ds:schemaRefs>
</ds:datastoreItem>
</file>

<file path=customXml/itemProps2.xml><?xml version="1.0" encoding="utf-8"?>
<ds:datastoreItem xmlns:ds="http://schemas.openxmlformats.org/officeDocument/2006/customXml" ds:itemID="{0A723E4B-453A-49F6-B51A-A486FE6E3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794</Words>
  <Characters>5060</Characters>
  <Application>Microsoft Office Word</Application>
  <DocSecurity>0</DocSecurity>
  <Lines>117</Lines>
  <Paragraphs>62</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KRMPOTIC Tena (DGT-EXT)</cp:lastModifiedBy>
  <cp:revision>7</cp:revision>
  <cp:lastPrinted>2014-06-12T12:55:00Z</cp:lastPrinted>
  <dcterms:created xsi:type="dcterms:W3CDTF">2020-10-01T13:01:00Z</dcterms:created>
  <dcterms:modified xsi:type="dcterms:W3CDTF">2020-12-11T13:08:00Z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