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ANEXO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Normas de validación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Los datos contenidos en los anexos del presente Reglamento estarán sujetos a normas de validación que garanticen su calidad y coherencia.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Las normas de validación reunirán las siguientes características: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  <w:tab/>
        <w:t xml:space="preserve">definirán las relaciones lógicas entre los puntos de datos pertinentes;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  <w:tab/>
        <w:t xml:space="preserve">incluirán filtros y condiciones previas que definan un conjunto de datos al que se aplique una norma de validación;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  <w:tab/>
        <w:t xml:space="preserve">verificarán la coherencia de los datos notificados;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  <w:tab/>
        <w:t xml:space="preserve">verificarán la exactitud de los datos notificados;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  <w:tab/>
        <w:t xml:space="preserve">fijarán valores por defecto que se aplicarán cuando la información pertinente no se haya notificado.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