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460C1D" w14:textId="1B78311E" w:rsidR="002648B0" w:rsidRPr="00EC067D" w:rsidRDefault="002648B0" w:rsidP="00A33695">
      <w:pPr>
        <w:jc w:val="center"/>
        <w:rPr>
          <w:rFonts w:ascii="Times New Roman" w:hAnsi="Times New Roman"/>
          <w:sz w:val="24"/>
        </w:rPr>
      </w:pPr>
      <w:bookmarkStart w:id="0" w:name="_Toc262568021"/>
      <w:bookmarkStart w:id="1" w:name="_Toc295829847"/>
      <w:r>
        <w:rPr>
          <w:rFonts w:ascii="Times New Roman" w:hAnsi="Times New Roman"/>
          <w:sz w:val="24"/>
        </w:rPr>
        <w:t>XXVII PIELIKUMS</w:t>
      </w:r>
    </w:p>
    <w:p w14:paraId="644BA8AC" w14:textId="243A90EC" w:rsidR="002648B0" w:rsidRPr="00EC067D" w:rsidRDefault="002648B0" w:rsidP="00C87CEE">
      <w:pPr>
        <w:jc w:val="center"/>
        <w:rPr>
          <w:rFonts w:ascii="Times New Roman" w:hAnsi="Times New Roman"/>
          <w:b/>
          <w:sz w:val="24"/>
        </w:rPr>
      </w:pPr>
      <w:r>
        <w:rPr>
          <w:rFonts w:ascii="Times New Roman" w:hAnsi="Times New Roman"/>
          <w:b/>
          <w:sz w:val="24"/>
        </w:rPr>
        <w:t xml:space="preserve">PĀRSKATU SNIEGŠANAS NORĀDES G-SNI REZERVJU NORMU IDENTIFICĒŠANAI UN PIEŠĶIRŠANAI </w:t>
      </w:r>
    </w:p>
    <w:p w14:paraId="4592BD27" w14:textId="77777777" w:rsidR="00436204" w:rsidRPr="00EC067D" w:rsidRDefault="00436204" w:rsidP="00C87CEE">
      <w:pPr>
        <w:jc w:val="center"/>
        <w:rPr>
          <w:rFonts w:ascii="Times New Roman" w:hAnsi="Times New Roman"/>
          <w:b/>
          <w:sz w:val="24"/>
          <w:lang w:eastAsia="de-DE"/>
        </w:rPr>
      </w:pPr>
    </w:p>
    <w:p w14:paraId="296F65E0" w14:textId="77777777" w:rsidR="00783881" w:rsidRPr="00EC067D" w:rsidRDefault="002648B0" w:rsidP="00004542">
      <w:pPr>
        <w:pStyle w:val="InstructionsText"/>
      </w:pPr>
      <w:r>
        <w:t>Saturs</w:t>
      </w:r>
    </w:p>
    <w:p w14:paraId="32DCAB44" w14:textId="7678DFB6" w:rsidR="00B15EB3" w:rsidRDefault="00745369">
      <w:pPr>
        <w:pStyle w:val="TOC2"/>
        <w:rPr>
          <w:rFonts w:asciiTheme="minorHAnsi" w:eastAsiaTheme="minorEastAsia" w:hAnsiTheme="minorHAnsi" w:cstheme="minorBidi"/>
          <w:b w:val="0"/>
          <w:smallCaps w:val="0"/>
          <w:sz w:val="22"/>
          <w:lang w:val="en-US"/>
        </w:rPr>
      </w:pPr>
      <w:r>
        <w:rPr>
          <w:rFonts w:ascii="Times New Roman" w:hAnsi="Times New Roman"/>
          <w:sz w:val="24"/>
          <w:szCs w:val="24"/>
        </w:rPr>
        <w:fldChar w:fldCharType="begin"/>
      </w:r>
      <w:r>
        <w:rPr>
          <w:rFonts w:ascii="Times New Roman" w:hAnsi="Times New Roman"/>
          <w:sz w:val="24"/>
          <w:szCs w:val="24"/>
        </w:rPr>
        <w:instrText xml:space="preserve"> TOC \o "1-3" \h \z \u </w:instrText>
      </w:r>
      <w:r>
        <w:rPr>
          <w:rFonts w:ascii="Times New Roman" w:hAnsi="Times New Roman"/>
          <w:sz w:val="24"/>
          <w:szCs w:val="24"/>
        </w:rPr>
        <w:fldChar w:fldCharType="separate"/>
      </w:r>
      <w:hyperlink w:anchor="_Toc58861207" w:history="1">
        <w:r w:rsidR="00B15EB3" w:rsidRPr="00287267">
          <w:rPr>
            <w:rStyle w:val="Hyperlink"/>
          </w:rPr>
          <w:t>I DAĻA. VISPĀRĪGAS NORĀDES</w:t>
        </w:r>
        <w:r w:rsidR="00B15EB3">
          <w:rPr>
            <w:webHidden/>
          </w:rPr>
          <w:tab/>
        </w:r>
        <w:r w:rsidR="00B15EB3">
          <w:rPr>
            <w:webHidden/>
          </w:rPr>
          <w:fldChar w:fldCharType="begin"/>
        </w:r>
        <w:r w:rsidR="00B15EB3">
          <w:rPr>
            <w:webHidden/>
          </w:rPr>
          <w:instrText xml:space="preserve"> PAGEREF _Toc58861207 \h </w:instrText>
        </w:r>
        <w:r w:rsidR="00B15EB3">
          <w:rPr>
            <w:webHidden/>
          </w:rPr>
        </w:r>
        <w:r w:rsidR="00B15EB3">
          <w:rPr>
            <w:webHidden/>
          </w:rPr>
          <w:fldChar w:fldCharType="separate"/>
        </w:r>
        <w:r w:rsidR="00B15EB3">
          <w:rPr>
            <w:webHidden/>
          </w:rPr>
          <w:t>2</w:t>
        </w:r>
        <w:r w:rsidR="00B15EB3">
          <w:rPr>
            <w:webHidden/>
          </w:rPr>
          <w:fldChar w:fldCharType="end"/>
        </w:r>
      </w:hyperlink>
    </w:p>
    <w:p w14:paraId="56A32F16" w14:textId="329CD365" w:rsidR="00B15EB3" w:rsidRDefault="00F97016">
      <w:pPr>
        <w:pStyle w:val="TOC2"/>
        <w:rPr>
          <w:rFonts w:asciiTheme="minorHAnsi" w:eastAsiaTheme="minorEastAsia" w:hAnsiTheme="minorHAnsi" w:cstheme="minorBidi"/>
          <w:b w:val="0"/>
          <w:smallCaps w:val="0"/>
          <w:sz w:val="22"/>
          <w:lang w:val="en-US"/>
        </w:rPr>
      </w:pPr>
      <w:hyperlink w:anchor="_Toc58861208" w:history="1">
        <w:r w:rsidR="00B15EB3" w:rsidRPr="00287267">
          <w:rPr>
            <w:rStyle w:val="Hyperlink"/>
          </w:rPr>
          <w:t>1.1</w:t>
        </w:r>
        <w:r w:rsidR="00B15EB3">
          <w:rPr>
            <w:rFonts w:asciiTheme="minorHAnsi" w:eastAsiaTheme="minorEastAsia" w:hAnsiTheme="minorHAnsi" w:cstheme="minorBidi"/>
            <w:b w:val="0"/>
            <w:smallCaps w:val="0"/>
            <w:sz w:val="22"/>
            <w:lang w:val="en-US"/>
          </w:rPr>
          <w:tab/>
        </w:r>
        <w:r w:rsidR="00B15EB3" w:rsidRPr="00287267">
          <w:rPr>
            <w:rStyle w:val="Hyperlink"/>
          </w:rPr>
          <w:t>1. Struktūra un pieņemtā prakse</w:t>
        </w:r>
        <w:r w:rsidR="00B15EB3">
          <w:rPr>
            <w:webHidden/>
          </w:rPr>
          <w:tab/>
        </w:r>
        <w:r w:rsidR="00B15EB3">
          <w:rPr>
            <w:webHidden/>
          </w:rPr>
          <w:fldChar w:fldCharType="begin"/>
        </w:r>
        <w:r w:rsidR="00B15EB3">
          <w:rPr>
            <w:webHidden/>
          </w:rPr>
          <w:instrText xml:space="preserve"> PAGEREF _Toc58861208 \h </w:instrText>
        </w:r>
        <w:r w:rsidR="00B15EB3">
          <w:rPr>
            <w:webHidden/>
          </w:rPr>
        </w:r>
        <w:r w:rsidR="00B15EB3">
          <w:rPr>
            <w:webHidden/>
          </w:rPr>
          <w:fldChar w:fldCharType="separate"/>
        </w:r>
        <w:r w:rsidR="00B15EB3">
          <w:rPr>
            <w:webHidden/>
          </w:rPr>
          <w:t>2</w:t>
        </w:r>
        <w:r w:rsidR="00B15EB3">
          <w:rPr>
            <w:webHidden/>
          </w:rPr>
          <w:fldChar w:fldCharType="end"/>
        </w:r>
      </w:hyperlink>
    </w:p>
    <w:p w14:paraId="4D524199" w14:textId="0BD797B4" w:rsidR="00B15EB3" w:rsidRDefault="00F97016">
      <w:pPr>
        <w:pStyle w:val="TOC2"/>
        <w:rPr>
          <w:rFonts w:asciiTheme="minorHAnsi" w:eastAsiaTheme="minorEastAsia" w:hAnsiTheme="minorHAnsi" w:cstheme="minorBidi"/>
          <w:b w:val="0"/>
          <w:smallCaps w:val="0"/>
          <w:sz w:val="22"/>
          <w:lang w:val="en-US"/>
        </w:rPr>
      </w:pPr>
      <w:hyperlink w:anchor="_Toc58861209" w:history="1">
        <w:r w:rsidR="00B15EB3" w:rsidRPr="00287267">
          <w:rPr>
            <w:rStyle w:val="Hyperlink"/>
          </w:rPr>
          <w:t>2.1</w:t>
        </w:r>
        <w:r w:rsidR="00B15EB3">
          <w:rPr>
            <w:rFonts w:asciiTheme="minorHAnsi" w:eastAsiaTheme="minorEastAsia" w:hAnsiTheme="minorHAnsi" w:cstheme="minorBidi"/>
            <w:b w:val="0"/>
            <w:smallCaps w:val="0"/>
            <w:sz w:val="22"/>
            <w:lang w:val="en-US"/>
          </w:rPr>
          <w:tab/>
        </w:r>
        <w:r w:rsidR="00B15EB3" w:rsidRPr="00287267">
          <w:rPr>
            <w:rStyle w:val="Hyperlink"/>
          </w:rPr>
          <w:t>1.1. Struktūra</w:t>
        </w:r>
        <w:r w:rsidR="00B15EB3">
          <w:rPr>
            <w:webHidden/>
          </w:rPr>
          <w:tab/>
        </w:r>
        <w:r w:rsidR="00B15EB3">
          <w:rPr>
            <w:webHidden/>
          </w:rPr>
          <w:fldChar w:fldCharType="begin"/>
        </w:r>
        <w:r w:rsidR="00B15EB3">
          <w:rPr>
            <w:webHidden/>
          </w:rPr>
          <w:instrText xml:space="preserve"> PAGEREF _Toc58861209 \h </w:instrText>
        </w:r>
        <w:r w:rsidR="00B15EB3">
          <w:rPr>
            <w:webHidden/>
          </w:rPr>
        </w:r>
        <w:r w:rsidR="00B15EB3">
          <w:rPr>
            <w:webHidden/>
          </w:rPr>
          <w:fldChar w:fldCharType="separate"/>
        </w:r>
        <w:r w:rsidR="00B15EB3">
          <w:rPr>
            <w:webHidden/>
          </w:rPr>
          <w:t>2</w:t>
        </w:r>
        <w:r w:rsidR="00B15EB3">
          <w:rPr>
            <w:webHidden/>
          </w:rPr>
          <w:fldChar w:fldCharType="end"/>
        </w:r>
      </w:hyperlink>
    </w:p>
    <w:p w14:paraId="67AB65EB" w14:textId="058EF227" w:rsidR="00B15EB3" w:rsidRDefault="00F97016">
      <w:pPr>
        <w:pStyle w:val="TOC2"/>
        <w:rPr>
          <w:rFonts w:asciiTheme="minorHAnsi" w:eastAsiaTheme="minorEastAsia" w:hAnsiTheme="minorHAnsi" w:cstheme="minorBidi"/>
          <w:b w:val="0"/>
          <w:smallCaps w:val="0"/>
          <w:sz w:val="22"/>
          <w:lang w:val="en-US"/>
        </w:rPr>
      </w:pPr>
      <w:hyperlink w:anchor="_Toc58861210" w:history="1">
        <w:r w:rsidR="00B15EB3" w:rsidRPr="00287267">
          <w:rPr>
            <w:rStyle w:val="Hyperlink"/>
          </w:rPr>
          <w:t>3.1</w:t>
        </w:r>
        <w:r w:rsidR="00B15EB3">
          <w:rPr>
            <w:rFonts w:asciiTheme="minorHAnsi" w:eastAsiaTheme="minorEastAsia" w:hAnsiTheme="minorHAnsi" w:cstheme="minorBidi"/>
            <w:b w:val="0"/>
            <w:smallCaps w:val="0"/>
            <w:sz w:val="22"/>
            <w:lang w:val="en-US"/>
          </w:rPr>
          <w:tab/>
        </w:r>
        <w:r w:rsidR="00B15EB3" w:rsidRPr="00287267">
          <w:rPr>
            <w:rStyle w:val="Hyperlink"/>
          </w:rPr>
          <w:t>1.2. Pieņemtā prakse attiecībā uz numerāciju</w:t>
        </w:r>
        <w:r w:rsidR="00B15EB3">
          <w:rPr>
            <w:webHidden/>
          </w:rPr>
          <w:tab/>
        </w:r>
        <w:r w:rsidR="00B15EB3">
          <w:rPr>
            <w:webHidden/>
          </w:rPr>
          <w:fldChar w:fldCharType="begin"/>
        </w:r>
        <w:r w:rsidR="00B15EB3">
          <w:rPr>
            <w:webHidden/>
          </w:rPr>
          <w:instrText xml:space="preserve"> PAGEREF _Toc58861210 \h </w:instrText>
        </w:r>
        <w:r w:rsidR="00B15EB3">
          <w:rPr>
            <w:webHidden/>
          </w:rPr>
        </w:r>
        <w:r w:rsidR="00B15EB3">
          <w:rPr>
            <w:webHidden/>
          </w:rPr>
          <w:fldChar w:fldCharType="separate"/>
        </w:r>
        <w:r w:rsidR="00B15EB3">
          <w:rPr>
            <w:webHidden/>
          </w:rPr>
          <w:t>2</w:t>
        </w:r>
        <w:r w:rsidR="00B15EB3">
          <w:rPr>
            <w:webHidden/>
          </w:rPr>
          <w:fldChar w:fldCharType="end"/>
        </w:r>
      </w:hyperlink>
    </w:p>
    <w:p w14:paraId="3571D252" w14:textId="12A501F6" w:rsidR="00B15EB3" w:rsidRDefault="00F97016">
      <w:pPr>
        <w:pStyle w:val="TOC2"/>
        <w:rPr>
          <w:rFonts w:asciiTheme="minorHAnsi" w:eastAsiaTheme="minorEastAsia" w:hAnsiTheme="minorHAnsi" w:cstheme="minorBidi"/>
          <w:b w:val="0"/>
          <w:smallCaps w:val="0"/>
          <w:sz w:val="22"/>
          <w:lang w:val="en-US"/>
        </w:rPr>
      </w:pPr>
      <w:hyperlink w:anchor="_Toc58861211" w:history="1">
        <w:r w:rsidR="00B15EB3" w:rsidRPr="00287267">
          <w:rPr>
            <w:rStyle w:val="Hyperlink"/>
          </w:rPr>
          <w:t>4.1</w:t>
        </w:r>
        <w:r w:rsidR="00B15EB3">
          <w:rPr>
            <w:rFonts w:asciiTheme="minorHAnsi" w:eastAsiaTheme="minorEastAsia" w:hAnsiTheme="minorHAnsi" w:cstheme="minorBidi"/>
            <w:b w:val="0"/>
            <w:smallCaps w:val="0"/>
            <w:sz w:val="22"/>
            <w:lang w:val="en-US"/>
          </w:rPr>
          <w:tab/>
        </w:r>
        <w:r w:rsidR="00B15EB3" w:rsidRPr="00287267">
          <w:rPr>
            <w:rStyle w:val="Hyperlink"/>
          </w:rPr>
          <w:t>1.3. Pieņemtā prakse attiecībā uz zīmēm</w:t>
        </w:r>
        <w:r w:rsidR="00B15EB3">
          <w:rPr>
            <w:webHidden/>
          </w:rPr>
          <w:tab/>
        </w:r>
        <w:r w:rsidR="00B15EB3">
          <w:rPr>
            <w:webHidden/>
          </w:rPr>
          <w:fldChar w:fldCharType="begin"/>
        </w:r>
        <w:r w:rsidR="00B15EB3">
          <w:rPr>
            <w:webHidden/>
          </w:rPr>
          <w:instrText xml:space="preserve"> PAGEREF _Toc58861211 \h </w:instrText>
        </w:r>
        <w:r w:rsidR="00B15EB3">
          <w:rPr>
            <w:webHidden/>
          </w:rPr>
        </w:r>
        <w:r w:rsidR="00B15EB3">
          <w:rPr>
            <w:webHidden/>
          </w:rPr>
          <w:fldChar w:fldCharType="separate"/>
        </w:r>
        <w:r w:rsidR="00B15EB3">
          <w:rPr>
            <w:webHidden/>
          </w:rPr>
          <w:t>2</w:t>
        </w:r>
        <w:r w:rsidR="00B15EB3">
          <w:rPr>
            <w:webHidden/>
          </w:rPr>
          <w:fldChar w:fldCharType="end"/>
        </w:r>
      </w:hyperlink>
    </w:p>
    <w:p w14:paraId="6A9E677B" w14:textId="4437B69D" w:rsidR="00B15EB3" w:rsidRDefault="00F97016">
      <w:pPr>
        <w:pStyle w:val="TOC2"/>
        <w:rPr>
          <w:rFonts w:asciiTheme="minorHAnsi" w:eastAsiaTheme="minorEastAsia" w:hAnsiTheme="minorHAnsi" w:cstheme="minorBidi"/>
          <w:b w:val="0"/>
          <w:smallCaps w:val="0"/>
          <w:sz w:val="22"/>
          <w:lang w:val="en-US"/>
        </w:rPr>
      </w:pPr>
      <w:hyperlink w:anchor="_Toc58861212" w:history="1">
        <w:r w:rsidR="00B15EB3" w:rsidRPr="00287267">
          <w:rPr>
            <w:rStyle w:val="Hyperlink"/>
          </w:rPr>
          <w:t>5.1</w:t>
        </w:r>
        <w:r w:rsidR="00B15EB3">
          <w:rPr>
            <w:rFonts w:asciiTheme="minorHAnsi" w:eastAsiaTheme="minorEastAsia" w:hAnsiTheme="minorHAnsi" w:cstheme="minorBidi"/>
            <w:b w:val="0"/>
            <w:smallCaps w:val="0"/>
            <w:sz w:val="22"/>
            <w:lang w:val="en-US"/>
          </w:rPr>
          <w:tab/>
        </w:r>
        <w:r w:rsidR="00B15EB3" w:rsidRPr="00287267">
          <w:rPr>
            <w:rStyle w:val="Hyperlink"/>
          </w:rPr>
          <w:t>1.4. Saīsinājumi</w:t>
        </w:r>
        <w:r w:rsidR="00B15EB3">
          <w:rPr>
            <w:webHidden/>
          </w:rPr>
          <w:tab/>
        </w:r>
        <w:r w:rsidR="00B15EB3">
          <w:rPr>
            <w:webHidden/>
          </w:rPr>
          <w:fldChar w:fldCharType="begin"/>
        </w:r>
        <w:r w:rsidR="00B15EB3">
          <w:rPr>
            <w:webHidden/>
          </w:rPr>
          <w:instrText xml:space="preserve"> PAGEREF _Toc58861212 \h </w:instrText>
        </w:r>
        <w:r w:rsidR="00B15EB3">
          <w:rPr>
            <w:webHidden/>
          </w:rPr>
        </w:r>
        <w:r w:rsidR="00B15EB3">
          <w:rPr>
            <w:webHidden/>
          </w:rPr>
          <w:fldChar w:fldCharType="separate"/>
        </w:r>
        <w:r w:rsidR="00B15EB3">
          <w:rPr>
            <w:webHidden/>
          </w:rPr>
          <w:t>2</w:t>
        </w:r>
        <w:r w:rsidR="00B15EB3">
          <w:rPr>
            <w:webHidden/>
          </w:rPr>
          <w:fldChar w:fldCharType="end"/>
        </w:r>
      </w:hyperlink>
    </w:p>
    <w:p w14:paraId="59F4D5C3" w14:textId="545DFAEE" w:rsidR="00B15EB3" w:rsidRDefault="00F97016">
      <w:pPr>
        <w:pStyle w:val="TOC2"/>
        <w:rPr>
          <w:rFonts w:asciiTheme="minorHAnsi" w:eastAsiaTheme="minorEastAsia" w:hAnsiTheme="minorHAnsi" w:cstheme="minorBidi"/>
          <w:b w:val="0"/>
          <w:smallCaps w:val="0"/>
          <w:sz w:val="22"/>
          <w:lang w:val="en-US"/>
        </w:rPr>
      </w:pPr>
      <w:hyperlink w:anchor="_Toc58861213" w:history="1">
        <w:r w:rsidR="00B15EB3" w:rsidRPr="00287267">
          <w:rPr>
            <w:rStyle w:val="Hyperlink"/>
          </w:rPr>
          <w:t>II DAĻA. NORĀDES SAISTĪBĀ AR VEIDNI</w:t>
        </w:r>
        <w:r w:rsidR="00B15EB3">
          <w:rPr>
            <w:webHidden/>
          </w:rPr>
          <w:tab/>
        </w:r>
        <w:r w:rsidR="00B15EB3">
          <w:rPr>
            <w:webHidden/>
          </w:rPr>
          <w:fldChar w:fldCharType="begin"/>
        </w:r>
        <w:r w:rsidR="00B15EB3">
          <w:rPr>
            <w:webHidden/>
          </w:rPr>
          <w:instrText xml:space="preserve"> PAGEREF _Toc58861213 \h </w:instrText>
        </w:r>
        <w:r w:rsidR="00B15EB3">
          <w:rPr>
            <w:webHidden/>
          </w:rPr>
        </w:r>
        <w:r w:rsidR="00B15EB3">
          <w:rPr>
            <w:webHidden/>
          </w:rPr>
          <w:fldChar w:fldCharType="separate"/>
        </w:r>
        <w:r w:rsidR="00B15EB3">
          <w:rPr>
            <w:webHidden/>
          </w:rPr>
          <w:t>3</w:t>
        </w:r>
        <w:r w:rsidR="00B15EB3">
          <w:rPr>
            <w:webHidden/>
          </w:rPr>
          <w:fldChar w:fldCharType="end"/>
        </w:r>
      </w:hyperlink>
    </w:p>
    <w:p w14:paraId="20B99240" w14:textId="4862EF2C" w:rsidR="00B15EB3" w:rsidRDefault="00F97016">
      <w:pPr>
        <w:pStyle w:val="TOC2"/>
        <w:rPr>
          <w:rFonts w:asciiTheme="minorHAnsi" w:eastAsiaTheme="minorEastAsia" w:hAnsiTheme="minorHAnsi" w:cstheme="minorBidi"/>
          <w:b w:val="0"/>
          <w:smallCaps w:val="0"/>
          <w:sz w:val="22"/>
          <w:lang w:val="en-US"/>
        </w:rPr>
      </w:pPr>
      <w:hyperlink w:anchor="_Toc58861214" w:history="1">
        <w:r w:rsidR="00B15EB3" w:rsidRPr="00287267">
          <w:rPr>
            <w:rStyle w:val="Hyperlink"/>
          </w:rPr>
          <w:t>6.1</w:t>
        </w:r>
        <w:r w:rsidR="00B15EB3">
          <w:rPr>
            <w:rFonts w:asciiTheme="minorHAnsi" w:eastAsiaTheme="minorEastAsia" w:hAnsiTheme="minorHAnsi" w:cstheme="minorBidi"/>
            <w:b w:val="0"/>
            <w:smallCaps w:val="0"/>
            <w:sz w:val="22"/>
            <w:lang w:val="en-US"/>
          </w:rPr>
          <w:tab/>
        </w:r>
        <w:r w:rsidR="00B15EB3" w:rsidRPr="00287267">
          <w:rPr>
            <w:rStyle w:val="Hyperlink"/>
          </w:rPr>
          <w:t>1. Vispārīgas piezīmes</w:t>
        </w:r>
        <w:r w:rsidR="00B15EB3">
          <w:rPr>
            <w:webHidden/>
          </w:rPr>
          <w:tab/>
        </w:r>
        <w:r w:rsidR="00B15EB3">
          <w:rPr>
            <w:webHidden/>
          </w:rPr>
          <w:fldChar w:fldCharType="begin"/>
        </w:r>
        <w:r w:rsidR="00B15EB3">
          <w:rPr>
            <w:webHidden/>
          </w:rPr>
          <w:instrText xml:space="preserve"> PAGEREF _Toc58861214 \h </w:instrText>
        </w:r>
        <w:r w:rsidR="00B15EB3">
          <w:rPr>
            <w:webHidden/>
          </w:rPr>
        </w:r>
        <w:r w:rsidR="00B15EB3">
          <w:rPr>
            <w:webHidden/>
          </w:rPr>
          <w:fldChar w:fldCharType="separate"/>
        </w:r>
        <w:r w:rsidR="00B15EB3">
          <w:rPr>
            <w:webHidden/>
          </w:rPr>
          <w:t>3</w:t>
        </w:r>
        <w:r w:rsidR="00B15EB3">
          <w:rPr>
            <w:webHidden/>
          </w:rPr>
          <w:fldChar w:fldCharType="end"/>
        </w:r>
      </w:hyperlink>
    </w:p>
    <w:p w14:paraId="0A2C771F" w14:textId="19C920BD" w:rsidR="00B15EB3" w:rsidRDefault="00F97016">
      <w:pPr>
        <w:pStyle w:val="TOC2"/>
        <w:rPr>
          <w:rFonts w:asciiTheme="minorHAnsi" w:eastAsiaTheme="minorEastAsia" w:hAnsiTheme="minorHAnsi" w:cstheme="minorBidi"/>
          <w:b w:val="0"/>
          <w:smallCaps w:val="0"/>
          <w:sz w:val="22"/>
          <w:lang w:val="en-US"/>
        </w:rPr>
      </w:pPr>
      <w:hyperlink w:anchor="_Toc58861215" w:history="1">
        <w:r w:rsidR="00B15EB3" w:rsidRPr="00287267">
          <w:rPr>
            <w:rStyle w:val="Hyperlink"/>
          </w:rPr>
          <w:t>7.1</w:t>
        </w:r>
        <w:r w:rsidR="00B15EB3">
          <w:rPr>
            <w:rFonts w:asciiTheme="minorHAnsi" w:eastAsiaTheme="minorEastAsia" w:hAnsiTheme="minorHAnsi" w:cstheme="minorBidi"/>
            <w:b w:val="0"/>
            <w:smallCaps w:val="0"/>
            <w:sz w:val="22"/>
            <w:lang w:val="en-US"/>
          </w:rPr>
          <w:tab/>
        </w:r>
        <w:r w:rsidR="00B15EB3" w:rsidRPr="00287267">
          <w:rPr>
            <w:rStyle w:val="Hyperlink"/>
          </w:rPr>
          <w:t>2. Norādes par konkrētām pozīcijām</w:t>
        </w:r>
        <w:r w:rsidR="00B15EB3">
          <w:rPr>
            <w:webHidden/>
          </w:rPr>
          <w:tab/>
        </w:r>
        <w:r w:rsidR="00B15EB3">
          <w:rPr>
            <w:webHidden/>
          </w:rPr>
          <w:fldChar w:fldCharType="begin"/>
        </w:r>
        <w:r w:rsidR="00B15EB3">
          <w:rPr>
            <w:webHidden/>
          </w:rPr>
          <w:instrText xml:space="preserve"> PAGEREF _Toc58861215 \h </w:instrText>
        </w:r>
        <w:r w:rsidR="00B15EB3">
          <w:rPr>
            <w:webHidden/>
          </w:rPr>
        </w:r>
        <w:r w:rsidR="00B15EB3">
          <w:rPr>
            <w:webHidden/>
          </w:rPr>
          <w:fldChar w:fldCharType="separate"/>
        </w:r>
        <w:r w:rsidR="00B15EB3">
          <w:rPr>
            <w:webHidden/>
          </w:rPr>
          <w:t>3</w:t>
        </w:r>
        <w:r w:rsidR="00B15EB3">
          <w:rPr>
            <w:webHidden/>
          </w:rPr>
          <w:fldChar w:fldCharType="end"/>
        </w:r>
      </w:hyperlink>
    </w:p>
    <w:p w14:paraId="7AC7042C" w14:textId="3C76C126" w:rsidR="002648B0" w:rsidRPr="00EC067D" w:rsidRDefault="00745369" w:rsidP="00005FFC">
      <w:pPr>
        <w:rPr>
          <w:rFonts w:ascii="Times New Roman" w:hAnsi="Times New Roman"/>
          <w:sz w:val="24"/>
        </w:rPr>
        <w:sectPr w:rsidR="002648B0" w:rsidRPr="00EC067D" w:rsidSect="004D4419">
          <w:footerReference w:type="default" r:id="rId8"/>
          <w:footerReference w:type="first" r:id="rId9"/>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2820F465" w14:textId="77777777" w:rsidR="002648B0" w:rsidRPr="00EC067D" w:rsidRDefault="002648B0" w:rsidP="00EC067D">
      <w:pPr>
        <w:pStyle w:val="Heading2"/>
      </w:pPr>
      <w:bookmarkStart w:id="2" w:name="_Toc264038394"/>
      <w:bookmarkStart w:id="3" w:name="_Toc360188317"/>
      <w:bookmarkStart w:id="4" w:name="_Toc473560865"/>
      <w:bookmarkStart w:id="5" w:name="_Toc58861207"/>
      <w:r>
        <w:lastRenderedPageBreak/>
        <w:t>I DAĻA.</w:t>
      </w:r>
      <w:bookmarkEnd w:id="2"/>
      <w:r>
        <w:t xml:space="preserve"> VISPĀRĪGAS NORĀDES</w:t>
      </w:r>
      <w:bookmarkEnd w:id="3"/>
      <w:bookmarkEnd w:id="4"/>
      <w:bookmarkEnd w:id="5"/>
    </w:p>
    <w:p w14:paraId="134C985E" w14:textId="77777777" w:rsidR="002648B0" w:rsidRPr="00EC067D" w:rsidRDefault="00125707" w:rsidP="00EC067D">
      <w:pPr>
        <w:pStyle w:val="Instructionsberschrift2"/>
        <w:rPr>
          <w:rFonts w:cs="Times New Roman"/>
          <w:sz w:val="24"/>
        </w:rPr>
      </w:pPr>
      <w:bookmarkStart w:id="6" w:name="_Toc360188318"/>
      <w:bookmarkStart w:id="7" w:name="_Toc473560866"/>
      <w:bookmarkStart w:id="8" w:name="_Toc58861208"/>
      <w:r>
        <w:rPr>
          <w:sz w:val="24"/>
        </w:rPr>
        <w:t>1.</w:t>
      </w:r>
      <w:r>
        <w:tab/>
      </w:r>
      <w:r>
        <w:rPr>
          <w:sz w:val="24"/>
        </w:rPr>
        <w:t>Struktūra un pieņemtā prakse</w:t>
      </w:r>
      <w:bookmarkEnd w:id="6"/>
      <w:bookmarkEnd w:id="7"/>
      <w:bookmarkEnd w:id="8"/>
    </w:p>
    <w:p w14:paraId="7C7E012C" w14:textId="77777777" w:rsidR="002648B0" w:rsidRPr="00EC067D" w:rsidRDefault="00125707" w:rsidP="00EC067D">
      <w:pPr>
        <w:pStyle w:val="Instructionsberschrift2"/>
        <w:rPr>
          <w:rFonts w:cs="Times New Roman"/>
          <w:sz w:val="24"/>
        </w:rPr>
      </w:pPr>
      <w:bookmarkStart w:id="9" w:name="_Toc360188319"/>
      <w:bookmarkStart w:id="10" w:name="_Toc473560867"/>
      <w:bookmarkStart w:id="11" w:name="_Toc58861209"/>
      <w:bookmarkStart w:id="12" w:name="_Toc264038399"/>
      <w:bookmarkStart w:id="13" w:name="_Toc294018834"/>
      <w:r>
        <w:rPr>
          <w:sz w:val="24"/>
        </w:rPr>
        <w:t>1.1.</w:t>
      </w:r>
      <w:r>
        <w:tab/>
      </w:r>
      <w:r>
        <w:rPr>
          <w:sz w:val="24"/>
        </w:rPr>
        <w:t>Struktūra</w:t>
      </w:r>
      <w:bookmarkEnd w:id="9"/>
      <w:bookmarkEnd w:id="10"/>
      <w:bookmarkEnd w:id="11"/>
    </w:p>
    <w:p w14:paraId="6C67B776" w14:textId="5BE94C55" w:rsidR="005643EA" w:rsidRPr="00EC067D" w:rsidRDefault="00125707" w:rsidP="00004542">
      <w:pPr>
        <w:pStyle w:val="InstructionsText2"/>
        <w:numPr>
          <w:ilvl w:val="0"/>
          <w:numId w:val="0"/>
        </w:numPr>
        <w:ind w:left="993"/>
      </w:pPr>
      <w:r>
        <w:t>1.</w:t>
      </w:r>
      <w:r>
        <w:tab/>
        <w:t>Šis satvars sastāv no vienas veidnes, kurā ietverta informācija par globālas sistēmiskas nozīmes rādītājiem un konkrētiem posteņiem, kas vajadzīgi, lai piemērotu ES metodiku globāli sistēmiski nozīmīgu iestāžu (G-SNI) identificēšanai un atbilstošu G-SNI rezervju normu piešķiršanai.</w:t>
      </w:r>
    </w:p>
    <w:p w14:paraId="61F62C51" w14:textId="77777777" w:rsidR="002648B0" w:rsidRPr="00EC067D" w:rsidRDefault="00125707" w:rsidP="00EC067D">
      <w:pPr>
        <w:pStyle w:val="Instructionsberschrift2"/>
        <w:rPr>
          <w:rFonts w:cs="Times New Roman"/>
          <w:sz w:val="24"/>
        </w:rPr>
      </w:pPr>
      <w:bookmarkStart w:id="14" w:name="_Toc360188320"/>
      <w:bookmarkStart w:id="15" w:name="_Toc473560868"/>
      <w:bookmarkStart w:id="16" w:name="_Toc58861210"/>
      <w:r>
        <w:rPr>
          <w:sz w:val="24"/>
        </w:rPr>
        <w:t>1.2.</w:t>
      </w:r>
      <w:r>
        <w:tab/>
      </w:r>
      <w:r>
        <w:rPr>
          <w:sz w:val="24"/>
        </w:rPr>
        <w:t>Pieņemtā prakse attiecībā uz numerāciju</w:t>
      </w:r>
      <w:bookmarkEnd w:id="14"/>
      <w:bookmarkEnd w:id="15"/>
      <w:bookmarkEnd w:id="16"/>
    </w:p>
    <w:p w14:paraId="3C0F0268" w14:textId="0EE8739F" w:rsidR="002648B0" w:rsidRPr="00EC067D" w:rsidRDefault="006137FD" w:rsidP="00004542">
      <w:pPr>
        <w:pStyle w:val="InstructionsText2"/>
        <w:numPr>
          <w:ilvl w:val="0"/>
          <w:numId w:val="0"/>
        </w:numPr>
        <w:ind w:left="993"/>
      </w:pPr>
      <w:r>
        <w:t>2.</w:t>
      </w:r>
      <w:r>
        <w:tab/>
        <w:t>Atsaucoties uz veidņu slejām, rindām un šūnām, dokumentā izmanto pieņemto praksi attiecībā uz</w:t>
      </w:r>
      <w:r w:rsidR="00F97016">
        <w:t xml:space="preserve"> apzīmējumiem, kas norādīta 3.–5</w:t>
      </w:r>
      <w:r>
        <w:t>. punktā. Minētos ciparu kodus plaši izmanto validācijas noteikumos.</w:t>
      </w:r>
    </w:p>
    <w:p w14:paraId="26DC2799" w14:textId="2C43513E" w:rsidR="005643EA" w:rsidRPr="00EC067D" w:rsidRDefault="006137FD" w:rsidP="00004542">
      <w:pPr>
        <w:pStyle w:val="InstructionsText2"/>
        <w:numPr>
          <w:ilvl w:val="0"/>
          <w:numId w:val="0"/>
        </w:numPr>
        <w:ind w:left="993"/>
      </w:pPr>
      <w:r>
        <w:t>3.</w:t>
      </w:r>
      <w:r>
        <w:tab/>
        <w:t>Norādēs izmantots šāds vispārējs apzīmējums: {Veidne; Rinda; Sleja}.</w:t>
      </w:r>
    </w:p>
    <w:p w14:paraId="6A9F72AA" w14:textId="1B191E59" w:rsidR="005643EA" w:rsidRPr="00EC067D" w:rsidRDefault="006137FD" w:rsidP="00004542">
      <w:pPr>
        <w:pStyle w:val="InstructionsText2"/>
        <w:numPr>
          <w:ilvl w:val="0"/>
          <w:numId w:val="0"/>
        </w:numPr>
        <w:ind w:left="993"/>
      </w:pPr>
      <w:r>
        <w:t>4.</w:t>
      </w:r>
      <w:r>
        <w:tab/>
        <w:t>Ja atsauces ir norādītas veidnē, kurā izmantoti tikai minētās veidnes datu punkti, apzīmējumi neattiecas uz veidni: {Rinda; Sleja}. Ja veidnēs ir tikai viena sleja, atsaucas vienīgi uz rindām {Veidne; Rinda}.</w:t>
      </w:r>
    </w:p>
    <w:p w14:paraId="01FECE3C" w14:textId="482B71E1" w:rsidR="002648B0" w:rsidRPr="00EC067D" w:rsidRDefault="006137FD" w:rsidP="00004542">
      <w:pPr>
        <w:pStyle w:val="InstructionsText2"/>
        <w:numPr>
          <w:ilvl w:val="0"/>
          <w:numId w:val="0"/>
        </w:numPr>
        <w:ind w:left="993"/>
      </w:pPr>
      <w:r>
        <w:t>5.</w:t>
      </w:r>
      <w:r>
        <w:tab/>
        <w:t>Zvaigznītes zīmi izmanto, lai norādītu, ka atsauce ietver iepriekš norādītās rindas vai slejas.</w:t>
      </w:r>
    </w:p>
    <w:p w14:paraId="273A8B8C" w14:textId="6B3DAE3F" w:rsidR="002648B0" w:rsidRPr="00EC067D" w:rsidRDefault="00125707" w:rsidP="00EC067D">
      <w:pPr>
        <w:pStyle w:val="Instructionsberschrift2"/>
        <w:rPr>
          <w:rFonts w:cs="Times New Roman"/>
          <w:sz w:val="24"/>
        </w:rPr>
      </w:pPr>
      <w:bookmarkStart w:id="17" w:name="_Toc360188321"/>
      <w:bookmarkStart w:id="18" w:name="_Toc473560869"/>
      <w:bookmarkStart w:id="19" w:name="_Toc58861211"/>
      <w:r>
        <w:rPr>
          <w:sz w:val="24"/>
        </w:rPr>
        <w:t>1.3.</w:t>
      </w:r>
      <w:r>
        <w:tab/>
      </w:r>
      <w:r>
        <w:rPr>
          <w:sz w:val="24"/>
        </w:rPr>
        <w:t>Pieņemtā prakse attiecībā uz zīmēm</w:t>
      </w:r>
      <w:bookmarkEnd w:id="12"/>
      <w:bookmarkEnd w:id="13"/>
      <w:bookmarkEnd w:id="17"/>
      <w:bookmarkEnd w:id="18"/>
      <w:bookmarkEnd w:id="19"/>
    </w:p>
    <w:p w14:paraId="0C0832BC" w14:textId="4A4E8717" w:rsidR="002648B0" w:rsidRPr="00EC067D" w:rsidRDefault="006137FD" w:rsidP="00004542">
      <w:pPr>
        <w:pStyle w:val="InstructionsText2"/>
        <w:numPr>
          <w:ilvl w:val="0"/>
          <w:numId w:val="0"/>
        </w:numPr>
        <w:ind w:left="993"/>
      </w:pPr>
      <w:r>
        <w:t>6.</w:t>
      </w:r>
      <w:r>
        <w:tab/>
        <w:t>Jebkuru summu, kas palielina rādītāja, aktīvu, saistību vai riska darījumu vērtību, norāda kā pozitīvu skaitli. Jebkuru summu, kas samazina rādītāja, aktīvu, saistību vai riska darījumu vērtību, norāda kā negatīvu skaitli. Ja pirms kāda posteņa apzīmējuma ir mīnuszīme (-), paredzēts, ka minēto posteni neuzrāda kā pozitīvu skaitli.</w:t>
      </w:r>
    </w:p>
    <w:p w14:paraId="318F1B9B" w14:textId="19EFDD0F" w:rsidR="00304CA5" w:rsidRPr="00EC067D" w:rsidRDefault="00304CA5" w:rsidP="00EC067D">
      <w:pPr>
        <w:pStyle w:val="Instructionsberschrift2"/>
        <w:rPr>
          <w:rFonts w:cs="Times New Roman"/>
          <w:sz w:val="24"/>
        </w:rPr>
      </w:pPr>
      <w:bookmarkStart w:id="20" w:name="_Toc58861212"/>
      <w:r>
        <w:rPr>
          <w:sz w:val="24"/>
        </w:rPr>
        <w:t>1.4.</w:t>
      </w:r>
      <w:r>
        <w:tab/>
      </w:r>
      <w:r>
        <w:rPr>
          <w:sz w:val="24"/>
        </w:rPr>
        <w:t>Saīsinājumi</w:t>
      </w:r>
      <w:bookmarkEnd w:id="20"/>
    </w:p>
    <w:p w14:paraId="5A22E3D2" w14:textId="11E1C82A" w:rsidR="00304CA5" w:rsidRPr="00EC067D" w:rsidRDefault="006137FD" w:rsidP="00004542">
      <w:pPr>
        <w:pStyle w:val="InstructionsText2"/>
        <w:numPr>
          <w:ilvl w:val="0"/>
          <w:numId w:val="0"/>
        </w:numPr>
        <w:ind w:left="993"/>
      </w:pPr>
      <w:r>
        <w:t>7. Šā pielikuma vajadzībām uz Eiropas Parlamenta un Padomes Regulu (ES) Nr. 575/2013</w:t>
      </w:r>
      <w:r>
        <w:rPr>
          <w:rStyle w:val="FootnoteReference"/>
          <w:rFonts w:ascii="Times New Roman" w:hAnsi="Times New Roman"/>
          <w:sz w:val="24"/>
          <w:szCs w:val="24"/>
          <w:vertAlign w:val="superscript"/>
        </w:rPr>
        <w:footnoteReference w:id="2"/>
      </w:r>
      <w:r w:rsidR="00F97016">
        <w:t xml:space="preserve"> atsaucas kā uz “KPR” un </w:t>
      </w:r>
      <w:bookmarkStart w:id="21" w:name="_GoBack"/>
      <w:bookmarkEnd w:id="21"/>
      <w:r>
        <w:t>uz Eiropas Parlamenta un Padomes Direktīvu 2013/36/ES</w:t>
      </w:r>
      <w:r>
        <w:rPr>
          <w:rStyle w:val="FootnoteReference"/>
          <w:rFonts w:ascii="Times New Roman" w:hAnsi="Times New Roman"/>
          <w:sz w:val="24"/>
          <w:szCs w:val="24"/>
          <w:vertAlign w:val="superscript"/>
        </w:rPr>
        <w:footnoteReference w:id="3"/>
      </w:r>
      <w:r>
        <w:t xml:space="preserve"> kā uz “KPD”.</w:t>
      </w:r>
    </w:p>
    <w:p w14:paraId="078AD951" w14:textId="77777777" w:rsidR="00304CA5" w:rsidRPr="00EC067D" w:rsidRDefault="00304CA5" w:rsidP="00004542">
      <w:pPr>
        <w:pStyle w:val="InstructionsText2"/>
        <w:numPr>
          <w:ilvl w:val="0"/>
          <w:numId w:val="0"/>
        </w:numPr>
        <w:ind w:left="993"/>
      </w:pPr>
    </w:p>
    <w:p w14:paraId="74BFACB9" w14:textId="77777777" w:rsidR="002648B0" w:rsidRPr="00EC067D" w:rsidRDefault="002648B0" w:rsidP="00004542">
      <w:pPr>
        <w:pStyle w:val="InstructionsText2"/>
        <w:sectPr w:rsidR="002648B0" w:rsidRPr="00EC067D" w:rsidSect="00A801A9">
          <w:endnotePr>
            <w:numFmt w:val="decimal"/>
          </w:endnotePr>
          <w:pgSz w:w="11906" w:h="16838"/>
          <w:pgMar w:top="1417" w:right="1417" w:bottom="1134" w:left="1417" w:header="708" w:footer="708" w:gutter="0"/>
          <w:cols w:space="708"/>
          <w:rtlGutter/>
          <w:docGrid w:linePitch="360"/>
        </w:sectPr>
      </w:pPr>
      <w:bookmarkStart w:id="22" w:name="_Toc264033192"/>
      <w:bookmarkEnd w:id="22"/>
    </w:p>
    <w:p w14:paraId="039B9D1F" w14:textId="69049F38" w:rsidR="002648B0" w:rsidRPr="00EC067D" w:rsidRDefault="002648B0" w:rsidP="00EC067D">
      <w:pPr>
        <w:pStyle w:val="Heading2"/>
      </w:pPr>
      <w:bookmarkStart w:id="23" w:name="_Toc360188322"/>
      <w:bookmarkStart w:id="24" w:name="_Toc473560870"/>
      <w:bookmarkStart w:id="25" w:name="_Toc58861213"/>
      <w:r>
        <w:t>II DAĻA. NORĀDES SAISTĪBĀ AR VEIDNI</w:t>
      </w:r>
      <w:bookmarkEnd w:id="23"/>
      <w:bookmarkEnd w:id="24"/>
      <w:bookmarkEnd w:id="25"/>
    </w:p>
    <w:p w14:paraId="5E8C221B" w14:textId="6A60103B" w:rsidR="002648B0" w:rsidRPr="00EC067D" w:rsidRDefault="00125707" w:rsidP="00EC067D">
      <w:pPr>
        <w:pStyle w:val="Instructionsberschrift2"/>
        <w:rPr>
          <w:rFonts w:cs="Times New Roman"/>
          <w:sz w:val="24"/>
        </w:rPr>
      </w:pPr>
      <w:bookmarkStart w:id="26" w:name="_Toc360188323"/>
      <w:bookmarkStart w:id="27" w:name="_Toc473560871"/>
      <w:bookmarkStart w:id="28" w:name="_Toc58861214"/>
      <w:r>
        <w:rPr>
          <w:sz w:val="24"/>
        </w:rPr>
        <w:t>1.</w:t>
      </w:r>
      <w:r>
        <w:tab/>
      </w:r>
      <w:bookmarkStart w:id="29" w:name="_Toc308175819"/>
      <w:bookmarkStart w:id="30" w:name="_Toc360188324"/>
      <w:bookmarkStart w:id="31" w:name="_Toc473560872"/>
      <w:bookmarkEnd w:id="26"/>
      <w:bookmarkEnd w:id="27"/>
      <w:r>
        <w:rPr>
          <w:sz w:val="24"/>
        </w:rPr>
        <w:t>Vispārīgas piezīmes</w:t>
      </w:r>
      <w:bookmarkEnd w:id="29"/>
      <w:bookmarkEnd w:id="30"/>
      <w:bookmarkEnd w:id="31"/>
      <w:bookmarkEnd w:id="28"/>
    </w:p>
    <w:p w14:paraId="410557ED" w14:textId="2C0E81CE" w:rsidR="006137FD" w:rsidRPr="00EC067D" w:rsidRDefault="00004542" w:rsidP="00004542">
      <w:pPr>
        <w:pStyle w:val="InstructionsText2"/>
        <w:numPr>
          <w:ilvl w:val="0"/>
          <w:numId w:val="0"/>
        </w:numPr>
        <w:ind w:left="993"/>
      </w:pPr>
      <w:r>
        <w:t>8.</w:t>
      </w:r>
      <w:r>
        <w:tab/>
        <w:t xml:space="preserve">Veidne ir sadalīta divās daļās. Augšējā iedaļā par G-SNI rādītājiem ir iekļauti rādītāji globāli sistēmiski nozīmīgu iestāžu identificēšanai, kā noteikts Bāzeles Banku uzraudzības komitejas izstrādātajā metodikā. Apakšējā iedaļā ietverti vairāki posteņi, kas vajadzīgi, lai aprēķinātu attiecīgos rādītājus saskaņā ar metodiku, kas noteikta, pamatojoties uz KPD 131. panta 18. punktu. </w:t>
      </w:r>
    </w:p>
    <w:p w14:paraId="285BFC5F" w14:textId="50F4BAE2" w:rsidR="005643EA" w:rsidRPr="00EC067D" w:rsidRDefault="00004542" w:rsidP="00004542">
      <w:pPr>
        <w:pStyle w:val="InstructionsText2"/>
        <w:numPr>
          <w:ilvl w:val="0"/>
          <w:numId w:val="0"/>
        </w:numPr>
        <w:ind w:left="993"/>
      </w:pPr>
      <w:r>
        <w:t>9.</w:t>
      </w:r>
      <w:r>
        <w:tab/>
        <w:t>Attiecīgā gadījumā šajā veidnē sniegtā informācija atbilst informācijai, kas attiecīgajām iestādēm sniegta, lai tās varētu vākt rādītāju vērtības, kā noteikts Komisijas Deleģētās regulas (ES) Nr. 1222/2014 3. panta 2. punktā.</w:t>
      </w:r>
    </w:p>
    <w:p w14:paraId="1640AAF5" w14:textId="0F89A136" w:rsidR="002648B0" w:rsidRPr="00EC067D" w:rsidRDefault="00125707" w:rsidP="00EC067D">
      <w:pPr>
        <w:pStyle w:val="Instructionsberschrift2"/>
        <w:rPr>
          <w:rFonts w:cs="Times New Roman"/>
          <w:sz w:val="24"/>
        </w:rPr>
      </w:pPr>
      <w:bookmarkStart w:id="32" w:name="_Toc310414968"/>
      <w:bookmarkStart w:id="33" w:name="_Toc360188326"/>
      <w:bookmarkStart w:id="34" w:name="_Toc473560874"/>
      <w:bookmarkStart w:id="35" w:name="_Toc58861215"/>
      <w:r>
        <w:rPr>
          <w:sz w:val="24"/>
        </w:rPr>
        <w:t>2.</w:t>
      </w:r>
      <w:r>
        <w:tab/>
      </w:r>
      <w:bookmarkStart w:id="36" w:name="_Toc308175821"/>
      <w:r>
        <w:rPr>
          <w:sz w:val="24"/>
        </w:rPr>
        <w:t xml:space="preserve">Norādes par konkrētām </w:t>
      </w:r>
      <w:bookmarkEnd w:id="36"/>
      <w:bookmarkEnd w:id="32"/>
      <w:r>
        <w:rPr>
          <w:sz w:val="24"/>
        </w:rPr>
        <w:t>pozīcijām</w:t>
      </w:r>
      <w:bookmarkEnd w:id="33"/>
      <w:bookmarkEnd w:id="34"/>
      <w:bookmarkEnd w:id="3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EC067D" w14:paraId="5D5CC09A" w14:textId="77777777" w:rsidTr="00D731E3">
        <w:tc>
          <w:tcPr>
            <w:tcW w:w="1129" w:type="dxa"/>
            <w:shd w:val="clear" w:color="auto" w:fill="D9D9D9"/>
          </w:tcPr>
          <w:p w14:paraId="5EE5330B" w14:textId="77777777" w:rsidR="005643EA" w:rsidRPr="00EC067D" w:rsidRDefault="002648B0" w:rsidP="00004542">
            <w:pPr>
              <w:pStyle w:val="InstructionsText"/>
              <w:rPr>
                <w:rStyle w:val="InstructionsTabelleText"/>
                <w:rFonts w:ascii="Times New Roman" w:hAnsi="Times New Roman"/>
                <w:bCs/>
                <w:sz w:val="24"/>
              </w:rPr>
            </w:pPr>
            <w:r>
              <w:rPr>
                <w:rStyle w:val="InstructionsTabelleText"/>
                <w:rFonts w:ascii="Times New Roman" w:hAnsi="Times New Roman"/>
                <w:sz w:val="24"/>
              </w:rPr>
              <w:t>Rinda</w:t>
            </w:r>
          </w:p>
        </w:tc>
        <w:tc>
          <w:tcPr>
            <w:tcW w:w="7620" w:type="dxa"/>
            <w:shd w:val="clear" w:color="auto" w:fill="D9D9D9"/>
          </w:tcPr>
          <w:p w14:paraId="19E41094" w14:textId="77777777" w:rsidR="005643EA" w:rsidRPr="00EC067D" w:rsidRDefault="002648B0" w:rsidP="00004542">
            <w:pPr>
              <w:pStyle w:val="InstructionsText"/>
              <w:rPr>
                <w:rStyle w:val="InstructionsTabelleText"/>
                <w:rFonts w:ascii="Times New Roman" w:hAnsi="Times New Roman"/>
                <w:bCs/>
                <w:sz w:val="24"/>
              </w:rPr>
            </w:pPr>
            <w:r>
              <w:rPr>
                <w:rStyle w:val="InstructionsTabelleText"/>
                <w:rFonts w:ascii="Times New Roman" w:hAnsi="Times New Roman"/>
                <w:sz w:val="24"/>
              </w:rPr>
              <w:t>Atsauces uz tiesību aktiem un norādes</w:t>
            </w:r>
          </w:p>
        </w:tc>
      </w:tr>
      <w:tr w:rsidR="002648B0" w:rsidRPr="00EC067D" w14:paraId="0E5D273A" w14:textId="77777777" w:rsidTr="00D731E3">
        <w:tc>
          <w:tcPr>
            <w:tcW w:w="1129" w:type="dxa"/>
          </w:tcPr>
          <w:p w14:paraId="4A55AEAF" w14:textId="3DC4B1B9" w:rsidR="002648B0" w:rsidRPr="00EC067D" w:rsidRDefault="00004542" w:rsidP="0000454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0010 - 0120</w:t>
            </w:r>
          </w:p>
        </w:tc>
        <w:tc>
          <w:tcPr>
            <w:tcW w:w="7620" w:type="dxa"/>
          </w:tcPr>
          <w:p w14:paraId="541B4823" w14:textId="0EF9A745" w:rsidR="00D7242F" w:rsidRPr="00EC067D" w:rsidRDefault="00004542" w:rsidP="00004542">
            <w:pPr>
              <w:pStyle w:val="InstructionsText"/>
              <w:rPr>
                <w:rStyle w:val="InstructionsTabelleberschrift"/>
                <w:rFonts w:ascii="Times New Roman" w:hAnsi="Times New Roman"/>
                <w:sz w:val="24"/>
              </w:rPr>
            </w:pPr>
            <w:r>
              <w:rPr>
                <w:rStyle w:val="InstructionsTabelleberschrift"/>
                <w:rFonts w:ascii="Times New Roman" w:hAnsi="Times New Roman"/>
                <w:sz w:val="24"/>
              </w:rPr>
              <w:t>G-SNI rādītāji</w:t>
            </w:r>
          </w:p>
          <w:p w14:paraId="71B4C248" w14:textId="77777777" w:rsidR="005643EA" w:rsidRPr="00EC067D" w:rsidRDefault="00004542" w:rsidP="00EF0DDB">
            <w:pPr>
              <w:pStyle w:val="InstructionsText2"/>
              <w:numPr>
                <w:ilvl w:val="0"/>
                <w:numId w:val="0"/>
              </w:numPr>
              <w:rPr>
                <w:rStyle w:val="FormatvorlageInstructionsTabelleText"/>
                <w:rFonts w:ascii="Times New Roman" w:hAnsi="Times New Roman"/>
                <w:sz w:val="24"/>
              </w:rPr>
            </w:pPr>
            <w:r>
              <w:rPr>
                <w:rStyle w:val="FormatvorlageInstructionsTabelleText"/>
                <w:rFonts w:ascii="Times New Roman" w:hAnsi="Times New Roman"/>
                <w:sz w:val="24"/>
              </w:rPr>
              <w:t>Rādītāju definīcija ir tāda pati kā definīcija, ko izmanto, lai noteiktu Komisijas Deleģētās regulas (ES) Nr. 1222/2014 pielikumā uzskaitīto informāciju.</w:t>
            </w:r>
          </w:p>
          <w:p w14:paraId="77AC76F2" w14:textId="77777777" w:rsidR="00EF0DDB" w:rsidRPr="00EC067D" w:rsidRDefault="00087903" w:rsidP="00087903">
            <w:pPr>
              <w:pStyle w:val="InstructionsText2"/>
              <w:numPr>
                <w:ilvl w:val="0"/>
                <w:numId w:val="0"/>
              </w:numPr>
              <w:rPr>
                <w:rStyle w:val="FormatvorlageInstructionsTabelleText"/>
                <w:rFonts w:ascii="Times New Roman" w:hAnsi="Times New Roman"/>
                <w:sz w:val="24"/>
              </w:rPr>
            </w:pPr>
            <w:r>
              <w:rPr>
                <w:rStyle w:val="FormatvorlageInstructionsTabelleText"/>
                <w:rFonts w:ascii="Times New Roman" w:hAnsi="Times New Roman"/>
                <w:sz w:val="24"/>
              </w:rPr>
              <w:t>Ja tiek mainīta metodika, tad to pašu metodiku, ko piemēro rādītāju vērtību noteikšanai finanšu gada beigās, izmanto, lai sniegtu informāciju tā paša finanšu gada pirmā, otrā un trešā ceturkšņa beigās.</w:t>
            </w:r>
          </w:p>
          <w:p w14:paraId="09DD6AF6" w14:textId="46653849" w:rsidR="00805C7A" w:rsidRPr="00EC067D" w:rsidRDefault="00805C7A" w:rsidP="00087903">
            <w:pPr>
              <w:pStyle w:val="InstructionsText2"/>
              <w:numPr>
                <w:ilvl w:val="0"/>
                <w:numId w:val="0"/>
              </w:numPr>
              <w:rPr>
                <w:rStyle w:val="InstructionsTabelleberschrift"/>
                <w:rFonts w:ascii="Times New Roman" w:hAnsi="Times New Roman"/>
                <w:sz w:val="24"/>
              </w:rPr>
            </w:pPr>
            <w:r>
              <w:rPr>
                <w:rStyle w:val="FormatvorlageInstructionsTabelleText"/>
                <w:rFonts w:ascii="Times New Roman" w:hAnsi="Times New Roman"/>
                <w:sz w:val="24"/>
              </w:rPr>
              <w:t>Rādītājus, kas ir plūsmas mērījumi, uzrāda kumulatīvi attiecīgi no kalendārā vai finanšu gada sākuma.</w:t>
            </w:r>
          </w:p>
        </w:tc>
      </w:tr>
      <w:tr w:rsidR="000359E7" w:rsidRPr="00EC067D" w14:paraId="3C8BC05D" w14:textId="77777777" w:rsidTr="00D731E3">
        <w:tc>
          <w:tcPr>
            <w:tcW w:w="1129" w:type="dxa"/>
          </w:tcPr>
          <w:p w14:paraId="2DB15F09" w14:textId="10FDDDE8"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0897A46E" w14:textId="089D7C13"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Pārrobežu prasījumi</w:t>
            </w:r>
          </w:p>
        </w:tc>
      </w:tr>
      <w:tr w:rsidR="000359E7" w:rsidRPr="00EC067D" w14:paraId="6D4F9F35" w14:textId="77777777" w:rsidTr="00D731E3">
        <w:tc>
          <w:tcPr>
            <w:tcW w:w="1129" w:type="dxa"/>
          </w:tcPr>
          <w:p w14:paraId="744137FA" w14:textId="7636C40D"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050D6105" w14:textId="1CAD947C"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Pārrobežu saistības</w:t>
            </w:r>
          </w:p>
        </w:tc>
      </w:tr>
      <w:tr w:rsidR="000359E7" w:rsidRPr="00EC067D" w14:paraId="6DDE62D2" w14:textId="77777777" w:rsidTr="00D731E3">
        <w:tc>
          <w:tcPr>
            <w:tcW w:w="1129" w:type="dxa"/>
          </w:tcPr>
          <w:p w14:paraId="119F2029" w14:textId="2E0C1E76"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20A17A52" w14:textId="24A27EE4"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Kopējie riska darījumi (sviras rādītājs)</w:t>
            </w:r>
          </w:p>
        </w:tc>
      </w:tr>
      <w:tr w:rsidR="000359E7" w:rsidRPr="00EC067D" w14:paraId="1E32E0D4" w14:textId="77777777" w:rsidTr="00D731E3">
        <w:tc>
          <w:tcPr>
            <w:tcW w:w="1129" w:type="dxa"/>
          </w:tcPr>
          <w:p w14:paraId="62806938" w14:textId="21F95289"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1992577C" w14:textId="6F161374"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Aktīvi finanšu sistēmas ietvaros</w:t>
            </w:r>
          </w:p>
        </w:tc>
      </w:tr>
      <w:tr w:rsidR="000359E7" w:rsidRPr="00EC067D" w14:paraId="168CAFD1" w14:textId="77777777" w:rsidTr="00D731E3">
        <w:tc>
          <w:tcPr>
            <w:tcW w:w="1129" w:type="dxa"/>
          </w:tcPr>
          <w:p w14:paraId="20E7E202" w14:textId="74E0180D"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07A315EC" w14:textId="3CF53BEE"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Saistības finanšu sistēmas ietvaros</w:t>
            </w:r>
          </w:p>
        </w:tc>
      </w:tr>
      <w:tr w:rsidR="000359E7" w:rsidRPr="00EC067D" w14:paraId="7D83D84B" w14:textId="77777777" w:rsidTr="00D731E3">
        <w:tc>
          <w:tcPr>
            <w:tcW w:w="1129" w:type="dxa"/>
          </w:tcPr>
          <w:p w14:paraId="2E41976E" w14:textId="54079319"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6BD24A93" w14:textId="2708FDCB"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Apgrozībā esošie vērtspapīri</w:t>
            </w:r>
          </w:p>
        </w:tc>
      </w:tr>
      <w:tr w:rsidR="000359E7" w:rsidRPr="00EC067D" w14:paraId="40C175C7" w14:textId="77777777" w:rsidTr="00D731E3">
        <w:tc>
          <w:tcPr>
            <w:tcW w:w="1129" w:type="dxa"/>
          </w:tcPr>
          <w:p w14:paraId="05CF3D3D" w14:textId="4A19EAF3"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7A6CF35F" w14:textId="0CE79096"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Glabāšanā esošie aktīvi</w:t>
            </w:r>
          </w:p>
        </w:tc>
      </w:tr>
      <w:tr w:rsidR="000359E7" w:rsidRPr="00EC067D" w14:paraId="3D94B46C" w14:textId="77777777" w:rsidTr="00D731E3">
        <w:tc>
          <w:tcPr>
            <w:tcW w:w="1129" w:type="dxa"/>
          </w:tcPr>
          <w:p w14:paraId="73F13C12" w14:textId="5F573BA0"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14:paraId="2518A593" w14:textId="6F08F20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Maksājumu darbības</w:t>
            </w:r>
          </w:p>
        </w:tc>
      </w:tr>
      <w:tr w:rsidR="000359E7" w:rsidRPr="00EC067D" w14:paraId="77AC2598" w14:textId="77777777" w:rsidTr="00D731E3">
        <w:tc>
          <w:tcPr>
            <w:tcW w:w="1129" w:type="dxa"/>
          </w:tcPr>
          <w:p w14:paraId="2EA7B719" w14:textId="61AD4AA2"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78F8B106" w14:textId="501507B6"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Sākotnēji izvietotie darījumi parāda un kapitāla tirgos</w:t>
            </w:r>
          </w:p>
        </w:tc>
      </w:tr>
      <w:tr w:rsidR="000359E7" w:rsidRPr="00EC067D" w14:paraId="68CA6CE8" w14:textId="77777777" w:rsidTr="00D731E3">
        <w:tc>
          <w:tcPr>
            <w:tcW w:w="1129" w:type="dxa"/>
          </w:tcPr>
          <w:p w14:paraId="6BF1E474" w14:textId="0CCD0D86"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39D62EB3" w14:textId="1E740B39"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Tirdzniecības apjoms</w:t>
            </w:r>
          </w:p>
        </w:tc>
      </w:tr>
      <w:tr w:rsidR="000359E7" w:rsidRPr="00EC067D" w14:paraId="43F77E74" w14:textId="77777777" w:rsidTr="00D731E3">
        <w:tc>
          <w:tcPr>
            <w:tcW w:w="1129" w:type="dxa"/>
          </w:tcPr>
          <w:p w14:paraId="222B2025" w14:textId="318C8EA5"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C924F42" w14:textId="4C122C0B"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Ārpusbiržas atvasināto instrumentu nosacītā summa</w:t>
            </w:r>
          </w:p>
        </w:tc>
      </w:tr>
      <w:tr w:rsidR="000359E7" w:rsidRPr="00EC067D" w14:paraId="20E3E2F0" w14:textId="77777777" w:rsidTr="00D731E3">
        <w:tc>
          <w:tcPr>
            <w:tcW w:w="1129" w:type="dxa"/>
          </w:tcPr>
          <w:p w14:paraId="4C62BBAD" w14:textId="784915EC" w:rsidR="000359E7" w:rsidRPr="00EC067D" w:rsidRDefault="009964E1"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620" w:type="dxa"/>
          </w:tcPr>
          <w:p w14:paraId="1AAE0433" w14:textId="53BB7064"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Trešā līmeņa aktīvi</w:t>
            </w:r>
          </w:p>
        </w:tc>
      </w:tr>
      <w:tr w:rsidR="000359E7" w:rsidRPr="00EC067D" w14:paraId="00DCCD96" w14:textId="77777777" w:rsidTr="00D731E3">
        <w:tc>
          <w:tcPr>
            <w:tcW w:w="1129" w:type="dxa"/>
          </w:tcPr>
          <w:p w14:paraId="6185C376" w14:textId="0A67EB11" w:rsidR="000359E7" w:rsidRPr="00EC067D" w:rsidRDefault="009964E1"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1AC7DFAE" w14:textId="387365F4" w:rsidR="000359E7" w:rsidRPr="00EC067D" w:rsidRDefault="009964E1"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Tirdzniecības vērtspapīri un pārdošanai pieejami vērtspapīri</w:t>
            </w:r>
          </w:p>
        </w:tc>
      </w:tr>
      <w:tr w:rsidR="000359E7" w:rsidRPr="00EC067D" w14:paraId="1692F927" w14:textId="77777777" w:rsidTr="00D731E3">
        <w:tc>
          <w:tcPr>
            <w:tcW w:w="1129" w:type="dxa"/>
          </w:tcPr>
          <w:p w14:paraId="0B33EE2F" w14:textId="32A65C16"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0140 - 0170</w:t>
            </w:r>
          </w:p>
        </w:tc>
        <w:tc>
          <w:tcPr>
            <w:tcW w:w="7620" w:type="dxa"/>
          </w:tcPr>
          <w:p w14:paraId="37D5CB7B" w14:textId="785C02EE"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Posteņi, kuros Eiropas banku savienību uzskata par vienu jurisdikciju</w:t>
            </w:r>
          </w:p>
          <w:p w14:paraId="5DB1FD22" w14:textId="50C1AAEF" w:rsidR="000359E7" w:rsidRPr="00EC067D" w:rsidRDefault="000359E7" w:rsidP="000359E7">
            <w:pPr>
              <w:pStyle w:val="InstructionsText2"/>
              <w:numPr>
                <w:ilvl w:val="0"/>
                <w:numId w:val="0"/>
              </w:numPr>
              <w:rPr>
                <w:rStyle w:val="FormatvorlageInstructionsTabelleText"/>
                <w:rFonts w:ascii="Times New Roman" w:hAnsi="Times New Roman"/>
                <w:sz w:val="24"/>
              </w:rPr>
            </w:pPr>
            <w:r>
              <w:rPr>
                <w:rStyle w:val="FormatvorlageInstructionsTabelleText"/>
                <w:rFonts w:ascii="Times New Roman" w:hAnsi="Times New Roman"/>
                <w:sz w:val="24"/>
              </w:rPr>
              <w:t>Lai noteiktu turpmāk norādītos posteņus un ja turpmāk sniegtajās norādēs nav specifikāciju, izmantotās definīcijas un jēdzienus pēc iespējas saskaņo ar definīcijām un jēdzieniem, kas definēti Pamatnostādnēs par BIS starptautiskās banku statistikas ziņošanu.</w:t>
            </w:r>
          </w:p>
          <w:p w14:paraId="624545C8" w14:textId="30C77E46" w:rsidR="000359E7" w:rsidRPr="00EC067D" w:rsidRDefault="000359E7" w:rsidP="000359E7">
            <w:pPr>
              <w:pStyle w:val="InstructionsText2"/>
              <w:numPr>
                <w:ilvl w:val="0"/>
                <w:numId w:val="0"/>
              </w:numPr>
              <w:rPr>
                <w:rStyle w:val="InstructionsTabelleberschrift"/>
                <w:rFonts w:ascii="Times New Roman" w:hAnsi="Times New Roman"/>
                <w:sz w:val="24"/>
              </w:rPr>
            </w:pPr>
            <w:r>
              <w:rPr>
                <w:rStyle w:val="FormatvorlageInstructionsTabelleText"/>
                <w:rFonts w:ascii="Times New Roman" w:hAnsi="Times New Roman"/>
                <w:sz w:val="24"/>
              </w:rPr>
              <w:t>Atkāpjoties no iepriekš minētā, pārskatu sniedzēju vienību darbības iesaistītajās dalībvalstīs, kā minēts Eiropas Parlamenta un Padomes Regulas (ES) Nr. 806/2014 4. pantā,</w:t>
            </w:r>
            <w:r>
              <w:rPr>
                <w:rStyle w:val="FootnoteReference"/>
                <w:rFonts w:ascii="Times New Roman" w:hAnsi="Times New Roman"/>
                <w:bCs/>
                <w:sz w:val="24"/>
                <w:szCs w:val="24"/>
              </w:rPr>
              <w:footnoteReference w:id="4"/>
            </w:r>
            <w:r>
              <w:rPr>
                <w:rStyle w:val="FormatvorlageInstructionsTabelleText"/>
                <w:rFonts w:ascii="Times New Roman" w:hAnsi="Times New Roman"/>
                <w:sz w:val="24"/>
              </w:rPr>
              <w:t xml:space="preserve"> tiek izslēgtas, t. i., iesaistītās dalībvalstis tiek uzskatītas par vienu jurisdikciju</w:t>
            </w:r>
            <w:r>
              <w:t>.</w:t>
            </w:r>
          </w:p>
        </w:tc>
      </w:tr>
      <w:tr w:rsidR="000359E7" w:rsidRPr="00EC067D" w14:paraId="61796B97" w14:textId="77777777" w:rsidTr="00D731E3">
        <w:tc>
          <w:tcPr>
            <w:tcW w:w="1129" w:type="dxa"/>
          </w:tcPr>
          <w:p w14:paraId="03539F89" w14:textId="70440909"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5728CDBE" w14:textId="7777777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Kopējie ārvalstu prasījumi, pamatojoties uz galīgo risku</w:t>
            </w:r>
          </w:p>
          <w:p w14:paraId="3ECF379D" w14:textId="77D3E075"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Ārvalstu prasījumu kopsumma ir ārvalstu saistītu uzņēmumu pārrobežu prasījumu un vietējo prasījumu summa vietējā vai ārvalstu valūtā. Izslēdz prasījumus no pozīcijām atvasināto instrumentu līgumos. “Prasījumi”, “pārrobežu prasījumi”, “ārvalstu saistītu uzņēmumu vietējie prasījumi ārvalstu un vietējā valūtā” ir ar to pašu nozīmi, kas definēta Pamatnostādnēs par </w:t>
            </w:r>
            <w:r>
              <w:rPr>
                <w:rStyle w:val="FormatvorlageInstructionsTabelleText"/>
                <w:rFonts w:ascii="Times New Roman" w:hAnsi="Times New Roman"/>
                <w:i/>
                <w:iCs/>
                <w:sz w:val="24"/>
              </w:rPr>
              <w:t>BIS</w:t>
            </w:r>
            <w:r>
              <w:rPr>
                <w:rStyle w:val="FormatvorlageInstructionsTabelleText"/>
                <w:rFonts w:ascii="Times New Roman" w:hAnsi="Times New Roman"/>
                <w:sz w:val="24"/>
              </w:rPr>
              <w:t xml:space="preserve"> starptautiskās banku statistikas ziņošanu. </w:t>
            </w:r>
          </w:p>
          <w:p w14:paraId="3A1C0F08" w14:textId="52022B5A"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“Pamatojoties uz galīgo risku” nozīmē, ka, lai noteiktu, vai prasījums ir pārrobežu vai vietējais prasījums, pozīcija ir iedalīta </w:t>
            </w:r>
            <w:proofErr w:type="spellStart"/>
            <w:r>
              <w:rPr>
                <w:rStyle w:val="FormatvorlageInstructionsTabelleText"/>
                <w:rFonts w:ascii="Times New Roman" w:hAnsi="Times New Roman"/>
                <w:sz w:val="24"/>
              </w:rPr>
              <w:t>trešai</w:t>
            </w:r>
            <w:proofErr w:type="spellEnd"/>
            <w:r>
              <w:rPr>
                <w:rStyle w:val="FormatvorlageInstructionsTabelleText"/>
                <w:rFonts w:ascii="Times New Roman" w:hAnsi="Times New Roman"/>
                <w:sz w:val="24"/>
              </w:rPr>
              <w:t xml:space="preserve"> personai, kas ir noslēgusi līgumu, lai uzņemtos galvenā darījuma partnera parādus vai saistības, ja minētā puse nepilda saistības, ja šāda trešā persona pastāv. Šo iedalījumu veic saskaņā ar noteikumiem par riska pārvedumiem, kas paredzēti Pamatnostādnēs par </w:t>
            </w:r>
            <w:r>
              <w:rPr>
                <w:rStyle w:val="FormatvorlageInstructionsTabelleText"/>
                <w:rFonts w:ascii="Times New Roman" w:hAnsi="Times New Roman"/>
                <w:i/>
                <w:iCs/>
                <w:sz w:val="24"/>
              </w:rPr>
              <w:t>BIS</w:t>
            </w:r>
            <w:r>
              <w:rPr>
                <w:rStyle w:val="FormatvorlageInstructionsTabelleText"/>
                <w:rFonts w:ascii="Times New Roman" w:hAnsi="Times New Roman"/>
                <w:sz w:val="24"/>
              </w:rPr>
              <w:t xml:space="preserve"> starptautiskās banku statistikas ziņošanu.</w:t>
            </w:r>
          </w:p>
        </w:tc>
      </w:tr>
      <w:tr w:rsidR="000359E7" w:rsidRPr="00EC067D" w14:paraId="66BA7DC6" w14:textId="77777777" w:rsidTr="00D731E3">
        <w:tc>
          <w:tcPr>
            <w:tcW w:w="1129" w:type="dxa"/>
          </w:tcPr>
          <w:p w14:paraId="310D6463" w14:textId="2622CA93"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14:paraId="370543F2" w14:textId="7777777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Ārvalstu prasījumi saistībā ar atvasinātajiem instrumentiem, pamatojoties uz galīgo risku</w:t>
            </w:r>
          </w:p>
          <w:p w14:paraId="0B6542C2" w14:textId="19ABBE56"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Visu atvasināto instrumentu prasījumu, kas ir pārrobežu prasījumi, vai ārvalstu saistītu uzņēmumu vietējo prasījumu vietējā vai ārvalstu valūtā pozitīvā patiesā vērtība. </w:t>
            </w:r>
          </w:p>
          <w:p w14:paraId="3184A088" w14:textId="77777777"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Atvasinātie instrumenti ietver regulētā tirgū netirgotus nākotnes līgumus, mijmaiņas līgumus un iespējas līgumus, kas saistīti ar ārvalstu valūtu, procentu likmi, pašu kapitālu, precēm un </w:t>
            </w:r>
            <w:proofErr w:type="spellStart"/>
            <w:r>
              <w:rPr>
                <w:rStyle w:val="FormatvorlageInstructionsTabelleText"/>
                <w:rFonts w:ascii="Times New Roman" w:hAnsi="Times New Roman"/>
                <w:sz w:val="24"/>
              </w:rPr>
              <w:t>kredītinstrumentiem</w:t>
            </w:r>
            <w:proofErr w:type="spellEnd"/>
            <w:r>
              <w:rPr>
                <w:rStyle w:val="FormatvorlageInstructionsTabelleText"/>
                <w:rFonts w:ascii="Times New Roman" w:hAnsi="Times New Roman"/>
                <w:sz w:val="24"/>
              </w:rPr>
              <w:t xml:space="preserve">. Tas ietver nopirktus kredītu atvasinātos instrumentus, kas ierobežo vai kompensē </w:t>
            </w:r>
            <w:proofErr w:type="spellStart"/>
            <w:r>
              <w:rPr>
                <w:rStyle w:val="FormatvorlageInstructionsTabelleText"/>
                <w:rFonts w:ascii="Times New Roman" w:hAnsi="Times New Roman"/>
                <w:sz w:val="24"/>
              </w:rPr>
              <w:t>kredītaizsardzību</w:t>
            </w:r>
            <w:proofErr w:type="spellEnd"/>
            <w:r>
              <w:rPr>
                <w:rStyle w:val="FormatvorlageInstructionsTabelleText"/>
                <w:rFonts w:ascii="Times New Roman" w:hAnsi="Times New Roman"/>
                <w:sz w:val="24"/>
              </w:rPr>
              <w:t>, kura ir pārdota vai tiek turēta tirdzniecības nolūkā.</w:t>
            </w:r>
          </w:p>
          <w:p w14:paraId="1C0B5693" w14:textId="134EDA39"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Šādu nopirktu kredītu atvasināto instrumentu gadījumā to vērtību neierobežo līdz tā tūlītējā prasījuma vērtībai, kuras garantēšanai tie tika iegādāti. </w:t>
            </w:r>
          </w:p>
          <w:p w14:paraId="1BF6CB23" w14:textId="77777777"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Atvasināto instrumentu līgumu pozitīvās patiesās vērtības var kompensēt ar negatīvām patiesajām vērtībām tikai tad, ja pozīcijas tika izpildītas ar to pašu darījuma partneri saskaņā ar juridiski izpildāmu savstarpējo prasījumu ieskaita līgumu. Šajā postenī iekļauj tikai savstarpējo prasījumu ieskaita kopas ar pozitīvu vērtību. </w:t>
            </w:r>
          </w:p>
          <w:p w14:paraId="1D1D95FC" w14:textId="16E54AF6"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Atvasināto instrumentu prasījumus uzrāda, ieskaitot jebkādu naudas nodrošinājumu. </w:t>
            </w:r>
          </w:p>
          <w:p w14:paraId="57A0BD55" w14:textId="77777777"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Lai sniegtu informāciju, pamatojoties uz galīgo risku, piemēro šādus noteikumus:</w:t>
            </w:r>
          </w:p>
          <w:p w14:paraId="11BDA188" w14:textId="218D72C7" w:rsidR="000359E7" w:rsidRPr="00EC067D" w:rsidRDefault="000359E7" w:rsidP="000359E7">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 xml:space="preserve">ja galīgais risks gulstas uz darījuma partneri, atvasināto instrumentu uzskata par ārvalstu atvasināto instrumentu, ja darījuma partneris neatrodas pārskatu sniedzējas vienības piederības valsts jurisdikcijā; </w:t>
            </w:r>
          </w:p>
          <w:p w14:paraId="4EE29D54" w14:textId="079BBA53" w:rsidR="000359E7" w:rsidRPr="00EC067D" w:rsidRDefault="000359E7" w:rsidP="000359E7">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ja galīgais risks gulstas uz garantijas devēju, atvasināto instrumentu uzskata par ārvalstu atvasināto instrumentu, ja garantijas devējs neatrodas pārskatu sniedzējas vienības piederības valsts jurisdikcijā.</w:t>
            </w:r>
          </w:p>
        </w:tc>
      </w:tr>
      <w:tr w:rsidR="000359E7" w:rsidRPr="00EC067D" w14:paraId="24B21B52" w14:textId="77777777" w:rsidTr="00D731E3">
        <w:tc>
          <w:tcPr>
            <w:tcW w:w="1129" w:type="dxa"/>
          </w:tcPr>
          <w:p w14:paraId="1B78021A" w14:textId="7536B145"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4AFA7D61" w14:textId="7777777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Ārvalstu saistības, balstoties uz tūlītēju risku, ieskaitot atvasinātos instrumentus</w:t>
            </w:r>
          </w:p>
          <w:p w14:paraId="2232ACAE" w14:textId="70B62A74"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Ārvalstu saistības, tostarp atvasinātie instrumenti, ir ārvalstu saistību un no atvasinātajiem instrumentiem izrietošo ārvalstu saistību summa. Šajā postenī neiekļauj vērtspapīru saistības, kas ir tirgojami finanšu aktīvi, kurus emitējusi pārskatu sniedzošā iestāde.</w:t>
            </w:r>
          </w:p>
          <w:p w14:paraId="253FB5E8" w14:textId="0968641F"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Atvasināto instrumentu definīcija ir tāda pati, kādu piemēro 0140. rindā.</w:t>
            </w:r>
          </w:p>
          <w:p w14:paraId="3AF86A8E" w14:textId="7C54EB9B"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Atvasināto instrumentu līgumu negatīvās patiesās vērtības var kompensēt ar pozitīvām patiesajām vērtībām tikai tad, ja pozīcijas tika izpildītas ar to pašu darījuma partneri saskaņā ar juridiski izpildāmu savstarpējo prasījumu ieskaita līgumu. Atvasināto instrumentu saistības uzrāda, ieskaitot jebkādu nodrošinājumu (skaidrā naudā un bezskaidrā naudā). </w:t>
            </w:r>
          </w:p>
          <w:p w14:paraId="2F888DBB" w14:textId="1705453E"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“Pamatojoties uz tūlītēju risku” nozīmē, ka, lai noteiktu, vai prasījums ir pārrobežu vai vietēja prasījums, pozīciju iedala līguma tiešajam darījuma partnerim. </w:t>
            </w:r>
          </w:p>
        </w:tc>
      </w:tr>
      <w:tr w:rsidR="000359E7" w:rsidRPr="00EC067D" w14:paraId="5A972F21" w14:textId="77777777" w:rsidTr="00D731E3">
        <w:tc>
          <w:tcPr>
            <w:tcW w:w="1129" w:type="dxa"/>
          </w:tcPr>
          <w:p w14:paraId="5FCEF134" w14:textId="5E849A8E"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620" w:type="dxa"/>
          </w:tcPr>
          <w:p w14:paraId="3E471746" w14:textId="7777777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tostarp: ārvalstu saistības saistībā ar atvasinātajiem instrumentiem, pamatojoties uz tūlītēju risku</w:t>
            </w:r>
          </w:p>
          <w:p w14:paraId="2ACECCE5" w14:textId="202A3512"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 rindas apakšgrupa, kas ir atvasināto instrumentu saistības</w:t>
            </w:r>
          </w:p>
        </w:tc>
      </w:tr>
      <w:bookmarkEnd w:id="0"/>
      <w:bookmarkEnd w:id="1"/>
    </w:tbl>
    <w:p w14:paraId="61DBD972" w14:textId="77777777" w:rsidR="00DD00B4" w:rsidRPr="00EC067D" w:rsidRDefault="00DD00B4" w:rsidP="006137FD">
      <w:pPr>
        <w:spacing w:after="0"/>
        <w:rPr>
          <w:rStyle w:val="InstructionsTabelleText"/>
          <w:rFonts w:ascii="Times New Roman" w:hAnsi="Times New Roman"/>
          <w:sz w:val="24"/>
        </w:rPr>
      </w:pPr>
    </w:p>
    <w:sectPr w:rsidR="00DD00B4" w:rsidRPr="00EC067D" w:rsidSect="00B51F42">
      <w:footerReference w:type="even" r:id="rId10"/>
      <w:footerReference w:type="default" r:id="rId11"/>
      <w:headerReference w:type="first" r:id="rId1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67EC6" w14:textId="77777777" w:rsidR="005E1B10" w:rsidRDefault="005E1B10" w:rsidP="00D946DB">
      <w:pPr>
        <w:spacing w:before="0" w:after="0"/>
      </w:pPr>
      <w:r>
        <w:separator/>
      </w:r>
    </w:p>
  </w:endnote>
  <w:endnote w:type="continuationSeparator" w:id="0">
    <w:p w14:paraId="517AFAD2" w14:textId="77777777" w:rsidR="005E1B10" w:rsidRDefault="005E1B10" w:rsidP="00D946DB">
      <w:pPr>
        <w:spacing w:before="0" w:after="0"/>
      </w:pPr>
      <w:r>
        <w:continuationSeparator/>
      </w:r>
    </w:p>
  </w:endnote>
  <w:endnote w:type="continuationNotice" w:id="1">
    <w:p w14:paraId="59B4096F" w14:textId="77777777" w:rsidR="005E1B10" w:rsidRDefault="005E1B1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ambria Math"/>
    <w:panose1 w:val="02040503050203030202"/>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E2E8C" w14:textId="552F2D2A" w:rsidR="005E1B10" w:rsidRPr="00ED1956" w:rsidRDefault="005E1B10">
    <w:pPr>
      <w:pStyle w:val="Footer"/>
      <w:jc w:val="right"/>
      <w:rPr>
        <w:rFonts w:ascii="Times New Roman" w:hAnsi="Times New Roman"/>
        <w:sz w:val="22"/>
        <w:szCs w:val="22"/>
      </w:rPr>
    </w:pPr>
    <w:r>
      <w:rPr>
        <w:rFonts w:ascii="Times New Roman" w:hAnsi="Times New Roman"/>
        <w:sz w:val="22"/>
        <w:szCs w:val="22"/>
      </w:rPr>
      <w:fldChar w:fldCharType="begin"/>
    </w:r>
    <w:r>
      <w:rPr>
        <w:rFonts w:ascii="Times New Roman" w:hAnsi="Times New Roman"/>
        <w:sz w:val="22"/>
        <w:szCs w:val="22"/>
      </w:rPr>
      <w:instrText xml:space="preserve"> PAGE   \* MERGEFORMAT </w:instrText>
    </w:r>
    <w:r>
      <w:rPr>
        <w:rFonts w:ascii="Times New Roman" w:hAnsi="Times New Roman"/>
        <w:sz w:val="22"/>
        <w:szCs w:val="22"/>
      </w:rPr>
      <w:fldChar w:fldCharType="separate"/>
    </w:r>
    <w:r w:rsidR="00F97016">
      <w:rPr>
        <w:rFonts w:ascii="Times New Roman" w:hAnsi="Times New Roman"/>
        <w:noProof/>
        <w:sz w:val="22"/>
        <w:szCs w:val="22"/>
      </w:rPr>
      <w:t>2</w:t>
    </w:r>
    <w:r>
      <w:rPr>
        <w:rFonts w:ascii="Times New Roman" w:hAnsi="Times New Roman"/>
        <w:sz w:val="22"/>
        <w:szCs w:val="22"/>
      </w:rPr>
      <w:fldChar w:fldCharType="end"/>
    </w:r>
  </w:p>
  <w:p w14:paraId="14BC9F62" w14:textId="77777777" w:rsidR="005E1B10" w:rsidRDefault="005E1B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AC43E" w14:textId="531E51E7" w:rsidR="005E1B10" w:rsidRPr="00E85358" w:rsidRDefault="005E1B10">
    <w:pPr>
      <w:pStyle w:val="Footer"/>
      <w:jc w:val="right"/>
      <w:rPr>
        <w:sz w:val="22"/>
        <w:szCs w:val="22"/>
      </w:rPr>
    </w:pPr>
    <w:r>
      <w:rPr>
        <w:sz w:val="22"/>
        <w:szCs w:val="22"/>
      </w:rPr>
      <w:fldChar w:fldCharType="begin"/>
    </w:r>
    <w:r>
      <w:rPr>
        <w:sz w:val="22"/>
        <w:szCs w:val="22"/>
      </w:rPr>
      <w:instrText xml:space="preserve"> PAGE   \* MERGEFORMAT </w:instrText>
    </w:r>
    <w:r>
      <w:rPr>
        <w:sz w:val="22"/>
        <w:szCs w:val="22"/>
      </w:rPr>
      <w:fldChar w:fldCharType="separate"/>
    </w:r>
    <w:r w:rsidR="00F97016">
      <w:rPr>
        <w:noProof/>
        <w:sz w:val="22"/>
        <w:szCs w:val="22"/>
      </w:rPr>
      <w:t>1</w:t>
    </w:r>
    <w:r>
      <w:rPr>
        <w:sz w:val="22"/>
        <w:szCs w:val="22"/>
      </w:rPr>
      <w:fldChar w:fldCharType="end"/>
    </w:r>
  </w:p>
  <w:p w14:paraId="4E07410F" w14:textId="77777777" w:rsidR="005E1B10" w:rsidRDefault="005E1B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5E1B10" w:rsidRDefault="005E1B10">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14:paraId="484C2E5B" w14:textId="77777777" w:rsidR="005E1B10" w:rsidRDefault="005E1B10">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48544C9A" w:rsidR="005E1B10" w:rsidRPr="00ED1956" w:rsidRDefault="005E1B10">
    <w:pPr>
      <w:pStyle w:val="Footer"/>
      <w:jc w:val="right"/>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F97016">
      <w:rPr>
        <w:rFonts w:ascii="Times New Roman" w:hAnsi="Times New Roman"/>
        <w:noProof/>
        <w:sz w:val="20"/>
        <w:szCs w:val="20"/>
      </w:rPr>
      <w:t>3</w:t>
    </w:r>
    <w:r>
      <w:rPr>
        <w:rFonts w:ascii="Times New Roman" w:hAnsi="Times New Roman"/>
        <w:sz w:val="20"/>
        <w:szCs w:val="20"/>
      </w:rPr>
      <w:fldChar w:fldCharType="end"/>
    </w:r>
  </w:p>
  <w:p w14:paraId="4071C94B" w14:textId="77777777" w:rsidR="005E1B10" w:rsidRPr="00A772B4" w:rsidRDefault="005E1B1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EC82C" w14:textId="77777777" w:rsidR="005E1B10" w:rsidRDefault="005E1B10" w:rsidP="00D946DB">
      <w:pPr>
        <w:spacing w:before="0" w:after="0"/>
      </w:pPr>
      <w:r>
        <w:separator/>
      </w:r>
    </w:p>
  </w:footnote>
  <w:footnote w:type="continuationSeparator" w:id="0">
    <w:p w14:paraId="5D734917" w14:textId="77777777" w:rsidR="005E1B10" w:rsidRDefault="005E1B10" w:rsidP="00D946DB">
      <w:pPr>
        <w:spacing w:before="0" w:after="0"/>
      </w:pPr>
      <w:r>
        <w:continuationSeparator/>
      </w:r>
    </w:p>
  </w:footnote>
  <w:footnote w:type="continuationNotice" w:id="1">
    <w:p w14:paraId="504F2A36" w14:textId="77777777" w:rsidR="005E1B10" w:rsidRDefault="005E1B10">
      <w:pPr>
        <w:spacing w:before="0" w:after="0"/>
      </w:pPr>
    </w:p>
  </w:footnote>
  <w:footnote w:id="2">
    <w:p w14:paraId="0A122620" w14:textId="77777777" w:rsidR="005E1B10" w:rsidRPr="00F95727" w:rsidRDefault="005E1B10" w:rsidP="00C7103D">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lang w:val="en-GB"/>
        </w:rPr>
        <w:footnoteRef/>
      </w:r>
      <w:r>
        <w:tab/>
      </w:r>
      <w:r>
        <w:rPr>
          <w:rFonts w:ascii="Times New Roman" w:hAnsi="Times New Roman"/>
          <w:color w:val="444444"/>
          <w:sz w:val="20"/>
          <w:szCs w:val="20"/>
        </w:rPr>
        <w:t xml:space="preserve">Eiropas Parlamenta un Padomes Regula (ES) Nr. 575/2013 (2013. gada 26. jūnijs) par prudenciālajām prasībām attiecībā uz kredītiestādēm un ieguldījumu brokeru sabiedrībām, un ar ko groza Regulu (ES) Nr. 648/2012 </w:t>
      </w:r>
      <w:r>
        <w:rPr>
          <w:rFonts w:ascii="Times New Roman" w:hAnsi="Times New Roman"/>
          <w:iCs/>
          <w:color w:val="444444"/>
          <w:sz w:val="20"/>
          <w:szCs w:val="20"/>
        </w:rPr>
        <w:t>(OV L 176, 27.6.2013., 1. lpp.).</w:t>
      </w:r>
    </w:p>
  </w:footnote>
  <w:footnote w:id="3">
    <w:p w14:paraId="754D5245" w14:textId="77777777" w:rsidR="005E1B10" w:rsidRPr="00F95727" w:rsidRDefault="005E1B10" w:rsidP="00C7103D">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tab/>
      </w:r>
      <w:r>
        <w:rPr>
          <w:rFonts w:ascii="Times New Roman" w:hAnsi="Times New Roman"/>
          <w:color w:val="444444"/>
          <w:sz w:val="20"/>
          <w:szCs w:val="20"/>
        </w:rPr>
        <w:t>Eiropas Parlamenta un Padomes Direktīva 2013/36/ES (2013. gada 26. jūnijs) par piekļuvi kredītiestāžu darbībai un kredītiestāžu un ieguldījumu brokeru sabiedrību prudenciālo uzraudzību, ar ko groza Direktīvu 2002/87/EK un atceļ Direktīvas 2006/48/EK un 2006/49/EK (OV L 176, 27.6.2013., 338. lpp.).</w:t>
      </w:r>
    </w:p>
  </w:footnote>
  <w:footnote w:id="4">
    <w:p w14:paraId="7E81C75F" w14:textId="7AFAACB8" w:rsidR="000359E7" w:rsidRPr="00EF0DDB" w:rsidRDefault="000359E7">
      <w:pPr>
        <w:pStyle w:val="FootnoteText"/>
      </w:pPr>
      <w:r>
        <w:rPr>
          <w:rStyle w:val="FootnoteReference"/>
        </w:rPr>
        <w:footnoteRef/>
      </w:r>
      <w:r>
        <w:t xml:space="preserve"> Eiropas Parlamenta un Padomes Regula (ES) Nr. 806/2014 (2014. gada 15. jūlijs), ar ko izveido vienādus noteikumus un vienotu procedūru kredītiestāžu un noteiktu ieguldījumu brokeru sabiedrību noregulējumam, izmantojot vienotu noregulējuma mehānismu un vienotu noregulējuma fondu, un groza Regulu (ES) Nr. 1093/2010 (OV L 225, 30.7.2014., 1. lpp.).</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77777777" w:rsidR="005E1B10" w:rsidRDefault="005E1B1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F7D7F02"/>
    <w:multiLevelType w:val="multilevel"/>
    <w:tmpl w:val="0407001D"/>
    <w:numStyleLink w:val="Formatvorlage3"/>
  </w:abstractNum>
  <w:abstractNum w:abstractNumId="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348F026D"/>
    <w:multiLevelType w:val="hybridMultilevel"/>
    <w:tmpl w:val="020AB0E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1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3"/>
  </w:num>
  <w:num w:numId="3">
    <w:abstractNumId w:val="19"/>
  </w:num>
  <w:num w:numId="4">
    <w:abstractNumId w:val="9"/>
  </w:num>
  <w:num w:numId="5">
    <w:abstractNumId w:val="16"/>
  </w:num>
  <w:num w:numId="6">
    <w:abstractNumId w:val="8"/>
  </w:num>
  <w:num w:numId="7">
    <w:abstractNumId w:val="18"/>
  </w:num>
  <w:num w:numId="8">
    <w:abstractNumId w:val="2"/>
  </w:num>
  <w:num w:numId="9">
    <w:abstractNumId w:val="14"/>
  </w:num>
  <w:num w:numId="10">
    <w:abstractNumId w:val="7"/>
  </w:num>
  <w:num w:numId="11">
    <w:abstractNumId w:val="11"/>
  </w:num>
  <w:num w:numId="12">
    <w:abstractNumId w:val="3"/>
  </w:num>
  <w:num w:numId="13">
    <w:abstractNumId w:val="15"/>
  </w:num>
  <w:num w:numId="14">
    <w:abstractNumId w:val="12"/>
  </w:num>
  <w:num w:numId="15">
    <w:abstractNumId w:val="5"/>
  </w:num>
  <w:num w:numId="16">
    <w:abstractNumId w:val="10"/>
  </w:num>
  <w:num w:numId="17">
    <w:abstractNumId w:val="4"/>
  </w:num>
  <w:num w:numId="18">
    <w:abstractNumId w:val="17"/>
  </w:num>
  <w:num w:numId="19">
    <w:abstractNumId w:val="1"/>
  </w:num>
  <w:num w:numId="20">
    <w:abstractNumId w:val="6"/>
  </w:num>
  <w:num w:numId="21">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716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542"/>
    <w:rsid w:val="00004978"/>
    <w:rsid w:val="00004D21"/>
    <w:rsid w:val="00004FE8"/>
    <w:rsid w:val="00005078"/>
    <w:rsid w:val="00005765"/>
    <w:rsid w:val="00005FFC"/>
    <w:rsid w:val="00007605"/>
    <w:rsid w:val="00007D0D"/>
    <w:rsid w:val="00010124"/>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59E7"/>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903"/>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194E"/>
    <w:rsid w:val="000D220D"/>
    <w:rsid w:val="000D3636"/>
    <w:rsid w:val="000D3CBC"/>
    <w:rsid w:val="000D4352"/>
    <w:rsid w:val="000D5292"/>
    <w:rsid w:val="000D5958"/>
    <w:rsid w:val="000D6B9B"/>
    <w:rsid w:val="000E093A"/>
    <w:rsid w:val="000E1572"/>
    <w:rsid w:val="000E2774"/>
    <w:rsid w:val="000E29C9"/>
    <w:rsid w:val="000E3F9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30586"/>
    <w:rsid w:val="00130EEF"/>
    <w:rsid w:val="001323BF"/>
    <w:rsid w:val="00132778"/>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72E"/>
    <w:rsid w:val="0016282F"/>
    <w:rsid w:val="001628F4"/>
    <w:rsid w:val="00162CCF"/>
    <w:rsid w:val="00163DBA"/>
    <w:rsid w:val="00164970"/>
    <w:rsid w:val="00164B62"/>
    <w:rsid w:val="00167619"/>
    <w:rsid w:val="00167763"/>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1F77"/>
    <w:rsid w:val="001B21AE"/>
    <w:rsid w:val="001B44EE"/>
    <w:rsid w:val="001B4EA5"/>
    <w:rsid w:val="001B5499"/>
    <w:rsid w:val="001B5725"/>
    <w:rsid w:val="001B6D4D"/>
    <w:rsid w:val="001B7D0F"/>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6D7C"/>
    <w:rsid w:val="001D7382"/>
    <w:rsid w:val="001E01BA"/>
    <w:rsid w:val="001E0C80"/>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5F"/>
    <w:rsid w:val="00224016"/>
    <w:rsid w:val="00224828"/>
    <w:rsid w:val="002249DB"/>
    <w:rsid w:val="00224FE5"/>
    <w:rsid w:val="0022597E"/>
    <w:rsid w:val="00225D42"/>
    <w:rsid w:val="002300C6"/>
    <w:rsid w:val="002301C6"/>
    <w:rsid w:val="002305D2"/>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201"/>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720"/>
    <w:rsid w:val="00276B41"/>
    <w:rsid w:val="00277058"/>
    <w:rsid w:val="002805FD"/>
    <w:rsid w:val="0028072E"/>
    <w:rsid w:val="00280B99"/>
    <w:rsid w:val="00283B5F"/>
    <w:rsid w:val="00283C5E"/>
    <w:rsid w:val="00284A6D"/>
    <w:rsid w:val="00285E2F"/>
    <w:rsid w:val="0028628A"/>
    <w:rsid w:val="00290CAD"/>
    <w:rsid w:val="002917CA"/>
    <w:rsid w:val="002920FF"/>
    <w:rsid w:val="00292409"/>
    <w:rsid w:val="00292A20"/>
    <w:rsid w:val="0029520F"/>
    <w:rsid w:val="00295225"/>
    <w:rsid w:val="0029630E"/>
    <w:rsid w:val="00297074"/>
    <w:rsid w:val="0029726F"/>
    <w:rsid w:val="002A04D3"/>
    <w:rsid w:val="002A09D5"/>
    <w:rsid w:val="002A1B49"/>
    <w:rsid w:val="002A4B85"/>
    <w:rsid w:val="002A5969"/>
    <w:rsid w:val="002A5BC5"/>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E5"/>
    <w:rsid w:val="002D3982"/>
    <w:rsid w:val="002D4561"/>
    <w:rsid w:val="002D4E10"/>
    <w:rsid w:val="002D4F6A"/>
    <w:rsid w:val="002D6B9E"/>
    <w:rsid w:val="002D7779"/>
    <w:rsid w:val="002E053A"/>
    <w:rsid w:val="002E0DDB"/>
    <w:rsid w:val="002E136A"/>
    <w:rsid w:val="002E1B35"/>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6492"/>
    <w:rsid w:val="00387E40"/>
    <w:rsid w:val="003908C5"/>
    <w:rsid w:val="00390DDA"/>
    <w:rsid w:val="003927BE"/>
    <w:rsid w:val="00392C11"/>
    <w:rsid w:val="00392FFD"/>
    <w:rsid w:val="0039346B"/>
    <w:rsid w:val="00393539"/>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007"/>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2E9"/>
    <w:rsid w:val="004408E7"/>
    <w:rsid w:val="00443003"/>
    <w:rsid w:val="00443DD0"/>
    <w:rsid w:val="0044539D"/>
    <w:rsid w:val="00445E06"/>
    <w:rsid w:val="0044639C"/>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29A2"/>
    <w:rsid w:val="00462BAB"/>
    <w:rsid w:val="00464DCB"/>
    <w:rsid w:val="00464F34"/>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901BE"/>
    <w:rsid w:val="00491113"/>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C7CBE"/>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A98"/>
    <w:rsid w:val="00536B6D"/>
    <w:rsid w:val="0053702D"/>
    <w:rsid w:val="005429A0"/>
    <w:rsid w:val="00542C33"/>
    <w:rsid w:val="00542EAE"/>
    <w:rsid w:val="00543964"/>
    <w:rsid w:val="00543DBD"/>
    <w:rsid w:val="00544DA4"/>
    <w:rsid w:val="00544E37"/>
    <w:rsid w:val="00547047"/>
    <w:rsid w:val="00550113"/>
    <w:rsid w:val="005511AD"/>
    <w:rsid w:val="00551271"/>
    <w:rsid w:val="0055245C"/>
    <w:rsid w:val="005528C1"/>
    <w:rsid w:val="00552A83"/>
    <w:rsid w:val="00552E3E"/>
    <w:rsid w:val="00554886"/>
    <w:rsid w:val="00554A32"/>
    <w:rsid w:val="005563DA"/>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DE"/>
    <w:rsid w:val="00581FA5"/>
    <w:rsid w:val="00582923"/>
    <w:rsid w:val="00583884"/>
    <w:rsid w:val="00584165"/>
    <w:rsid w:val="00585466"/>
    <w:rsid w:val="00585C1D"/>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48F6"/>
    <w:rsid w:val="005D5914"/>
    <w:rsid w:val="005E0301"/>
    <w:rsid w:val="005E03B8"/>
    <w:rsid w:val="005E0917"/>
    <w:rsid w:val="005E1B10"/>
    <w:rsid w:val="005E3471"/>
    <w:rsid w:val="005E4BEC"/>
    <w:rsid w:val="005E5070"/>
    <w:rsid w:val="005E7377"/>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37FD"/>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7A9"/>
    <w:rsid w:val="0063337F"/>
    <w:rsid w:val="00633D3C"/>
    <w:rsid w:val="00633DEB"/>
    <w:rsid w:val="0063493E"/>
    <w:rsid w:val="006364E5"/>
    <w:rsid w:val="00640475"/>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5182"/>
    <w:rsid w:val="0068594D"/>
    <w:rsid w:val="00690D01"/>
    <w:rsid w:val="006916DC"/>
    <w:rsid w:val="00691F49"/>
    <w:rsid w:val="00691F9C"/>
    <w:rsid w:val="00692A55"/>
    <w:rsid w:val="00692B10"/>
    <w:rsid w:val="0069572F"/>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27C"/>
    <w:rsid w:val="0073581C"/>
    <w:rsid w:val="00736AD5"/>
    <w:rsid w:val="00736D27"/>
    <w:rsid w:val="00736F34"/>
    <w:rsid w:val="00741BA6"/>
    <w:rsid w:val="007420C6"/>
    <w:rsid w:val="007434D0"/>
    <w:rsid w:val="007445C4"/>
    <w:rsid w:val="00745142"/>
    <w:rsid w:val="00745369"/>
    <w:rsid w:val="007463E2"/>
    <w:rsid w:val="007466A4"/>
    <w:rsid w:val="00747FFA"/>
    <w:rsid w:val="007503D4"/>
    <w:rsid w:val="007510AA"/>
    <w:rsid w:val="0075112B"/>
    <w:rsid w:val="00752B94"/>
    <w:rsid w:val="0075303E"/>
    <w:rsid w:val="0075517F"/>
    <w:rsid w:val="007574C3"/>
    <w:rsid w:val="00757C76"/>
    <w:rsid w:val="007608E4"/>
    <w:rsid w:val="007615A8"/>
    <w:rsid w:val="00761856"/>
    <w:rsid w:val="00761891"/>
    <w:rsid w:val="0076257F"/>
    <w:rsid w:val="00763A4B"/>
    <w:rsid w:val="00763B4B"/>
    <w:rsid w:val="00764BC5"/>
    <w:rsid w:val="00764E61"/>
    <w:rsid w:val="00765008"/>
    <w:rsid w:val="007676ED"/>
    <w:rsid w:val="007679BF"/>
    <w:rsid w:val="00770830"/>
    <w:rsid w:val="00770D40"/>
    <w:rsid w:val="00770EAF"/>
    <w:rsid w:val="00770F0C"/>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311D"/>
    <w:rsid w:val="00795EC6"/>
    <w:rsid w:val="007969A4"/>
    <w:rsid w:val="00797715"/>
    <w:rsid w:val="00797C89"/>
    <w:rsid w:val="007A00D6"/>
    <w:rsid w:val="007A1067"/>
    <w:rsid w:val="007A1D61"/>
    <w:rsid w:val="007A1E2E"/>
    <w:rsid w:val="007A212A"/>
    <w:rsid w:val="007A40CB"/>
    <w:rsid w:val="007A49AC"/>
    <w:rsid w:val="007A4CFD"/>
    <w:rsid w:val="007B0068"/>
    <w:rsid w:val="007B025E"/>
    <w:rsid w:val="007B0AC3"/>
    <w:rsid w:val="007B16A3"/>
    <w:rsid w:val="007B2F85"/>
    <w:rsid w:val="007B4F0B"/>
    <w:rsid w:val="007B4FD3"/>
    <w:rsid w:val="007B5523"/>
    <w:rsid w:val="007C099C"/>
    <w:rsid w:val="007C3B71"/>
    <w:rsid w:val="007C4C33"/>
    <w:rsid w:val="007C5DF2"/>
    <w:rsid w:val="007C64F7"/>
    <w:rsid w:val="007C6E13"/>
    <w:rsid w:val="007C6E66"/>
    <w:rsid w:val="007C795D"/>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05C7A"/>
    <w:rsid w:val="00810D73"/>
    <w:rsid w:val="00810F87"/>
    <w:rsid w:val="0081176B"/>
    <w:rsid w:val="00812582"/>
    <w:rsid w:val="008125D7"/>
    <w:rsid w:val="008136B4"/>
    <w:rsid w:val="008151A6"/>
    <w:rsid w:val="00816B32"/>
    <w:rsid w:val="00816F2D"/>
    <w:rsid w:val="00820E23"/>
    <w:rsid w:val="0082105B"/>
    <w:rsid w:val="008241B9"/>
    <w:rsid w:val="008247BA"/>
    <w:rsid w:val="008248E0"/>
    <w:rsid w:val="00827C9A"/>
    <w:rsid w:val="008304E8"/>
    <w:rsid w:val="00830F86"/>
    <w:rsid w:val="0083278B"/>
    <w:rsid w:val="0083285E"/>
    <w:rsid w:val="00833EC0"/>
    <w:rsid w:val="008343BD"/>
    <w:rsid w:val="0083444D"/>
    <w:rsid w:val="00836845"/>
    <w:rsid w:val="00837E6A"/>
    <w:rsid w:val="00841322"/>
    <w:rsid w:val="00841645"/>
    <w:rsid w:val="008420D9"/>
    <w:rsid w:val="008427C5"/>
    <w:rsid w:val="00842A5C"/>
    <w:rsid w:val="00844689"/>
    <w:rsid w:val="00845545"/>
    <w:rsid w:val="008469DF"/>
    <w:rsid w:val="008503E1"/>
    <w:rsid w:val="00850C75"/>
    <w:rsid w:val="00852CAD"/>
    <w:rsid w:val="00854E5A"/>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1501"/>
    <w:rsid w:val="00902EFC"/>
    <w:rsid w:val="00905EA9"/>
    <w:rsid w:val="009068C9"/>
    <w:rsid w:val="00907115"/>
    <w:rsid w:val="00907513"/>
    <w:rsid w:val="00910210"/>
    <w:rsid w:val="009109C8"/>
    <w:rsid w:val="009118EE"/>
    <w:rsid w:val="00912DF5"/>
    <w:rsid w:val="00920491"/>
    <w:rsid w:val="00921700"/>
    <w:rsid w:val="00922F04"/>
    <w:rsid w:val="009247A0"/>
    <w:rsid w:val="00924EEF"/>
    <w:rsid w:val="00924FE7"/>
    <w:rsid w:val="009265F9"/>
    <w:rsid w:val="009270FE"/>
    <w:rsid w:val="00927A7A"/>
    <w:rsid w:val="00927A8B"/>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3B93"/>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4E1"/>
    <w:rsid w:val="0099694B"/>
    <w:rsid w:val="009A1317"/>
    <w:rsid w:val="009A1A9B"/>
    <w:rsid w:val="009A2864"/>
    <w:rsid w:val="009A2E43"/>
    <w:rsid w:val="009A30B3"/>
    <w:rsid w:val="009A3874"/>
    <w:rsid w:val="009A455A"/>
    <w:rsid w:val="009A47E2"/>
    <w:rsid w:val="009A4B3E"/>
    <w:rsid w:val="009A6E08"/>
    <w:rsid w:val="009A7A38"/>
    <w:rsid w:val="009B09F5"/>
    <w:rsid w:val="009B0E38"/>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2F0"/>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0653"/>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4679"/>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9B8"/>
    <w:rsid w:val="00A369C3"/>
    <w:rsid w:val="00A36F51"/>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48C2"/>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5EB3"/>
    <w:rsid w:val="00B17100"/>
    <w:rsid w:val="00B171C0"/>
    <w:rsid w:val="00B17999"/>
    <w:rsid w:val="00B20317"/>
    <w:rsid w:val="00B20E5D"/>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3F29"/>
    <w:rsid w:val="00B4423C"/>
    <w:rsid w:val="00B442BD"/>
    <w:rsid w:val="00B4512A"/>
    <w:rsid w:val="00B47F0C"/>
    <w:rsid w:val="00B50194"/>
    <w:rsid w:val="00B51CC6"/>
    <w:rsid w:val="00B51F42"/>
    <w:rsid w:val="00B522A4"/>
    <w:rsid w:val="00B52872"/>
    <w:rsid w:val="00B53030"/>
    <w:rsid w:val="00B53847"/>
    <w:rsid w:val="00B53939"/>
    <w:rsid w:val="00B542AB"/>
    <w:rsid w:val="00B62635"/>
    <w:rsid w:val="00B70A6C"/>
    <w:rsid w:val="00B71CD5"/>
    <w:rsid w:val="00B71DAC"/>
    <w:rsid w:val="00B72E87"/>
    <w:rsid w:val="00B730C7"/>
    <w:rsid w:val="00B7350E"/>
    <w:rsid w:val="00B74792"/>
    <w:rsid w:val="00B74827"/>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6FBD"/>
    <w:rsid w:val="00B976CF"/>
    <w:rsid w:val="00B97F1B"/>
    <w:rsid w:val="00BA05FE"/>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5EA"/>
    <w:rsid w:val="00BC068F"/>
    <w:rsid w:val="00BC0A7F"/>
    <w:rsid w:val="00BC1220"/>
    <w:rsid w:val="00BC2C58"/>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1F10"/>
    <w:rsid w:val="00C12AE0"/>
    <w:rsid w:val="00C12FEB"/>
    <w:rsid w:val="00C140C6"/>
    <w:rsid w:val="00C144EF"/>
    <w:rsid w:val="00C1534E"/>
    <w:rsid w:val="00C211DC"/>
    <w:rsid w:val="00C2135F"/>
    <w:rsid w:val="00C233C6"/>
    <w:rsid w:val="00C23D4E"/>
    <w:rsid w:val="00C24ED2"/>
    <w:rsid w:val="00C25670"/>
    <w:rsid w:val="00C259E2"/>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9A7"/>
    <w:rsid w:val="00C43A7D"/>
    <w:rsid w:val="00C4425F"/>
    <w:rsid w:val="00C44421"/>
    <w:rsid w:val="00C44A04"/>
    <w:rsid w:val="00C46DB1"/>
    <w:rsid w:val="00C4706F"/>
    <w:rsid w:val="00C47BD3"/>
    <w:rsid w:val="00C504D3"/>
    <w:rsid w:val="00C536B3"/>
    <w:rsid w:val="00C53B22"/>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1093"/>
    <w:rsid w:val="00CE2B78"/>
    <w:rsid w:val="00CE31F7"/>
    <w:rsid w:val="00CE47AF"/>
    <w:rsid w:val="00CE4BEB"/>
    <w:rsid w:val="00CE4C49"/>
    <w:rsid w:val="00CE5ACF"/>
    <w:rsid w:val="00CE7F91"/>
    <w:rsid w:val="00CF0568"/>
    <w:rsid w:val="00CF2D64"/>
    <w:rsid w:val="00CF5466"/>
    <w:rsid w:val="00CF55F4"/>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457C"/>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AF5"/>
    <w:rsid w:val="00D60795"/>
    <w:rsid w:val="00D60F96"/>
    <w:rsid w:val="00D61651"/>
    <w:rsid w:val="00D618CD"/>
    <w:rsid w:val="00D634CB"/>
    <w:rsid w:val="00D6494A"/>
    <w:rsid w:val="00D64ADE"/>
    <w:rsid w:val="00D64B66"/>
    <w:rsid w:val="00D65EF4"/>
    <w:rsid w:val="00D6607A"/>
    <w:rsid w:val="00D66CAA"/>
    <w:rsid w:val="00D66F87"/>
    <w:rsid w:val="00D67483"/>
    <w:rsid w:val="00D70AD1"/>
    <w:rsid w:val="00D70B5E"/>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713"/>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1FD1"/>
    <w:rsid w:val="00DC2D05"/>
    <w:rsid w:val="00DC3A83"/>
    <w:rsid w:val="00DC3B38"/>
    <w:rsid w:val="00DC40DA"/>
    <w:rsid w:val="00DC4CE4"/>
    <w:rsid w:val="00DD00B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F0EF2"/>
    <w:rsid w:val="00DF30EB"/>
    <w:rsid w:val="00DF65DF"/>
    <w:rsid w:val="00DF70AE"/>
    <w:rsid w:val="00DF7382"/>
    <w:rsid w:val="00E0175F"/>
    <w:rsid w:val="00E01F9D"/>
    <w:rsid w:val="00E026FB"/>
    <w:rsid w:val="00E02F76"/>
    <w:rsid w:val="00E03AD2"/>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6CB6"/>
    <w:rsid w:val="00E27969"/>
    <w:rsid w:val="00E3279F"/>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445"/>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556"/>
    <w:rsid w:val="00E92C04"/>
    <w:rsid w:val="00E93AB5"/>
    <w:rsid w:val="00E96A85"/>
    <w:rsid w:val="00E9758A"/>
    <w:rsid w:val="00E979E9"/>
    <w:rsid w:val="00E97CD2"/>
    <w:rsid w:val="00EA050A"/>
    <w:rsid w:val="00EA0754"/>
    <w:rsid w:val="00EA0BAB"/>
    <w:rsid w:val="00EA11F0"/>
    <w:rsid w:val="00EA1F5A"/>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67D"/>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580E"/>
    <w:rsid w:val="00EE63B4"/>
    <w:rsid w:val="00EF03E6"/>
    <w:rsid w:val="00EF0C0C"/>
    <w:rsid w:val="00EF0DA4"/>
    <w:rsid w:val="00EF0DDB"/>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205"/>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7634"/>
    <w:rsid w:val="00F71DF2"/>
    <w:rsid w:val="00F75FD2"/>
    <w:rsid w:val="00F777C7"/>
    <w:rsid w:val="00F800B6"/>
    <w:rsid w:val="00F8071F"/>
    <w:rsid w:val="00F811C6"/>
    <w:rsid w:val="00F811F8"/>
    <w:rsid w:val="00F8411E"/>
    <w:rsid w:val="00F84B2D"/>
    <w:rsid w:val="00F84BC7"/>
    <w:rsid w:val="00F855D5"/>
    <w:rsid w:val="00F85D06"/>
    <w:rsid w:val="00F87E46"/>
    <w:rsid w:val="00F913DC"/>
    <w:rsid w:val="00F9145F"/>
    <w:rsid w:val="00F91E30"/>
    <w:rsid w:val="00F93400"/>
    <w:rsid w:val="00F93B5F"/>
    <w:rsid w:val="00F9591C"/>
    <w:rsid w:val="00F97016"/>
    <w:rsid w:val="00FA3858"/>
    <w:rsid w:val="00FA3865"/>
    <w:rsid w:val="00FA46C8"/>
    <w:rsid w:val="00FA4E19"/>
    <w:rsid w:val="00FA610E"/>
    <w:rsid w:val="00FA641C"/>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81"/>
    <o:shapelayout v:ext="edit">
      <o:idmap v:ext="edit" data="1"/>
    </o:shapelayout>
  </w:shapeDefaults>
  <w:decimalSymbol w:val=","/>
  <w:listSeparator w:val=";"/>
  <w14:docId w14:val="774D65CD"/>
  <w15:docId w15:val="{5ECB933B-08DF-4CDB-A68C-212C6C07B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lv-LV"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C067D"/>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lv-LV"/>
    </w:rPr>
  </w:style>
  <w:style w:type="character" w:customStyle="1" w:styleId="Heading2Char">
    <w:name w:val="Heading 2 Char"/>
    <w:link w:val="Heading2"/>
    <w:uiPriority w:val="99"/>
    <w:locked/>
    <w:rsid w:val="00EC067D"/>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lv-LV"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lv-LV"/>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lv-LV"/>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lv-LV"/>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04542"/>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lv-LV"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04542"/>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lv-LV"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lv-LV"/>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lv-LV"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lv-LV"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lv-LV"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626142-CFB5-4DD3-BEB1-7148EDA4A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1058</Words>
  <Characters>7583</Characters>
  <Application>Microsoft Office Word</Application>
  <DocSecurity>0</DocSecurity>
  <Lines>180</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8529</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GRIKSAS Gintaras (FISMA)</dc:creator>
  <cp:lastModifiedBy>BEVALDE Evija (DGT)</cp:lastModifiedBy>
  <cp:revision>5</cp:revision>
  <dcterms:created xsi:type="dcterms:W3CDTF">2020-12-02T17:25:00Z</dcterms:created>
  <dcterms:modified xsi:type="dcterms:W3CDTF">2020-12-15T09:01:00Z</dcterms:modified>
</cp:coreProperties>
</file>