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48B0" w:rsidRPr="00631405" w:rsidRDefault="002648B0" w:rsidP="00A33695">
      <w:pPr>
        <w:jc w:val="center"/>
        <w:rPr>
          <w:rFonts w:ascii="Times New Roman" w:hAnsi="Times New Roman"/>
          <w:sz w:val="24"/>
        </w:rPr>
      </w:pPr>
      <w:bookmarkStart w:id="0" w:name="_Toc262568021"/>
      <w:bookmarkStart w:id="1" w:name="_Toc295829847"/>
      <w:r>
        <w:rPr>
          <w:rFonts w:ascii="Times New Roman" w:hAnsi="Times New Roman"/>
          <w:sz w:val="24"/>
        </w:rPr>
        <w:t>ALLEGATO II</w:t>
      </w:r>
    </w:p>
    <w:p w:rsidR="00A971CA" w:rsidRDefault="00D11E4C" w:rsidP="00C87CEE">
      <w:pPr>
        <w:jc w:val="center"/>
        <w:rPr>
          <w:rFonts w:ascii="Times New Roman" w:hAnsi="Times New Roman"/>
          <w:b/>
          <w:sz w:val="24"/>
        </w:rPr>
      </w:pPr>
      <w:r>
        <w:rPr>
          <w:rFonts w:ascii="Times New Roman" w:hAnsi="Times New Roman"/>
          <w:b/>
          <w:sz w:val="24"/>
        </w:rPr>
        <w:t>ISTRUZIONI PER LE SEGNALAZIONI R</w:t>
      </w:r>
      <w:r w:rsidR="00A971CA">
        <w:rPr>
          <w:rFonts w:ascii="Times New Roman" w:hAnsi="Times New Roman"/>
          <w:b/>
          <w:sz w:val="24"/>
        </w:rPr>
        <w:t>IGUARDANTI I FONDI PROPRI E I</w:t>
      </w:r>
    </w:p>
    <w:p w:rsidR="002648B0" w:rsidRPr="00661595" w:rsidRDefault="00A971CA" w:rsidP="00C87CEE">
      <w:pPr>
        <w:jc w:val="center"/>
        <w:rPr>
          <w:rFonts w:ascii="Times New Roman" w:hAnsi="Times New Roman"/>
          <w:b/>
          <w:sz w:val="24"/>
        </w:rPr>
      </w:pPr>
      <w:r>
        <w:rPr>
          <w:rFonts w:ascii="Times New Roman" w:hAnsi="Times New Roman"/>
          <w:b/>
          <w:sz w:val="24"/>
        </w:rPr>
        <w:t xml:space="preserve"> RE</w:t>
      </w:r>
      <w:r w:rsidR="00D11E4C">
        <w:rPr>
          <w:rFonts w:ascii="Times New Roman" w:hAnsi="Times New Roman"/>
          <w:b/>
          <w:sz w:val="24"/>
        </w:rPr>
        <w:t>QUISITI DI FONDI PROPRI</w:t>
      </w:r>
    </w:p>
    <w:p w:rsidR="00436204" w:rsidRPr="00661595" w:rsidRDefault="00436204" w:rsidP="00C87CEE">
      <w:pPr>
        <w:jc w:val="center"/>
        <w:rPr>
          <w:rFonts w:ascii="Times New Roman" w:hAnsi="Times New Roman"/>
          <w:b/>
          <w:sz w:val="24"/>
          <w:lang w:eastAsia="de-DE"/>
        </w:rPr>
      </w:pPr>
    </w:p>
    <w:p w:rsidR="00783881" w:rsidRPr="00661595" w:rsidRDefault="002648B0" w:rsidP="00115052">
      <w:pPr>
        <w:pStyle w:val="InstructionsText"/>
      </w:pPr>
      <w:r>
        <w:t>Indice</w:t>
      </w:r>
    </w:p>
    <w:p w:rsidR="00A07957" w:rsidRDefault="00745369">
      <w:pPr>
        <w:pStyle w:val="TOC2"/>
        <w:rPr>
          <w:rFonts w:asciiTheme="minorHAnsi" w:eastAsiaTheme="minorEastAsia" w:hAnsiTheme="minorHAnsi" w:cstheme="minorBidi"/>
          <w:b w:val="0"/>
          <w:smallCaps w:val="0"/>
          <w:sz w:val="22"/>
          <w:lang w:eastAsia="it-IT"/>
        </w:rPr>
      </w:pPr>
      <w:r>
        <w:rPr>
          <w:rFonts w:ascii="Times New Roman" w:hAnsi="Times New Roman"/>
          <w:sz w:val="24"/>
          <w:szCs w:val="24"/>
        </w:rPr>
        <w:fldChar w:fldCharType="begin"/>
      </w:r>
      <w:r>
        <w:rPr>
          <w:rFonts w:ascii="Times New Roman" w:hAnsi="Times New Roman"/>
          <w:sz w:val="24"/>
          <w:szCs w:val="24"/>
        </w:rPr>
        <w:instrText xml:space="preserve"> TOC \o "1-3" \h \z \u </w:instrText>
      </w:r>
      <w:r>
        <w:rPr>
          <w:rFonts w:ascii="Times New Roman" w:hAnsi="Times New Roman"/>
          <w:sz w:val="24"/>
          <w:szCs w:val="24"/>
        </w:rPr>
        <w:fldChar w:fldCharType="separate"/>
      </w:r>
      <w:hyperlink w:anchor="_Toc58915707" w:history="1">
        <w:r w:rsidR="00A07957" w:rsidRPr="008830E2">
          <w:rPr>
            <w:rStyle w:val="Hyperlink"/>
            <w:rFonts w:ascii="Times New Roman" w:hAnsi="Times New Roman"/>
          </w:rPr>
          <w:t>PARTE I: ISTRUZIONI DI CARATTERE GE</w:t>
        </w:r>
        <w:bookmarkStart w:id="2" w:name="_GoBack"/>
        <w:bookmarkEnd w:id="2"/>
        <w:r w:rsidR="00A07957" w:rsidRPr="008830E2">
          <w:rPr>
            <w:rStyle w:val="Hyperlink"/>
            <w:rFonts w:ascii="Times New Roman" w:hAnsi="Times New Roman"/>
          </w:rPr>
          <w:t>NERALE</w:t>
        </w:r>
        <w:r w:rsidR="00A07957">
          <w:rPr>
            <w:webHidden/>
          </w:rPr>
          <w:tab/>
        </w:r>
        <w:r w:rsidR="00A07957">
          <w:rPr>
            <w:webHidden/>
          </w:rPr>
          <w:fldChar w:fldCharType="begin"/>
        </w:r>
        <w:r w:rsidR="00A07957">
          <w:rPr>
            <w:webHidden/>
          </w:rPr>
          <w:instrText xml:space="preserve"> PAGEREF _Toc58915707 \h </w:instrText>
        </w:r>
        <w:r w:rsidR="00A07957">
          <w:rPr>
            <w:webHidden/>
          </w:rPr>
        </w:r>
        <w:r w:rsidR="00A07957">
          <w:rPr>
            <w:webHidden/>
          </w:rPr>
          <w:fldChar w:fldCharType="separate"/>
        </w:r>
        <w:r w:rsidR="00231838">
          <w:rPr>
            <w:webHidden/>
          </w:rPr>
          <w:t>7</w:t>
        </w:r>
        <w:r w:rsidR="00A07957">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08" w:history="1">
        <w:r w:rsidRPr="008830E2">
          <w:rPr>
            <w:rStyle w:val="Hyperlink"/>
            <w:rFonts w:ascii="Times New Roman" w:hAnsi="Times New Roman"/>
          </w:rPr>
          <w:t>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Struttura e convenzioni</w:t>
        </w:r>
        <w:r>
          <w:rPr>
            <w:webHidden/>
          </w:rPr>
          <w:tab/>
        </w:r>
        <w:r>
          <w:rPr>
            <w:webHidden/>
          </w:rPr>
          <w:fldChar w:fldCharType="begin"/>
        </w:r>
        <w:r>
          <w:rPr>
            <w:webHidden/>
          </w:rPr>
          <w:instrText xml:space="preserve"> PAGEREF _Toc58915708 \h </w:instrText>
        </w:r>
        <w:r>
          <w:rPr>
            <w:webHidden/>
          </w:rPr>
        </w:r>
        <w:r>
          <w:rPr>
            <w:webHidden/>
          </w:rPr>
          <w:fldChar w:fldCharType="separate"/>
        </w:r>
        <w:r w:rsidR="00231838">
          <w:rPr>
            <w:webHidden/>
          </w:rPr>
          <w:t>7</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09" w:history="1">
        <w:r w:rsidRPr="008830E2">
          <w:rPr>
            <w:rStyle w:val="Hyperlink"/>
            <w:rFonts w:ascii="Times New Roman" w:hAnsi="Times New Roman"/>
          </w:rPr>
          <w:t>1.1.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Struttura</w:t>
        </w:r>
        <w:r>
          <w:rPr>
            <w:webHidden/>
          </w:rPr>
          <w:tab/>
        </w:r>
        <w:r>
          <w:rPr>
            <w:webHidden/>
          </w:rPr>
          <w:fldChar w:fldCharType="begin"/>
        </w:r>
        <w:r>
          <w:rPr>
            <w:webHidden/>
          </w:rPr>
          <w:instrText xml:space="preserve"> PAGEREF _Toc58915709 \h </w:instrText>
        </w:r>
        <w:r>
          <w:rPr>
            <w:webHidden/>
          </w:rPr>
        </w:r>
        <w:r>
          <w:rPr>
            <w:webHidden/>
          </w:rPr>
          <w:fldChar w:fldCharType="separate"/>
        </w:r>
        <w:r w:rsidR="00231838">
          <w:rPr>
            <w:webHidden/>
          </w:rPr>
          <w:t>7</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10" w:history="1">
        <w:r w:rsidRPr="008830E2">
          <w:rPr>
            <w:rStyle w:val="Hyperlink"/>
            <w:rFonts w:ascii="Times New Roman" w:hAnsi="Times New Roman"/>
          </w:rPr>
          <w:t>1.2.</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Convenzione di numerazione</w:t>
        </w:r>
        <w:r>
          <w:rPr>
            <w:webHidden/>
          </w:rPr>
          <w:tab/>
        </w:r>
        <w:r>
          <w:rPr>
            <w:webHidden/>
          </w:rPr>
          <w:fldChar w:fldCharType="begin"/>
        </w:r>
        <w:r>
          <w:rPr>
            <w:webHidden/>
          </w:rPr>
          <w:instrText xml:space="preserve"> PAGEREF _Toc58915710 \h </w:instrText>
        </w:r>
        <w:r>
          <w:rPr>
            <w:webHidden/>
          </w:rPr>
        </w:r>
        <w:r>
          <w:rPr>
            <w:webHidden/>
          </w:rPr>
          <w:fldChar w:fldCharType="separate"/>
        </w:r>
        <w:r w:rsidR="00231838">
          <w:rPr>
            <w:webHidden/>
          </w:rPr>
          <w:t>7</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11" w:history="1">
        <w:r w:rsidRPr="008830E2">
          <w:rPr>
            <w:rStyle w:val="Hyperlink"/>
            <w:rFonts w:ascii="Times New Roman" w:hAnsi="Times New Roman"/>
          </w:rPr>
          <w:t>1.3.</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Convenzione dei segni</w:t>
        </w:r>
        <w:r>
          <w:rPr>
            <w:webHidden/>
          </w:rPr>
          <w:tab/>
        </w:r>
        <w:r>
          <w:rPr>
            <w:webHidden/>
          </w:rPr>
          <w:fldChar w:fldCharType="begin"/>
        </w:r>
        <w:r>
          <w:rPr>
            <w:webHidden/>
          </w:rPr>
          <w:instrText xml:space="preserve"> PAGEREF _Toc58915711 \h </w:instrText>
        </w:r>
        <w:r>
          <w:rPr>
            <w:webHidden/>
          </w:rPr>
        </w:r>
        <w:r>
          <w:rPr>
            <w:webHidden/>
          </w:rPr>
          <w:fldChar w:fldCharType="separate"/>
        </w:r>
        <w:r w:rsidR="00231838">
          <w:rPr>
            <w:webHidden/>
          </w:rPr>
          <w:t>8</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12" w:history="1">
        <w:r w:rsidRPr="008830E2">
          <w:rPr>
            <w:rStyle w:val="Hyperlink"/>
            <w:rFonts w:ascii="Times New Roman" w:hAnsi="Times New Roman"/>
          </w:rPr>
          <w:t>1.4.</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Abbreviazioni</w:t>
        </w:r>
        <w:r>
          <w:rPr>
            <w:webHidden/>
          </w:rPr>
          <w:tab/>
        </w:r>
        <w:r>
          <w:rPr>
            <w:webHidden/>
          </w:rPr>
          <w:fldChar w:fldCharType="begin"/>
        </w:r>
        <w:r>
          <w:rPr>
            <w:webHidden/>
          </w:rPr>
          <w:instrText xml:space="preserve"> PAGEREF _Toc58915712 \h </w:instrText>
        </w:r>
        <w:r>
          <w:rPr>
            <w:webHidden/>
          </w:rPr>
        </w:r>
        <w:r>
          <w:rPr>
            <w:webHidden/>
          </w:rPr>
          <w:fldChar w:fldCharType="separate"/>
        </w:r>
        <w:r w:rsidR="00231838">
          <w:rPr>
            <w:webHidden/>
          </w:rPr>
          <w:t>8</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13" w:history="1">
        <w:r w:rsidRPr="008830E2">
          <w:rPr>
            <w:rStyle w:val="Hyperlink"/>
            <w:rFonts w:ascii="Times New Roman" w:hAnsi="Times New Roman"/>
          </w:rPr>
          <w:t>PARTE II: ISTRUZIONI RELATIVE AI MODELLI</w:t>
        </w:r>
        <w:r>
          <w:rPr>
            <w:webHidden/>
          </w:rPr>
          <w:tab/>
        </w:r>
        <w:r>
          <w:rPr>
            <w:webHidden/>
          </w:rPr>
          <w:fldChar w:fldCharType="begin"/>
        </w:r>
        <w:r>
          <w:rPr>
            <w:webHidden/>
          </w:rPr>
          <w:instrText xml:space="preserve"> PAGEREF _Toc58915713 \h </w:instrText>
        </w:r>
        <w:r>
          <w:rPr>
            <w:webHidden/>
          </w:rPr>
        </w:r>
        <w:r>
          <w:rPr>
            <w:webHidden/>
          </w:rPr>
          <w:fldChar w:fldCharType="separate"/>
        </w:r>
        <w:r w:rsidR="00231838">
          <w:rPr>
            <w:webHidden/>
          </w:rPr>
          <w:t>9</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14" w:history="1">
        <w:r w:rsidRPr="008830E2">
          <w:rPr>
            <w:rStyle w:val="Hyperlink"/>
            <w:rFonts w:ascii="Times New Roman" w:hAnsi="Times New Roman"/>
          </w:rPr>
          <w:t>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Descrizione dell</w:t>
        </w:r>
        <w:r w:rsidR="000878EC">
          <w:rPr>
            <w:rStyle w:val="Hyperlink"/>
            <w:rFonts w:ascii="Times New Roman" w:hAnsi="Times New Roman"/>
          </w:rPr>
          <w:t>'</w:t>
        </w:r>
        <w:r w:rsidRPr="008830E2">
          <w:rPr>
            <w:rStyle w:val="Hyperlink"/>
            <w:rFonts w:ascii="Times New Roman" w:hAnsi="Times New Roman"/>
          </w:rPr>
          <w:t>adeguatezza patrimoniale (CA)</w:t>
        </w:r>
        <w:r>
          <w:rPr>
            <w:webHidden/>
          </w:rPr>
          <w:tab/>
        </w:r>
        <w:r>
          <w:rPr>
            <w:webHidden/>
          </w:rPr>
          <w:fldChar w:fldCharType="begin"/>
        </w:r>
        <w:r>
          <w:rPr>
            <w:webHidden/>
          </w:rPr>
          <w:instrText xml:space="preserve"> PAGEREF _Toc58915714 \h </w:instrText>
        </w:r>
        <w:r>
          <w:rPr>
            <w:webHidden/>
          </w:rPr>
        </w:r>
        <w:r>
          <w:rPr>
            <w:webHidden/>
          </w:rPr>
          <w:fldChar w:fldCharType="separate"/>
        </w:r>
        <w:r w:rsidR="00231838">
          <w:rPr>
            <w:webHidden/>
          </w:rPr>
          <w:t>9</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15" w:history="1">
        <w:r w:rsidRPr="008830E2">
          <w:rPr>
            <w:rStyle w:val="Hyperlink"/>
            <w:rFonts w:ascii="Times New Roman" w:hAnsi="Times New Roman"/>
          </w:rPr>
          <w:t>1.1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Osservazioni di carattere generale</w:t>
        </w:r>
        <w:r>
          <w:rPr>
            <w:webHidden/>
          </w:rPr>
          <w:tab/>
        </w:r>
        <w:r>
          <w:rPr>
            <w:webHidden/>
          </w:rPr>
          <w:fldChar w:fldCharType="begin"/>
        </w:r>
        <w:r>
          <w:rPr>
            <w:webHidden/>
          </w:rPr>
          <w:instrText xml:space="preserve"> PAGEREF _Toc58915715 \h </w:instrText>
        </w:r>
        <w:r>
          <w:rPr>
            <w:webHidden/>
          </w:rPr>
        </w:r>
        <w:r>
          <w:rPr>
            <w:webHidden/>
          </w:rPr>
          <w:fldChar w:fldCharType="separate"/>
        </w:r>
        <w:r w:rsidR="00231838">
          <w:rPr>
            <w:webHidden/>
          </w:rPr>
          <w:t>9</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16" w:history="1">
        <w:r w:rsidRPr="008830E2">
          <w:rPr>
            <w:rStyle w:val="Hyperlink"/>
            <w:rFonts w:ascii="Times New Roman" w:hAnsi="Times New Roman"/>
          </w:rPr>
          <w:t>1.2</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C 01.00 — FONDI PROPRI (CA1)</w:t>
        </w:r>
        <w:r>
          <w:rPr>
            <w:webHidden/>
          </w:rPr>
          <w:tab/>
        </w:r>
        <w:r>
          <w:rPr>
            <w:webHidden/>
          </w:rPr>
          <w:fldChar w:fldCharType="begin"/>
        </w:r>
        <w:r>
          <w:rPr>
            <w:webHidden/>
          </w:rPr>
          <w:instrText xml:space="preserve"> PAGEREF _Toc58915716 \h </w:instrText>
        </w:r>
        <w:r>
          <w:rPr>
            <w:webHidden/>
          </w:rPr>
        </w:r>
        <w:r>
          <w:rPr>
            <w:webHidden/>
          </w:rPr>
          <w:fldChar w:fldCharType="separate"/>
        </w:r>
        <w:r w:rsidR="00231838">
          <w:rPr>
            <w:webHidden/>
          </w:rPr>
          <w:t>11</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17" w:history="1">
        <w:r w:rsidRPr="008830E2">
          <w:rPr>
            <w:rStyle w:val="Hyperlink"/>
            <w:rFonts w:ascii="Times New Roman" w:hAnsi="Times New Roman"/>
          </w:rPr>
          <w:t>1.2.1.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_Toc58915717 \h </w:instrText>
        </w:r>
        <w:r>
          <w:rPr>
            <w:webHidden/>
          </w:rPr>
        </w:r>
        <w:r>
          <w:rPr>
            <w:webHidden/>
          </w:rPr>
          <w:fldChar w:fldCharType="separate"/>
        </w:r>
        <w:r w:rsidR="00231838">
          <w:rPr>
            <w:webHidden/>
          </w:rPr>
          <w:t>11</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18" w:history="1">
        <w:r w:rsidRPr="008830E2">
          <w:rPr>
            <w:rStyle w:val="Hyperlink"/>
            <w:rFonts w:ascii="Times New Roman" w:hAnsi="Times New Roman"/>
          </w:rPr>
          <w:t>1.3.</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C 02.00 — REQUISITI DI FONDI PROPRI (CA2)</w:t>
        </w:r>
        <w:r>
          <w:rPr>
            <w:webHidden/>
          </w:rPr>
          <w:tab/>
        </w:r>
        <w:r>
          <w:rPr>
            <w:webHidden/>
          </w:rPr>
          <w:fldChar w:fldCharType="begin"/>
        </w:r>
        <w:r>
          <w:rPr>
            <w:webHidden/>
          </w:rPr>
          <w:instrText xml:space="preserve"> PAGEREF _Toc58915718 \h </w:instrText>
        </w:r>
        <w:r>
          <w:rPr>
            <w:webHidden/>
          </w:rPr>
        </w:r>
        <w:r>
          <w:rPr>
            <w:webHidden/>
          </w:rPr>
          <w:fldChar w:fldCharType="separate"/>
        </w:r>
        <w:r w:rsidR="00231838">
          <w:rPr>
            <w:webHidden/>
          </w:rPr>
          <w:t>29</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19" w:history="1">
        <w:r w:rsidRPr="008830E2">
          <w:rPr>
            <w:rStyle w:val="Hyperlink"/>
            <w:rFonts w:ascii="Times New Roman" w:hAnsi="Times New Roman"/>
          </w:rPr>
          <w:t>1.3.1.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_Toc58915719 \h </w:instrText>
        </w:r>
        <w:r>
          <w:rPr>
            <w:webHidden/>
          </w:rPr>
        </w:r>
        <w:r>
          <w:rPr>
            <w:webHidden/>
          </w:rPr>
          <w:fldChar w:fldCharType="separate"/>
        </w:r>
        <w:r w:rsidR="00231838">
          <w:rPr>
            <w:webHidden/>
          </w:rPr>
          <w:t>29</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20" w:history="1">
        <w:r w:rsidRPr="008830E2">
          <w:rPr>
            <w:rStyle w:val="Hyperlink"/>
            <w:rFonts w:ascii="Times New Roman" w:hAnsi="Times New Roman"/>
          </w:rPr>
          <w:t>1.4</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C 03.00 — COEFFICIENTI DI CAPITALE E LIVELLI DI CAPITALE (CA3)</w:t>
        </w:r>
        <w:r>
          <w:rPr>
            <w:webHidden/>
          </w:rPr>
          <w:tab/>
        </w:r>
        <w:r>
          <w:rPr>
            <w:webHidden/>
          </w:rPr>
          <w:fldChar w:fldCharType="begin"/>
        </w:r>
        <w:r>
          <w:rPr>
            <w:webHidden/>
          </w:rPr>
          <w:instrText xml:space="preserve"> PAGEREF _Toc58915720 \h </w:instrText>
        </w:r>
        <w:r>
          <w:rPr>
            <w:webHidden/>
          </w:rPr>
        </w:r>
        <w:r>
          <w:rPr>
            <w:webHidden/>
          </w:rPr>
          <w:fldChar w:fldCharType="separate"/>
        </w:r>
        <w:r w:rsidR="00231838">
          <w:rPr>
            <w:webHidden/>
          </w:rPr>
          <w:t>36</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21" w:history="1">
        <w:r w:rsidRPr="008830E2">
          <w:rPr>
            <w:rStyle w:val="Hyperlink"/>
            <w:rFonts w:ascii="Times New Roman" w:hAnsi="Times New Roman"/>
          </w:rPr>
          <w:t>1.4.1.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_Toc58915721 \h </w:instrText>
        </w:r>
        <w:r>
          <w:rPr>
            <w:webHidden/>
          </w:rPr>
        </w:r>
        <w:r>
          <w:rPr>
            <w:webHidden/>
          </w:rPr>
          <w:fldChar w:fldCharType="separate"/>
        </w:r>
        <w:r w:rsidR="00231838">
          <w:rPr>
            <w:webHidden/>
          </w:rPr>
          <w:t>36</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22" w:history="1">
        <w:r w:rsidRPr="008830E2">
          <w:rPr>
            <w:rStyle w:val="Hyperlink"/>
            <w:rFonts w:ascii="Times New Roman" w:hAnsi="Times New Roman"/>
          </w:rPr>
          <w:t>1.5.</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C 04.00 — VOCI PER MEMORIA (CA4)</w:t>
        </w:r>
        <w:r>
          <w:rPr>
            <w:webHidden/>
          </w:rPr>
          <w:tab/>
        </w:r>
        <w:r>
          <w:rPr>
            <w:webHidden/>
          </w:rPr>
          <w:fldChar w:fldCharType="begin"/>
        </w:r>
        <w:r>
          <w:rPr>
            <w:webHidden/>
          </w:rPr>
          <w:instrText xml:space="preserve"> PAGEREF _Toc58915722 \h </w:instrText>
        </w:r>
        <w:r>
          <w:rPr>
            <w:webHidden/>
          </w:rPr>
        </w:r>
        <w:r>
          <w:rPr>
            <w:webHidden/>
          </w:rPr>
          <w:fldChar w:fldCharType="separate"/>
        </w:r>
        <w:r w:rsidR="00231838">
          <w:rPr>
            <w:webHidden/>
          </w:rPr>
          <w:t>40</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23" w:history="1">
        <w:r w:rsidRPr="008830E2">
          <w:rPr>
            <w:rStyle w:val="Hyperlink"/>
            <w:rFonts w:ascii="Times New Roman" w:hAnsi="Times New Roman"/>
          </w:rPr>
          <w:t>1.5.1.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_Toc58915723 \h </w:instrText>
        </w:r>
        <w:r>
          <w:rPr>
            <w:webHidden/>
          </w:rPr>
        </w:r>
        <w:r>
          <w:rPr>
            <w:webHidden/>
          </w:rPr>
          <w:fldChar w:fldCharType="separate"/>
        </w:r>
        <w:r w:rsidR="00231838">
          <w:rPr>
            <w:webHidden/>
          </w:rPr>
          <w:t>40</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24" w:history="1">
        <w:r w:rsidRPr="008830E2">
          <w:rPr>
            <w:rStyle w:val="Hyperlink"/>
            <w:rFonts w:ascii="Times New Roman" w:hAnsi="Times New Roman"/>
          </w:rPr>
          <w:t>1.6</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DISPOSIZIONI TRANSITORIE e STRUMENTI SOGGETTI ALLA CLAUSOLA GRANDFATHERING: STRUMENTI CHE NON COSTITUISCONO AIUTI DI STATO (CA5)</w:t>
        </w:r>
        <w:r>
          <w:rPr>
            <w:webHidden/>
          </w:rPr>
          <w:tab/>
        </w:r>
        <w:r>
          <w:rPr>
            <w:webHidden/>
          </w:rPr>
          <w:fldChar w:fldCharType="begin"/>
        </w:r>
        <w:r>
          <w:rPr>
            <w:webHidden/>
          </w:rPr>
          <w:instrText xml:space="preserve"> PAGEREF _Toc58915724 \h </w:instrText>
        </w:r>
        <w:r>
          <w:rPr>
            <w:webHidden/>
          </w:rPr>
        </w:r>
        <w:r>
          <w:rPr>
            <w:webHidden/>
          </w:rPr>
          <w:fldChar w:fldCharType="separate"/>
        </w:r>
        <w:r w:rsidR="00231838">
          <w:rPr>
            <w:webHidden/>
          </w:rPr>
          <w:t>59</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25" w:history="1">
        <w:r w:rsidRPr="008830E2">
          <w:rPr>
            <w:rStyle w:val="Hyperlink"/>
            <w:rFonts w:ascii="Times New Roman" w:hAnsi="Times New Roman"/>
          </w:rPr>
          <w:t>1.6.1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Osservazioni di carattere generale</w:t>
        </w:r>
        <w:r>
          <w:rPr>
            <w:webHidden/>
          </w:rPr>
          <w:tab/>
        </w:r>
        <w:r>
          <w:rPr>
            <w:webHidden/>
          </w:rPr>
          <w:fldChar w:fldCharType="begin"/>
        </w:r>
        <w:r>
          <w:rPr>
            <w:webHidden/>
          </w:rPr>
          <w:instrText xml:space="preserve"> PAGEREF _Toc58915725 \h </w:instrText>
        </w:r>
        <w:r>
          <w:rPr>
            <w:webHidden/>
          </w:rPr>
        </w:r>
        <w:r>
          <w:rPr>
            <w:webHidden/>
          </w:rPr>
          <w:fldChar w:fldCharType="separate"/>
        </w:r>
        <w:r w:rsidR="00231838">
          <w:rPr>
            <w:webHidden/>
          </w:rPr>
          <w:t>59</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26" w:history="1">
        <w:r w:rsidRPr="008830E2">
          <w:rPr>
            <w:rStyle w:val="Hyperlink"/>
            <w:rFonts w:ascii="Times New Roman" w:hAnsi="Times New Roman"/>
          </w:rPr>
          <w:t>1.6.2.</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C 05.01 — DISPOSIZIONI TRANSITORIE (CA5.1)</w:t>
        </w:r>
        <w:r>
          <w:rPr>
            <w:webHidden/>
          </w:rPr>
          <w:tab/>
        </w:r>
        <w:r>
          <w:rPr>
            <w:webHidden/>
          </w:rPr>
          <w:fldChar w:fldCharType="begin"/>
        </w:r>
        <w:r>
          <w:rPr>
            <w:webHidden/>
          </w:rPr>
          <w:instrText xml:space="preserve"> PAGEREF _Toc58915726 \h </w:instrText>
        </w:r>
        <w:r>
          <w:rPr>
            <w:webHidden/>
          </w:rPr>
        </w:r>
        <w:r>
          <w:rPr>
            <w:webHidden/>
          </w:rPr>
          <w:fldChar w:fldCharType="separate"/>
        </w:r>
        <w:r w:rsidR="00231838">
          <w:rPr>
            <w:webHidden/>
          </w:rPr>
          <w:t>60</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27" w:history="1">
        <w:r w:rsidRPr="008830E2">
          <w:rPr>
            <w:rStyle w:val="Hyperlink"/>
            <w:rFonts w:ascii="Times New Roman" w:hAnsi="Times New Roman"/>
          </w:rPr>
          <w:t>1.6.2.1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_Toc58915727 \h </w:instrText>
        </w:r>
        <w:r>
          <w:rPr>
            <w:webHidden/>
          </w:rPr>
        </w:r>
        <w:r>
          <w:rPr>
            <w:webHidden/>
          </w:rPr>
          <w:fldChar w:fldCharType="separate"/>
        </w:r>
        <w:r w:rsidR="00231838">
          <w:rPr>
            <w:webHidden/>
          </w:rPr>
          <w:t>60</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28" w:history="1">
        <w:r w:rsidRPr="008830E2">
          <w:rPr>
            <w:rStyle w:val="Hyperlink"/>
            <w:rFonts w:ascii="Times New Roman" w:hAnsi="Times New Roman"/>
          </w:rPr>
          <w:t>1.6.3</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C 05.02 — STRUMENTI SOGGETTI ALLA CLAUSOLA GRANDFATHERING: STRUMENTI CHE NON COSTITUISCONO AIUTI DI STATO (CA5.2)</w:t>
        </w:r>
        <w:r>
          <w:rPr>
            <w:webHidden/>
          </w:rPr>
          <w:tab/>
        </w:r>
        <w:r>
          <w:rPr>
            <w:webHidden/>
          </w:rPr>
          <w:fldChar w:fldCharType="begin"/>
        </w:r>
        <w:r>
          <w:rPr>
            <w:webHidden/>
          </w:rPr>
          <w:instrText xml:space="preserve"> PAGEREF _Toc58915728 \h </w:instrText>
        </w:r>
        <w:r>
          <w:rPr>
            <w:webHidden/>
          </w:rPr>
        </w:r>
        <w:r>
          <w:rPr>
            <w:webHidden/>
          </w:rPr>
          <w:fldChar w:fldCharType="separate"/>
        </w:r>
        <w:r w:rsidR="00231838">
          <w:rPr>
            <w:webHidden/>
          </w:rPr>
          <w:t>65</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29" w:history="1">
        <w:r w:rsidRPr="008830E2">
          <w:rPr>
            <w:rStyle w:val="Hyperlink"/>
            <w:rFonts w:ascii="Times New Roman" w:hAnsi="Times New Roman"/>
          </w:rPr>
          <w:t>1.6.3.1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_Toc58915729 \h </w:instrText>
        </w:r>
        <w:r>
          <w:rPr>
            <w:webHidden/>
          </w:rPr>
        </w:r>
        <w:r>
          <w:rPr>
            <w:webHidden/>
          </w:rPr>
          <w:fldChar w:fldCharType="separate"/>
        </w:r>
        <w:r w:rsidR="00231838">
          <w:rPr>
            <w:webHidden/>
          </w:rPr>
          <w:t>65</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30" w:history="1">
        <w:r w:rsidRPr="008830E2">
          <w:rPr>
            <w:rStyle w:val="Hyperlink"/>
            <w:rFonts w:ascii="Times New Roman" w:hAnsi="Times New Roman"/>
          </w:rPr>
          <w:t>2.</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SOLVIBILITÀ DEL GRUPPO: INFORMAZIONI SULLE AFFILIATE (GS)</w:t>
        </w:r>
        <w:r>
          <w:rPr>
            <w:webHidden/>
          </w:rPr>
          <w:tab/>
        </w:r>
        <w:r>
          <w:rPr>
            <w:webHidden/>
          </w:rPr>
          <w:fldChar w:fldCharType="begin"/>
        </w:r>
        <w:r>
          <w:rPr>
            <w:webHidden/>
          </w:rPr>
          <w:instrText xml:space="preserve"> PAGEREF _Toc58915730 \h </w:instrText>
        </w:r>
        <w:r>
          <w:rPr>
            <w:webHidden/>
          </w:rPr>
        </w:r>
        <w:r>
          <w:rPr>
            <w:webHidden/>
          </w:rPr>
          <w:fldChar w:fldCharType="separate"/>
        </w:r>
        <w:r w:rsidR="00231838">
          <w:rPr>
            <w:webHidden/>
          </w:rPr>
          <w:t>68</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31" w:history="1">
        <w:r w:rsidRPr="008830E2">
          <w:rPr>
            <w:rStyle w:val="Hyperlink"/>
            <w:rFonts w:ascii="Times New Roman" w:hAnsi="Times New Roman"/>
          </w:rPr>
          <w:t>2.1.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Osservazioni di carattere generale</w:t>
        </w:r>
        <w:r>
          <w:rPr>
            <w:webHidden/>
          </w:rPr>
          <w:tab/>
        </w:r>
        <w:r>
          <w:rPr>
            <w:webHidden/>
          </w:rPr>
          <w:fldChar w:fldCharType="begin"/>
        </w:r>
        <w:r>
          <w:rPr>
            <w:webHidden/>
          </w:rPr>
          <w:instrText xml:space="preserve"> PAGEREF _Toc58915731 \h </w:instrText>
        </w:r>
        <w:r>
          <w:rPr>
            <w:webHidden/>
          </w:rPr>
        </w:r>
        <w:r>
          <w:rPr>
            <w:webHidden/>
          </w:rPr>
          <w:fldChar w:fldCharType="separate"/>
        </w:r>
        <w:r w:rsidR="00231838">
          <w:rPr>
            <w:webHidden/>
          </w:rPr>
          <w:t>68</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32" w:history="1">
        <w:r w:rsidRPr="008830E2">
          <w:rPr>
            <w:rStyle w:val="Hyperlink"/>
            <w:rFonts w:ascii="Times New Roman" w:hAnsi="Times New Roman"/>
          </w:rPr>
          <w:t>2.2.</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Informazioni dettagliate sulla solvibilità del gruppo</w:t>
        </w:r>
        <w:r>
          <w:rPr>
            <w:webHidden/>
          </w:rPr>
          <w:tab/>
        </w:r>
        <w:r>
          <w:rPr>
            <w:webHidden/>
          </w:rPr>
          <w:fldChar w:fldCharType="begin"/>
        </w:r>
        <w:r>
          <w:rPr>
            <w:webHidden/>
          </w:rPr>
          <w:instrText xml:space="preserve"> PAGEREF _Toc58915732 \h </w:instrText>
        </w:r>
        <w:r>
          <w:rPr>
            <w:webHidden/>
          </w:rPr>
        </w:r>
        <w:r>
          <w:rPr>
            <w:webHidden/>
          </w:rPr>
          <w:fldChar w:fldCharType="separate"/>
        </w:r>
        <w:r w:rsidR="00231838">
          <w:rPr>
            <w:webHidden/>
          </w:rPr>
          <w:t>69</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33" w:history="1">
        <w:r w:rsidRPr="008830E2">
          <w:rPr>
            <w:rStyle w:val="Hyperlink"/>
            <w:rFonts w:ascii="Times New Roman" w:hAnsi="Times New Roman"/>
          </w:rPr>
          <w:t>2.3.</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Informazioni sul contributo dei singoli soggetti alla solvibilità del gruppo</w:t>
        </w:r>
        <w:r>
          <w:rPr>
            <w:webHidden/>
          </w:rPr>
          <w:tab/>
        </w:r>
        <w:r>
          <w:rPr>
            <w:webHidden/>
          </w:rPr>
          <w:fldChar w:fldCharType="begin"/>
        </w:r>
        <w:r>
          <w:rPr>
            <w:webHidden/>
          </w:rPr>
          <w:instrText xml:space="preserve"> PAGEREF _Toc58915733 \h </w:instrText>
        </w:r>
        <w:r>
          <w:rPr>
            <w:webHidden/>
          </w:rPr>
        </w:r>
        <w:r>
          <w:rPr>
            <w:webHidden/>
          </w:rPr>
          <w:fldChar w:fldCharType="separate"/>
        </w:r>
        <w:r w:rsidR="00231838">
          <w:rPr>
            <w:webHidden/>
          </w:rPr>
          <w:t>69</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34" w:history="1">
        <w:r w:rsidRPr="008830E2">
          <w:rPr>
            <w:rStyle w:val="Hyperlink"/>
            <w:rFonts w:ascii="Times New Roman" w:hAnsi="Times New Roman"/>
          </w:rPr>
          <w:t>2.4.</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C 06.01 – SOLVIBILITÀ DEL GRUPPO: INFORMAZIONI SULLE AFFILIATE — Totale (Totale GS)</w:t>
        </w:r>
        <w:r>
          <w:rPr>
            <w:webHidden/>
          </w:rPr>
          <w:tab/>
        </w:r>
        <w:r>
          <w:rPr>
            <w:webHidden/>
          </w:rPr>
          <w:fldChar w:fldCharType="begin"/>
        </w:r>
        <w:r>
          <w:rPr>
            <w:webHidden/>
          </w:rPr>
          <w:instrText xml:space="preserve"> PAGEREF _Toc58915734 \h </w:instrText>
        </w:r>
        <w:r>
          <w:rPr>
            <w:webHidden/>
          </w:rPr>
        </w:r>
        <w:r>
          <w:rPr>
            <w:webHidden/>
          </w:rPr>
          <w:fldChar w:fldCharType="separate"/>
        </w:r>
        <w:r w:rsidR="00231838">
          <w:rPr>
            <w:webHidden/>
          </w:rPr>
          <w:t>70</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35" w:history="1">
        <w:r w:rsidRPr="008830E2">
          <w:rPr>
            <w:rStyle w:val="Hyperlink"/>
            <w:rFonts w:ascii="Times New Roman" w:hAnsi="Times New Roman"/>
          </w:rPr>
          <w:t>2.5.</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C 06.02 – SOLVIBILITÀ DEL GRUPPO: INFORMAZIONI SULLE AFFILIATE (GS)</w:t>
        </w:r>
        <w:r>
          <w:rPr>
            <w:webHidden/>
          </w:rPr>
          <w:tab/>
        </w:r>
        <w:r>
          <w:rPr>
            <w:webHidden/>
          </w:rPr>
          <w:fldChar w:fldCharType="begin"/>
        </w:r>
        <w:r>
          <w:rPr>
            <w:webHidden/>
          </w:rPr>
          <w:instrText xml:space="preserve"> PAGEREF _Toc58915735 \h </w:instrText>
        </w:r>
        <w:r>
          <w:rPr>
            <w:webHidden/>
          </w:rPr>
        </w:r>
        <w:r>
          <w:rPr>
            <w:webHidden/>
          </w:rPr>
          <w:fldChar w:fldCharType="separate"/>
        </w:r>
        <w:r w:rsidR="00231838">
          <w:rPr>
            <w:webHidden/>
          </w:rPr>
          <w:t>71</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36" w:history="1">
        <w:r w:rsidRPr="008830E2">
          <w:rPr>
            <w:rStyle w:val="Hyperlink"/>
            <w:rFonts w:ascii="Times New Roman" w:hAnsi="Times New Roman"/>
          </w:rPr>
          <w:t>3</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Modelli del rischio di credito</w:t>
        </w:r>
        <w:r>
          <w:rPr>
            <w:webHidden/>
          </w:rPr>
          <w:tab/>
        </w:r>
        <w:r>
          <w:rPr>
            <w:webHidden/>
          </w:rPr>
          <w:fldChar w:fldCharType="begin"/>
        </w:r>
        <w:r>
          <w:rPr>
            <w:webHidden/>
          </w:rPr>
          <w:instrText xml:space="preserve"> PAGEREF _Toc58915736 \h </w:instrText>
        </w:r>
        <w:r>
          <w:rPr>
            <w:webHidden/>
          </w:rPr>
        </w:r>
        <w:r>
          <w:rPr>
            <w:webHidden/>
          </w:rPr>
          <w:fldChar w:fldCharType="separate"/>
        </w:r>
        <w:r w:rsidR="00231838">
          <w:rPr>
            <w:webHidden/>
          </w:rPr>
          <w:t>79</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37" w:history="1">
        <w:r w:rsidRPr="008830E2">
          <w:rPr>
            <w:rStyle w:val="Hyperlink"/>
            <w:rFonts w:ascii="Times New Roman" w:hAnsi="Times New Roman"/>
          </w:rPr>
          <w:t>3.1.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Osservazioni di carattere generale</w:t>
        </w:r>
        <w:r>
          <w:rPr>
            <w:webHidden/>
          </w:rPr>
          <w:tab/>
        </w:r>
        <w:r>
          <w:rPr>
            <w:webHidden/>
          </w:rPr>
          <w:fldChar w:fldCharType="begin"/>
        </w:r>
        <w:r>
          <w:rPr>
            <w:webHidden/>
          </w:rPr>
          <w:instrText xml:space="preserve"> PAGEREF _Toc58915737 \h </w:instrText>
        </w:r>
        <w:r>
          <w:rPr>
            <w:webHidden/>
          </w:rPr>
        </w:r>
        <w:r>
          <w:rPr>
            <w:webHidden/>
          </w:rPr>
          <w:fldChar w:fldCharType="separate"/>
        </w:r>
        <w:r w:rsidR="00231838">
          <w:rPr>
            <w:webHidden/>
          </w:rPr>
          <w:t>79</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38" w:history="1">
        <w:r w:rsidRPr="008830E2">
          <w:rPr>
            <w:rStyle w:val="Hyperlink"/>
            <w:rFonts w:ascii="Times New Roman" w:hAnsi="Times New Roman"/>
          </w:rPr>
          <w:t>3.1.1.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Segnalazione delle tecniche di attenuazione del rischio di credito con effetto di sostituzione</w:t>
        </w:r>
        <w:r>
          <w:rPr>
            <w:webHidden/>
          </w:rPr>
          <w:tab/>
        </w:r>
        <w:r>
          <w:rPr>
            <w:webHidden/>
          </w:rPr>
          <w:fldChar w:fldCharType="begin"/>
        </w:r>
        <w:r>
          <w:rPr>
            <w:webHidden/>
          </w:rPr>
          <w:instrText xml:space="preserve"> PAGEREF _Toc58915738 \h </w:instrText>
        </w:r>
        <w:r>
          <w:rPr>
            <w:webHidden/>
          </w:rPr>
        </w:r>
        <w:r>
          <w:rPr>
            <w:webHidden/>
          </w:rPr>
          <w:fldChar w:fldCharType="separate"/>
        </w:r>
        <w:r w:rsidR="00231838">
          <w:rPr>
            <w:webHidden/>
          </w:rPr>
          <w:t>80</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39" w:history="1">
        <w:r w:rsidRPr="008830E2">
          <w:rPr>
            <w:rStyle w:val="Hyperlink"/>
            <w:rFonts w:ascii="Times New Roman" w:hAnsi="Times New Roman"/>
          </w:rPr>
          <w:t>3.1.2.</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Segnalazione del rischio di controparte</w:t>
        </w:r>
        <w:r>
          <w:rPr>
            <w:webHidden/>
          </w:rPr>
          <w:tab/>
        </w:r>
        <w:r>
          <w:rPr>
            <w:webHidden/>
          </w:rPr>
          <w:fldChar w:fldCharType="begin"/>
        </w:r>
        <w:r>
          <w:rPr>
            <w:webHidden/>
          </w:rPr>
          <w:instrText xml:space="preserve"> PAGEREF _Toc58915739 \h </w:instrText>
        </w:r>
        <w:r>
          <w:rPr>
            <w:webHidden/>
          </w:rPr>
        </w:r>
        <w:r>
          <w:rPr>
            <w:webHidden/>
          </w:rPr>
          <w:fldChar w:fldCharType="separate"/>
        </w:r>
        <w:r w:rsidR="00231838">
          <w:rPr>
            <w:webHidden/>
          </w:rPr>
          <w:t>80</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40" w:history="1">
        <w:r w:rsidRPr="008830E2">
          <w:rPr>
            <w:rStyle w:val="Hyperlink"/>
            <w:rFonts w:ascii="Times New Roman" w:hAnsi="Times New Roman"/>
          </w:rPr>
          <w:t>3.2.</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C 07.00 — Rischio di credito e rischio di controparte e operazioni con regolamento non contestuale: metodo standardizzato applicato ai requisiti patrimoniali</w:t>
        </w:r>
        <w:r w:rsidRPr="008830E2">
          <w:rPr>
            <w:rStyle w:val="Hyperlink"/>
          </w:rPr>
          <w:t xml:space="preserve"> </w:t>
        </w:r>
        <w:r w:rsidRPr="008830E2">
          <w:rPr>
            <w:rStyle w:val="Hyperlink"/>
            <w:rFonts w:ascii="Times New Roman" w:hAnsi="Times New Roman"/>
          </w:rPr>
          <w:t>(CR SA)</w:t>
        </w:r>
        <w:r>
          <w:rPr>
            <w:webHidden/>
          </w:rPr>
          <w:tab/>
        </w:r>
        <w:r>
          <w:rPr>
            <w:webHidden/>
          </w:rPr>
          <w:fldChar w:fldCharType="begin"/>
        </w:r>
        <w:r>
          <w:rPr>
            <w:webHidden/>
          </w:rPr>
          <w:instrText xml:space="preserve"> PAGEREF _Toc58915740 \h </w:instrText>
        </w:r>
        <w:r>
          <w:rPr>
            <w:webHidden/>
          </w:rPr>
        </w:r>
        <w:r>
          <w:rPr>
            <w:webHidden/>
          </w:rPr>
          <w:fldChar w:fldCharType="separate"/>
        </w:r>
        <w:r w:rsidR="00231838">
          <w:rPr>
            <w:webHidden/>
          </w:rPr>
          <w:t>80</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41" w:history="1">
        <w:r w:rsidRPr="008830E2">
          <w:rPr>
            <w:rStyle w:val="Hyperlink"/>
            <w:rFonts w:ascii="Times New Roman" w:hAnsi="Times New Roman"/>
          </w:rPr>
          <w:t>3.2.1.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Osservazioni di carattere generale</w:t>
        </w:r>
        <w:r>
          <w:rPr>
            <w:webHidden/>
          </w:rPr>
          <w:tab/>
        </w:r>
        <w:r>
          <w:rPr>
            <w:webHidden/>
          </w:rPr>
          <w:fldChar w:fldCharType="begin"/>
        </w:r>
        <w:r>
          <w:rPr>
            <w:webHidden/>
          </w:rPr>
          <w:instrText xml:space="preserve"> PAGEREF _Toc58915741 \h </w:instrText>
        </w:r>
        <w:r>
          <w:rPr>
            <w:webHidden/>
          </w:rPr>
        </w:r>
        <w:r>
          <w:rPr>
            <w:webHidden/>
          </w:rPr>
          <w:fldChar w:fldCharType="separate"/>
        </w:r>
        <w:r w:rsidR="00231838">
          <w:rPr>
            <w:webHidden/>
          </w:rPr>
          <w:t>80</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42" w:history="1">
        <w:r w:rsidRPr="008830E2">
          <w:rPr>
            <w:rStyle w:val="Hyperlink"/>
            <w:rFonts w:ascii="Times New Roman" w:hAnsi="Times New Roman"/>
          </w:rPr>
          <w:t>3.2.2.</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Ambito di applicazione del modello CR SA</w:t>
        </w:r>
        <w:r>
          <w:rPr>
            <w:webHidden/>
          </w:rPr>
          <w:tab/>
        </w:r>
        <w:r>
          <w:rPr>
            <w:webHidden/>
          </w:rPr>
          <w:fldChar w:fldCharType="begin"/>
        </w:r>
        <w:r>
          <w:rPr>
            <w:webHidden/>
          </w:rPr>
          <w:instrText xml:space="preserve"> PAGEREF _Toc58915742 \h </w:instrText>
        </w:r>
        <w:r>
          <w:rPr>
            <w:webHidden/>
          </w:rPr>
        </w:r>
        <w:r>
          <w:rPr>
            <w:webHidden/>
          </w:rPr>
          <w:fldChar w:fldCharType="separate"/>
        </w:r>
        <w:r w:rsidR="00231838">
          <w:rPr>
            <w:webHidden/>
          </w:rPr>
          <w:t>80</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43" w:history="1">
        <w:r w:rsidRPr="008830E2">
          <w:rPr>
            <w:rStyle w:val="Hyperlink"/>
            <w:rFonts w:ascii="Times New Roman" w:hAnsi="Times New Roman"/>
          </w:rPr>
          <w:t>3.2.3.</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 xml:space="preserve"> Assegnazione di esposizioni alle classi di esposizioni in applicazione del metodo standardizzato</w:t>
        </w:r>
        <w:r>
          <w:rPr>
            <w:webHidden/>
          </w:rPr>
          <w:tab/>
        </w:r>
        <w:r>
          <w:rPr>
            <w:webHidden/>
          </w:rPr>
          <w:fldChar w:fldCharType="begin"/>
        </w:r>
        <w:r>
          <w:rPr>
            <w:webHidden/>
          </w:rPr>
          <w:instrText xml:space="preserve"> PAGEREF _Toc58915743 \h </w:instrText>
        </w:r>
        <w:r>
          <w:rPr>
            <w:webHidden/>
          </w:rPr>
        </w:r>
        <w:r>
          <w:rPr>
            <w:webHidden/>
          </w:rPr>
          <w:fldChar w:fldCharType="separate"/>
        </w:r>
        <w:r w:rsidR="00231838">
          <w:rPr>
            <w:webHidden/>
          </w:rPr>
          <w:t>82</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44" w:history="1">
        <w:r w:rsidRPr="008830E2">
          <w:rPr>
            <w:rStyle w:val="Hyperlink"/>
            <w:rFonts w:ascii="Times New Roman" w:hAnsi="Times New Roman"/>
          </w:rPr>
          <w:t>3.2.4.</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Chiarimenti dell</w:t>
        </w:r>
        <w:r w:rsidR="000878EC">
          <w:rPr>
            <w:rStyle w:val="Hyperlink"/>
            <w:rFonts w:ascii="Times New Roman" w:hAnsi="Times New Roman"/>
          </w:rPr>
          <w:t>'</w:t>
        </w:r>
        <w:r w:rsidRPr="008830E2">
          <w:rPr>
            <w:rStyle w:val="Hyperlink"/>
            <w:rFonts w:ascii="Times New Roman" w:hAnsi="Times New Roman"/>
          </w:rPr>
          <w:t>ambito di applicazione di alcune classi di esposizioni specifiche di cui all</w:t>
        </w:r>
        <w:r w:rsidR="000878EC">
          <w:rPr>
            <w:rStyle w:val="Hyperlink"/>
            <w:rFonts w:ascii="Times New Roman" w:hAnsi="Times New Roman"/>
          </w:rPr>
          <w:t>'</w:t>
        </w:r>
        <w:r w:rsidRPr="008830E2">
          <w:rPr>
            <w:rStyle w:val="Hyperlink"/>
            <w:rFonts w:ascii="Times New Roman" w:hAnsi="Times New Roman"/>
          </w:rPr>
          <w:t>articolo 112 del CRR</w:t>
        </w:r>
        <w:r>
          <w:rPr>
            <w:webHidden/>
          </w:rPr>
          <w:tab/>
        </w:r>
        <w:r>
          <w:rPr>
            <w:webHidden/>
          </w:rPr>
          <w:fldChar w:fldCharType="begin"/>
        </w:r>
        <w:r>
          <w:rPr>
            <w:webHidden/>
          </w:rPr>
          <w:instrText xml:space="preserve"> PAGEREF _Toc58915744 \h </w:instrText>
        </w:r>
        <w:r>
          <w:rPr>
            <w:webHidden/>
          </w:rPr>
        </w:r>
        <w:r>
          <w:rPr>
            <w:webHidden/>
          </w:rPr>
          <w:fldChar w:fldCharType="separate"/>
        </w:r>
        <w:r w:rsidR="00231838">
          <w:rPr>
            <w:webHidden/>
          </w:rPr>
          <w:t>88</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45" w:history="1">
        <w:r w:rsidRPr="008830E2">
          <w:rPr>
            <w:rStyle w:val="Hyperlink"/>
            <w:rFonts w:ascii="Times New Roman" w:hAnsi="Times New Roman"/>
          </w:rPr>
          <w:t>3.2.4.1.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 xml:space="preserve">Classe di esposizioni </w:t>
        </w:r>
        <w:r w:rsidR="000878EC">
          <w:rPr>
            <w:rStyle w:val="Hyperlink"/>
            <w:rFonts w:ascii="Times New Roman" w:hAnsi="Times New Roman"/>
          </w:rPr>
          <w:t>"</w:t>
        </w:r>
        <w:r w:rsidRPr="008830E2">
          <w:rPr>
            <w:rStyle w:val="Hyperlink"/>
            <w:rFonts w:ascii="Times New Roman" w:hAnsi="Times New Roman"/>
          </w:rPr>
          <w:t>Enti</w:t>
        </w:r>
        <w:r w:rsidR="000878EC">
          <w:rPr>
            <w:rStyle w:val="Hyperlink"/>
            <w:rFonts w:ascii="Times New Roman" w:hAnsi="Times New Roman"/>
          </w:rPr>
          <w:t>"</w:t>
        </w:r>
        <w:r>
          <w:rPr>
            <w:webHidden/>
          </w:rPr>
          <w:tab/>
        </w:r>
        <w:r>
          <w:rPr>
            <w:webHidden/>
          </w:rPr>
          <w:fldChar w:fldCharType="begin"/>
        </w:r>
        <w:r>
          <w:rPr>
            <w:webHidden/>
          </w:rPr>
          <w:instrText xml:space="preserve"> PAGEREF _Toc58915745 \h </w:instrText>
        </w:r>
        <w:r>
          <w:rPr>
            <w:webHidden/>
          </w:rPr>
        </w:r>
        <w:r>
          <w:rPr>
            <w:webHidden/>
          </w:rPr>
          <w:fldChar w:fldCharType="separate"/>
        </w:r>
        <w:r w:rsidR="00231838">
          <w:rPr>
            <w:webHidden/>
          </w:rPr>
          <w:t>88</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46" w:history="1">
        <w:r w:rsidRPr="008830E2">
          <w:rPr>
            <w:rStyle w:val="Hyperlink"/>
            <w:rFonts w:ascii="Times New Roman" w:hAnsi="Times New Roman"/>
          </w:rPr>
          <w:t>3.2.4.2.</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 xml:space="preserve">Classe di esposizioni </w:t>
        </w:r>
        <w:r w:rsidR="000878EC">
          <w:rPr>
            <w:rStyle w:val="Hyperlink"/>
            <w:rFonts w:ascii="Times New Roman" w:hAnsi="Times New Roman"/>
          </w:rPr>
          <w:t>"</w:t>
        </w:r>
        <w:r w:rsidRPr="008830E2">
          <w:rPr>
            <w:rStyle w:val="Hyperlink"/>
            <w:rFonts w:ascii="Times New Roman" w:hAnsi="Times New Roman"/>
          </w:rPr>
          <w:t>Obbligazioni garantite</w:t>
        </w:r>
        <w:r w:rsidR="000878EC">
          <w:rPr>
            <w:rStyle w:val="Hyperlink"/>
            <w:rFonts w:ascii="Times New Roman" w:hAnsi="Times New Roman"/>
          </w:rPr>
          <w:t>"</w:t>
        </w:r>
        <w:r>
          <w:rPr>
            <w:webHidden/>
          </w:rPr>
          <w:tab/>
        </w:r>
        <w:r>
          <w:rPr>
            <w:webHidden/>
          </w:rPr>
          <w:fldChar w:fldCharType="begin"/>
        </w:r>
        <w:r>
          <w:rPr>
            <w:webHidden/>
          </w:rPr>
          <w:instrText xml:space="preserve"> PAGEREF _Toc58915746 \h </w:instrText>
        </w:r>
        <w:r>
          <w:rPr>
            <w:webHidden/>
          </w:rPr>
        </w:r>
        <w:r>
          <w:rPr>
            <w:webHidden/>
          </w:rPr>
          <w:fldChar w:fldCharType="separate"/>
        </w:r>
        <w:r w:rsidR="00231838">
          <w:rPr>
            <w:webHidden/>
          </w:rPr>
          <w:t>88</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47" w:history="1">
        <w:r w:rsidRPr="008830E2">
          <w:rPr>
            <w:rStyle w:val="Hyperlink"/>
            <w:rFonts w:ascii="Times New Roman" w:hAnsi="Times New Roman"/>
          </w:rPr>
          <w:t>3.2.4.3.</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 xml:space="preserve">Classe di esposizioni </w:t>
        </w:r>
        <w:r w:rsidR="000878EC">
          <w:rPr>
            <w:rStyle w:val="Hyperlink"/>
            <w:rFonts w:ascii="Times New Roman" w:hAnsi="Times New Roman"/>
          </w:rPr>
          <w:t>"</w:t>
        </w:r>
        <w:r w:rsidRPr="008830E2">
          <w:rPr>
            <w:rStyle w:val="Hyperlink"/>
            <w:rFonts w:ascii="Times New Roman" w:hAnsi="Times New Roman"/>
          </w:rPr>
          <w:t>Organismi di investimento collettivo</w:t>
        </w:r>
        <w:r w:rsidR="000878EC">
          <w:rPr>
            <w:rStyle w:val="Hyperlink"/>
            <w:rFonts w:ascii="Times New Roman" w:hAnsi="Times New Roman"/>
          </w:rPr>
          <w:t>"</w:t>
        </w:r>
        <w:r>
          <w:rPr>
            <w:webHidden/>
          </w:rPr>
          <w:tab/>
        </w:r>
        <w:r>
          <w:rPr>
            <w:webHidden/>
          </w:rPr>
          <w:fldChar w:fldCharType="begin"/>
        </w:r>
        <w:r>
          <w:rPr>
            <w:webHidden/>
          </w:rPr>
          <w:instrText xml:space="preserve"> PAGEREF _Toc58915747 \h </w:instrText>
        </w:r>
        <w:r>
          <w:rPr>
            <w:webHidden/>
          </w:rPr>
        </w:r>
        <w:r>
          <w:rPr>
            <w:webHidden/>
          </w:rPr>
          <w:fldChar w:fldCharType="separate"/>
        </w:r>
        <w:r w:rsidR="00231838">
          <w:rPr>
            <w:webHidden/>
          </w:rPr>
          <w:t>89</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48" w:history="1">
        <w:r w:rsidRPr="008830E2">
          <w:rPr>
            <w:rStyle w:val="Hyperlink"/>
            <w:rFonts w:ascii="Times New Roman" w:hAnsi="Times New Roman"/>
          </w:rPr>
          <w:t>3.2.5.</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_Toc58915748 \h </w:instrText>
        </w:r>
        <w:r>
          <w:rPr>
            <w:webHidden/>
          </w:rPr>
        </w:r>
        <w:r>
          <w:rPr>
            <w:webHidden/>
          </w:rPr>
          <w:fldChar w:fldCharType="separate"/>
        </w:r>
        <w:r w:rsidR="00231838">
          <w:rPr>
            <w:webHidden/>
          </w:rPr>
          <w:t>89</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49" w:history="1">
        <w:r w:rsidRPr="008830E2">
          <w:rPr>
            <w:rStyle w:val="Hyperlink"/>
            <w:rFonts w:ascii="Times New Roman" w:hAnsi="Times New Roman"/>
          </w:rPr>
          <w:t>3.3.</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Rischio di credito e rischio di controparte e operazioni con regolamento non contestuale: metodo IRB applicato ai requisiti di fondi propri</w:t>
        </w:r>
        <w:r w:rsidRPr="008830E2">
          <w:rPr>
            <w:rStyle w:val="Hyperlink"/>
          </w:rPr>
          <w:t xml:space="preserve"> </w:t>
        </w:r>
        <w:r w:rsidRPr="008830E2">
          <w:rPr>
            <w:rStyle w:val="Hyperlink"/>
            <w:rFonts w:ascii="Times New Roman" w:hAnsi="Times New Roman"/>
          </w:rPr>
          <w:t>(CR IRB)</w:t>
        </w:r>
        <w:r>
          <w:rPr>
            <w:webHidden/>
          </w:rPr>
          <w:tab/>
        </w:r>
        <w:r>
          <w:rPr>
            <w:webHidden/>
          </w:rPr>
          <w:fldChar w:fldCharType="begin"/>
        </w:r>
        <w:r>
          <w:rPr>
            <w:webHidden/>
          </w:rPr>
          <w:instrText xml:space="preserve"> PAGEREF _Toc58915749 \h </w:instrText>
        </w:r>
        <w:r>
          <w:rPr>
            <w:webHidden/>
          </w:rPr>
        </w:r>
        <w:r>
          <w:rPr>
            <w:webHidden/>
          </w:rPr>
          <w:fldChar w:fldCharType="separate"/>
        </w:r>
        <w:r w:rsidR="00231838">
          <w:rPr>
            <w:webHidden/>
          </w:rPr>
          <w:t>98</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50" w:history="1">
        <w:r w:rsidRPr="008830E2">
          <w:rPr>
            <w:rStyle w:val="Hyperlink"/>
            <w:rFonts w:ascii="Times New Roman" w:hAnsi="Times New Roman"/>
          </w:rPr>
          <w:t>3.3.1.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Ambito di applicazione del modello CR IRB</w:t>
        </w:r>
        <w:r>
          <w:rPr>
            <w:webHidden/>
          </w:rPr>
          <w:tab/>
        </w:r>
        <w:r>
          <w:rPr>
            <w:webHidden/>
          </w:rPr>
          <w:fldChar w:fldCharType="begin"/>
        </w:r>
        <w:r>
          <w:rPr>
            <w:webHidden/>
          </w:rPr>
          <w:instrText xml:space="preserve"> PAGEREF _Toc58915750 \h </w:instrText>
        </w:r>
        <w:r>
          <w:rPr>
            <w:webHidden/>
          </w:rPr>
        </w:r>
        <w:r>
          <w:rPr>
            <w:webHidden/>
          </w:rPr>
          <w:fldChar w:fldCharType="separate"/>
        </w:r>
        <w:r w:rsidR="00231838">
          <w:rPr>
            <w:webHidden/>
          </w:rPr>
          <w:t>98</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51" w:history="1">
        <w:r w:rsidRPr="008830E2">
          <w:rPr>
            <w:rStyle w:val="Hyperlink"/>
            <w:rFonts w:ascii="Times New Roman" w:hAnsi="Times New Roman"/>
          </w:rPr>
          <w:t>3.3.2.</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Ripartizione del modello CR IRB</w:t>
        </w:r>
        <w:r>
          <w:rPr>
            <w:webHidden/>
          </w:rPr>
          <w:tab/>
        </w:r>
        <w:r>
          <w:rPr>
            <w:webHidden/>
          </w:rPr>
          <w:fldChar w:fldCharType="begin"/>
        </w:r>
        <w:r>
          <w:rPr>
            <w:webHidden/>
          </w:rPr>
          <w:instrText xml:space="preserve"> PAGEREF _Toc58915751 \h </w:instrText>
        </w:r>
        <w:r>
          <w:rPr>
            <w:webHidden/>
          </w:rPr>
        </w:r>
        <w:r>
          <w:rPr>
            <w:webHidden/>
          </w:rPr>
          <w:fldChar w:fldCharType="separate"/>
        </w:r>
        <w:r w:rsidR="00231838">
          <w:rPr>
            <w:webHidden/>
          </w:rPr>
          <w:t>99</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52" w:history="1">
        <w:r w:rsidRPr="008830E2">
          <w:rPr>
            <w:rStyle w:val="Hyperlink"/>
            <w:rFonts w:ascii="Times New Roman" w:hAnsi="Times New Roman"/>
          </w:rPr>
          <w:t>3.3.3.</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C 08.01 — Rischio di credito e rischio di controparte e operazioni con regolamento non contestuale: metodo IRB applicato ai requisiti patrimoniali (CR IRB 1)</w:t>
        </w:r>
        <w:r>
          <w:rPr>
            <w:webHidden/>
          </w:rPr>
          <w:tab/>
        </w:r>
        <w:r>
          <w:rPr>
            <w:webHidden/>
          </w:rPr>
          <w:fldChar w:fldCharType="begin"/>
        </w:r>
        <w:r>
          <w:rPr>
            <w:webHidden/>
          </w:rPr>
          <w:instrText xml:space="preserve"> PAGEREF _Toc58915752 \h </w:instrText>
        </w:r>
        <w:r>
          <w:rPr>
            <w:webHidden/>
          </w:rPr>
        </w:r>
        <w:r>
          <w:rPr>
            <w:webHidden/>
          </w:rPr>
          <w:fldChar w:fldCharType="separate"/>
        </w:r>
        <w:r w:rsidR="00231838">
          <w:rPr>
            <w:webHidden/>
          </w:rPr>
          <w:t>101</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53" w:history="1">
        <w:r w:rsidRPr="008830E2">
          <w:rPr>
            <w:rStyle w:val="Hyperlink"/>
            <w:rFonts w:ascii="Times New Roman" w:hAnsi="Times New Roman"/>
          </w:rPr>
          <w:t>3.3.3.1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_Toc58915753 \h </w:instrText>
        </w:r>
        <w:r>
          <w:rPr>
            <w:webHidden/>
          </w:rPr>
        </w:r>
        <w:r>
          <w:rPr>
            <w:webHidden/>
          </w:rPr>
          <w:fldChar w:fldCharType="separate"/>
        </w:r>
        <w:r w:rsidR="00231838">
          <w:rPr>
            <w:webHidden/>
          </w:rPr>
          <w:t>101</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54" w:history="1">
        <w:r w:rsidRPr="008830E2">
          <w:rPr>
            <w:rStyle w:val="Hyperlink"/>
            <w:rFonts w:ascii="Times New Roman" w:hAnsi="Times New Roman"/>
          </w:rPr>
          <w:t>3.3.4.</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C 08.02 — Rischio di credito e rischio di controparte e operazioni con regolamento non contestuale: metodo IRB applicato ai requisiti patrimoniali - ripartizione per classe o pool di debitori (modello CR IRB 2)</w:t>
        </w:r>
        <w:r>
          <w:rPr>
            <w:webHidden/>
          </w:rPr>
          <w:tab/>
        </w:r>
        <w:r>
          <w:rPr>
            <w:webHidden/>
          </w:rPr>
          <w:fldChar w:fldCharType="begin"/>
        </w:r>
        <w:r>
          <w:rPr>
            <w:webHidden/>
          </w:rPr>
          <w:instrText xml:space="preserve"> PAGEREF _Toc58915754 \h </w:instrText>
        </w:r>
        <w:r>
          <w:rPr>
            <w:webHidden/>
          </w:rPr>
        </w:r>
        <w:r>
          <w:rPr>
            <w:webHidden/>
          </w:rPr>
          <w:fldChar w:fldCharType="separate"/>
        </w:r>
        <w:r w:rsidR="00231838">
          <w:rPr>
            <w:webHidden/>
          </w:rPr>
          <w:t>112</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55" w:history="1">
        <w:r w:rsidRPr="008830E2">
          <w:rPr>
            <w:rStyle w:val="Hyperlink"/>
            <w:rFonts w:ascii="Times New Roman" w:hAnsi="Times New Roman"/>
          </w:rPr>
          <w:t>3.3.1.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C 08.03 — Rischio di credito e operazioni con regolamento non contestuale: metodo IRB applicato ai requisiti patrimoniali (ripartizione per intervalli di PD (CR IRB 3))</w:t>
        </w:r>
        <w:r>
          <w:rPr>
            <w:webHidden/>
          </w:rPr>
          <w:tab/>
        </w:r>
        <w:r>
          <w:rPr>
            <w:webHidden/>
          </w:rPr>
          <w:fldChar w:fldCharType="begin"/>
        </w:r>
        <w:r>
          <w:rPr>
            <w:webHidden/>
          </w:rPr>
          <w:instrText xml:space="preserve"> PAGEREF _Toc58915755 \h </w:instrText>
        </w:r>
        <w:r>
          <w:rPr>
            <w:webHidden/>
          </w:rPr>
        </w:r>
        <w:r>
          <w:rPr>
            <w:webHidden/>
          </w:rPr>
          <w:fldChar w:fldCharType="separate"/>
        </w:r>
        <w:r w:rsidR="00231838">
          <w:rPr>
            <w:webHidden/>
          </w:rPr>
          <w:t>112</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56" w:history="1">
        <w:r w:rsidRPr="008830E2">
          <w:rPr>
            <w:rStyle w:val="Hyperlink"/>
            <w:rFonts w:ascii="Times New Roman" w:hAnsi="Times New Roman"/>
          </w:rPr>
          <w:t>3.3.1.1.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Osservazioni di carattere generale</w:t>
        </w:r>
        <w:r>
          <w:rPr>
            <w:webHidden/>
          </w:rPr>
          <w:tab/>
        </w:r>
        <w:r>
          <w:rPr>
            <w:webHidden/>
          </w:rPr>
          <w:fldChar w:fldCharType="begin"/>
        </w:r>
        <w:r>
          <w:rPr>
            <w:webHidden/>
          </w:rPr>
          <w:instrText xml:space="preserve"> PAGEREF _Toc58915756 \h </w:instrText>
        </w:r>
        <w:r>
          <w:rPr>
            <w:webHidden/>
          </w:rPr>
        </w:r>
        <w:r>
          <w:rPr>
            <w:webHidden/>
          </w:rPr>
          <w:fldChar w:fldCharType="separate"/>
        </w:r>
        <w:r w:rsidR="00231838">
          <w:rPr>
            <w:webHidden/>
          </w:rPr>
          <w:t>112</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57" w:history="1">
        <w:r w:rsidRPr="008830E2">
          <w:rPr>
            <w:rStyle w:val="Hyperlink"/>
            <w:rFonts w:ascii="Times New Roman" w:hAnsi="Times New Roman"/>
          </w:rPr>
          <w:t>3.3.1.2.</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_Toc58915757 \h </w:instrText>
        </w:r>
        <w:r>
          <w:rPr>
            <w:webHidden/>
          </w:rPr>
        </w:r>
        <w:r>
          <w:rPr>
            <w:webHidden/>
          </w:rPr>
          <w:fldChar w:fldCharType="separate"/>
        </w:r>
        <w:r w:rsidR="00231838">
          <w:rPr>
            <w:webHidden/>
          </w:rPr>
          <w:t>113</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58" w:history="1">
        <w:r w:rsidRPr="008830E2">
          <w:rPr>
            <w:rStyle w:val="Hyperlink"/>
            <w:rFonts w:ascii="Times New Roman" w:hAnsi="Times New Roman"/>
          </w:rPr>
          <w:t>3.3.2.</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C 08.04 - Rischio di credito e operazioni con regolamento non contestuale: metodo IRB applicato ai requisiti patrimoniali (prospetti degli RWEA (CR IRB 4))</w:t>
        </w:r>
        <w:r>
          <w:rPr>
            <w:webHidden/>
          </w:rPr>
          <w:tab/>
        </w:r>
        <w:r>
          <w:rPr>
            <w:webHidden/>
          </w:rPr>
          <w:fldChar w:fldCharType="begin"/>
        </w:r>
        <w:r>
          <w:rPr>
            <w:webHidden/>
          </w:rPr>
          <w:instrText xml:space="preserve"> PAGEREF _Toc58915758 \h </w:instrText>
        </w:r>
        <w:r>
          <w:rPr>
            <w:webHidden/>
          </w:rPr>
        </w:r>
        <w:r>
          <w:rPr>
            <w:webHidden/>
          </w:rPr>
          <w:fldChar w:fldCharType="separate"/>
        </w:r>
        <w:r w:rsidR="00231838">
          <w:rPr>
            <w:webHidden/>
          </w:rPr>
          <w:t>115</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59" w:history="1">
        <w:r w:rsidRPr="008830E2">
          <w:rPr>
            <w:rStyle w:val="Hyperlink"/>
            <w:rFonts w:ascii="Times New Roman" w:hAnsi="Times New Roman"/>
          </w:rPr>
          <w:t>3.3.2.1.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Osservazioni di carattere generale</w:t>
        </w:r>
        <w:r>
          <w:rPr>
            <w:webHidden/>
          </w:rPr>
          <w:tab/>
        </w:r>
        <w:r>
          <w:rPr>
            <w:webHidden/>
          </w:rPr>
          <w:fldChar w:fldCharType="begin"/>
        </w:r>
        <w:r>
          <w:rPr>
            <w:webHidden/>
          </w:rPr>
          <w:instrText xml:space="preserve"> PAGEREF _Toc58915759 \h </w:instrText>
        </w:r>
        <w:r>
          <w:rPr>
            <w:webHidden/>
          </w:rPr>
        </w:r>
        <w:r>
          <w:rPr>
            <w:webHidden/>
          </w:rPr>
          <w:fldChar w:fldCharType="separate"/>
        </w:r>
        <w:r w:rsidR="00231838">
          <w:rPr>
            <w:webHidden/>
          </w:rPr>
          <w:t>115</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60" w:history="1">
        <w:r w:rsidRPr="008830E2">
          <w:rPr>
            <w:rStyle w:val="Hyperlink"/>
            <w:rFonts w:ascii="Times New Roman" w:hAnsi="Times New Roman"/>
          </w:rPr>
          <w:t>3.3.2.2.</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_Toc58915760 \h </w:instrText>
        </w:r>
        <w:r>
          <w:rPr>
            <w:webHidden/>
          </w:rPr>
        </w:r>
        <w:r>
          <w:rPr>
            <w:webHidden/>
          </w:rPr>
          <w:fldChar w:fldCharType="separate"/>
        </w:r>
        <w:r w:rsidR="00231838">
          <w:rPr>
            <w:webHidden/>
          </w:rPr>
          <w:t>115</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61" w:history="1">
        <w:r w:rsidRPr="008830E2">
          <w:rPr>
            <w:rStyle w:val="Hyperlink"/>
            <w:rFonts w:ascii="Times New Roman" w:hAnsi="Times New Roman"/>
          </w:rPr>
          <w:t>3.3.3.</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C 08.05 - Rischio di credito e operazioni con regolamento non contestuale: metodo IRB applicato ai requisiti patrimoniali (test retrospettivi della PD (CR IRB 5))</w:t>
        </w:r>
        <w:r>
          <w:rPr>
            <w:webHidden/>
          </w:rPr>
          <w:tab/>
        </w:r>
        <w:r>
          <w:rPr>
            <w:webHidden/>
          </w:rPr>
          <w:fldChar w:fldCharType="begin"/>
        </w:r>
        <w:r>
          <w:rPr>
            <w:webHidden/>
          </w:rPr>
          <w:instrText xml:space="preserve"> PAGEREF _Toc58915761 \h </w:instrText>
        </w:r>
        <w:r>
          <w:rPr>
            <w:webHidden/>
          </w:rPr>
        </w:r>
        <w:r>
          <w:rPr>
            <w:webHidden/>
          </w:rPr>
          <w:fldChar w:fldCharType="separate"/>
        </w:r>
        <w:r w:rsidR="00231838">
          <w:rPr>
            <w:webHidden/>
          </w:rPr>
          <w:t>117</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62" w:history="1">
        <w:r w:rsidRPr="008830E2">
          <w:rPr>
            <w:rStyle w:val="Hyperlink"/>
            <w:rFonts w:ascii="Times New Roman" w:hAnsi="Times New Roman"/>
          </w:rPr>
          <w:t>3.3.3.1.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Osservazioni di carattere generale</w:t>
        </w:r>
        <w:r>
          <w:rPr>
            <w:webHidden/>
          </w:rPr>
          <w:tab/>
        </w:r>
        <w:r>
          <w:rPr>
            <w:webHidden/>
          </w:rPr>
          <w:fldChar w:fldCharType="begin"/>
        </w:r>
        <w:r>
          <w:rPr>
            <w:webHidden/>
          </w:rPr>
          <w:instrText xml:space="preserve"> PAGEREF _Toc58915762 \h </w:instrText>
        </w:r>
        <w:r>
          <w:rPr>
            <w:webHidden/>
          </w:rPr>
        </w:r>
        <w:r>
          <w:rPr>
            <w:webHidden/>
          </w:rPr>
          <w:fldChar w:fldCharType="separate"/>
        </w:r>
        <w:r w:rsidR="00231838">
          <w:rPr>
            <w:webHidden/>
          </w:rPr>
          <w:t>117</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63" w:history="1">
        <w:r w:rsidRPr="008830E2">
          <w:rPr>
            <w:rStyle w:val="Hyperlink"/>
            <w:rFonts w:ascii="Times New Roman" w:hAnsi="Times New Roman"/>
          </w:rPr>
          <w:t>3.3.3.2.</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_Toc58915763 \h </w:instrText>
        </w:r>
        <w:r>
          <w:rPr>
            <w:webHidden/>
          </w:rPr>
        </w:r>
        <w:r>
          <w:rPr>
            <w:webHidden/>
          </w:rPr>
          <w:fldChar w:fldCharType="separate"/>
        </w:r>
        <w:r w:rsidR="00231838">
          <w:rPr>
            <w:webHidden/>
          </w:rPr>
          <w:t>118</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64" w:history="1">
        <w:r w:rsidRPr="008830E2">
          <w:rPr>
            <w:rStyle w:val="Hyperlink"/>
            <w:rFonts w:ascii="Times New Roman" w:hAnsi="Times New Roman"/>
          </w:rPr>
          <w:t>3.3.4.</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C 08.05.1 - Rischio di credito e operazioni con regolamento non contestuale: metodo IRB applicato ai requisiti patrimoniali: test retrospettivi della PD (CR IRB 5)</w:t>
        </w:r>
        <w:r>
          <w:rPr>
            <w:webHidden/>
          </w:rPr>
          <w:tab/>
        </w:r>
        <w:r>
          <w:rPr>
            <w:webHidden/>
          </w:rPr>
          <w:fldChar w:fldCharType="begin"/>
        </w:r>
        <w:r>
          <w:rPr>
            <w:webHidden/>
          </w:rPr>
          <w:instrText xml:space="preserve"> PAGEREF _Toc58915764 \h </w:instrText>
        </w:r>
        <w:r>
          <w:rPr>
            <w:webHidden/>
          </w:rPr>
        </w:r>
        <w:r>
          <w:rPr>
            <w:webHidden/>
          </w:rPr>
          <w:fldChar w:fldCharType="separate"/>
        </w:r>
        <w:r w:rsidR="00231838">
          <w:rPr>
            <w:webHidden/>
          </w:rPr>
          <w:t>119</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65" w:history="1">
        <w:r w:rsidRPr="008830E2">
          <w:rPr>
            <w:rStyle w:val="Hyperlink"/>
            <w:rFonts w:ascii="Times New Roman" w:hAnsi="Times New Roman"/>
          </w:rPr>
          <w:t>3.3.4.1.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_Toc58915765 \h </w:instrText>
        </w:r>
        <w:r>
          <w:rPr>
            <w:webHidden/>
          </w:rPr>
        </w:r>
        <w:r>
          <w:rPr>
            <w:webHidden/>
          </w:rPr>
          <w:fldChar w:fldCharType="separate"/>
        </w:r>
        <w:r w:rsidR="00231838">
          <w:rPr>
            <w:webHidden/>
          </w:rPr>
          <w:t>119</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66" w:history="1">
        <w:r w:rsidRPr="008830E2">
          <w:rPr>
            <w:rStyle w:val="Hyperlink"/>
            <w:rFonts w:ascii="Times New Roman" w:hAnsi="Times New Roman"/>
          </w:rPr>
          <w:t>3.3.5.</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C 08.06 - Rischio di credito e operazioni con regolamento non contestuale: metodo IRB applicato ai requisiti patrimoniali (metodo di assegnazione dei finanziamenti specializzati (CR IRB 6))</w:t>
        </w:r>
        <w:r>
          <w:rPr>
            <w:webHidden/>
          </w:rPr>
          <w:tab/>
        </w:r>
        <w:r>
          <w:rPr>
            <w:webHidden/>
          </w:rPr>
          <w:fldChar w:fldCharType="begin"/>
        </w:r>
        <w:r>
          <w:rPr>
            <w:webHidden/>
          </w:rPr>
          <w:instrText xml:space="preserve"> PAGEREF _Toc58915766 \h </w:instrText>
        </w:r>
        <w:r>
          <w:rPr>
            <w:webHidden/>
          </w:rPr>
        </w:r>
        <w:r>
          <w:rPr>
            <w:webHidden/>
          </w:rPr>
          <w:fldChar w:fldCharType="separate"/>
        </w:r>
        <w:r w:rsidR="00231838">
          <w:rPr>
            <w:webHidden/>
          </w:rPr>
          <w:t>120</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67" w:history="1">
        <w:r w:rsidRPr="008830E2">
          <w:rPr>
            <w:rStyle w:val="Hyperlink"/>
            <w:rFonts w:ascii="Times New Roman" w:hAnsi="Times New Roman"/>
          </w:rPr>
          <w:t>3.3.5.1.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Osservazioni di carattere generale</w:t>
        </w:r>
        <w:r>
          <w:rPr>
            <w:webHidden/>
          </w:rPr>
          <w:tab/>
        </w:r>
        <w:r>
          <w:rPr>
            <w:webHidden/>
          </w:rPr>
          <w:fldChar w:fldCharType="begin"/>
        </w:r>
        <w:r>
          <w:rPr>
            <w:webHidden/>
          </w:rPr>
          <w:instrText xml:space="preserve"> PAGEREF _Toc58915767 \h </w:instrText>
        </w:r>
        <w:r>
          <w:rPr>
            <w:webHidden/>
          </w:rPr>
        </w:r>
        <w:r>
          <w:rPr>
            <w:webHidden/>
          </w:rPr>
          <w:fldChar w:fldCharType="separate"/>
        </w:r>
        <w:r w:rsidR="00231838">
          <w:rPr>
            <w:webHidden/>
          </w:rPr>
          <w:t>120</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68" w:history="1">
        <w:r w:rsidRPr="008830E2">
          <w:rPr>
            <w:rStyle w:val="Hyperlink"/>
            <w:rFonts w:ascii="Times New Roman" w:hAnsi="Times New Roman"/>
          </w:rPr>
          <w:t>3.3.5.2.</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_Toc58915768 \h </w:instrText>
        </w:r>
        <w:r>
          <w:rPr>
            <w:webHidden/>
          </w:rPr>
        </w:r>
        <w:r>
          <w:rPr>
            <w:webHidden/>
          </w:rPr>
          <w:fldChar w:fldCharType="separate"/>
        </w:r>
        <w:r w:rsidR="00231838">
          <w:rPr>
            <w:webHidden/>
          </w:rPr>
          <w:t>120</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69" w:history="1">
        <w:r w:rsidRPr="008830E2">
          <w:rPr>
            <w:rStyle w:val="Hyperlink"/>
            <w:rFonts w:ascii="Times New Roman" w:hAnsi="Times New Roman"/>
          </w:rPr>
          <w:t>3.3.6.</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C 08.07 - Rischio di credito e operazioni con regolamento non contestuale: metodo IRB applicato ai requisiti patrimoniali (ambito di applicazione dei metodi IRB e SA (CR IRB 7))</w:t>
        </w:r>
        <w:r>
          <w:rPr>
            <w:webHidden/>
          </w:rPr>
          <w:tab/>
        </w:r>
        <w:r>
          <w:rPr>
            <w:webHidden/>
          </w:rPr>
          <w:fldChar w:fldCharType="begin"/>
        </w:r>
        <w:r>
          <w:rPr>
            <w:webHidden/>
          </w:rPr>
          <w:instrText xml:space="preserve"> PAGEREF _Toc58915769 \h </w:instrText>
        </w:r>
        <w:r>
          <w:rPr>
            <w:webHidden/>
          </w:rPr>
        </w:r>
        <w:r>
          <w:rPr>
            <w:webHidden/>
          </w:rPr>
          <w:fldChar w:fldCharType="separate"/>
        </w:r>
        <w:r w:rsidR="00231838">
          <w:rPr>
            <w:webHidden/>
          </w:rPr>
          <w:t>121</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70" w:history="1">
        <w:r w:rsidRPr="008830E2">
          <w:rPr>
            <w:rStyle w:val="Hyperlink"/>
            <w:rFonts w:ascii="Times New Roman" w:hAnsi="Times New Roman"/>
          </w:rPr>
          <w:t>3.3.6.1.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Osservazioni di carattere generale</w:t>
        </w:r>
        <w:r>
          <w:rPr>
            <w:webHidden/>
          </w:rPr>
          <w:tab/>
        </w:r>
        <w:r>
          <w:rPr>
            <w:webHidden/>
          </w:rPr>
          <w:fldChar w:fldCharType="begin"/>
        </w:r>
        <w:r>
          <w:rPr>
            <w:webHidden/>
          </w:rPr>
          <w:instrText xml:space="preserve"> PAGEREF _Toc58915770 \h </w:instrText>
        </w:r>
        <w:r>
          <w:rPr>
            <w:webHidden/>
          </w:rPr>
        </w:r>
        <w:r>
          <w:rPr>
            <w:webHidden/>
          </w:rPr>
          <w:fldChar w:fldCharType="separate"/>
        </w:r>
        <w:r w:rsidR="00231838">
          <w:rPr>
            <w:webHidden/>
          </w:rPr>
          <w:t>121</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71" w:history="1">
        <w:r w:rsidRPr="008830E2">
          <w:rPr>
            <w:rStyle w:val="Hyperlink"/>
            <w:rFonts w:ascii="Times New Roman" w:hAnsi="Times New Roman"/>
          </w:rPr>
          <w:t>3.3.6.2.</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_Toc58915771 \h </w:instrText>
        </w:r>
        <w:r>
          <w:rPr>
            <w:webHidden/>
          </w:rPr>
        </w:r>
        <w:r>
          <w:rPr>
            <w:webHidden/>
          </w:rPr>
          <w:fldChar w:fldCharType="separate"/>
        </w:r>
        <w:r w:rsidR="00231838">
          <w:rPr>
            <w:webHidden/>
          </w:rPr>
          <w:t>121</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72" w:history="1">
        <w:r w:rsidRPr="008830E2">
          <w:rPr>
            <w:rStyle w:val="Hyperlink"/>
            <w:rFonts w:ascii="Times New Roman" w:hAnsi="Times New Roman"/>
          </w:rPr>
          <w:t>3.4.</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Rischio di credito e rischio di controparte e operazioni con regolamento non contestuale: informazioni ripartite geograficamente</w:t>
        </w:r>
        <w:r>
          <w:rPr>
            <w:webHidden/>
          </w:rPr>
          <w:tab/>
        </w:r>
        <w:r>
          <w:rPr>
            <w:webHidden/>
          </w:rPr>
          <w:fldChar w:fldCharType="begin"/>
        </w:r>
        <w:r>
          <w:rPr>
            <w:webHidden/>
          </w:rPr>
          <w:instrText xml:space="preserve"> PAGEREF _Toc58915772 \h </w:instrText>
        </w:r>
        <w:r>
          <w:rPr>
            <w:webHidden/>
          </w:rPr>
        </w:r>
        <w:r>
          <w:rPr>
            <w:webHidden/>
          </w:rPr>
          <w:fldChar w:fldCharType="separate"/>
        </w:r>
        <w:r w:rsidR="00231838">
          <w:rPr>
            <w:webHidden/>
          </w:rPr>
          <w:t>123</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73" w:history="1">
        <w:r w:rsidRPr="008830E2">
          <w:rPr>
            <w:rStyle w:val="Hyperlink"/>
            <w:rFonts w:ascii="Times New Roman" w:hAnsi="Times New Roman"/>
          </w:rPr>
          <w:t>3.4.1.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C 09.01 — Ripartizione geografica delle esposizioni per residenza del debitore: esposizioni cui è applicato il metodo standardizzato (CR GB 1)</w:t>
        </w:r>
        <w:r>
          <w:rPr>
            <w:webHidden/>
          </w:rPr>
          <w:tab/>
        </w:r>
        <w:r>
          <w:rPr>
            <w:webHidden/>
          </w:rPr>
          <w:fldChar w:fldCharType="begin"/>
        </w:r>
        <w:r>
          <w:rPr>
            <w:webHidden/>
          </w:rPr>
          <w:instrText xml:space="preserve"> PAGEREF _Toc58915773 \h </w:instrText>
        </w:r>
        <w:r>
          <w:rPr>
            <w:webHidden/>
          </w:rPr>
        </w:r>
        <w:r>
          <w:rPr>
            <w:webHidden/>
          </w:rPr>
          <w:fldChar w:fldCharType="separate"/>
        </w:r>
        <w:r w:rsidR="00231838">
          <w:rPr>
            <w:webHidden/>
          </w:rPr>
          <w:t>123</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74" w:history="1">
        <w:r w:rsidRPr="008830E2">
          <w:rPr>
            <w:rStyle w:val="Hyperlink"/>
            <w:rFonts w:ascii="Times New Roman" w:hAnsi="Times New Roman"/>
          </w:rPr>
          <w:t>3.4.1.1.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_Toc58915774 \h </w:instrText>
        </w:r>
        <w:r>
          <w:rPr>
            <w:webHidden/>
          </w:rPr>
        </w:r>
        <w:r>
          <w:rPr>
            <w:webHidden/>
          </w:rPr>
          <w:fldChar w:fldCharType="separate"/>
        </w:r>
        <w:r w:rsidR="00231838">
          <w:rPr>
            <w:webHidden/>
          </w:rPr>
          <w:t>123</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75" w:history="1">
        <w:r w:rsidRPr="008830E2">
          <w:rPr>
            <w:rStyle w:val="Hyperlink"/>
            <w:rFonts w:ascii="Times New Roman" w:hAnsi="Times New Roman"/>
          </w:rPr>
          <w:t>3.4.2.</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C 09.02 — Ripartizione geografica delle esposizioni per residenza del debitore: esposizioni cui è applicato il metodo IRB (CR GB 2)</w:t>
        </w:r>
        <w:r>
          <w:rPr>
            <w:webHidden/>
          </w:rPr>
          <w:tab/>
        </w:r>
        <w:r>
          <w:rPr>
            <w:webHidden/>
          </w:rPr>
          <w:fldChar w:fldCharType="begin"/>
        </w:r>
        <w:r>
          <w:rPr>
            <w:webHidden/>
          </w:rPr>
          <w:instrText xml:space="preserve"> PAGEREF _Toc58915775 \h </w:instrText>
        </w:r>
        <w:r>
          <w:rPr>
            <w:webHidden/>
          </w:rPr>
        </w:r>
        <w:r>
          <w:rPr>
            <w:webHidden/>
          </w:rPr>
          <w:fldChar w:fldCharType="separate"/>
        </w:r>
        <w:r w:rsidR="00231838">
          <w:rPr>
            <w:webHidden/>
          </w:rPr>
          <w:t>127</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76" w:history="1">
        <w:r w:rsidRPr="008830E2">
          <w:rPr>
            <w:rStyle w:val="Hyperlink"/>
            <w:rFonts w:ascii="Times New Roman" w:hAnsi="Times New Roman"/>
          </w:rPr>
          <w:t>3.4.2.1.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_Toc58915776 \h </w:instrText>
        </w:r>
        <w:r>
          <w:rPr>
            <w:webHidden/>
          </w:rPr>
        </w:r>
        <w:r>
          <w:rPr>
            <w:webHidden/>
          </w:rPr>
          <w:fldChar w:fldCharType="separate"/>
        </w:r>
        <w:r w:rsidR="00231838">
          <w:rPr>
            <w:webHidden/>
          </w:rPr>
          <w:t>127</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77" w:history="1">
        <w:r w:rsidRPr="008830E2">
          <w:rPr>
            <w:rStyle w:val="Hyperlink"/>
            <w:rFonts w:ascii="Times New Roman" w:hAnsi="Times New Roman"/>
          </w:rPr>
          <w:t>3.4.3.</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C 09.04 — Ripartizione delle esposizioni creditizie rilevanti ai fini del calcolo della riserva di capitale anticiclica per paese e del coefficiente anticiclico specifico dell</w:t>
        </w:r>
        <w:r w:rsidR="000878EC">
          <w:rPr>
            <w:rStyle w:val="Hyperlink"/>
            <w:rFonts w:ascii="Times New Roman" w:hAnsi="Times New Roman"/>
          </w:rPr>
          <w:t>'</w:t>
        </w:r>
        <w:r w:rsidRPr="008830E2">
          <w:rPr>
            <w:rStyle w:val="Hyperlink"/>
            <w:rFonts w:ascii="Times New Roman" w:hAnsi="Times New Roman"/>
          </w:rPr>
          <w:t>ente (CCB)</w:t>
        </w:r>
        <w:r>
          <w:rPr>
            <w:webHidden/>
          </w:rPr>
          <w:tab/>
        </w:r>
        <w:r>
          <w:rPr>
            <w:webHidden/>
          </w:rPr>
          <w:fldChar w:fldCharType="begin"/>
        </w:r>
        <w:r>
          <w:rPr>
            <w:webHidden/>
          </w:rPr>
          <w:instrText xml:space="preserve"> PAGEREF _Toc58915777 \h </w:instrText>
        </w:r>
        <w:r>
          <w:rPr>
            <w:webHidden/>
          </w:rPr>
        </w:r>
        <w:r>
          <w:rPr>
            <w:webHidden/>
          </w:rPr>
          <w:fldChar w:fldCharType="separate"/>
        </w:r>
        <w:r w:rsidR="00231838">
          <w:rPr>
            <w:webHidden/>
          </w:rPr>
          <w:t>130</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78" w:history="1">
        <w:r w:rsidRPr="008830E2">
          <w:rPr>
            <w:rStyle w:val="Hyperlink"/>
            <w:rFonts w:ascii="Times New Roman" w:hAnsi="Times New Roman"/>
          </w:rPr>
          <w:t>3.4.3.1.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Osservazioni di carattere generale</w:t>
        </w:r>
        <w:r>
          <w:rPr>
            <w:webHidden/>
          </w:rPr>
          <w:tab/>
        </w:r>
        <w:r>
          <w:rPr>
            <w:webHidden/>
          </w:rPr>
          <w:fldChar w:fldCharType="begin"/>
        </w:r>
        <w:r>
          <w:rPr>
            <w:webHidden/>
          </w:rPr>
          <w:instrText xml:space="preserve"> PAGEREF _Toc58915778 \h </w:instrText>
        </w:r>
        <w:r>
          <w:rPr>
            <w:webHidden/>
          </w:rPr>
        </w:r>
        <w:r>
          <w:rPr>
            <w:webHidden/>
          </w:rPr>
          <w:fldChar w:fldCharType="separate"/>
        </w:r>
        <w:r w:rsidR="00231838">
          <w:rPr>
            <w:webHidden/>
          </w:rPr>
          <w:t>130</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79" w:history="1">
        <w:r w:rsidRPr="008830E2">
          <w:rPr>
            <w:rStyle w:val="Hyperlink"/>
            <w:rFonts w:ascii="Times New Roman" w:hAnsi="Times New Roman"/>
          </w:rPr>
          <w:t>3.4.3.2.</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_Toc58915779 \h </w:instrText>
        </w:r>
        <w:r>
          <w:rPr>
            <w:webHidden/>
          </w:rPr>
        </w:r>
        <w:r>
          <w:rPr>
            <w:webHidden/>
          </w:rPr>
          <w:fldChar w:fldCharType="separate"/>
        </w:r>
        <w:r w:rsidR="00231838">
          <w:rPr>
            <w:webHidden/>
          </w:rPr>
          <w:t>131</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80" w:history="1">
        <w:r w:rsidRPr="008830E2">
          <w:rPr>
            <w:rStyle w:val="Hyperlink"/>
            <w:rFonts w:ascii="Times New Roman" w:hAnsi="Times New Roman"/>
          </w:rPr>
          <w:t>3.5.</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C 10.01 e C 10.02 — Esposizioni in strumenti di capitale in base al metodo IRB (CR EQU IRB 1 e CR EQU IRB 2)</w:t>
        </w:r>
        <w:r>
          <w:rPr>
            <w:webHidden/>
          </w:rPr>
          <w:tab/>
        </w:r>
        <w:r>
          <w:rPr>
            <w:webHidden/>
          </w:rPr>
          <w:fldChar w:fldCharType="begin"/>
        </w:r>
        <w:r>
          <w:rPr>
            <w:webHidden/>
          </w:rPr>
          <w:instrText xml:space="preserve"> PAGEREF _Toc58915780 \h </w:instrText>
        </w:r>
        <w:r>
          <w:rPr>
            <w:webHidden/>
          </w:rPr>
        </w:r>
        <w:r>
          <w:rPr>
            <w:webHidden/>
          </w:rPr>
          <w:fldChar w:fldCharType="separate"/>
        </w:r>
        <w:r w:rsidR="00231838">
          <w:rPr>
            <w:webHidden/>
          </w:rPr>
          <w:t>135</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81" w:history="1">
        <w:r w:rsidRPr="008830E2">
          <w:rPr>
            <w:rStyle w:val="Hyperlink"/>
            <w:rFonts w:ascii="Times New Roman" w:hAnsi="Times New Roman"/>
          </w:rPr>
          <w:t>3.5.1.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Osservazioni di carattere generale</w:t>
        </w:r>
        <w:r>
          <w:rPr>
            <w:webHidden/>
          </w:rPr>
          <w:tab/>
        </w:r>
        <w:r>
          <w:rPr>
            <w:webHidden/>
          </w:rPr>
          <w:fldChar w:fldCharType="begin"/>
        </w:r>
        <w:r>
          <w:rPr>
            <w:webHidden/>
          </w:rPr>
          <w:instrText xml:space="preserve"> PAGEREF _Toc58915781 \h </w:instrText>
        </w:r>
        <w:r>
          <w:rPr>
            <w:webHidden/>
          </w:rPr>
        </w:r>
        <w:r>
          <w:rPr>
            <w:webHidden/>
          </w:rPr>
          <w:fldChar w:fldCharType="separate"/>
        </w:r>
        <w:r w:rsidR="00231838">
          <w:rPr>
            <w:webHidden/>
          </w:rPr>
          <w:t>135</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82" w:history="1">
        <w:r w:rsidRPr="008830E2">
          <w:rPr>
            <w:rStyle w:val="Hyperlink"/>
            <w:rFonts w:ascii="Times New Roman" w:hAnsi="Times New Roman"/>
          </w:rPr>
          <w:t>3.5.2.</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Istruzioni relative a posizioni specifiche (valide sia per il modello CR EQU IRB 1 che per il modello CR EQU IRB 2)</w:t>
        </w:r>
        <w:r>
          <w:rPr>
            <w:webHidden/>
          </w:rPr>
          <w:tab/>
        </w:r>
        <w:r>
          <w:rPr>
            <w:webHidden/>
          </w:rPr>
          <w:fldChar w:fldCharType="begin"/>
        </w:r>
        <w:r>
          <w:rPr>
            <w:webHidden/>
          </w:rPr>
          <w:instrText xml:space="preserve"> PAGEREF _Toc58915782 \h </w:instrText>
        </w:r>
        <w:r>
          <w:rPr>
            <w:webHidden/>
          </w:rPr>
        </w:r>
        <w:r>
          <w:rPr>
            <w:webHidden/>
          </w:rPr>
          <w:fldChar w:fldCharType="separate"/>
        </w:r>
        <w:r w:rsidR="00231838">
          <w:rPr>
            <w:webHidden/>
          </w:rPr>
          <w:t>137</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83" w:history="1">
        <w:r w:rsidRPr="008830E2">
          <w:rPr>
            <w:rStyle w:val="Hyperlink"/>
            <w:rFonts w:ascii="Times New Roman" w:hAnsi="Times New Roman"/>
          </w:rPr>
          <w:t>3.6.</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C 11.00 – Rischio di regolamento/consegna (CR SETT)</w:t>
        </w:r>
        <w:r>
          <w:rPr>
            <w:webHidden/>
          </w:rPr>
          <w:tab/>
        </w:r>
        <w:r>
          <w:rPr>
            <w:webHidden/>
          </w:rPr>
          <w:fldChar w:fldCharType="begin"/>
        </w:r>
        <w:r>
          <w:rPr>
            <w:webHidden/>
          </w:rPr>
          <w:instrText xml:space="preserve"> PAGEREF _Toc58915783 \h </w:instrText>
        </w:r>
        <w:r>
          <w:rPr>
            <w:webHidden/>
          </w:rPr>
        </w:r>
        <w:r>
          <w:rPr>
            <w:webHidden/>
          </w:rPr>
          <w:fldChar w:fldCharType="separate"/>
        </w:r>
        <w:r w:rsidR="00231838">
          <w:rPr>
            <w:webHidden/>
          </w:rPr>
          <w:t>141</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84" w:history="1">
        <w:r w:rsidRPr="008830E2">
          <w:rPr>
            <w:rStyle w:val="Hyperlink"/>
            <w:rFonts w:ascii="Times New Roman" w:hAnsi="Times New Roman"/>
          </w:rPr>
          <w:t>3.6.1.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Osservazioni di carattere generale</w:t>
        </w:r>
        <w:r>
          <w:rPr>
            <w:webHidden/>
          </w:rPr>
          <w:tab/>
        </w:r>
        <w:r>
          <w:rPr>
            <w:webHidden/>
          </w:rPr>
          <w:fldChar w:fldCharType="begin"/>
        </w:r>
        <w:r>
          <w:rPr>
            <w:webHidden/>
          </w:rPr>
          <w:instrText xml:space="preserve"> PAGEREF _Toc58915784 \h </w:instrText>
        </w:r>
        <w:r>
          <w:rPr>
            <w:webHidden/>
          </w:rPr>
        </w:r>
        <w:r>
          <w:rPr>
            <w:webHidden/>
          </w:rPr>
          <w:fldChar w:fldCharType="separate"/>
        </w:r>
        <w:r w:rsidR="00231838">
          <w:rPr>
            <w:webHidden/>
          </w:rPr>
          <w:t>141</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85" w:history="1">
        <w:r w:rsidRPr="008830E2">
          <w:rPr>
            <w:rStyle w:val="Hyperlink"/>
            <w:rFonts w:ascii="Times New Roman" w:hAnsi="Times New Roman"/>
          </w:rPr>
          <w:t>3.6.2.</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_Toc58915785 \h </w:instrText>
        </w:r>
        <w:r>
          <w:rPr>
            <w:webHidden/>
          </w:rPr>
        </w:r>
        <w:r>
          <w:rPr>
            <w:webHidden/>
          </w:rPr>
          <w:fldChar w:fldCharType="separate"/>
        </w:r>
        <w:r w:rsidR="00231838">
          <w:rPr>
            <w:webHidden/>
          </w:rPr>
          <w:t>142</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86" w:history="1">
        <w:r w:rsidRPr="008830E2">
          <w:rPr>
            <w:rStyle w:val="Hyperlink"/>
            <w:rFonts w:ascii="Times New Roman" w:hAnsi="Times New Roman"/>
          </w:rPr>
          <w:t>3.7.</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C 13.01 - Rischio di credito – Cartolarizzazioni (CR SEC)</w:t>
        </w:r>
        <w:r>
          <w:rPr>
            <w:webHidden/>
          </w:rPr>
          <w:tab/>
        </w:r>
        <w:r>
          <w:rPr>
            <w:webHidden/>
          </w:rPr>
          <w:fldChar w:fldCharType="begin"/>
        </w:r>
        <w:r>
          <w:rPr>
            <w:webHidden/>
          </w:rPr>
          <w:instrText xml:space="preserve"> PAGEREF _Toc58915786 \h </w:instrText>
        </w:r>
        <w:r>
          <w:rPr>
            <w:webHidden/>
          </w:rPr>
        </w:r>
        <w:r>
          <w:rPr>
            <w:webHidden/>
          </w:rPr>
          <w:fldChar w:fldCharType="separate"/>
        </w:r>
        <w:r w:rsidR="00231838">
          <w:rPr>
            <w:webHidden/>
          </w:rPr>
          <w:t>144</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87" w:history="1">
        <w:r w:rsidRPr="008830E2">
          <w:rPr>
            <w:rStyle w:val="Hyperlink"/>
            <w:rFonts w:ascii="Times New Roman" w:hAnsi="Times New Roman"/>
          </w:rPr>
          <w:t>3.7.1.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Osservazioni di carattere generale</w:t>
        </w:r>
        <w:r>
          <w:rPr>
            <w:webHidden/>
          </w:rPr>
          <w:tab/>
        </w:r>
        <w:r>
          <w:rPr>
            <w:webHidden/>
          </w:rPr>
          <w:fldChar w:fldCharType="begin"/>
        </w:r>
        <w:r>
          <w:rPr>
            <w:webHidden/>
          </w:rPr>
          <w:instrText xml:space="preserve"> PAGEREF _Toc58915787 \h </w:instrText>
        </w:r>
        <w:r>
          <w:rPr>
            <w:webHidden/>
          </w:rPr>
        </w:r>
        <w:r>
          <w:rPr>
            <w:webHidden/>
          </w:rPr>
          <w:fldChar w:fldCharType="separate"/>
        </w:r>
        <w:r w:rsidR="00231838">
          <w:rPr>
            <w:webHidden/>
          </w:rPr>
          <w:t>144</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88" w:history="1">
        <w:r w:rsidRPr="008830E2">
          <w:rPr>
            <w:rStyle w:val="Hyperlink"/>
            <w:rFonts w:ascii="Times New Roman" w:hAnsi="Times New Roman"/>
          </w:rPr>
          <w:t>3.7.2.</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_Toc58915788 \h </w:instrText>
        </w:r>
        <w:r>
          <w:rPr>
            <w:webHidden/>
          </w:rPr>
        </w:r>
        <w:r>
          <w:rPr>
            <w:webHidden/>
          </w:rPr>
          <w:fldChar w:fldCharType="separate"/>
        </w:r>
        <w:r w:rsidR="00231838">
          <w:rPr>
            <w:webHidden/>
          </w:rPr>
          <w:t>144</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89" w:history="1">
        <w:r w:rsidRPr="008830E2">
          <w:rPr>
            <w:rStyle w:val="Hyperlink"/>
            <w:rFonts w:ascii="Times New Roman" w:hAnsi="Times New Roman"/>
          </w:rPr>
          <w:t>3.8</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Informazioni dettagliate sulle cartolarizzazioni</w:t>
        </w:r>
        <w:r w:rsidRPr="008830E2">
          <w:rPr>
            <w:rStyle w:val="Hyperlink"/>
          </w:rPr>
          <w:t xml:space="preserve"> </w:t>
        </w:r>
        <w:r w:rsidRPr="008830E2">
          <w:rPr>
            <w:rStyle w:val="Hyperlink"/>
            <w:rFonts w:ascii="Times New Roman" w:hAnsi="Times New Roman"/>
          </w:rPr>
          <w:t>(SEC DETAILS)</w:t>
        </w:r>
        <w:r>
          <w:rPr>
            <w:webHidden/>
          </w:rPr>
          <w:tab/>
        </w:r>
        <w:r>
          <w:rPr>
            <w:webHidden/>
          </w:rPr>
          <w:fldChar w:fldCharType="begin"/>
        </w:r>
        <w:r>
          <w:rPr>
            <w:webHidden/>
          </w:rPr>
          <w:instrText xml:space="preserve"> PAGEREF _Toc58915789 \h </w:instrText>
        </w:r>
        <w:r>
          <w:rPr>
            <w:webHidden/>
          </w:rPr>
        </w:r>
        <w:r>
          <w:rPr>
            <w:webHidden/>
          </w:rPr>
          <w:fldChar w:fldCharType="separate"/>
        </w:r>
        <w:r w:rsidR="00231838">
          <w:rPr>
            <w:webHidden/>
          </w:rPr>
          <w:t>157</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90" w:history="1">
        <w:r w:rsidRPr="008830E2">
          <w:rPr>
            <w:rStyle w:val="Hyperlink"/>
            <w:rFonts w:ascii="Times New Roman" w:hAnsi="Times New Roman"/>
          </w:rPr>
          <w:t>3.8.1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Ambito di applicazione del modello SEC DETAILS</w:t>
        </w:r>
        <w:r>
          <w:rPr>
            <w:webHidden/>
          </w:rPr>
          <w:tab/>
        </w:r>
        <w:r>
          <w:rPr>
            <w:webHidden/>
          </w:rPr>
          <w:fldChar w:fldCharType="begin"/>
        </w:r>
        <w:r>
          <w:rPr>
            <w:webHidden/>
          </w:rPr>
          <w:instrText xml:space="preserve"> PAGEREF _Toc58915790 \h </w:instrText>
        </w:r>
        <w:r>
          <w:rPr>
            <w:webHidden/>
          </w:rPr>
        </w:r>
        <w:r>
          <w:rPr>
            <w:webHidden/>
          </w:rPr>
          <w:fldChar w:fldCharType="separate"/>
        </w:r>
        <w:r w:rsidR="00231838">
          <w:rPr>
            <w:webHidden/>
          </w:rPr>
          <w:t>157</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91" w:history="1">
        <w:r w:rsidRPr="008830E2">
          <w:rPr>
            <w:rStyle w:val="Hyperlink"/>
            <w:rFonts w:ascii="Times New Roman" w:hAnsi="Times New Roman"/>
          </w:rPr>
          <w:t>3.8.2 Ripartizione del modello SEC DETAILS</w:t>
        </w:r>
        <w:r>
          <w:rPr>
            <w:webHidden/>
          </w:rPr>
          <w:tab/>
        </w:r>
        <w:r>
          <w:rPr>
            <w:webHidden/>
          </w:rPr>
          <w:fldChar w:fldCharType="begin"/>
        </w:r>
        <w:r>
          <w:rPr>
            <w:webHidden/>
          </w:rPr>
          <w:instrText xml:space="preserve"> PAGEREF _Toc58915791 \h </w:instrText>
        </w:r>
        <w:r>
          <w:rPr>
            <w:webHidden/>
          </w:rPr>
        </w:r>
        <w:r>
          <w:rPr>
            <w:webHidden/>
          </w:rPr>
          <w:fldChar w:fldCharType="separate"/>
        </w:r>
        <w:r w:rsidR="00231838">
          <w:rPr>
            <w:webHidden/>
          </w:rPr>
          <w:t>158</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92" w:history="1">
        <w:r w:rsidRPr="008830E2">
          <w:rPr>
            <w:rStyle w:val="Hyperlink"/>
            <w:rFonts w:ascii="Times New Roman" w:hAnsi="Times New Roman"/>
          </w:rPr>
          <w:t>3.8.3 C 14.00 – Informazioni dettagliate sulle cartolarizzazioni (SEC DETAILS)</w:t>
        </w:r>
        <w:r>
          <w:rPr>
            <w:webHidden/>
          </w:rPr>
          <w:tab/>
        </w:r>
        <w:r>
          <w:rPr>
            <w:webHidden/>
          </w:rPr>
          <w:fldChar w:fldCharType="begin"/>
        </w:r>
        <w:r>
          <w:rPr>
            <w:webHidden/>
          </w:rPr>
          <w:instrText xml:space="preserve"> PAGEREF _Toc58915792 \h </w:instrText>
        </w:r>
        <w:r>
          <w:rPr>
            <w:webHidden/>
          </w:rPr>
        </w:r>
        <w:r>
          <w:rPr>
            <w:webHidden/>
          </w:rPr>
          <w:fldChar w:fldCharType="separate"/>
        </w:r>
        <w:r w:rsidR="00231838">
          <w:rPr>
            <w:webHidden/>
          </w:rPr>
          <w:t>159</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93" w:history="1">
        <w:r w:rsidRPr="008830E2">
          <w:rPr>
            <w:rStyle w:val="Hyperlink"/>
            <w:rFonts w:ascii="Times New Roman" w:hAnsi="Times New Roman"/>
          </w:rPr>
          <w:t>3.8.4</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C 14.01 – Informazioni dettagliate sulle cartolarizzazioni (SEC DETAILS 2)</w:t>
        </w:r>
        <w:r>
          <w:rPr>
            <w:webHidden/>
          </w:rPr>
          <w:tab/>
        </w:r>
        <w:r>
          <w:rPr>
            <w:webHidden/>
          </w:rPr>
          <w:fldChar w:fldCharType="begin"/>
        </w:r>
        <w:r>
          <w:rPr>
            <w:webHidden/>
          </w:rPr>
          <w:instrText xml:space="preserve"> PAGEREF _Toc58915793 \h </w:instrText>
        </w:r>
        <w:r>
          <w:rPr>
            <w:webHidden/>
          </w:rPr>
        </w:r>
        <w:r>
          <w:rPr>
            <w:webHidden/>
          </w:rPr>
          <w:fldChar w:fldCharType="separate"/>
        </w:r>
        <w:r w:rsidR="00231838">
          <w:rPr>
            <w:webHidden/>
          </w:rPr>
          <w:t>172</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94" w:history="1">
        <w:r w:rsidRPr="008830E2">
          <w:rPr>
            <w:rStyle w:val="Hyperlink"/>
            <w:rFonts w:ascii="Times New Roman" w:hAnsi="Times New Roman"/>
          </w:rPr>
          <w:t>3.9.</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Rischio di controparte (CCR)</w:t>
        </w:r>
        <w:r>
          <w:rPr>
            <w:webHidden/>
          </w:rPr>
          <w:tab/>
        </w:r>
        <w:r>
          <w:rPr>
            <w:webHidden/>
          </w:rPr>
          <w:fldChar w:fldCharType="begin"/>
        </w:r>
        <w:r>
          <w:rPr>
            <w:webHidden/>
          </w:rPr>
          <w:instrText xml:space="preserve"> PAGEREF _Toc58915794 \h </w:instrText>
        </w:r>
        <w:r>
          <w:rPr>
            <w:webHidden/>
          </w:rPr>
        </w:r>
        <w:r>
          <w:rPr>
            <w:webHidden/>
          </w:rPr>
          <w:fldChar w:fldCharType="separate"/>
        </w:r>
        <w:r w:rsidR="00231838">
          <w:rPr>
            <w:webHidden/>
          </w:rPr>
          <w:t>176</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95" w:history="1">
        <w:r w:rsidRPr="008830E2">
          <w:rPr>
            <w:rStyle w:val="Hyperlink"/>
            <w:rFonts w:ascii="Times New Roman" w:hAnsi="Times New Roman"/>
          </w:rPr>
          <w:t>3.9.1.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Ambito di applicazione dei modelli per il rischio di controparte</w:t>
        </w:r>
        <w:r>
          <w:rPr>
            <w:webHidden/>
          </w:rPr>
          <w:tab/>
        </w:r>
        <w:r>
          <w:rPr>
            <w:webHidden/>
          </w:rPr>
          <w:fldChar w:fldCharType="begin"/>
        </w:r>
        <w:r>
          <w:rPr>
            <w:webHidden/>
          </w:rPr>
          <w:instrText xml:space="preserve"> PAGEREF _Toc58915795 \h </w:instrText>
        </w:r>
        <w:r>
          <w:rPr>
            <w:webHidden/>
          </w:rPr>
        </w:r>
        <w:r>
          <w:rPr>
            <w:webHidden/>
          </w:rPr>
          <w:fldChar w:fldCharType="separate"/>
        </w:r>
        <w:r w:rsidR="00231838">
          <w:rPr>
            <w:webHidden/>
          </w:rPr>
          <w:t>176</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96" w:history="1">
        <w:r w:rsidRPr="008830E2">
          <w:rPr>
            <w:rStyle w:val="Hyperlink"/>
            <w:rFonts w:ascii="Times New Roman" w:hAnsi="Times New Roman"/>
          </w:rPr>
          <w:t>3.9.2.</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C 34.01 - Entità delle operazioni su derivati</w:t>
        </w:r>
        <w:r>
          <w:rPr>
            <w:webHidden/>
          </w:rPr>
          <w:tab/>
        </w:r>
        <w:r>
          <w:rPr>
            <w:webHidden/>
          </w:rPr>
          <w:fldChar w:fldCharType="begin"/>
        </w:r>
        <w:r>
          <w:rPr>
            <w:webHidden/>
          </w:rPr>
          <w:instrText xml:space="preserve"> PAGEREF _Toc58915796 \h </w:instrText>
        </w:r>
        <w:r>
          <w:rPr>
            <w:webHidden/>
          </w:rPr>
        </w:r>
        <w:r>
          <w:rPr>
            <w:webHidden/>
          </w:rPr>
          <w:fldChar w:fldCharType="separate"/>
        </w:r>
        <w:r w:rsidR="00231838">
          <w:rPr>
            <w:webHidden/>
          </w:rPr>
          <w:t>176</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97" w:history="1">
        <w:r w:rsidRPr="008830E2">
          <w:rPr>
            <w:rStyle w:val="Hyperlink"/>
            <w:rFonts w:ascii="Times New Roman" w:hAnsi="Times New Roman"/>
          </w:rPr>
          <w:t>3.9.2.1.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Osservazioni di carattere generale</w:t>
        </w:r>
        <w:r>
          <w:rPr>
            <w:webHidden/>
          </w:rPr>
          <w:tab/>
        </w:r>
        <w:r>
          <w:rPr>
            <w:webHidden/>
          </w:rPr>
          <w:fldChar w:fldCharType="begin"/>
        </w:r>
        <w:r>
          <w:rPr>
            <w:webHidden/>
          </w:rPr>
          <w:instrText xml:space="preserve"> PAGEREF _Toc58915797 \h </w:instrText>
        </w:r>
        <w:r>
          <w:rPr>
            <w:webHidden/>
          </w:rPr>
        </w:r>
        <w:r>
          <w:rPr>
            <w:webHidden/>
          </w:rPr>
          <w:fldChar w:fldCharType="separate"/>
        </w:r>
        <w:r w:rsidR="00231838">
          <w:rPr>
            <w:webHidden/>
          </w:rPr>
          <w:t>176</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98" w:history="1">
        <w:r w:rsidRPr="008830E2">
          <w:rPr>
            <w:rStyle w:val="Hyperlink"/>
            <w:rFonts w:ascii="Times New Roman" w:hAnsi="Times New Roman"/>
          </w:rPr>
          <w:t>3.9.2.2.</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_Toc58915798 \h </w:instrText>
        </w:r>
        <w:r>
          <w:rPr>
            <w:webHidden/>
          </w:rPr>
        </w:r>
        <w:r>
          <w:rPr>
            <w:webHidden/>
          </w:rPr>
          <w:fldChar w:fldCharType="separate"/>
        </w:r>
        <w:r w:rsidR="00231838">
          <w:rPr>
            <w:webHidden/>
          </w:rPr>
          <w:t>177</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799" w:history="1">
        <w:r w:rsidRPr="008830E2">
          <w:rPr>
            <w:rStyle w:val="Hyperlink"/>
            <w:rFonts w:ascii="Times New Roman" w:hAnsi="Times New Roman"/>
          </w:rPr>
          <w:t>3.9.3.</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C 34.02 — Esposizioni soggette al CCR in base al metodo</w:t>
        </w:r>
        <w:r>
          <w:rPr>
            <w:webHidden/>
          </w:rPr>
          <w:tab/>
        </w:r>
        <w:r>
          <w:rPr>
            <w:webHidden/>
          </w:rPr>
          <w:fldChar w:fldCharType="begin"/>
        </w:r>
        <w:r>
          <w:rPr>
            <w:webHidden/>
          </w:rPr>
          <w:instrText xml:space="preserve"> PAGEREF _Toc58915799 \h </w:instrText>
        </w:r>
        <w:r>
          <w:rPr>
            <w:webHidden/>
          </w:rPr>
        </w:r>
        <w:r>
          <w:rPr>
            <w:webHidden/>
          </w:rPr>
          <w:fldChar w:fldCharType="separate"/>
        </w:r>
        <w:r w:rsidR="00231838">
          <w:rPr>
            <w:webHidden/>
          </w:rPr>
          <w:t>178</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00" w:history="1">
        <w:r w:rsidRPr="008830E2">
          <w:rPr>
            <w:rStyle w:val="Hyperlink"/>
            <w:rFonts w:ascii="Times New Roman" w:hAnsi="Times New Roman"/>
          </w:rPr>
          <w:t>3.9.3.1.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Osservazioni di carattere generale</w:t>
        </w:r>
        <w:r>
          <w:rPr>
            <w:webHidden/>
          </w:rPr>
          <w:tab/>
        </w:r>
        <w:r>
          <w:rPr>
            <w:webHidden/>
          </w:rPr>
          <w:fldChar w:fldCharType="begin"/>
        </w:r>
        <w:r>
          <w:rPr>
            <w:webHidden/>
          </w:rPr>
          <w:instrText xml:space="preserve"> PAGEREF _Toc58915800 \h </w:instrText>
        </w:r>
        <w:r>
          <w:rPr>
            <w:webHidden/>
          </w:rPr>
        </w:r>
        <w:r>
          <w:rPr>
            <w:webHidden/>
          </w:rPr>
          <w:fldChar w:fldCharType="separate"/>
        </w:r>
        <w:r w:rsidR="00231838">
          <w:rPr>
            <w:webHidden/>
          </w:rPr>
          <w:t>178</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01" w:history="1">
        <w:r w:rsidRPr="008830E2">
          <w:rPr>
            <w:rStyle w:val="Hyperlink"/>
            <w:rFonts w:ascii="Times New Roman" w:hAnsi="Times New Roman"/>
          </w:rPr>
          <w:t>3.9.3.2.</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_Toc58915801 \h </w:instrText>
        </w:r>
        <w:r>
          <w:rPr>
            <w:webHidden/>
          </w:rPr>
        </w:r>
        <w:r>
          <w:rPr>
            <w:webHidden/>
          </w:rPr>
          <w:fldChar w:fldCharType="separate"/>
        </w:r>
        <w:r w:rsidR="00231838">
          <w:rPr>
            <w:webHidden/>
          </w:rPr>
          <w:t>179</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02" w:history="1">
        <w:r w:rsidRPr="008830E2">
          <w:rPr>
            <w:rStyle w:val="Hyperlink"/>
            <w:rFonts w:ascii="Times New Roman" w:hAnsi="Times New Roman"/>
          </w:rPr>
          <w:t>3.9.4.</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C 34.03 - Esposizioni soggette al CCR trattate con metodi standardizzati: SA-CCR e SA-CCR semplificato</w:t>
        </w:r>
        <w:r>
          <w:rPr>
            <w:webHidden/>
          </w:rPr>
          <w:tab/>
        </w:r>
        <w:r>
          <w:rPr>
            <w:webHidden/>
          </w:rPr>
          <w:fldChar w:fldCharType="begin"/>
        </w:r>
        <w:r>
          <w:rPr>
            <w:webHidden/>
          </w:rPr>
          <w:instrText xml:space="preserve"> PAGEREF _Toc58915802 \h </w:instrText>
        </w:r>
        <w:r>
          <w:rPr>
            <w:webHidden/>
          </w:rPr>
        </w:r>
        <w:r>
          <w:rPr>
            <w:webHidden/>
          </w:rPr>
          <w:fldChar w:fldCharType="separate"/>
        </w:r>
        <w:r w:rsidR="00231838">
          <w:rPr>
            <w:webHidden/>
          </w:rPr>
          <w:t>185</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03" w:history="1">
        <w:r w:rsidRPr="008830E2">
          <w:rPr>
            <w:rStyle w:val="Hyperlink"/>
            <w:rFonts w:ascii="Times New Roman" w:hAnsi="Times New Roman"/>
          </w:rPr>
          <w:t>3.9.4.1.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Osservazioni di carattere generale</w:t>
        </w:r>
        <w:r>
          <w:rPr>
            <w:webHidden/>
          </w:rPr>
          <w:tab/>
        </w:r>
        <w:r>
          <w:rPr>
            <w:webHidden/>
          </w:rPr>
          <w:fldChar w:fldCharType="begin"/>
        </w:r>
        <w:r>
          <w:rPr>
            <w:webHidden/>
          </w:rPr>
          <w:instrText xml:space="preserve"> PAGEREF _Toc58915803 \h </w:instrText>
        </w:r>
        <w:r>
          <w:rPr>
            <w:webHidden/>
          </w:rPr>
        </w:r>
        <w:r>
          <w:rPr>
            <w:webHidden/>
          </w:rPr>
          <w:fldChar w:fldCharType="separate"/>
        </w:r>
        <w:r w:rsidR="00231838">
          <w:rPr>
            <w:webHidden/>
          </w:rPr>
          <w:t>185</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04" w:history="1">
        <w:r w:rsidRPr="008830E2">
          <w:rPr>
            <w:rStyle w:val="Hyperlink"/>
            <w:rFonts w:ascii="Times New Roman" w:hAnsi="Times New Roman"/>
          </w:rPr>
          <w:t>3.9.4.2.</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_Toc58915804 \h </w:instrText>
        </w:r>
        <w:r>
          <w:rPr>
            <w:webHidden/>
          </w:rPr>
        </w:r>
        <w:r>
          <w:rPr>
            <w:webHidden/>
          </w:rPr>
          <w:fldChar w:fldCharType="separate"/>
        </w:r>
        <w:r w:rsidR="00231838">
          <w:rPr>
            <w:webHidden/>
          </w:rPr>
          <w:t>186</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05" w:history="1">
        <w:r w:rsidRPr="008830E2">
          <w:rPr>
            <w:rStyle w:val="Hyperlink"/>
            <w:rFonts w:ascii="Times New Roman" w:hAnsi="Times New Roman"/>
          </w:rPr>
          <w:t>3.9.5.</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C 34.04 - Esposizioni soggette al CCR trattate con il metodo dell</w:t>
        </w:r>
        <w:r w:rsidR="000878EC">
          <w:rPr>
            <w:rStyle w:val="Hyperlink"/>
            <w:rFonts w:ascii="Times New Roman" w:hAnsi="Times New Roman"/>
          </w:rPr>
          <w:t>'</w:t>
        </w:r>
        <w:r w:rsidRPr="008830E2">
          <w:rPr>
            <w:rStyle w:val="Hyperlink"/>
            <w:rFonts w:ascii="Times New Roman" w:hAnsi="Times New Roman"/>
          </w:rPr>
          <w:t>esposizione originaria (OEM)</w:t>
        </w:r>
        <w:r>
          <w:rPr>
            <w:webHidden/>
          </w:rPr>
          <w:tab/>
        </w:r>
        <w:r>
          <w:rPr>
            <w:webHidden/>
          </w:rPr>
          <w:fldChar w:fldCharType="begin"/>
        </w:r>
        <w:r>
          <w:rPr>
            <w:webHidden/>
          </w:rPr>
          <w:instrText xml:space="preserve"> PAGEREF _Toc58915805 \h </w:instrText>
        </w:r>
        <w:r>
          <w:rPr>
            <w:webHidden/>
          </w:rPr>
        </w:r>
        <w:r>
          <w:rPr>
            <w:webHidden/>
          </w:rPr>
          <w:fldChar w:fldCharType="separate"/>
        </w:r>
        <w:r w:rsidR="00231838">
          <w:rPr>
            <w:webHidden/>
          </w:rPr>
          <w:t>188</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06" w:history="1">
        <w:r w:rsidRPr="008830E2">
          <w:rPr>
            <w:rStyle w:val="Hyperlink"/>
            <w:rFonts w:ascii="Times New Roman" w:hAnsi="Times New Roman"/>
          </w:rPr>
          <w:t>3.9.5.1.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_Toc58915806 \h </w:instrText>
        </w:r>
        <w:r>
          <w:rPr>
            <w:webHidden/>
          </w:rPr>
        </w:r>
        <w:r>
          <w:rPr>
            <w:webHidden/>
          </w:rPr>
          <w:fldChar w:fldCharType="separate"/>
        </w:r>
        <w:r w:rsidR="00231838">
          <w:rPr>
            <w:webHidden/>
          </w:rPr>
          <w:t>188</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07" w:history="1">
        <w:r w:rsidRPr="008830E2">
          <w:rPr>
            <w:rStyle w:val="Hyperlink"/>
            <w:rFonts w:ascii="Times New Roman" w:hAnsi="Times New Roman"/>
          </w:rPr>
          <w:t>3.9.6.</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C 34.05 - Esposizioni soggette al CCR trattate con il metodo dei modelli interni (IMM)</w:t>
        </w:r>
        <w:r>
          <w:rPr>
            <w:webHidden/>
          </w:rPr>
          <w:tab/>
        </w:r>
        <w:r>
          <w:rPr>
            <w:webHidden/>
          </w:rPr>
          <w:fldChar w:fldCharType="begin"/>
        </w:r>
        <w:r>
          <w:rPr>
            <w:webHidden/>
          </w:rPr>
          <w:instrText xml:space="preserve"> PAGEREF _Toc58915807 \h </w:instrText>
        </w:r>
        <w:r>
          <w:rPr>
            <w:webHidden/>
          </w:rPr>
        </w:r>
        <w:r>
          <w:rPr>
            <w:webHidden/>
          </w:rPr>
          <w:fldChar w:fldCharType="separate"/>
        </w:r>
        <w:r w:rsidR="00231838">
          <w:rPr>
            <w:webHidden/>
          </w:rPr>
          <w:t>189</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08" w:history="1">
        <w:r w:rsidRPr="008830E2">
          <w:rPr>
            <w:rStyle w:val="Hyperlink"/>
            <w:rFonts w:ascii="Times New Roman" w:hAnsi="Times New Roman"/>
          </w:rPr>
          <w:t>3.9.6.1.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_Toc58915808 \h </w:instrText>
        </w:r>
        <w:r>
          <w:rPr>
            <w:webHidden/>
          </w:rPr>
        </w:r>
        <w:r>
          <w:rPr>
            <w:webHidden/>
          </w:rPr>
          <w:fldChar w:fldCharType="separate"/>
        </w:r>
        <w:r w:rsidR="00231838">
          <w:rPr>
            <w:webHidden/>
          </w:rPr>
          <w:t>189</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09" w:history="1">
        <w:r w:rsidRPr="008830E2">
          <w:rPr>
            <w:rStyle w:val="Hyperlink"/>
            <w:rFonts w:ascii="Times New Roman" w:hAnsi="Times New Roman"/>
          </w:rPr>
          <w:t>3.9.7.</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C 34.06 - Principali venti controparti</w:t>
        </w:r>
        <w:r>
          <w:rPr>
            <w:webHidden/>
          </w:rPr>
          <w:tab/>
        </w:r>
        <w:r>
          <w:rPr>
            <w:webHidden/>
          </w:rPr>
          <w:fldChar w:fldCharType="begin"/>
        </w:r>
        <w:r>
          <w:rPr>
            <w:webHidden/>
          </w:rPr>
          <w:instrText xml:space="preserve"> PAGEREF _Toc58915809 \h </w:instrText>
        </w:r>
        <w:r>
          <w:rPr>
            <w:webHidden/>
          </w:rPr>
        </w:r>
        <w:r>
          <w:rPr>
            <w:webHidden/>
          </w:rPr>
          <w:fldChar w:fldCharType="separate"/>
        </w:r>
        <w:r w:rsidR="00231838">
          <w:rPr>
            <w:webHidden/>
          </w:rPr>
          <w:t>191</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10" w:history="1">
        <w:r w:rsidRPr="008830E2">
          <w:rPr>
            <w:rStyle w:val="Hyperlink"/>
            <w:rFonts w:ascii="Times New Roman" w:hAnsi="Times New Roman"/>
          </w:rPr>
          <w:t>3.9.7.1.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Osservazioni di carattere generale</w:t>
        </w:r>
        <w:r>
          <w:rPr>
            <w:webHidden/>
          </w:rPr>
          <w:tab/>
        </w:r>
        <w:r>
          <w:rPr>
            <w:webHidden/>
          </w:rPr>
          <w:fldChar w:fldCharType="begin"/>
        </w:r>
        <w:r>
          <w:rPr>
            <w:webHidden/>
          </w:rPr>
          <w:instrText xml:space="preserve"> PAGEREF _Toc58915810 \h </w:instrText>
        </w:r>
        <w:r>
          <w:rPr>
            <w:webHidden/>
          </w:rPr>
        </w:r>
        <w:r>
          <w:rPr>
            <w:webHidden/>
          </w:rPr>
          <w:fldChar w:fldCharType="separate"/>
        </w:r>
        <w:r w:rsidR="00231838">
          <w:rPr>
            <w:webHidden/>
          </w:rPr>
          <w:t>191</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11" w:history="1">
        <w:r w:rsidRPr="008830E2">
          <w:rPr>
            <w:rStyle w:val="Hyperlink"/>
            <w:rFonts w:ascii="Times New Roman" w:hAnsi="Times New Roman"/>
          </w:rPr>
          <w:t>3.9.7.2.</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_Toc58915811 \h </w:instrText>
        </w:r>
        <w:r>
          <w:rPr>
            <w:webHidden/>
          </w:rPr>
        </w:r>
        <w:r>
          <w:rPr>
            <w:webHidden/>
          </w:rPr>
          <w:fldChar w:fldCharType="separate"/>
        </w:r>
        <w:r w:rsidR="00231838">
          <w:rPr>
            <w:webHidden/>
          </w:rPr>
          <w:t>191</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12" w:history="1">
        <w:r w:rsidRPr="008830E2">
          <w:rPr>
            <w:rStyle w:val="Hyperlink"/>
            <w:rFonts w:ascii="Times New Roman" w:hAnsi="Times New Roman"/>
          </w:rPr>
          <w:t>3.9.8.</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C 34.07 - Metodo IRB - Esposizioni soggette al CCR in base alla classe di esposizioni e alla scala di PD</w:t>
        </w:r>
        <w:r>
          <w:rPr>
            <w:webHidden/>
          </w:rPr>
          <w:tab/>
        </w:r>
        <w:r>
          <w:rPr>
            <w:webHidden/>
          </w:rPr>
          <w:fldChar w:fldCharType="begin"/>
        </w:r>
        <w:r>
          <w:rPr>
            <w:webHidden/>
          </w:rPr>
          <w:instrText xml:space="preserve"> PAGEREF _Toc58915812 \h </w:instrText>
        </w:r>
        <w:r>
          <w:rPr>
            <w:webHidden/>
          </w:rPr>
        </w:r>
        <w:r>
          <w:rPr>
            <w:webHidden/>
          </w:rPr>
          <w:fldChar w:fldCharType="separate"/>
        </w:r>
        <w:r w:rsidR="00231838">
          <w:rPr>
            <w:webHidden/>
          </w:rPr>
          <w:t>193</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13" w:history="1">
        <w:r w:rsidRPr="008830E2">
          <w:rPr>
            <w:rStyle w:val="Hyperlink"/>
            <w:rFonts w:ascii="Times New Roman" w:hAnsi="Times New Roman"/>
          </w:rPr>
          <w:t>3.9.8.1.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Osservazioni di carattere generale</w:t>
        </w:r>
        <w:r>
          <w:rPr>
            <w:webHidden/>
          </w:rPr>
          <w:tab/>
        </w:r>
        <w:r>
          <w:rPr>
            <w:webHidden/>
          </w:rPr>
          <w:fldChar w:fldCharType="begin"/>
        </w:r>
        <w:r>
          <w:rPr>
            <w:webHidden/>
          </w:rPr>
          <w:instrText xml:space="preserve"> PAGEREF _Toc58915813 \h </w:instrText>
        </w:r>
        <w:r>
          <w:rPr>
            <w:webHidden/>
          </w:rPr>
        </w:r>
        <w:r>
          <w:rPr>
            <w:webHidden/>
          </w:rPr>
          <w:fldChar w:fldCharType="separate"/>
        </w:r>
        <w:r w:rsidR="00231838">
          <w:rPr>
            <w:webHidden/>
          </w:rPr>
          <w:t>193</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14" w:history="1">
        <w:r w:rsidRPr="008830E2">
          <w:rPr>
            <w:rStyle w:val="Hyperlink"/>
            <w:rFonts w:ascii="Times New Roman" w:hAnsi="Times New Roman"/>
          </w:rPr>
          <w:t>3.9.8.2.</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_Toc58915814 \h </w:instrText>
        </w:r>
        <w:r>
          <w:rPr>
            <w:webHidden/>
          </w:rPr>
        </w:r>
        <w:r>
          <w:rPr>
            <w:webHidden/>
          </w:rPr>
          <w:fldChar w:fldCharType="separate"/>
        </w:r>
        <w:r w:rsidR="00231838">
          <w:rPr>
            <w:webHidden/>
          </w:rPr>
          <w:t>194</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15" w:history="1">
        <w:r w:rsidRPr="008830E2">
          <w:rPr>
            <w:rStyle w:val="Hyperlink"/>
            <w:rFonts w:ascii="Times New Roman" w:hAnsi="Times New Roman"/>
          </w:rPr>
          <w:t>3.9.9.</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C 34.08 - Composizione delle garanzie reali per le esposizioni soggette al CCR</w:t>
        </w:r>
        <w:r>
          <w:rPr>
            <w:webHidden/>
          </w:rPr>
          <w:tab/>
        </w:r>
        <w:r>
          <w:rPr>
            <w:webHidden/>
          </w:rPr>
          <w:fldChar w:fldCharType="begin"/>
        </w:r>
        <w:r>
          <w:rPr>
            <w:webHidden/>
          </w:rPr>
          <w:instrText xml:space="preserve"> PAGEREF _Toc58915815 \h </w:instrText>
        </w:r>
        <w:r>
          <w:rPr>
            <w:webHidden/>
          </w:rPr>
        </w:r>
        <w:r>
          <w:rPr>
            <w:webHidden/>
          </w:rPr>
          <w:fldChar w:fldCharType="separate"/>
        </w:r>
        <w:r w:rsidR="00231838">
          <w:rPr>
            <w:webHidden/>
          </w:rPr>
          <w:t>195</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16" w:history="1">
        <w:r w:rsidRPr="008830E2">
          <w:rPr>
            <w:rStyle w:val="Hyperlink"/>
            <w:rFonts w:ascii="Times New Roman" w:hAnsi="Times New Roman"/>
          </w:rPr>
          <w:t>3.9.9.1.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Osservazioni di carattere generale</w:t>
        </w:r>
        <w:r>
          <w:rPr>
            <w:webHidden/>
          </w:rPr>
          <w:tab/>
        </w:r>
        <w:r>
          <w:rPr>
            <w:webHidden/>
          </w:rPr>
          <w:fldChar w:fldCharType="begin"/>
        </w:r>
        <w:r>
          <w:rPr>
            <w:webHidden/>
          </w:rPr>
          <w:instrText xml:space="preserve"> PAGEREF _Toc58915816 \h </w:instrText>
        </w:r>
        <w:r>
          <w:rPr>
            <w:webHidden/>
          </w:rPr>
        </w:r>
        <w:r>
          <w:rPr>
            <w:webHidden/>
          </w:rPr>
          <w:fldChar w:fldCharType="separate"/>
        </w:r>
        <w:r w:rsidR="00231838">
          <w:rPr>
            <w:webHidden/>
          </w:rPr>
          <w:t>195</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17" w:history="1">
        <w:r w:rsidRPr="008830E2">
          <w:rPr>
            <w:rStyle w:val="Hyperlink"/>
            <w:rFonts w:ascii="Times New Roman" w:hAnsi="Times New Roman"/>
          </w:rPr>
          <w:t>3.9.9.2.</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_Toc58915817 \h </w:instrText>
        </w:r>
        <w:r>
          <w:rPr>
            <w:webHidden/>
          </w:rPr>
        </w:r>
        <w:r>
          <w:rPr>
            <w:webHidden/>
          </w:rPr>
          <w:fldChar w:fldCharType="separate"/>
        </w:r>
        <w:r w:rsidR="00231838">
          <w:rPr>
            <w:webHidden/>
          </w:rPr>
          <w:t>196</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18" w:history="1">
        <w:r w:rsidRPr="008830E2">
          <w:rPr>
            <w:rStyle w:val="Hyperlink"/>
            <w:rFonts w:ascii="Times New Roman" w:hAnsi="Times New Roman"/>
          </w:rPr>
          <w:t>3.9.10.</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C 34.09 - Esposizioni in derivati su crediti</w:t>
        </w:r>
        <w:r>
          <w:rPr>
            <w:webHidden/>
          </w:rPr>
          <w:tab/>
        </w:r>
        <w:r>
          <w:rPr>
            <w:webHidden/>
          </w:rPr>
          <w:fldChar w:fldCharType="begin"/>
        </w:r>
        <w:r>
          <w:rPr>
            <w:webHidden/>
          </w:rPr>
          <w:instrText xml:space="preserve"> PAGEREF _Toc58915818 \h </w:instrText>
        </w:r>
        <w:r>
          <w:rPr>
            <w:webHidden/>
          </w:rPr>
        </w:r>
        <w:r>
          <w:rPr>
            <w:webHidden/>
          </w:rPr>
          <w:fldChar w:fldCharType="separate"/>
        </w:r>
        <w:r w:rsidR="00231838">
          <w:rPr>
            <w:webHidden/>
          </w:rPr>
          <w:t>197</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19" w:history="1">
        <w:r w:rsidRPr="008830E2">
          <w:rPr>
            <w:rStyle w:val="Hyperlink"/>
            <w:rFonts w:ascii="Times New Roman" w:hAnsi="Times New Roman"/>
          </w:rPr>
          <w:t>3.9.10.1.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_Toc58915819 \h </w:instrText>
        </w:r>
        <w:r>
          <w:rPr>
            <w:webHidden/>
          </w:rPr>
        </w:r>
        <w:r>
          <w:rPr>
            <w:webHidden/>
          </w:rPr>
          <w:fldChar w:fldCharType="separate"/>
        </w:r>
        <w:r w:rsidR="00231838">
          <w:rPr>
            <w:webHidden/>
          </w:rPr>
          <w:t>197</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20" w:history="1">
        <w:r w:rsidRPr="008830E2">
          <w:rPr>
            <w:rStyle w:val="Hyperlink"/>
            <w:rFonts w:ascii="Times New Roman" w:hAnsi="Times New Roman"/>
          </w:rPr>
          <w:t>3.9.11.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C 34.10 — Esposizioni verso CCP</w:t>
        </w:r>
        <w:r>
          <w:rPr>
            <w:webHidden/>
          </w:rPr>
          <w:tab/>
        </w:r>
        <w:r>
          <w:rPr>
            <w:webHidden/>
          </w:rPr>
          <w:fldChar w:fldCharType="begin"/>
        </w:r>
        <w:r>
          <w:rPr>
            <w:webHidden/>
          </w:rPr>
          <w:instrText xml:space="preserve"> PAGEREF _Toc58915820 \h </w:instrText>
        </w:r>
        <w:r>
          <w:rPr>
            <w:webHidden/>
          </w:rPr>
        </w:r>
        <w:r>
          <w:rPr>
            <w:webHidden/>
          </w:rPr>
          <w:fldChar w:fldCharType="separate"/>
        </w:r>
        <w:r w:rsidR="00231838">
          <w:rPr>
            <w:webHidden/>
          </w:rPr>
          <w:t>197</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21" w:history="1">
        <w:r w:rsidRPr="008830E2">
          <w:rPr>
            <w:rStyle w:val="Hyperlink"/>
            <w:rFonts w:ascii="Times New Roman" w:hAnsi="Times New Roman"/>
          </w:rPr>
          <w:t>3.9.11.1.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Osservazioni di carattere generale</w:t>
        </w:r>
        <w:r>
          <w:rPr>
            <w:webHidden/>
          </w:rPr>
          <w:tab/>
        </w:r>
        <w:r>
          <w:rPr>
            <w:webHidden/>
          </w:rPr>
          <w:fldChar w:fldCharType="begin"/>
        </w:r>
        <w:r>
          <w:rPr>
            <w:webHidden/>
          </w:rPr>
          <w:instrText xml:space="preserve"> PAGEREF _Toc58915821 \h </w:instrText>
        </w:r>
        <w:r>
          <w:rPr>
            <w:webHidden/>
          </w:rPr>
        </w:r>
        <w:r>
          <w:rPr>
            <w:webHidden/>
          </w:rPr>
          <w:fldChar w:fldCharType="separate"/>
        </w:r>
        <w:r w:rsidR="00231838">
          <w:rPr>
            <w:webHidden/>
          </w:rPr>
          <w:t>197</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22" w:history="1">
        <w:r w:rsidRPr="008830E2">
          <w:rPr>
            <w:rStyle w:val="Hyperlink"/>
            <w:rFonts w:ascii="Times New Roman" w:hAnsi="Times New Roman"/>
          </w:rPr>
          <w:t>3.9.11.2.</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_Toc58915822 \h </w:instrText>
        </w:r>
        <w:r>
          <w:rPr>
            <w:webHidden/>
          </w:rPr>
        </w:r>
        <w:r>
          <w:rPr>
            <w:webHidden/>
          </w:rPr>
          <w:fldChar w:fldCharType="separate"/>
        </w:r>
        <w:r w:rsidR="00231838">
          <w:rPr>
            <w:webHidden/>
          </w:rPr>
          <w:t>198</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23" w:history="1">
        <w:r w:rsidRPr="008830E2">
          <w:rPr>
            <w:rStyle w:val="Hyperlink"/>
            <w:rFonts w:ascii="Times New Roman" w:hAnsi="Times New Roman"/>
          </w:rPr>
          <w:t>3.9.12.</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C 34.11 - Prospetti degli importi ponderati per il rischio delle esposizioni (RWEA) soggette al CCR nell</w:t>
        </w:r>
        <w:r w:rsidR="000878EC">
          <w:rPr>
            <w:rStyle w:val="Hyperlink"/>
            <w:rFonts w:ascii="Times New Roman" w:hAnsi="Times New Roman"/>
          </w:rPr>
          <w:t>'</w:t>
        </w:r>
        <w:r w:rsidRPr="008830E2">
          <w:rPr>
            <w:rStyle w:val="Hyperlink"/>
            <w:rFonts w:ascii="Times New Roman" w:hAnsi="Times New Roman"/>
          </w:rPr>
          <w:t>ambito dell</w:t>
        </w:r>
        <w:r w:rsidR="000878EC">
          <w:rPr>
            <w:rStyle w:val="Hyperlink"/>
            <w:rFonts w:ascii="Times New Roman" w:hAnsi="Times New Roman"/>
          </w:rPr>
          <w:t>'</w:t>
        </w:r>
        <w:r w:rsidRPr="008830E2">
          <w:rPr>
            <w:rStyle w:val="Hyperlink"/>
            <w:rFonts w:ascii="Times New Roman" w:hAnsi="Times New Roman"/>
          </w:rPr>
          <w:t>IMM</w:t>
        </w:r>
        <w:r>
          <w:rPr>
            <w:webHidden/>
          </w:rPr>
          <w:tab/>
        </w:r>
        <w:r>
          <w:rPr>
            <w:webHidden/>
          </w:rPr>
          <w:fldChar w:fldCharType="begin"/>
        </w:r>
        <w:r>
          <w:rPr>
            <w:webHidden/>
          </w:rPr>
          <w:instrText xml:space="preserve"> PAGEREF _Toc58915823 \h </w:instrText>
        </w:r>
        <w:r>
          <w:rPr>
            <w:webHidden/>
          </w:rPr>
        </w:r>
        <w:r>
          <w:rPr>
            <w:webHidden/>
          </w:rPr>
          <w:fldChar w:fldCharType="separate"/>
        </w:r>
        <w:r w:rsidR="00231838">
          <w:rPr>
            <w:webHidden/>
          </w:rPr>
          <w:t>199</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24" w:history="1">
        <w:r w:rsidRPr="008830E2">
          <w:rPr>
            <w:rStyle w:val="Hyperlink"/>
            <w:rFonts w:ascii="Times New Roman" w:hAnsi="Times New Roman"/>
          </w:rPr>
          <w:t>3.9.12.1.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Osservazioni di carattere generale</w:t>
        </w:r>
        <w:r>
          <w:rPr>
            <w:webHidden/>
          </w:rPr>
          <w:tab/>
        </w:r>
        <w:r>
          <w:rPr>
            <w:webHidden/>
          </w:rPr>
          <w:fldChar w:fldCharType="begin"/>
        </w:r>
        <w:r>
          <w:rPr>
            <w:webHidden/>
          </w:rPr>
          <w:instrText xml:space="preserve"> PAGEREF _Toc58915824 \h </w:instrText>
        </w:r>
        <w:r>
          <w:rPr>
            <w:webHidden/>
          </w:rPr>
        </w:r>
        <w:r>
          <w:rPr>
            <w:webHidden/>
          </w:rPr>
          <w:fldChar w:fldCharType="separate"/>
        </w:r>
        <w:r w:rsidR="00231838">
          <w:rPr>
            <w:webHidden/>
          </w:rPr>
          <w:t>199</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25" w:history="1">
        <w:r w:rsidRPr="008830E2">
          <w:rPr>
            <w:rStyle w:val="Hyperlink"/>
            <w:rFonts w:ascii="Times New Roman" w:hAnsi="Times New Roman"/>
          </w:rPr>
          <w:t>3.9.12.2.</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_Toc58915825 \h </w:instrText>
        </w:r>
        <w:r>
          <w:rPr>
            <w:webHidden/>
          </w:rPr>
        </w:r>
        <w:r>
          <w:rPr>
            <w:webHidden/>
          </w:rPr>
          <w:fldChar w:fldCharType="separate"/>
        </w:r>
        <w:r w:rsidR="00231838">
          <w:rPr>
            <w:webHidden/>
          </w:rPr>
          <w:t>199</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26" w:history="1">
        <w:r w:rsidRPr="008830E2">
          <w:rPr>
            <w:rStyle w:val="Hyperlink"/>
            <w:rFonts w:ascii="Times New Roman" w:hAnsi="Times New Roman"/>
          </w:rPr>
          <w:t>4</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Modelli relativi al rischio operativo</w:t>
        </w:r>
        <w:r>
          <w:rPr>
            <w:webHidden/>
          </w:rPr>
          <w:tab/>
        </w:r>
        <w:r>
          <w:rPr>
            <w:webHidden/>
          </w:rPr>
          <w:fldChar w:fldCharType="begin"/>
        </w:r>
        <w:r>
          <w:rPr>
            <w:webHidden/>
          </w:rPr>
          <w:instrText xml:space="preserve"> PAGEREF _Toc58915826 \h </w:instrText>
        </w:r>
        <w:r>
          <w:rPr>
            <w:webHidden/>
          </w:rPr>
        </w:r>
        <w:r>
          <w:rPr>
            <w:webHidden/>
          </w:rPr>
          <w:fldChar w:fldCharType="separate"/>
        </w:r>
        <w:r w:rsidR="00231838">
          <w:rPr>
            <w:webHidden/>
          </w:rPr>
          <w:t>201</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27" w:history="1">
        <w:r w:rsidRPr="008830E2">
          <w:rPr>
            <w:rStyle w:val="Hyperlink"/>
            <w:rFonts w:ascii="Times New Roman" w:hAnsi="Times New Roman"/>
          </w:rPr>
          <w:t>4.1</w:t>
        </w:r>
        <w:r>
          <w:rPr>
            <w:rFonts w:asciiTheme="minorHAnsi" w:eastAsiaTheme="minorEastAsia" w:hAnsiTheme="minorHAnsi" w:cstheme="minorBidi"/>
            <w:b w:val="0"/>
            <w:smallCaps w:val="0"/>
            <w:sz w:val="22"/>
            <w:lang w:eastAsia="it-IT"/>
          </w:rPr>
          <w:tab/>
        </w:r>
        <w:r w:rsidRPr="008830E2">
          <w:rPr>
            <w:rStyle w:val="Hyperlink"/>
          </w:rPr>
          <w:t xml:space="preserve"> </w:t>
        </w:r>
        <w:r w:rsidRPr="008830E2">
          <w:rPr>
            <w:rStyle w:val="Hyperlink"/>
            <w:rFonts w:ascii="Times New Roman" w:hAnsi="Times New Roman"/>
          </w:rPr>
          <w:t>C 16.00 – Rischio operativo (OPR)</w:t>
        </w:r>
        <w:r>
          <w:rPr>
            <w:webHidden/>
          </w:rPr>
          <w:tab/>
        </w:r>
        <w:r>
          <w:rPr>
            <w:webHidden/>
          </w:rPr>
          <w:fldChar w:fldCharType="begin"/>
        </w:r>
        <w:r>
          <w:rPr>
            <w:webHidden/>
          </w:rPr>
          <w:instrText xml:space="preserve"> PAGEREF _Toc58915827 \h </w:instrText>
        </w:r>
        <w:r>
          <w:rPr>
            <w:webHidden/>
          </w:rPr>
        </w:r>
        <w:r>
          <w:rPr>
            <w:webHidden/>
          </w:rPr>
          <w:fldChar w:fldCharType="separate"/>
        </w:r>
        <w:r w:rsidR="00231838">
          <w:rPr>
            <w:webHidden/>
          </w:rPr>
          <w:t>201</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28" w:history="1">
        <w:r w:rsidRPr="008830E2">
          <w:rPr>
            <w:rStyle w:val="Hyperlink"/>
            <w:rFonts w:ascii="Times New Roman" w:hAnsi="Times New Roman"/>
          </w:rPr>
          <w:t>4.1.1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Osservazioni di carattere generale</w:t>
        </w:r>
        <w:r>
          <w:rPr>
            <w:webHidden/>
          </w:rPr>
          <w:tab/>
        </w:r>
        <w:r>
          <w:rPr>
            <w:webHidden/>
          </w:rPr>
          <w:fldChar w:fldCharType="begin"/>
        </w:r>
        <w:r>
          <w:rPr>
            <w:webHidden/>
          </w:rPr>
          <w:instrText xml:space="preserve"> PAGEREF _Toc58915828 \h </w:instrText>
        </w:r>
        <w:r>
          <w:rPr>
            <w:webHidden/>
          </w:rPr>
        </w:r>
        <w:r>
          <w:rPr>
            <w:webHidden/>
          </w:rPr>
          <w:fldChar w:fldCharType="separate"/>
        </w:r>
        <w:r w:rsidR="00231838">
          <w:rPr>
            <w:webHidden/>
          </w:rPr>
          <w:t>201</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29" w:history="1">
        <w:r w:rsidRPr="008830E2">
          <w:rPr>
            <w:rStyle w:val="Hyperlink"/>
            <w:rFonts w:ascii="Times New Roman" w:hAnsi="Times New Roman"/>
          </w:rPr>
          <w:t>4.1.2.</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_Toc58915829 \h </w:instrText>
        </w:r>
        <w:r>
          <w:rPr>
            <w:webHidden/>
          </w:rPr>
        </w:r>
        <w:r>
          <w:rPr>
            <w:webHidden/>
          </w:rPr>
          <w:fldChar w:fldCharType="separate"/>
        </w:r>
        <w:r w:rsidR="00231838">
          <w:rPr>
            <w:webHidden/>
          </w:rPr>
          <w:t>202</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30" w:history="1">
        <w:r w:rsidRPr="008830E2">
          <w:rPr>
            <w:rStyle w:val="Hyperlink"/>
            <w:rFonts w:ascii="Times New Roman" w:hAnsi="Times New Roman"/>
          </w:rPr>
          <w:t>4.2.</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Rischio operativo: informazioni dettagliate sulle perdite nel corso dell</w:t>
        </w:r>
        <w:r w:rsidR="000878EC">
          <w:rPr>
            <w:rStyle w:val="Hyperlink"/>
            <w:rFonts w:ascii="Times New Roman" w:hAnsi="Times New Roman"/>
          </w:rPr>
          <w:t>'</w:t>
        </w:r>
        <w:r w:rsidRPr="008830E2">
          <w:rPr>
            <w:rStyle w:val="Hyperlink"/>
            <w:rFonts w:ascii="Times New Roman" w:hAnsi="Times New Roman"/>
          </w:rPr>
          <w:t>ultimo anno (OPR DETAILS)</w:t>
        </w:r>
        <w:r>
          <w:rPr>
            <w:webHidden/>
          </w:rPr>
          <w:tab/>
        </w:r>
        <w:r>
          <w:rPr>
            <w:webHidden/>
          </w:rPr>
          <w:fldChar w:fldCharType="begin"/>
        </w:r>
        <w:r>
          <w:rPr>
            <w:webHidden/>
          </w:rPr>
          <w:instrText xml:space="preserve"> PAGEREF _Toc58915830 \h </w:instrText>
        </w:r>
        <w:r>
          <w:rPr>
            <w:webHidden/>
          </w:rPr>
        </w:r>
        <w:r>
          <w:rPr>
            <w:webHidden/>
          </w:rPr>
          <w:fldChar w:fldCharType="separate"/>
        </w:r>
        <w:r w:rsidR="00231838">
          <w:rPr>
            <w:webHidden/>
          </w:rPr>
          <w:t>206</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31" w:history="1">
        <w:r w:rsidRPr="008830E2">
          <w:rPr>
            <w:rStyle w:val="Hyperlink"/>
            <w:rFonts w:ascii="Times New Roman" w:hAnsi="Times New Roman"/>
          </w:rPr>
          <w:t>4.2.1.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Osservazioni di carattere generale</w:t>
        </w:r>
        <w:r>
          <w:rPr>
            <w:webHidden/>
          </w:rPr>
          <w:tab/>
        </w:r>
        <w:r>
          <w:rPr>
            <w:webHidden/>
          </w:rPr>
          <w:fldChar w:fldCharType="begin"/>
        </w:r>
        <w:r>
          <w:rPr>
            <w:webHidden/>
          </w:rPr>
          <w:instrText xml:space="preserve"> PAGEREF _Toc58915831 \h </w:instrText>
        </w:r>
        <w:r>
          <w:rPr>
            <w:webHidden/>
          </w:rPr>
        </w:r>
        <w:r>
          <w:rPr>
            <w:webHidden/>
          </w:rPr>
          <w:fldChar w:fldCharType="separate"/>
        </w:r>
        <w:r w:rsidR="00231838">
          <w:rPr>
            <w:webHidden/>
          </w:rPr>
          <w:t>206</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32" w:history="1">
        <w:r w:rsidRPr="008830E2">
          <w:rPr>
            <w:rStyle w:val="Hyperlink"/>
            <w:rFonts w:ascii="Times New Roman" w:hAnsi="Times New Roman"/>
          </w:rPr>
          <w:t>4.2.2.</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C 17.01: Perdite e recuperi da rischio operativo per linea di business e tipologia di evento di perdita nell</w:t>
        </w:r>
        <w:r w:rsidR="000878EC">
          <w:rPr>
            <w:rStyle w:val="Hyperlink"/>
            <w:rFonts w:ascii="Times New Roman" w:hAnsi="Times New Roman"/>
          </w:rPr>
          <w:t>'</w:t>
        </w:r>
        <w:r w:rsidRPr="008830E2">
          <w:rPr>
            <w:rStyle w:val="Hyperlink"/>
            <w:rFonts w:ascii="Times New Roman" w:hAnsi="Times New Roman"/>
          </w:rPr>
          <w:t>ultimo anno (OPR DETAILS 1)</w:t>
        </w:r>
        <w:r>
          <w:rPr>
            <w:webHidden/>
          </w:rPr>
          <w:tab/>
        </w:r>
        <w:r>
          <w:rPr>
            <w:webHidden/>
          </w:rPr>
          <w:fldChar w:fldCharType="begin"/>
        </w:r>
        <w:r>
          <w:rPr>
            <w:webHidden/>
          </w:rPr>
          <w:instrText xml:space="preserve"> PAGEREF _Toc58915832 \h </w:instrText>
        </w:r>
        <w:r>
          <w:rPr>
            <w:webHidden/>
          </w:rPr>
        </w:r>
        <w:r>
          <w:rPr>
            <w:webHidden/>
          </w:rPr>
          <w:fldChar w:fldCharType="separate"/>
        </w:r>
        <w:r w:rsidR="00231838">
          <w:rPr>
            <w:webHidden/>
          </w:rPr>
          <w:t>207</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33" w:history="1">
        <w:r w:rsidRPr="008830E2">
          <w:rPr>
            <w:rStyle w:val="Hyperlink"/>
            <w:rFonts w:ascii="Times New Roman" w:hAnsi="Times New Roman"/>
          </w:rPr>
          <w:t>4.2.2.1.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Osservazioni di carattere generale</w:t>
        </w:r>
        <w:r>
          <w:rPr>
            <w:webHidden/>
          </w:rPr>
          <w:tab/>
        </w:r>
        <w:r>
          <w:rPr>
            <w:webHidden/>
          </w:rPr>
          <w:fldChar w:fldCharType="begin"/>
        </w:r>
        <w:r>
          <w:rPr>
            <w:webHidden/>
          </w:rPr>
          <w:instrText xml:space="preserve"> PAGEREF _Toc58915833 \h </w:instrText>
        </w:r>
        <w:r>
          <w:rPr>
            <w:webHidden/>
          </w:rPr>
        </w:r>
        <w:r>
          <w:rPr>
            <w:webHidden/>
          </w:rPr>
          <w:fldChar w:fldCharType="separate"/>
        </w:r>
        <w:r w:rsidR="00231838">
          <w:rPr>
            <w:webHidden/>
          </w:rPr>
          <w:t>207</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34" w:history="1">
        <w:r w:rsidRPr="008830E2">
          <w:rPr>
            <w:rStyle w:val="Hyperlink"/>
            <w:rFonts w:ascii="Times New Roman" w:hAnsi="Times New Roman"/>
          </w:rPr>
          <w:t>4.2.2.2.</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_Toc58915834 \h </w:instrText>
        </w:r>
        <w:r>
          <w:rPr>
            <w:webHidden/>
          </w:rPr>
        </w:r>
        <w:r>
          <w:rPr>
            <w:webHidden/>
          </w:rPr>
          <w:fldChar w:fldCharType="separate"/>
        </w:r>
        <w:r w:rsidR="00231838">
          <w:rPr>
            <w:webHidden/>
          </w:rPr>
          <w:t>208</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35" w:history="1">
        <w:r w:rsidRPr="008830E2">
          <w:rPr>
            <w:rStyle w:val="Hyperlink"/>
            <w:rFonts w:ascii="Times New Roman" w:hAnsi="Times New Roman"/>
          </w:rPr>
          <w:t>4.2.3.</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C 17.02: Rischio operativo: informazioni dettagliate sui principali eventi di perdita nel corso dell</w:t>
        </w:r>
        <w:r w:rsidR="000878EC">
          <w:rPr>
            <w:rStyle w:val="Hyperlink"/>
            <w:rFonts w:ascii="Times New Roman" w:hAnsi="Times New Roman"/>
          </w:rPr>
          <w:t>'</w:t>
        </w:r>
        <w:r w:rsidRPr="008830E2">
          <w:rPr>
            <w:rStyle w:val="Hyperlink"/>
            <w:rFonts w:ascii="Times New Roman" w:hAnsi="Times New Roman"/>
          </w:rPr>
          <w:t>ultimo anno (OPR DETAILS 2)</w:t>
        </w:r>
        <w:r>
          <w:rPr>
            <w:webHidden/>
          </w:rPr>
          <w:tab/>
        </w:r>
        <w:r>
          <w:rPr>
            <w:webHidden/>
          </w:rPr>
          <w:fldChar w:fldCharType="begin"/>
        </w:r>
        <w:r>
          <w:rPr>
            <w:webHidden/>
          </w:rPr>
          <w:instrText xml:space="preserve"> PAGEREF _Toc58915835 \h </w:instrText>
        </w:r>
        <w:r>
          <w:rPr>
            <w:webHidden/>
          </w:rPr>
        </w:r>
        <w:r>
          <w:rPr>
            <w:webHidden/>
          </w:rPr>
          <w:fldChar w:fldCharType="separate"/>
        </w:r>
        <w:r w:rsidR="00231838">
          <w:rPr>
            <w:webHidden/>
          </w:rPr>
          <w:t>215</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36" w:history="1">
        <w:r w:rsidRPr="008830E2">
          <w:rPr>
            <w:rStyle w:val="Hyperlink"/>
            <w:rFonts w:ascii="Times New Roman" w:hAnsi="Times New Roman"/>
          </w:rPr>
          <w:t>4.2.3.1.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Osservazioni di carattere generale</w:t>
        </w:r>
        <w:r>
          <w:rPr>
            <w:webHidden/>
          </w:rPr>
          <w:tab/>
        </w:r>
        <w:r>
          <w:rPr>
            <w:webHidden/>
          </w:rPr>
          <w:fldChar w:fldCharType="begin"/>
        </w:r>
        <w:r>
          <w:rPr>
            <w:webHidden/>
          </w:rPr>
          <w:instrText xml:space="preserve"> PAGEREF _Toc58915836 \h </w:instrText>
        </w:r>
        <w:r>
          <w:rPr>
            <w:webHidden/>
          </w:rPr>
        </w:r>
        <w:r>
          <w:rPr>
            <w:webHidden/>
          </w:rPr>
          <w:fldChar w:fldCharType="separate"/>
        </w:r>
        <w:r w:rsidR="00231838">
          <w:rPr>
            <w:webHidden/>
          </w:rPr>
          <w:t>215</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37" w:history="1">
        <w:r w:rsidRPr="008830E2">
          <w:rPr>
            <w:rStyle w:val="Hyperlink"/>
            <w:rFonts w:ascii="Times New Roman" w:hAnsi="Times New Roman"/>
          </w:rPr>
          <w:t>4.2.3.2.</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_Toc58915837 \h </w:instrText>
        </w:r>
        <w:r>
          <w:rPr>
            <w:webHidden/>
          </w:rPr>
        </w:r>
        <w:r>
          <w:rPr>
            <w:webHidden/>
          </w:rPr>
          <w:fldChar w:fldCharType="separate"/>
        </w:r>
        <w:r w:rsidR="00231838">
          <w:rPr>
            <w:webHidden/>
          </w:rPr>
          <w:t>216</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38" w:history="1">
        <w:r w:rsidRPr="008830E2">
          <w:rPr>
            <w:rStyle w:val="Hyperlink"/>
            <w:rFonts w:ascii="Times New Roman" w:hAnsi="Times New Roman"/>
          </w:rPr>
          <w:t>5.</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Modelli riguardanti il rischio di mercato</w:t>
        </w:r>
        <w:r>
          <w:rPr>
            <w:webHidden/>
          </w:rPr>
          <w:tab/>
        </w:r>
        <w:r>
          <w:rPr>
            <w:webHidden/>
          </w:rPr>
          <w:fldChar w:fldCharType="begin"/>
        </w:r>
        <w:r>
          <w:rPr>
            <w:webHidden/>
          </w:rPr>
          <w:instrText xml:space="preserve"> PAGEREF _Toc58915838 \h </w:instrText>
        </w:r>
        <w:r>
          <w:rPr>
            <w:webHidden/>
          </w:rPr>
        </w:r>
        <w:r>
          <w:rPr>
            <w:webHidden/>
          </w:rPr>
          <w:fldChar w:fldCharType="separate"/>
        </w:r>
        <w:r w:rsidR="00231838">
          <w:rPr>
            <w:webHidden/>
          </w:rPr>
          <w:t>218</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39" w:history="1">
        <w:r w:rsidRPr="008830E2">
          <w:rPr>
            <w:rStyle w:val="Hyperlink"/>
            <w:rFonts w:ascii="Times New Roman" w:hAnsi="Times New Roman"/>
          </w:rPr>
          <w:t>5.1.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C 18.00 – Rischio di mercato: Metodo standardizzato per i rischi di posizione su strumenti di debito negoziati (MKR SA TDI)</w:t>
        </w:r>
        <w:r>
          <w:rPr>
            <w:webHidden/>
          </w:rPr>
          <w:tab/>
        </w:r>
        <w:r>
          <w:rPr>
            <w:webHidden/>
          </w:rPr>
          <w:fldChar w:fldCharType="begin"/>
        </w:r>
        <w:r>
          <w:rPr>
            <w:webHidden/>
          </w:rPr>
          <w:instrText xml:space="preserve"> PAGEREF _Toc58915839 \h </w:instrText>
        </w:r>
        <w:r>
          <w:rPr>
            <w:webHidden/>
          </w:rPr>
        </w:r>
        <w:r>
          <w:rPr>
            <w:webHidden/>
          </w:rPr>
          <w:fldChar w:fldCharType="separate"/>
        </w:r>
        <w:r w:rsidR="00231838">
          <w:rPr>
            <w:webHidden/>
          </w:rPr>
          <w:t>218</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40" w:history="1">
        <w:r w:rsidRPr="008830E2">
          <w:rPr>
            <w:rStyle w:val="Hyperlink"/>
            <w:rFonts w:ascii="Times New Roman" w:hAnsi="Times New Roman"/>
          </w:rPr>
          <w:t>5.1.1.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Osservazioni di carattere generale</w:t>
        </w:r>
        <w:r>
          <w:rPr>
            <w:webHidden/>
          </w:rPr>
          <w:tab/>
        </w:r>
        <w:r>
          <w:rPr>
            <w:webHidden/>
          </w:rPr>
          <w:fldChar w:fldCharType="begin"/>
        </w:r>
        <w:r>
          <w:rPr>
            <w:webHidden/>
          </w:rPr>
          <w:instrText xml:space="preserve"> PAGEREF _Toc58915840 \h </w:instrText>
        </w:r>
        <w:r>
          <w:rPr>
            <w:webHidden/>
          </w:rPr>
        </w:r>
        <w:r>
          <w:rPr>
            <w:webHidden/>
          </w:rPr>
          <w:fldChar w:fldCharType="separate"/>
        </w:r>
        <w:r w:rsidR="00231838">
          <w:rPr>
            <w:webHidden/>
          </w:rPr>
          <w:t>218</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41" w:history="1">
        <w:r w:rsidRPr="008830E2">
          <w:rPr>
            <w:rStyle w:val="Hyperlink"/>
            <w:rFonts w:ascii="Times New Roman" w:hAnsi="Times New Roman"/>
          </w:rPr>
          <w:t>5.1.2.</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_Toc58915841 \h </w:instrText>
        </w:r>
        <w:r>
          <w:rPr>
            <w:webHidden/>
          </w:rPr>
        </w:r>
        <w:r>
          <w:rPr>
            <w:webHidden/>
          </w:rPr>
          <w:fldChar w:fldCharType="separate"/>
        </w:r>
        <w:r w:rsidR="00231838">
          <w:rPr>
            <w:webHidden/>
          </w:rPr>
          <w:t>219</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42" w:history="1">
        <w:r w:rsidRPr="008830E2">
          <w:rPr>
            <w:rStyle w:val="Hyperlink"/>
            <w:rFonts w:ascii="Times New Roman" w:hAnsi="Times New Roman"/>
          </w:rPr>
          <w:t>5.2.</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C 19.00 - RISCHIO DI MERCATO: METODO STANDARDIZZATO PER IL RISCHIO SPECIFICO SU CARTOLARIZZAZIONI (MKR SA SEC)</w:t>
        </w:r>
        <w:r>
          <w:rPr>
            <w:webHidden/>
          </w:rPr>
          <w:tab/>
        </w:r>
        <w:r>
          <w:rPr>
            <w:webHidden/>
          </w:rPr>
          <w:fldChar w:fldCharType="begin"/>
        </w:r>
        <w:r>
          <w:rPr>
            <w:webHidden/>
          </w:rPr>
          <w:instrText xml:space="preserve"> PAGEREF _Toc58915842 \h </w:instrText>
        </w:r>
        <w:r>
          <w:rPr>
            <w:webHidden/>
          </w:rPr>
        </w:r>
        <w:r>
          <w:rPr>
            <w:webHidden/>
          </w:rPr>
          <w:fldChar w:fldCharType="separate"/>
        </w:r>
        <w:r w:rsidR="00231838">
          <w:rPr>
            <w:webHidden/>
          </w:rPr>
          <w:t>221</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43" w:history="1">
        <w:r w:rsidRPr="008830E2">
          <w:rPr>
            <w:rStyle w:val="Hyperlink"/>
            <w:rFonts w:ascii="Times New Roman" w:hAnsi="Times New Roman"/>
          </w:rPr>
          <w:t>5.2.1.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Osservazioni di carattere generale</w:t>
        </w:r>
        <w:r>
          <w:rPr>
            <w:webHidden/>
          </w:rPr>
          <w:tab/>
        </w:r>
        <w:r>
          <w:rPr>
            <w:webHidden/>
          </w:rPr>
          <w:fldChar w:fldCharType="begin"/>
        </w:r>
        <w:r>
          <w:rPr>
            <w:webHidden/>
          </w:rPr>
          <w:instrText xml:space="preserve"> PAGEREF _Toc58915843 \h </w:instrText>
        </w:r>
        <w:r>
          <w:rPr>
            <w:webHidden/>
          </w:rPr>
        </w:r>
        <w:r>
          <w:rPr>
            <w:webHidden/>
          </w:rPr>
          <w:fldChar w:fldCharType="separate"/>
        </w:r>
        <w:r w:rsidR="00231838">
          <w:rPr>
            <w:webHidden/>
          </w:rPr>
          <w:t>221</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44" w:history="1">
        <w:r w:rsidRPr="008830E2">
          <w:rPr>
            <w:rStyle w:val="Hyperlink"/>
            <w:rFonts w:ascii="Times New Roman" w:hAnsi="Times New Roman"/>
          </w:rPr>
          <w:t>5.2.2.</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_Toc58915844 \h </w:instrText>
        </w:r>
        <w:r>
          <w:rPr>
            <w:webHidden/>
          </w:rPr>
        </w:r>
        <w:r>
          <w:rPr>
            <w:webHidden/>
          </w:rPr>
          <w:fldChar w:fldCharType="separate"/>
        </w:r>
        <w:r w:rsidR="00231838">
          <w:rPr>
            <w:webHidden/>
          </w:rPr>
          <w:t>222</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45" w:history="1">
        <w:r w:rsidRPr="008830E2">
          <w:rPr>
            <w:rStyle w:val="Hyperlink"/>
            <w:rFonts w:ascii="Times New Roman" w:hAnsi="Times New Roman"/>
          </w:rPr>
          <w:t>5.3.</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C 20.00 - RISCHIO DI MERCATO: METODO STANDARDIZZATO PER IL RISCHIO SPECIFICO DI POSIZIONI ASSEGNATE AL PORTAFOGLIO DI NEGOZIAZIONE DI CORRELAZIONE (MKR SA CTP))</w:t>
        </w:r>
        <w:r>
          <w:rPr>
            <w:webHidden/>
          </w:rPr>
          <w:tab/>
        </w:r>
        <w:r>
          <w:rPr>
            <w:webHidden/>
          </w:rPr>
          <w:fldChar w:fldCharType="begin"/>
        </w:r>
        <w:r>
          <w:rPr>
            <w:webHidden/>
          </w:rPr>
          <w:instrText xml:space="preserve"> PAGEREF _Toc58915845 \h </w:instrText>
        </w:r>
        <w:r>
          <w:rPr>
            <w:webHidden/>
          </w:rPr>
        </w:r>
        <w:r>
          <w:rPr>
            <w:webHidden/>
          </w:rPr>
          <w:fldChar w:fldCharType="separate"/>
        </w:r>
        <w:r w:rsidR="00231838">
          <w:rPr>
            <w:webHidden/>
          </w:rPr>
          <w:t>224</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46" w:history="1">
        <w:r w:rsidRPr="008830E2">
          <w:rPr>
            <w:rStyle w:val="Hyperlink"/>
            <w:rFonts w:ascii="Times New Roman" w:hAnsi="Times New Roman"/>
          </w:rPr>
          <w:t>5.3.1.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Osservazioni di carattere generale</w:t>
        </w:r>
        <w:r>
          <w:rPr>
            <w:webHidden/>
          </w:rPr>
          <w:tab/>
        </w:r>
        <w:r>
          <w:rPr>
            <w:webHidden/>
          </w:rPr>
          <w:fldChar w:fldCharType="begin"/>
        </w:r>
        <w:r>
          <w:rPr>
            <w:webHidden/>
          </w:rPr>
          <w:instrText xml:space="preserve"> PAGEREF _Toc58915846 \h </w:instrText>
        </w:r>
        <w:r>
          <w:rPr>
            <w:webHidden/>
          </w:rPr>
        </w:r>
        <w:r>
          <w:rPr>
            <w:webHidden/>
          </w:rPr>
          <w:fldChar w:fldCharType="separate"/>
        </w:r>
        <w:r w:rsidR="00231838">
          <w:rPr>
            <w:webHidden/>
          </w:rPr>
          <w:t>224</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47" w:history="1">
        <w:r w:rsidRPr="008830E2">
          <w:rPr>
            <w:rStyle w:val="Hyperlink"/>
            <w:rFonts w:ascii="Times New Roman" w:hAnsi="Times New Roman"/>
          </w:rPr>
          <w:t>5.3.2.</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_Toc58915847 \h </w:instrText>
        </w:r>
        <w:r>
          <w:rPr>
            <w:webHidden/>
          </w:rPr>
        </w:r>
        <w:r>
          <w:rPr>
            <w:webHidden/>
          </w:rPr>
          <w:fldChar w:fldCharType="separate"/>
        </w:r>
        <w:r w:rsidR="00231838">
          <w:rPr>
            <w:webHidden/>
          </w:rPr>
          <w:t>225</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48" w:history="1">
        <w:r w:rsidRPr="008830E2">
          <w:rPr>
            <w:rStyle w:val="Hyperlink"/>
            <w:rFonts w:ascii="Times New Roman" w:hAnsi="Times New Roman"/>
          </w:rPr>
          <w:t>5.4.</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C 21.00 - Rischio di mercato: metodo standardizzato per il rischio di posizione su strumenti di capitale (MKR SA EQU)</w:t>
        </w:r>
        <w:r>
          <w:rPr>
            <w:webHidden/>
          </w:rPr>
          <w:tab/>
        </w:r>
        <w:r>
          <w:rPr>
            <w:webHidden/>
          </w:rPr>
          <w:fldChar w:fldCharType="begin"/>
        </w:r>
        <w:r>
          <w:rPr>
            <w:webHidden/>
          </w:rPr>
          <w:instrText xml:space="preserve"> PAGEREF _Toc58915848 \h </w:instrText>
        </w:r>
        <w:r>
          <w:rPr>
            <w:webHidden/>
          </w:rPr>
        </w:r>
        <w:r>
          <w:rPr>
            <w:webHidden/>
          </w:rPr>
          <w:fldChar w:fldCharType="separate"/>
        </w:r>
        <w:r w:rsidR="00231838">
          <w:rPr>
            <w:webHidden/>
          </w:rPr>
          <w:t>227</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49" w:history="1">
        <w:r w:rsidRPr="008830E2">
          <w:rPr>
            <w:rStyle w:val="Hyperlink"/>
            <w:rFonts w:ascii="Times New Roman" w:hAnsi="Times New Roman"/>
          </w:rPr>
          <w:t>5.4.1.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Osservazioni di carattere generale</w:t>
        </w:r>
        <w:r>
          <w:rPr>
            <w:webHidden/>
          </w:rPr>
          <w:tab/>
        </w:r>
        <w:r>
          <w:rPr>
            <w:webHidden/>
          </w:rPr>
          <w:fldChar w:fldCharType="begin"/>
        </w:r>
        <w:r>
          <w:rPr>
            <w:webHidden/>
          </w:rPr>
          <w:instrText xml:space="preserve"> PAGEREF _Toc58915849 \h </w:instrText>
        </w:r>
        <w:r>
          <w:rPr>
            <w:webHidden/>
          </w:rPr>
        </w:r>
        <w:r>
          <w:rPr>
            <w:webHidden/>
          </w:rPr>
          <w:fldChar w:fldCharType="separate"/>
        </w:r>
        <w:r w:rsidR="00231838">
          <w:rPr>
            <w:webHidden/>
          </w:rPr>
          <w:t>227</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50" w:history="1">
        <w:r w:rsidRPr="008830E2">
          <w:rPr>
            <w:rStyle w:val="Hyperlink"/>
            <w:rFonts w:ascii="Times New Roman" w:hAnsi="Times New Roman"/>
          </w:rPr>
          <w:t>5.4.2.</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_Toc58915850 \h </w:instrText>
        </w:r>
        <w:r>
          <w:rPr>
            <w:webHidden/>
          </w:rPr>
        </w:r>
        <w:r>
          <w:rPr>
            <w:webHidden/>
          </w:rPr>
          <w:fldChar w:fldCharType="separate"/>
        </w:r>
        <w:r w:rsidR="00231838">
          <w:rPr>
            <w:webHidden/>
          </w:rPr>
          <w:t>227</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51" w:history="1">
        <w:r w:rsidRPr="008830E2">
          <w:rPr>
            <w:rStyle w:val="Hyperlink"/>
            <w:rFonts w:ascii="Times New Roman" w:hAnsi="Times New Roman"/>
          </w:rPr>
          <w:t>5.5.</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C 22.00 - Rischio di mercato: metodi standardizzati per il rischio di cambio (MKR SA FX)</w:t>
        </w:r>
        <w:r>
          <w:rPr>
            <w:webHidden/>
          </w:rPr>
          <w:tab/>
        </w:r>
        <w:r>
          <w:rPr>
            <w:webHidden/>
          </w:rPr>
          <w:fldChar w:fldCharType="begin"/>
        </w:r>
        <w:r>
          <w:rPr>
            <w:webHidden/>
          </w:rPr>
          <w:instrText xml:space="preserve"> PAGEREF _Toc58915851 \h </w:instrText>
        </w:r>
        <w:r>
          <w:rPr>
            <w:webHidden/>
          </w:rPr>
        </w:r>
        <w:r>
          <w:rPr>
            <w:webHidden/>
          </w:rPr>
          <w:fldChar w:fldCharType="separate"/>
        </w:r>
        <w:r w:rsidR="00231838">
          <w:rPr>
            <w:webHidden/>
          </w:rPr>
          <w:t>229</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52" w:history="1">
        <w:r w:rsidRPr="008830E2">
          <w:rPr>
            <w:rStyle w:val="Hyperlink"/>
            <w:rFonts w:ascii="Times New Roman" w:hAnsi="Times New Roman"/>
          </w:rPr>
          <w:t>5.5.1.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Osservazioni di carattere generale</w:t>
        </w:r>
        <w:r>
          <w:rPr>
            <w:webHidden/>
          </w:rPr>
          <w:tab/>
        </w:r>
        <w:r>
          <w:rPr>
            <w:webHidden/>
          </w:rPr>
          <w:fldChar w:fldCharType="begin"/>
        </w:r>
        <w:r>
          <w:rPr>
            <w:webHidden/>
          </w:rPr>
          <w:instrText xml:space="preserve"> PAGEREF _Toc58915852 \h </w:instrText>
        </w:r>
        <w:r>
          <w:rPr>
            <w:webHidden/>
          </w:rPr>
        </w:r>
        <w:r>
          <w:rPr>
            <w:webHidden/>
          </w:rPr>
          <w:fldChar w:fldCharType="separate"/>
        </w:r>
        <w:r w:rsidR="00231838">
          <w:rPr>
            <w:webHidden/>
          </w:rPr>
          <w:t>229</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53" w:history="1">
        <w:r w:rsidRPr="008830E2">
          <w:rPr>
            <w:rStyle w:val="Hyperlink"/>
            <w:rFonts w:ascii="Times New Roman" w:hAnsi="Times New Roman"/>
          </w:rPr>
          <w:t>5.5.2.</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_Toc58915853 \h </w:instrText>
        </w:r>
        <w:r>
          <w:rPr>
            <w:webHidden/>
          </w:rPr>
        </w:r>
        <w:r>
          <w:rPr>
            <w:webHidden/>
          </w:rPr>
          <w:fldChar w:fldCharType="separate"/>
        </w:r>
        <w:r w:rsidR="00231838">
          <w:rPr>
            <w:webHidden/>
          </w:rPr>
          <w:t>230</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54" w:history="1">
        <w:r w:rsidRPr="008830E2">
          <w:rPr>
            <w:rStyle w:val="Hyperlink"/>
            <w:rFonts w:ascii="Times New Roman" w:hAnsi="Times New Roman"/>
          </w:rPr>
          <w:t>5.6.</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C 23.00 - Rischio di mercato: metodi standardizzati per le merci (MKR SA COM)</w:t>
        </w:r>
        <w:r>
          <w:rPr>
            <w:webHidden/>
          </w:rPr>
          <w:tab/>
        </w:r>
        <w:r>
          <w:rPr>
            <w:webHidden/>
          </w:rPr>
          <w:fldChar w:fldCharType="begin"/>
        </w:r>
        <w:r>
          <w:rPr>
            <w:webHidden/>
          </w:rPr>
          <w:instrText xml:space="preserve"> PAGEREF _Toc58915854 \h </w:instrText>
        </w:r>
        <w:r>
          <w:rPr>
            <w:webHidden/>
          </w:rPr>
        </w:r>
        <w:r>
          <w:rPr>
            <w:webHidden/>
          </w:rPr>
          <w:fldChar w:fldCharType="separate"/>
        </w:r>
        <w:r w:rsidR="00231838">
          <w:rPr>
            <w:webHidden/>
          </w:rPr>
          <w:t>233</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55" w:history="1">
        <w:r w:rsidRPr="008830E2">
          <w:rPr>
            <w:rStyle w:val="Hyperlink"/>
            <w:rFonts w:ascii="Times New Roman" w:hAnsi="Times New Roman"/>
          </w:rPr>
          <w:t>5.6.1.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Osservazioni di carattere generale</w:t>
        </w:r>
        <w:r>
          <w:rPr>
            <w:webHidden/>
          </w:rPr>
          <w:tab/>
        </w:r>
        <w:r>
          <w:rPr>
            <w:webHidden/>
          </w:rPr>
          <w:fldChar w:fldCharType="begin"/>
        </w:r>
        <w:r>
          <w:rPr>
            <w:webHidden/>
          </w:rPr>
          <w:instrText xml:space="preserve"> PAGEREF _Toc58915855 \h </w:instrText>
        </w:r>
        <w:r>
          <w:rPr>
            <w:webHidden/>
          </w:rPr>
        </w:r>
        <w:r>
          <w:rPr>
            <w:webHidden/>
          </w:rPr>
          <w:fldChar w:fldCharType="separate"/>
        </w:r>
        <w:r w:rsidR="00231838">
          <w:rPr>
            <w:webHidden/>
          </w:rPr>
          <w:t>233</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56" w:history="1">
        <w:r w:rsidRPr="008830E2">
          <w:rPr>
            <w:rStyle w:val="Hyperlink"/>
            <w:rFonts w:ascii="Times New Roman" w:hAnsi="Times New Roman"/>
          </w:rPr>
          <w:t>5.6.2.</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_Toc58915856 \h </w:instrText>
        </w:r>
        <w:r>
          <w:rPr>
            <w:webHidden/>
          </w:rPr>
        </w:r>
        <w:r>
          <w:rPr>
            <w:webHidden/>
          </w:rPr>
          <w:fldChar w:fldCharType="separate"/>
        </w:r>
        <w:r w:rsidR="00231838">
          <w:rPr>
            <w:webHidden/>
          </w:rPr>
          <w:t>233</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57" w:history="1">
        <w:r w:rsidRPr="008830E2">
          <w:rPr>
            <w:rStyle w:val="Hyperlink"/>
            <w:rFonts w:ascii="Times New Roman" w:hAnsi="Times New Roman"/>
          </w:rPr>
          <w:t>5.7.</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C 24.00 - Modelli interni per il rischio di mercato</w:t>
        </w:r>
        <w:r w:rsidR="000878EC">
          <w:rPr>
            <w:rStyle w:val="Hyperlink"/>
            <w:rFonts w:ascii="Times New Roman" w:hAnsi="Times New Roman"/>
          </w:rPr>
          <w:t xml:space="preserve"> </w:t>
        </w:r>
        <w:r w:rsidRPr="008830E2">
          <w:rPr>
            <w:rStyle w:val="Hyperlink"/>
            <w:rFonts w:ascii="Times New Roman" w:hAnsi="Times New Roman"/>
          </w:rPr>
          <w:t>(MKR IM)</w:t>
        </w:r>
        <w:r>
          <w:rPr>
            <w:webHidden/>
          </w:rPr>
          <w:tab/>
        </w:r>
        <w:r>
          <w:rPr>
            <w:webHidden/>
          </w:rPr>
          <w:fldChar w:fldCharType="begin"/>
        </w:r>
        <w:r>
          <w:rPr>
            <w:webHidden/>
          </w:rPr>
          <w:instrText xml:space="preserve"> PAGEREF _Toc58915857 \h </w:instrText>
        </w:r>
        <w:r>
          <w:rPr>
            <w:webHidden/>
          </w:rPr>
        </w:r>
        <w:r>
          <w:rPr>
            <w:webHidden/>
          </w:rPr>
          <w:fldChar w:fldCharType="separate"/>
        </w:r>
        <w:r w:rsidR="00231838">
          <w:rPr>
            <w:webHidden/>
          </w:rPr>
          <w:t>234</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58" w:history="1">
        <w:r w:rsidRPr="008830E2">
          <w:rPr>
            <w:rStyle w:val="Hyperlink"/>
            <w:rFonts w:ascii="Times New Roman" w:hAnsi="Times New Roman"/>
          </w:rPr>
          <w:t>5.7.1.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Osservazioni di carattere generale</w:t>
        </w:r>
        <w:r>
          <w:rPr>
            <w:webHidden/>
          </w:rPr>
          <w:tab/>
        </w:r>
        <w:r>
          <w:rPr>
            <w:webHidden/>
          </w:rPr>
          <w:fldChar w:fldCharType="begin"/>
        </w:r>
        <w:r>
          <w:rPr>
            <w:webHidden/>
          </w:rPr>
          <w:instrText xml:space="preserve"> PAGEREF _Toc58915858 \h </w:instrText>
        </w:r>
        <w:r>
          <w:rPr>
            <w:webHidden/>
          </w:rPr>
        </w:r>
        <w:r>
          <w:rPr>
            <w:webHidden/>
          </w:rPr>
          <w:fldChar w:fldCharType="separate"/>
        </w:r>
        <w:r w:rsidR="00231838">
          <w:rPr>
            <w:webHidden/>
          </w:rPr>
          <w:t>234</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59" w:history="1">
        <w:r w:rsidRPr="008830E2">
          <w:rPr>
            <w:rStyle w:val="Hyperlink"/>
            <w:rFonts w:ascii="Times New Roman" w:hAnsi="Times New Roman"/>
          </w:rPr>
          <w:t>5.7.2.</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_Toc58915859 \h </w:instrText>
        </w:r>
        <w:r>
          <w:rPr>
            <w:webHidden/>
          </w:rPr>
        </w:r>
        <w:r>
          <w:rPr>
            <w:webHidden/>
          </w:rPr>
          <w:fldChar w:fldCharType="separate"/>
        </w:r>
        <w:r w:rsidR="00231838">
          <w:rPr>
            <w:webHidden/>
          </w:rPr>
          <w:t>234</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60" w:history="1">
        <w:r w:rsidRPr="008830E2">
          <w:rPr>
            <w:rStyle w:val="Hyperlink"/>
            <w:rFonts w:ascii="Times New Roman" w:hAnsi="Times New Roman"/>
          </w:rPr>
          <w:t>5.8.</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C 25.00 — RISCHIO DI AGGIUSTAMENTO DELLA VALUTAZIONE DEL CREDITO (CVA)</w:t>
        </w:r>
        <w:r>
          <w:rPr>
            <w:webHidden/>
          </w:rPr>
          <w:tab/>
        </w:r>
        <w:r>
          <w:rPr>
            <w:webHidden/>
          </w:rPr>
          <w:fldChar w:fldCharType="begin"/>
        </w:r>
        <w:r>
          <w:rPr>
            <w:webHidden/>
          </w:rPr>
          <w:instrText xml:space="preserve"> PAGEREF _Toc58915860 \h </w:instrText>
        </w:r>
        <w:r>
          <w:rPr>
            <w:webHidden/>
          </w:rPr>
        </w:r>
        <w:r>
          <w:rPr>
            <w:webHidden/>
          </w:rPr>
          <w:fldChar w:fldCharType="separate"/>
        </w:r>
        <w:r w:rsidR="00231838">
          <w:rPr>
            <w:webHidden/>
          </w:rPr>
          <w:t>238</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61" w:history="1">
        <w:r w:rsidRPr="008830E2">
          <w:rPr>
            <w:rStyle w:val="Hyperlink"/>
            <w:rFonts w:ascii="Times New Roman" w:hAnsi="Times New Roman"/>
          </w:rPr>
          <w:t>5.8.1.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_Toc58915861 \h </w:instrText>
        </w:r>
        <w:r>
          <w:rPr>
            <w:webHidden/>
          </w:rPr>
        </w:r>
        <w:r>
          <w:rPr>
            <w:webHidden/>
          </w:rPr>
          <w:fldChar w:fldCharType="separate"/>
        </w:r>
        <w:r w:rsidR="00231838">
          <w:rPr>
            <w:webHidden/>
          </w:rPr>
          <w:t>238</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62" w:history="1">
        <w:r w:rsidRPr="008830E2">
          <w:rPr>
            <w:rStyle w:val="Hyperlink"/>
            <w:rFonts w:ascii="Times New Roman" w:hAnsi="Times New Roman"/>
          </w:rPr>
          <w:t>6.</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Valutazione prudente (PruVal)</w:t>
        </w:r>
        <w:r>
          <w:rPr>
            <w:webHidden/>
          </w:rPr>
          <w:tab/>
        </w:r>
        <w:r>
          <w:rPr>
            <w:webHidden/>
          </w:rPr>
          <w:fldChar w:fldCharType="begin"/>
        </w:r>
        <w:r>
          <w:rPr>
            <w:webHidden/>
          </w:rPr>
          <w:instrText xml:space="preserve"> PAGEREF _Toc58915862 \h </w:instrText>
        </w:r>
        <w:r>
          <w:rPr>
            <w:webHidden/>
          </w:rPr>
        </w:r>
        <w:r>
          <w:rPr>
            <w:webHidden/>
          </w:rPr>
          <w:fldChar w:fldCharType="separate"/>
        </w:r>
        <w:r w:rsidR="00231838">
          <w:rPr>
            <w:webHidden/>
          </w:rPr>
          <w:t>240</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63" w:history="1">
        <w:r w:rsidRPr="008830E2">
          <w:rPr>
            <w:rStyle w:val="Hyperlink"/>
            <w:rFonts w:ascii="Times New Roman" w:hAnsi="Times New Roman"/>
          </w:rPr>
          <w:t>6,1.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C 32.01 - Valutazione prudente: attività e passività valutate al fair value (valore equo) (PruVal 1)</w:t>
        </w:r>
        <w:r>
          <w:rPr>
            <w:webHidden/>
          </w:rPr>
          <w:tab/>
        </w:r>
        <w:r>
          <w:rPr>
            <w:webHidden/>
          </w:rPr>
          <w:fldChar w:fldCharType="begin"/>
        </w:r>
        <w:r>
          <w:rPr>
            <w:webHidden/>
          </w:rPr>
          <w:instrText xml:space="preserve"> PAGEREF _Toc58915863 \h </w:instrText>
        </w:r>
        <w:r>
          <w:rPr>
            <w:webHidden/>
          </w:rPr>
        </w:r>
        <w:r>
          <w:rPr>
            <w:webHidden/>
          </w:rPr>
          <w:fldChar w:fldCharType="separate"/>
        </w:r>
        <w:r w:rsidR="00231838">
          <w:rPr>
            <w:webHidden/>
          </w:rPr>
          <w:t>240</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64" w:history="1">
        <w:r w:rsidRPr="008830E2">
          <w:rPr>
            <w:rStyle w:val="Hyperlink"/>
            <w:rFonts w:ascii="Times New Roman" w:hAnsi="Times New Roman"/>
          </w:rPr>
          <w:t>6.1.1.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Osservazioni di carattere generale</w:t>
        </w:r>
        <w:r>
          <w:rPr>
            <w:webHidden/>
          </w:rPr>
          <w:tab/>
        </w:r>
        <w:r>
          <w:rPr>
            <w:webHidden/>
          </w:rPr>
          <w:fldChar w:fldCharType="begin"/>
        </w:r>
        <w:r>
          <w:rPr>
            <w:webHidden/>
          </w:rPr>
          <w:instrText xml:space="preserve"> PAGEREF _Toc58915864 \h </w:instrText>
        </w:r>
        <w:r>
          <w:rPr>
            <w:webHidden/>
          </w:rPr>
        </w:r>
        <w:r>
          <w:rPr>
            <w:webHidden/>
          </w:rPr>
          <w:fldChar w:fldCharType="separate"/>
        </w:r>
        <w:r w:rsidR="00231838">
          <w:rPr>
            <w:webHidden/>
          </w:rPr>
          <w:t>240</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65" w:history="1">
        <w:r w:rsidRPr="008830E2">
          <w:rPr>
            <w:rStyle w:val="Hyperlink"/>
            <w:rFonts w:ascii="Times New Roman" w:hAnsi="Times New Roman"/>
          </w:rPr>
          <w:t>6.1.2.</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_Toc58915865 \h </w:instrText>
        </w:r>
        <w:r>
          <w:rPr>
            <w:webHidden/>
          </w:rPr>
        </w:r>
        <w:r>
          <w:rPr>
            <w:webHidden/>
          </w:rPr>
          <w:fldChar w:fldCharType="separate"/>
        </w:r>
        <w:r w:rsidR="00231838">
          <w:rPr>
            <w:webHidden/>
          </w:rPr>
          <w:t>241</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66" w:history="1">
        <w:r w:rsidRPr="008830E2">
          <w:rPr>
            <w:rStyle w:val="Hyperlink"/>
            <w:rFonts w:ascii="Times New Roman" w:hAnsi="Times New Roman"/>
          </w:rPr>
          <w:t>6.2.</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C 32.02 - Valutazione prudente: metodo di base (PruVal 2)</w:t>
        </w:r>
        <w:r>
          <w:rPr>
            <w:webHidden/>
          </w:rPr>
          <w:tab/>
        </w:r>
        <w:r>
          <w:rPr>
            <w:webHidden/>
          </w:rPr>
          <w:fldChar w:fldCharType="begin"/>
        </w:r>
        <w:r>
          <w:rPr>
            <w:webHidden/>
          </w:rPr>
          <w:instrText xml:space="preserve"> PAGEREF _Toc58915866 \h </w:instrText>
        </w:r>
        <w:r>
          <w:rPr>
            <w:webHidden/>
          </w:rPr>
        </w:r>
        <w:r>
          <w:rPr>
            <w:webHidden/>
          </w:rPr>
          <w:fldChar w:fldCharType="separate"/>
        </w:r>
        <w:r w:rsidR="00231838">
          <w:rPr>
            <w:webHidden/>
          </w:rPr>
          <w:t>246</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67" w:history="1">
        <w:r w:rsidRPr="008830E2">
          <w:rPr>
            <w:rStyle w:val="Hyperlink"/>
            <w:rFonts w:ascii="Times New Roman" w:hAnsi="Times New Roman"/>
          </w:rPr>
          <w:t>6.2.1.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Osservazioni di carattere generale</w:t>
        </w:r>
        <w:r>
          <w:rPr>
            <w:webHidden/>
          </w:rPr>
          <w:tab/>
        </w:r>
        <w:r>
          <w:rPr>
            <w:webHidden/>
          </w:rPr>
          <w:fldChar w:fldCharType="begin"/>
        </w:r>
        <w:r>
          <w:rPr>
            <w:webHidden/>
          </w:rPr>
          <w:instrText xml:space="preserve"> PAGEREF _Toc58915867 \h </w:instrText>
        </w:r>
        <w:r>
          <w:rPr>
            <w:webHidden/>
          </w:rPr>
        </w:r>
        <w:r>
          <w:rPr>
            <w:webHidden/>
          </w:rPr>
          <w:fldChar w:fldCharType="separate"/>
        </w:r>
        <w:r w:rsidR="00231838">
          <w:rPr>
            <w:webHidden/>
          </w:rPr>
          <w:t>246</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68" w:history="1">
        <w:r w:rsidRPr="008830E2">
          <w:rPr>
            <w:rStyle w:val="Hyperlink"/>
            <w:rFonts w:ascii="Times New Roman" w:hAnsi="Times New Roman"/>
          </w:rPr>
          <w:t>6.2.2.</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_Toc58915868 \h </w:instrText>
        </w:r>
        <w:r>
          <w:rPr>
            <w:webHidden/>
          </w:rPr>
        </w:r>
        <w:r>
          <w:rPr>
            <w:webHidden/>
          </w:rPr>
          <w:fldChar w:fldCharType="separate"/>
        </w:r>
        <w:r w:rsidR="00231838">
          <w:rPr>
            <w:webHidden/>
          </w:rPr>
          <w:t>247</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69" w:history="1">
        <w:r w:rsidRPr="008830E2">
          <w:rPr>
            <w:rStyle w:val="Hyperlink"/>
            <w:rFonts w:ascii="Times New Roman" w:hAnsi="Times New Roman"/>
          </w:rPr>
          <w:t>6.3. C 32.03 - Valutazione prudente: AVA per i rischi del modello (PruVal 3)</w:t>
        </w:r>
        <w:r>
          <w:rPr>
            <w:webHidden/>
          </w:rPr>
          <w:tab/>
        </w:r>
        <w:r>
          <w:rPr>
            <w:webHidden/>
          </w:rPr>
          <w:fldChar w:fldCharType="begin"/>
        </w:r>
        <w:r>
          <w:rPr>
            <w:webHidden/>
          </w:rPr>
          <w:instrText xml:space="preserve"> PAGEREF _Toc58915869 \h </w:instrText>
        </w:r>
        <w:r>
          <w:rPr>
            <w:webHidden/>
          </w:rPr>
        </w:r>
        <w:r>
          <w:rPr>
            <w:webHidden/>
          </w:rPr>
          <w:fldChar w:fldCharType="separate"/>
        </w:r>
        <w:r w:rsidR="00231838">
          <w:rPr>
            <w:webHidden/>
          </w:rPr>
          <w:t>257</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70" w:history="1">
        <w:r w:rsidRPr="008830E2">
          <w:rPr>
            <w:rStyle w:val="Hyperlink"/>
            <w:rFonts w:ascii="Times New Roman" w:hAnsi="Times New Roman"/>
          </w:rPr>
          <w:t>6.3.1.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Osservazioni di carattere generale</w:t>
        </w:r>
        <w:r>
          <w:rPr>
            <w:webHidden/>
          </w:rPr>
          <w:tab/>
        </w:r>
        <w:r>
          <w:rPr>
            <w:webHidden/>
          </w:rPr>
          <w:fldChar w:fldCharType="begin"/>
        </w:r>
        <w:r>
          <w:rPr>
            <w:webHidden/>
          </w:rPr>
          <w:instrText xml:space="preserve"> PAGEREF _Toc58915870 \h </w:instrText>
        </w:r>
        <w:r>
          <w:rPr>
            <w:webHidden/>
          </w:rPr>
        </w:r>
        <w:r>
          <w:rPr>
            <w:webHidden/>
          </w:rPr>
          <w:fldChar w:fldCharType="separate"/>
        </w:r>
        <w:r w:rsidR="00231838">
          <w:rPr>
            <w:webHidden/>
          </w:rPr>
          <w:t>257</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71" w:history="1">
        <w:r w:rsidRPr="008830E2">
          <w:rPr>
            <w:rStyle w:val="Hyperlink"/>
            <w:rFonts w:ascii="Times New Roman" w:hAnsi="Times New Roman"/>
          </w:rPr>
          <w:t>6.3.2.</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_Toc58915871 \h </w:instrText>
        </w:r>
        <w:r>
          <w:rPr>
            <w:webHidden/>
          </w:rPr>
        </w:r>
        <w:r>
          <w:rPr>
            <w:webHidden/>
          </w:rPr>
          <w:fldChar w:fldCharType="separate"/>
        </w:r>
        <w:r w:rsidR="00231838">
          <w:rPr>
            <w:webHidden/>
          </w:rPr>
          <w:t>258</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72" w:history="1">
        <w:r w:rsidRPr="008830E2">
          <w:rPr>
            <w:rStyle w:val="Hyperlink"/>
            <w:rFonts w:ascii="Times New Roman" w:hAnsi="Times New Roman"/>
          </w:rPr>
          <w:t>6.4 C 32.04 - Valutazione prudente: AVA per le posizioni concentrate (PruVal 4)</w:t>
        </w:r>
        <w:r>
          <w:rPr>
            <w:webHidden/>
          </w:rPr>
          <w:tab/>
        </w:r>
        <w:r>
          <w:rPr>
            <w:webHidden/>
          </w:rPr>
          <w:fldChar w:fldCharType="begin"/>
        </w:r>
        <w:r>
          <w:rPr>
            <w:webHidden/>
          </w:rPr>
          <w:instrText xml:space="preserve"> PAGEREF _Toc58915872 \h </w:instrText>
        </w:r>
        <w:r>
          <w:rPr>
            <w:webHidden/>
          </w:rPr>
        </w:r>
        <w:r>
          <w:rPr>
            <w:webHidden/>
          </w:rPr>
          <w:fldChar w:fldCharType="separate"/>
        </w:r>
        <w:r w:rsidR="00231838">
          <w:rPr>
            <w:webHidden/>
          </w:rPr>
          <w:t>260</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73" w:history="1">
        <w:r w:rsidRPr="008830E2">
          <w:rPr>
            <w:rStyle w:val="Hyperlink"/>
            <w:rFonts w:ascii="Times New Roman" w:hAnsi="Times New Roman"/>
          </w:rPr>
          <w:t>6.4.1.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Osservazioni di carattere generale</w:t>
        </w:r>
        <w:r>
          <w:rPr>
            <w:webHidden/>
          </w:rPr>
          <w:tab/>
        </w:r>
        <w:r>
          <w:rPr>
            <w:webHidden/>
          </w:rPr>
          <w:fldChar w:fldCharType="begin"/>
        </w:r>
        <w:r>
          <w:rPr>
            <w:webHidden/>
          </w:rPr>
          <w:instrText xml:space="preserve"> PAGEREF _Toc58915873 \h </w:instrText>
        </w:r>
        <w:r>
          <w:rPr>
            <w:webHidden/>
          </w:rPr>
        </w:r>
        <w:r>
          <w:rPr>
            <w:webHidden/>
          </w:rPr>
          <w:fldChar w:fldCharType="separate"/>
        </w:r>
        <w:r w:rsidR="00231838">
          <w:rPr>
            <w:webHidden/>
          </w:rPr>
          <w:t>260</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74" w:history="1">
        <w:r w:rsidRPr="008830E2">
          <w:rPr>
            <w:rStyle w:val="Hyperlink"/>
            <w:rFonts w:ascii="Times New Roman" w:hAnsi="Times New Roman"/>
          </w:rPr>
          <w:t>6.4.2.</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_Toc58915874 \h </w:instrText>
        </w:r>
        <w:r>
          <w:rPr>
            <w:webHidden/>
          </w:rPr>
        </w:r>
        <w:r>
          <w:rPr>
            <w:webHidden/>
          </w:rPr>
          <w:fldChar w:fldCharType="separate"/>
        </w:r>
        <w:r w:rsidR="00231838">
          <w:rPr>
            <w:webHidden/>
          </w:rPr>
          <w:t>261</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75" w:history="1">
        <w:r w:rsidRPr="008830E2">
          <w:rPr>
            <w:rStyle w:val="Hyperlink"/>
            <w:rFonts w:ascii="Times New Roman" w:hAnsi="Times New Roman"/>
          </w:rPr>
          <w:t>7.</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C 33.00 — Esposizioni verso amministrazioni pubbliche (GOV)</w:t>
        </w:r>
        <w:r>
          <w:rPr>
            <w:webHidden/>
          </w:rPr>
          <w:tab/>
        </w:r>
        <w:r>
          <w:rPr>
            <w:webHidden/>
          </w:rPr>
          <w:fldChar w:fldCharType="begin"/>
        </w:r>
        <w:r>
          <w:rPr>
            <w:webHidden/>
          </w:rPr>
          <w:instrText xml:space="preserve"> PAGEREF _Toc58915875 \h </w:instrText>
        </w:r>
        <w:r>
          <w:rPr>
            <w:webHidden/>
          </w:rPr>
        </w:r>
        <w:r>
          <w:rPr>
            <w:webHidden/>
          </w:rPr>
          <w:fldChar w:fldCharType="separate"/>
        </w:r>
        <w:r w:rsidR="00231838">
          <w:rPr>
            <w:webHidden/>
          </w:rPr>
          <w:t>263</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76" w:history="1">
        <w:r w:rsidRPr="008830E2">
          <w:rPr>
            <w:rStyle w:val="Hyperlink"/>
            <w:rFonts w:ascii="Times New Roman" w:hAnsi="Times New Roman"/>
          </w:rPr>
          <w:t>7.1.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Osservazioni di carattere generale</w:t>
        </w:r>
        <w:r>
          <w:rPr>
            <w:webHidden/>
          </w:rPr>
          <w:tab/>
        </w:r>
        <w:r>
          <w:rPr>
            <w:webHidden/>
          </w:rPr>
          <w:fldChar w:fldCharType="begin"/>
        </w:r>
        <w:r>
          <w:rPr>
            <w:webHidden/>
          </w:rPr>
          <w:instrText xml:space="preserve"> PAGEREF _Toc58915876 \h </w:instrText>
        </w:r>
        <w:r>
          <w:rPr>
            <w:webHidden/>
          </w:rPr>
        </w:r>
        <w:r>
          <w:rPr>
            <w:webHidden/>
          </w:rPr>
          <w:fldChar w:fldCharType="separate"/>
        </w:r>
        <w:r w:rsidR="00231838">
          <w:rPr>
            <w:webHidden/>
          </w:rPr>
          <w:t>263</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77" w:history="1">
        <w:r w:rsidRPr="008830E2">
          <w:rPr>
            <w:rStyle w:val="Hyperlink"/>
            <w:rFonts w:ascii="Times New Roman" w:hAnsi="Times New Roman"/>
          </w:rPr>
          <w:t>7.2.</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Ambito di applicazione del modello</w:t>
        </w:r>
        <w:r w:rsidR="000878EC">
          <w:rPr>
            <w:rStyle w:val="Hyperlink"/>
            <w:rFonts w:ascii="Times New Roman" w:hAnsi="Times New Roman"/>
          </w:rPr>
          <w:t xml:space="preserve"> </w:t>
        </w:r>
        <w:r w:rsidRPr="008830E2">
          <w:rPr>
            <w:rStyle w:val="Hyperlink"/>
            <w:rFonts w:ascii="Times New Roman" w:hAnsi="Times New Roman"/>
          </w:rPr>
          <w:t xml:space="preserve">sulle esposizioni verso le </w:t>
        </w:r>
        <w:r w:rsidR="000878EC">
          <w:rPr>
            <w:rStyle w:val="Hyperlink"/>
            <w:rFonts w:ascii="Times New Roman" w:hAnsi="Times New Roman"/>
          </w:rPr>
          <w:t>"</w:t>
        </w:r>
        <w:r w:rsidRPr="008830E2">
          <w:rPr>
            <w:rStyle w:val="Hyperlink"/>
            <w:rFonts w:ascii="Times New Roman" w:hAnsi="Times New Roman"/>
          </w:rPr>
          <w:t>amministrazioni pubbliche</w:t>
        </w:r>
        <w:r w:rsidR="000878EC">
          <w:rPr>
            <w:rStyle w:val="Hyperlink"/>
            <w:rFonts w:ascii="Times New Roman" w:hAnsi="Times New Roman"/>
          </w:rPr>
          <w:t>"</w:t>
        </w:r>
        <w:r>
          <w:rPr>
            <w:webHidden/>
          </w:rPr>
          <w:tab/>
        </w:r>
        <w:r>
          <w:rPr>
            <w:webHidden/>
          </w:rPr>
          <w:fldChar w:fldCharType="begin"/>
        </w:r>
        <w:r>
          <w:rPr>
            <w:webHidden/>
          </w:rPr>
          <w:instrText xml:space="preserve"> PAGEREF _Toc58915877 \h </w:instrText>
        </w:r>
        <w:r>
          <w:rPr>
            <w:webHidden/>
          </w:rPr>
        </w:r>
        <w:r>
          <w:rPr>
            <w:webHidden/>
          </w:rPr>
          <w:fldChar w:fldCharType="separate"/>
        </w:r>
        <w:r w:rsidR="00231838">
          <w:rPr>
            <w:webHidden/>
          </w:rPr>
          <w:t>264</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78" w:history="1">
        <w:r w:rsidRPr="008830E2">
          <w:rPr>
            <w:rStyle w:val="Hyperlink"/>
            <w:rFonts w:ascii="Times New Roman" w:hAnsi="Times New Roman"/>
          </w:rPr>
          <w:t>7.3.</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_Toc58915878 \h </w:instrText>
        </w:r>
        <w:r>
          <w:rPr>
            <w:webHidden/>
          </w:rPr>
        </w:r>
        <w:r>
          <w:rPr>
            <w:webHidden/>
          </w:rPr>
          <w:fldChar w:fldCharType="separate"/>
        </w:r>
        <w:r w:rsidR="00231838">
          <w:rPr>
            <w:webHidden/>
          </w:rPr>
          <w:t>264</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79" w:history="1">
        <w:r w:rsidRPr="008830E2">
          <w:rPr>
            <w:rStyle w:val="Hyperlink"/>
            <w:rFonts w:ascii="Times New Roman" w:hAnsi="Times New Roman"/>
          </w:rPr>
          <w:t>8.</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Copertura delle perdite delle NPE (NPE LC)</w:t>
        </w:r>
        <w:r>
          <w:rPr>
            <w:webHidden/>
          </w:rPr>
          <w:tab/>
        </w:r>
        <w:r>
          <w:rPr>
            <w:webHidden/>
          </w:rPr>
          <w:fldChar w:fldCharType="begin"/>
        </w:r>
        <w:r>
          <w:rPr>
            <w:webHidden/>
          </w:rPr>
          <w:instrText xml:space="preserve"> PAGEREF _Toc58915879 \h </w:instrText>
        </w:r>
        <w:r>
          <w:rPr>
            <w:webHidden/>
          </w:rPr>
        </w:r>
        <w:r>
          <w:rPr>
            <w:webHidden/>
          </w:rPr>
          <w:fldChar w:fldCharType="separate"/>
        </w:r>
        <w:r w:rsidR="00231838">
          <w:rPr>
            <w:webHidden/>
          </w:rPr>
          <w:t>276</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80" w:history="1">
        <w:r w:rsidRPr="008830E2">
          <w:rPr>
            <w:rStyle w:val="Hyperlink"/>
            <w:rFonts w:ascii="Times New Roman" w:hAnsi="Times New Roman"/>
          </w:rPr>
          <w:t>8.1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Osservazioni di carattere generale</w:t>
        </w:r>
        <w:r>
          <w:rPr>
            <w:webHidden/>
          </w:rPr>
          <w:tab/>
        </w:r>
        <w:r>
          <w:rPr>
            <w:webHidden/>
          </w:rPr>
          <w:fldChar w:fldCharType="begin"/>
        </w:r>
        <w:r>
          <w:rPr>
            <w:webHidden/>
          </w:rPr>
          <w:instrText xml:space="preserve"> PAGEREF _Toc58915880 \h </w:instrText>
        </w:r>
        <w:r>
          <w:rPr>
            <w:webHidden/>
          </w:rPr>
        </w:r>
        <w:r>
          <w:rPr>
            <w:webHidden/>
          </w:rPr>
          <w:fldChar w:fldCharType="separate"/>
        </w:r>
        <w:r w:rsidR="00231838">
          <w:rPr>
            <w:webHidden/>
          </w:rPr>
          <w:t>276</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81" w:history="1">
        <w:r w:rsidRPr="008830E2">
          <w:rPr>
            <w:rStyle w:val="Hyperlink"/>
            <w:rFonts w:ascii="Times New Roman" w:hAnsi="Times New Roman"/>
          </w:rPr>
          <w:t>8.2 C 35.01 – IL CALCOLO DELLE DEDUZIONI PER ESPOSIZIONI DETERIORATE (NPE LC1)</w:t>
        </w:r>
        <w:r>
          <w:rPr>
            <w:webHidden/>
          </w:rPr>
          <w:tab/>
        </w:r>
        <w:r>
          <w:rPr>
            <w:webHidden/>
          </w:rPr>
          <w:fldChar w:fldCharType="begin"/>
        </w:r>
        <w:r>
          <w:rPr>
            <w:webHidden/>
          </w:rPr>
          <w:instrText xml:space="preserve"> PAGEREF _Toc58915881 \h </w:instrText>
        </w:r>
        <w:r>
          <w:rPr>
            <w:webHidden/>
          </w:rPr>
        </w:r>
        <w:r>
          <w:rPr>
            <w:webHidden/>
          </w:rPr>
          <w:fldChar w:fldCharType="separate"/>
        </w:r>
        <w:r w:rsidR="00231838">
          <w:rPr>
            <w:webHidden/>
          </w:rPr>
          <w:t>277</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82" w:history="1">
        <w:r w:rsidRPr="008830E2">
          <w:rPr>
            <w:rStyle w:val="Hyperlink"/>
            <w:rFonts w:ascii="Times New Roman" w:hAnsi="Times New Roman"/>
          </w:rPr>
          <w:t>8.2.1.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_Toc58915882 \h </w:instrText>
        </w:r>
        <w:r>
          <w:rPr>
            <w:webHidden/>
          </w:rPr>
        </w:r>
        <w:r>
          <w:rPr>
            <w:webHidden/>
          </w:rPr>
          <w:fldChar w:fldCharType="separate"/>
        </w:r>
        <w:r w:rsidR="00231838">
          <w:rPr>
            <w:webHidden/>
          </w:rPr>
          <w:t>277</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83" w:history="1">
        <w:r w:rsidRPr="008830E2">
          <w:rPr>
            <w:rStyle w:val="Hyperlink"/>
            <w:rFonts w:ascii="Times New Roman" w:hAnsi="Times New Roman"/>
          </w:rPr>
          <w:t>8.3.</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C 35.02 — REQUISITI DI COPERTURA MINIMA E VALORI DELL</w:t>
        </w:r>
        <w:r w:rsidR="000878EC">
          <w:rPr>
            <w:rStyle w:val="Hyperlink"/>
            <w:rFonts w:ascii="Times New Roman" w:hAnsi="Times New Roman"/>
          </w:rPr>
          <w:t>'</w:t>
        </w:r>
        <w:r w:rsidRPr="008830E2">
          <w:rPr>
            <w:rStyle w:val="Hyperlink"/>
            <w:rFonts w:ascii="Times New Roman" w:hAnsi="Times New Roman"/>
          </w:rPr>
          <w:t>ESPOSIZIONE DELLE ESPOSIZIONI DETERIORATE ESCLUSE QUELLE OGGETTO DI MISURE DI CONCESSIONE SOGGETTE ALL</w:t>
        </w:r>
        <w:r w:rsidR="000878EC">
          <w:rPr>
            <w:rStyle w:val="Hyperlink"/>
            <w:rFonts w:ascii="Times New Roman" w:hAnsi="Times New Roman"/>
          </w:rPr>
          <w:t>'</w:t>
        </w:r>
        <w:r w:rsidRPr="008830E2">
          <w:rPr>
            <w:rStyle w:val="Hyperlink"/>
            <w:rFonts w:ascii="Times New Roman" w:hAnsi="Times New Roman"/>
          </w:rPr>
          <w:t>ARTICOLO 47 QUATER, PARAGRAFO 6, DEL CRR (NPE LC2)</w:t>
        </w:r>
        <w:r>
          <w:rPr>
            <w:webHidden/>
          </w:rPr>
          <w:tab/>
        </w:r>
        <w:r>
          <w:rPr>
            <w:webHidden/>
          </w:rPr>
          <w:fldChar w:fldCharType="begin"/>
        </w:r>
        <w:r>
          <w:rPr>
            <w:webHidden/>
          </w:rPr>
          <w:instrText xml:space="preserve"> PAGEREF _Toc58915883 \h </w:instrText>
        </w:r>
        <w:r>
          <w:rPr>
            <w:webHidden/>
          </w:rPr>
        </w:r>
        <w:r>
          <w:rPr>
            <w:webHidden/>
          </w:rPr>
          <w:fldChar w:fldCharType="separate"/>
        </w:r>
        <w:r w:rsidR="00231838">
          <w:rPr>
            <w:webHidden/>
          </w:rPr>
          <w:t>280</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84" w:history="1">
        <w:r w:rsidRPr="008830E2">
          <w:rPr>
            <w:rStyle w:val="Hyperlink"/>
            <w:rFonts w:ascii="Times New Roman" w:hAnsi="Times New Roman"/>
          </w:rPr>
          <w:t>8.3.1.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_Toc58915884 \h </w:instrText>
        </w:r>
        <w:r>
          <w:rPr>
            <w:webHidden/>
          </w:rPr>
        </w:r>
        <w:r>
          <w:rPr>
            <w:webHidden/>
          </w:rPr>
          <w:fldChar w:fldCharType="separate"/>
        </w:r>
        <w:r w:rsidR="00231838">
          <w:rPr>
            <w:webHidden/>
          </w:rPr>
          <w:t>280</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85" w:history="1">
        <w:r w:rsidRPr="008830E2">
          <w:rPr>
            <w:rStyle w:val="Hyperlink"/>
            <w:rFonts w:ascii="Times New Roman" w:hAnsi="Times New Roman"/>
          </w:rPr>
          <w:t>8.4.</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C 35.03 — REQUISITI DI COPERTURA MINIMA E VALORI DELL</w:t>
        </w:r>
        <w:r w:rsidR="000878EC">
          <w:rPr>
            <w:rStyle w:val="Hyperlink"/>
            <w:rFonts w:ascii="Times New Roman" w:hAnsi="Times New Roman"/>
          </w:rPr>
          <w:t>'</w:t>
        </w:r>
        <w:r w:rsidRPr="008830E2">
          <w:rPr>
            <w:rStyle w:val="Hyperlink"/>
            <w:rFonts w:ascii="Times New Roman" w:hAnsi="Times New Roman"/>
          </w:rPr>
          <w:t>ESPOSIZIONE DELLE ESPOSIZIONI DETERIORATE OGGETTO DI MISURE DI CONCESSIONE SOGGETTE ALL</w:t>
        </w:r>
        <w:r w:rsidR="000878EC">
          <w:rPr>
            <w:rStyle w:val="Hyperlink"/>
            <w:rFonts w:ascii="Times New Roman" w:hAnsi="Times New Roman"/>
          </w:rPr>
          <w:t>'</w:t>
        </w:r>
        <w:r w:rsidRPr="008830E2">
          <w:rPr>
            <w:rStyle w:val="Hyperlink"/>
            <w:rFonts w:ascii="Times New Roman" w:hAnsi="Times New Roman"/>
          </w:rPr>
          <w:t>ARTICOLO 47 QUATER, PARAGRAFO 6, DEL CRR (NPE LC3)</w:t>
        </w:r>
        <w:r>
          <w:rPr>
            <w:webHidden/>
          </w:rPr>
          <w:tab/>
        </w:r>
        <w:r>
          <w:rPr>
            <w:webHidden/>
          </w:rPr>
          <w:fldChar w:fldCharType="begin"/>
        </w:r>
        <w:r>
          <w:rPr>
            <w:webHidden/>
          </w:rPr>
          <w:instrText xml:space="preserve"> PAGEREF _Toc58915885 \h </w:instrText>
        </w:r>
        <w:r>
          <w:rPr>
            <w:webHidden/>
          </w:rPr>
        </w:r>
        <w:r>
          <w:rPr>
            <w:webHidden/>
          </w:rPr>
          <w:fldChar w:fldCharType="separate"/>
        </w:r>
        <w:r w:rsidR="00231838">
          <w:rPr>
            <w:webHidden/>
          </w:rPr>
          <w:t>282</w:t>
        </w:r>
        <w:r>
          <w:rPr>
            <w:webHidden/>
          </w:rPr>
          <w:fldChar w:fldCharType="end"/>
        </w:r>
      </w:hyperlink>
    </w:p>
    <w:p w:rsidR="00A07957" w:rsidRDefault="00A07957">
      <w:pPr>
        <w:pStyle w:val="TOC2"/>
        <w:rPr>
          <w:rFonts w:asciiTheme="minorHAnsi" w:eastAsiaTheme="minorEastAsia" w:hAnsiTheme="minorHAnsi" w:cstheme="minorBidi"/>
          <w:b w:val="0"/>
          <w:smallCaps w:val="0"/>
          <w:sz w:val="22"/>
          <w:lang w:eastAsia="it-IT"/>
        </w:rPr>
      </w:pPr>
      <w:hyperlink w:anchor="_Toc58915886" w:history="1">
        <w:r w:rsidRPr="008830E2">
          <w:rPr>
            <w:rStyle w:val="Hyperlink"/>
            <w:rFonts w:ascii="Times New Roman" w:hAnsi="Times New Roman"/>
          </w:rPr>
          <w:t>8.4.1.</w:t>
        </w:r>
        <w:r>
          <w:rPr>
            <w:rFonts w:asciiTheme="minorHAnsi" w:eastAsiaTheme="minorEastAsia" w:hAnsiTheme="minorHAnsi" w:cstheme="minorBidi"/>
            <w:b w:val="0"/>
            <w:smallCaps w:val="0"/>
            <w:sz w:val="22"/>
            <w:lang w:eastAsia="it-IT"/>
          </w:rPr>
          <w:tab/>
        </w:r>
        <w:r w:rsidRPr="008830E2">
          <w:rPr>
            <w:rStyle w:val="Hyperlink"/>
            <w:rFonts w:ascii="Times New Roman" w:hAnsi="Times New Roman"/>
          </w:rPr>
          <w:t>Istruzioni relative a posizioni specifiche</w:t>
        </w:r>
        <w:r>
          <w:rPr>
            <w:webHidden/>
          </w:rPr>
          <w:tab/>
        </w:r>
        <w:r>
          <w:rPr>
            <w:webHidden/>
          </w:rPr>
          <w:fldChar w:fldCharType="begin"/>
        </w:r>
        <w:r>
          <w:rPr>
            <w:webHidden/>
          </w:rPr>
          <w:instrText xml:space="preserve"> PAGEREF _Toc58915886 \h </w:instrText>
        </w:r>
        <w:r>
          <w:rPr>
            <w:webHidden/>
          </w:rPr>
        </w:r>
        <w:r>
          <w:rPr>
            <w:webHidden/>
          </w:rPr>
          <w:fldChar w:fldCharType="separate"/>
        </w:r>
        <w:r w:rsidR="00231838">
          <w:rPr>
            <w:webHidden/>
          </w:rPr>
          <w:t>282</w:t>
        </w:r>
        <w:r>
          <w:rPr>
            <w:webHidden/>
          </w:rPr>
          <w:fldChar w:fldCharType="end"/>
        </w:r>
      </w:hyperlink>
    </w:p>
    <w:p w:rsidR="002648B0" w:rsidRPr="00661595" w:rsidRDefault="00745369" w:rsidP="00005FFC">
      <w:pPr>
        <w:rPr>
          <w:rFonts w:ascii="Times New Roman" w:hAnsi="Times New Roman"/>
          <w:sz w:val="24"/>
        </w:rPr>
        <w:sectPr w:rsidR="002648B0" w:rsidRPr="00661595" w:rsidSect="004D441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rsidR="007B4FD3" w:rsidRPr="00661595" w:rsidRDefault="007B4FD3" w:rsidP="00EC5046">
      <w:pPr>
        <w:rPr>
          <w:rFonts w:ascii="Times New Roman" w:hAnsi="Times New Roman"/>
          <w:sz w:val="24"/>
        </w:rPr>
      </w:pPr>
    </w:p>
    <w:p w:rsidR="002648B0" w:rsidRPr="00661595" w:rsidRDefault="002648B0" w:rsidP="00D64B66">
      <w:pPr>
        <w:pStyle w:val="Heading2"/>
        <w:rPr>
          <w:rFonts w:ascii="Times New Roman" w:hAnsi="Times New Roman"/>
        </w:rPr>
      </w:pPr>
      <w:bookmarkStart w:id="3" w:name="_Toc264038394"/>
      <w:bookmarkStart w:id="4" w:name="_Toc360188317"/>
      <w:bookmarkStart w:id="5" w:name="_Toc473560865"/>
      <w:bookmarkStart w:id="6" w:name="_Toc58915707"/>
      <w:r>
        <w:rPr>
          <w:rFonts w:ascii="Times New Roman" w:hAnsi="Times New Roman"/>
        </w:rPr>
        <w:t>PARTE I:</w:t>
      </w:r>
      <w:bookmarkEnd w:id="3"/>
      <w:r>
        <w:rPr>
          <w:rFonts w:ascii="Times New Roman" w:hAnsi="Times New Roman"/>
        </w:rPr>
        <w:t xml:space="preserve"> ISTRUZIONI DI CARATTERE GENERALE</w:t>
      </w:r>
      <w:bookmarkEnd w:id="4"/>
      <w:bookmarkEnd w:id="5"/>
      <w:bookmarkEnd w:id="6"/>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7" w:name="_Toc360188318"/>
      <w:bookmarkStart w:id="8" w:name="_Toc473560866"/>
      <w:bookmarkStart w:id="9" w:name="_Toc58915708"/>
      <w:r>
        <w:rPr>
          <w:rFonts w:ascii="Times New Roman" w:hAnsi="Times New Roman"/>
          <w:sz w:val="24"/>
          <w:u w:val="none"/>
        </w:rPr>
        <w:t>1.</w:t>
      </w:r>
      <w:r w:rsidRPr="003F3FDA">
        <w:rPr>
          <w:u w:val="none"/>
        </w:rPr>
        <w:tab/>
      </w:r>
      <w:r>
        <w:rPr>
          <w:rFonts w:ascii="Times New Roman" w:hAnsi="Times New Roman"/>
          <w:sz w:val="24"/>
          <w:u w:val="none"/>
        </w:rPr>
        <w:t>Struttura e convenzioni</w:t>
      </w:r>
      <w:bookmarkEnd w:id="7"/>
      <w:bookmarkEnd w:id="8"/>
      <w:bookmarkEnd w:id="9"/>
    </w:p>
    <w:p w:rsidR="002648B0" w:rsidRPr="00661595" w:rsidRDefault="00125707" w:rsidP="00304CA5">
      <w:pPr>
        <w:pStyle w:val="Instructionsberschrift2"/>
        <w:numPr>
          <w:ilvl w:val="0"/>
          <w:numId w:val="0"/>
        </w:numPr>
        <w:ind w:left="357" w:hanging="357"/>
        <w:rPr>
          <w:rFonts w:ascii="Times New Roman" w:hAnsi="Times New Roman" w:cs="Times New Roman"/>
          <w:sz w:val="24"/>
          <w:u w:val="none"/>
        </w:rPr>
      </w:pPr>
      <w:bookmarkStart w:id="10" w:name="_Toc360188319"/>
      <w:bookmarkStart w:id="11" w:name="_Toc473560867"/>
      <w:bookmarkStart w:id="12" w:name="_Toc264038399"/>
      <w:bookmarkStart w:id="13" w:name="_Toc294018834"/>
      <w:bookmarkStart w:id="14" w:name="_Toc58915709"/>
      <w:r>
        <w:rPr>
          <w:rFonts w:ascii="Times New Roman" w:hAnsi="Times New Roman"/>
          <w:sz w:val="24"/>
          <w:u w:val="none"/>
        </w:rPr>
        <w:t>1.1.</w:t>
      </w:r>
      <w:r w:rsidRPr="003F3FDA">
        <w:rPr>
          <w:u w:val="none"/>
        </w:rPr>
        <w:tab/>
      </w:r>
      <w:r>
        <w:rPr>
          <w:rFonts w:ascii="Times New Roman" w:hAnsi="Times New Roman"/>
          <w:sz w:val="24"/>
          <w:u w:val="none"/>
        </w:rPr>
        <w:t>Struttura</w:t>
      </w:r>
      <w:bookmarkEnd w:id="10"/>
      <w:bookmarkEnd w:id="11"/>
      <w:bookmarkEnd w:id="14"/>
    </w:p>
    <w:p w:rsidR="002648B0" w:rsidRPr="00661595" w:rsidRDefault="00A971CA" w:rsidP="00821208">
      <w:pPr>
        <w:pStyle w:val="InstructionsText2"/>
        <w:numPr>
          <w:ilvl w:val="0"/>
          <w:numId w:val="0"/>
        </w:numPr>
        <w:ind w:left="1440" w:hanging="240"/>
      </w:pPr>
      <w:r>
        <w:fldChar w:fldCharType="begin"/>
      </w:r>
      <w:r>
        <w:instrText xml:space="preserve"> seq paragraphs </w:instrText>
      </w:r>
      <w:r>
        <w:fldChar w:fldCharType="separate"/>
      </w:r>
      <w:r w:rsidR="00D11E4C">
        <w:rPr>
          <w:noProof/>
        </w:rPr>
        <w:t>1</w:t>
      </w:r>
      <w:r>
        <w:rPr>
          <w:noProof/>
        </w:rPr>
        <w:fldChar w:fldCharType="end"/>
      </w:r>
      <w:r w:rsidR="00D11E4C">
        <w:t>.</w:t>
      </w:r>
      <w:r w:rsidR="00D11E4C">
        <w:tab/>
        <w:t>Nel complesso, il quadro verte su sei aspetti:</w:t>
      </w:r>
    </w:p>
    <w:p w:rsidR="002648B0" w:rsidRPr="00661595" w:rsidRDefault="00125707" w:rsidP="00821208">
      <w:pPr>
        <w:pStyle w:val="InstructionsText2"/>
        <w:numPr>
          <w:ilvl w:val="0"/>
          <w:numId w:val="0"/>
        </w:numPr>
        <w:ind w:left="1440" w:hanging="240"/>
      </w:pPr>
      <w:r>
        <w:t>a)</w:t>
      </w:r>
      <w:r>
        <w:tab/>
        <w:t>adeguatezza patrimoniale, descrizione del capitale regolamentare; importo complessivo dell</w:t>
      </w:r>
      <w:r w:rsidR="000878EC">
        <w:t>'</w:t>
      </w:r>
      <w:r>
        <w:t>esposizione al rischio; valutazione prudente; copertura delle perdite delle esposizioni deteriorate (NPE);</w:t>
      </w:r>
    </w:p>
    <w:p w:rsidR="00436204" w:rsidRPr="00661595" w:rsidRDefault="00125707" w:rsidP="00821208">
      <w:pPr>
        <w:pStyle w:val="InstructionsText2"/>
        <w:numPr>
          <w:ilvl w:val="0"/>
          <w:numId w:val="0"/>
        </w:numPr>
        <w:ind w:left="1440" w:hanging="240"/>
      </w:pPr>
      <w:r>
        <w:t>b)</w:t>
      </w:r>
      <w:r>
        <w:tab/>
        <w:t>solvibilità del gruppo, descrizione del rispetto dei requisiti di solvibilità da parte di tutti i singoli soggetti inclusi nel consolidamento del soggetto segnalante;</w:t>
      </w:r>
    </w:p>
    <w:p w:rsidR="002648B0" w:rsidRPr="00661595" w:rsidRDefault="00125707" w:rsidP="00821208">
      <w:pPr>
        <w:pStyle w:val="InstructionsText2"/>
        <w:numPr>
          <w:ilvl w:val="0"/>
          <w:numId w:val="0"/>
        </w:numPr>
        <w:ind w:left="1440" w:hanging="240"/>
      </w:pPr>
      <w:r>
        <w:t>c)</w:t>
      </w:r>
      <w:r>
        <w:tab/>
        <w:t>rischio di credito (compresi i rischi di controparte, diluizione e regolamento);</w:t>
      </w:r>
    </w:p>
    <w:p w:rsidR="002648B0" w:rsidRPr="00661595" w:rsidRDefault="00125707" w:rsidP="00821208">
      <w:pPr>
        <w:pStyle w:val="InstructionsText2"/>
        <w:numPr>
          <w:ilvl w:val="0"/>
          <w:numId w:val="0"/>
        </w:numPr>
        <w:ind w:left="1440" w:hanging="240"/>
      </w:pPr>
      <w:r>
        <w:t>d)</w:t>
      </w:r>
      <w:r>
        <w:tab/>
        <w:t>rischio di mercato (compresi il rischio di posizione nel portafoglio di negoziazione, il rischio di cambio, il rischio di posizione in merci e il rischio di aggiustamento della valutazione del credito (CVA));</w:t>
      </w:r>
    </w:p>
    <w:p w:rsidR="00C44C83" w:rsidRPr="00661595" w:rsidRDefault="00125707" w:rsidP="00821208">
      <w:pPr>
        <w:pStyle w:val="InstructionsText2"/>
        <w:numPr>
          <w:ilvl w:val="0"/>
          <w:numId w:val="0"/>
        </w:numPr>
        <w:ind w:left="1440" w:hanging="240"/>
      </w:pPr>
      <w:r>
        <w:t>e)</w:t>
      </w:r>
      <w:r>
        <w:tab/>
        <w:t>rischio operativo;</w:t>
      </w:r>
    </w:p>
    <w:p w:rsidR="002648B0" w:rsidRPr="00661595" w:rsidRDefault="00C44C83" w:rsidP="00821208">
      <w:pPr>
        <w:pStyle w:val="InstructionsText2"/>
        <w:numPr>
          <w:ilvl w:val="0"/>
          <w:numId w:val="0"/>
        </w:numPr>
        <w:ind w:left="1440" w:hanging="240"/>
      </w:pPr>
      <w:r>
        <w:t xml:space="preserve">f) </w:t>
      </w:r>
      <w:r w:rsidR="003F3FDA">
        <w:tab/>
      </w:r>
      <w:r>
        <w:t>esposizioni delle amministrazioni pubbliche</w:t>
      </w:r>
    </w:p>
    <w:p w:rsidR="002648B0" w:rsidRPr="00661595" w:rsidRDefault="00A971CA" w:rsidP="00821208">
      <w:pPr>
        <w:pStyle w:val="InstructionsText2"/>
        <w:numPr>
          <w:ilvl w:val="0"/>
          <w:numId w:val="0"/>
        </w:numPr>
        <w:ind w:left="1440" w:hanging="240"/>
      </w:pPr>
      <w:r>
        <w:fldChar w:fldCharType="begin"/>
      </w:r>
      <w:r>
        <w:instrText xml:space="preserve"> seq paragraphs </w:instrText>
      </w:r>
      <w:r>
        <w:fldChar w:fldCharType="separate"/>
      </w:r>
      <w:r w:rsidR="00D11E4C">
        <w:rPr>
          <w:noProof/>
        </w:rPr>
        <w:t>2</w:t>
      </w:r>
      <w:r>
        <w:rPr>
          <w:noProof/>
        </w:rPr>
        <w:fldChar w:fldCharType="end"/>
      </w:r>
      <w:r w:rsidR="00D11E4C">
        <w:t>.</w:t>
      </w:r>
      <w:r w:rsidR="00D11E4C">
        <w:tab/>
        <w:t>Per ciascun modello sono indicati i riferimenti giuridici. La presente parte del regolamento di esecuzione contiene ulteriori informazioni dettagliate sugli aspetti più generali della segnalazione di ciascun blocco di modelli, istruzioni relative a posizioni specifiche nonché norme di convalida.</w:t>
      </w:r>
    </w:p>
    <w:p w:rsidR="005643EA" w:rsidRPr="00661595" w:rsidRDefault="00A971CA" w:rsidP="00821208">
      <w:pPr>
        <w:pStyle w:val="InstructionsText2"/>
        <w:numPr>
          <w:ilvl w:val="0"/>
          <w:numId w:val="0"/>
        </w:numPr>
        <w:ind w:left="1440" w:hanging="240"/>
      </w:pPr>
      <w:r>
        <w:fldChar w:fldCharType="begin"/>
      </w:r>
      <w:r>
        <w:instrText xml:space="preserve"> seq paragraphs </w:instrText>
      </w:r>
      <w:r>
        <w:fldChar w:fldCharType="separate"/>
      </w:r>
      <w:r w:rsidR="00D11E4C">
        <w:rPr>
          <w:noProof/>
        </w:rPr>
        <w:t>3</w:t>
      </w:r>
      <w:r>
        <w:rPr>
          <w:noProof/>
        </w:rPr>
        <w:fldChar w:fldCharType="end"/>
      </w:r>
      <w:r w:rsidR="00D11E4C">
        <w:t>.</w:t>
      </w:r>
      <w:r w:rsidR="00D11E4C">
        <w:tab/>
        <w:t>L</w:t>
      </w:r>
      <w:r w:rsidR="000878EC">
        <w:t>'</w:t>
      </w:r>
      <w:r w:rsidR="00D11E4C">
        <w:t>ente segnala soltanto i modelli che sono rilevanti per il metodo utilizzato per il calcolo dei requisiti di fondi propri.</w:t>
      </w:r>
    </w:p>
    <w:p w:rsidR="002648B0" w:rsidRPr="00661595" w:rsidRDefault="00125707" w:rsidP="005730EA">
      <w:pPr>
        <w:pStyle w:val="Instructionsberschrift2"/>
        <w:numPr>
          <w:ilvl w:val="0"/>
          <w:numId w:val="0"/>
        </w:numPr>
        <w:suppressAutoHyphens/>
        <w:ind w:left="357" w:hanging="357"/>
        <w:rPr>
          <w:rFonts w:ascii="Times New Roman" w:hAnsi="Times New Roman" w:cs="Times New Roman"/>
          <w:sz w:val="24"/>
          <w:u w:val="none"/>
        </w:rPr>
      </w:pPr>
      <w:bookmarkStart w:id="15" w:name="_Toc360188320"/>
      <w:bookmarkStart w:id="16" w:name="_Toc473560868"/>
      <w:bookmarkStart w:id="17" w:name="_Toc58915710"/>
      <w:r>
        <w:rPr>
          <w:rFonts w:ascii="Times New Roman" w:hAnsi="Times New Roman"/>
          <w:sz w:val="24"/>
          <w:u w:val="none"/>
        </w:rPr>
        <w:t>1.2.</w:t>
      </w:r>
      <w:r w:rsidRPr="00061618">
        <w:rPr>
          <w:u w:val="none"/>
        </w:rPr>
        <w:tab/>
      </w:r>
      <w:r>
        <w:rPr>
          <w:rFonts w:ascii="Times New Roman" w:hAnsi="Times New Roman"/>
          <w:sz w:val="24"/>
          <w:u w:val="none"/>
        </w:rPr>
        <w:t>Convenzione di numerazione</w:t>
      </w:r>
      <w:bookmarkEnd w:id="15"/>
      <w:bookmarkEnd w:id="16"/>
      <w:bookmarkEnd w:id="17"/>
    </w:p>
    <w:p w:rsidR="002648B0" w:rsidRPr="00661595" w:rsidRDefault="00A971CA" w:rsidP="00821208">
      <w:pPr>
        <w:pStyle w:val="InstructionsText2"/>
        <w:numPr>
          <w:ilvl w:val="0"/>
          <w:numId w:val="0"/>
        </w:numPr>
        <w:ind w:left="1560" w:hanging="240"/>
      </w:pPr>
      <w:r>
        <w:fldChar w:fldCharType="begin"/>
      </w:r>
      <w:r>
        <w:instrText xml:space="preserve"> seq paragraphs </w:instrText>
      </w:r>
      <w:r>
        <w:fldChar w:fldCharType="separate"/>
      </w:r>
      <w:r w:rsidR="00D11E4C">
        <w:rPr>
          <w:noProof/>
        </w:rPr>
        <w:t>4</w:t>
      </w:r>
      <w:r>
        <w:rPr>
          <w:noProof/>
        </w:rPr>
        <w:fldChar w:fldCharType="end"/>
      </w:r>
      <w:r w:rsidR="00D11E4C">
        <w:t>.</w:t>
      </w:r>
      <w:r w:rsidR="00D11E4C">
        <w:tab/>
        <w:t>Nel citare le colonne, le righe e le celle dei modelli, il documento si attiene alla convenzione di etichettatura di cui ai punti da 5 a 8. I codici numerici in questione sono ampiamente utilizzati nelle norme di convalida.</w:t>
      </w:r>
    </w:p>
    <w:p w:rsidR="005643EA" w:rsidRPr="00661595" w:rsidRDefault="00A971CA" w:rsidP="00821208">
      <w:pPr>
        <w:pStyle w:val="InstructionsText2"/>
        <w:numPr>
          <w:ilvl w:val="0"/>
          <w:numId w:val="0"/>
        </w:numPr>
        <w:ind w:left="1560" w:hanging="240"/>
      </w:pPr>
      <w:r>
        <w:fldChar w:fldCharType="begin"/>
      </w:r>
      <w:r>
        <w:instrText xml:space="preserve"> seq paragraphs </w:instrText>
      </w:r>
      <w:r>
        <w:fldChar w:fldCharType="separate"/>
      </w:r>
      <w:r w:rsidR="00D11E4C">
        <w:rPr>
          <w:noProof/>
        </w:rPr>
        <w:t>5</w:t>
      </w:r>
      <w:r>
        <w:rPr>
          <w:noProof/>
        </w:rPr>
        <w:fldChar w:fldCharType="end"/>
      </w:r>
      <w:r w:rsidR="00D11E4C">
        <w:t>.</w:t>
      </w:r>
      <w:r w:rsidR="00D11E4C">
        <w:tab/>
        <w:t>Nelle istruzioni si applica il seguente schema di annotazione generale: {Modello; Riga; Colonna}.</w:t>
      </w:r>
    </w:p>
    <w:p w:rsidR="002648B0" w:rsidRPr="00661595" w:rsidRDefault="00A971CA" w:rsidP="00821208">
      <w:pPr>
        <w:pStyle w:val="InstructionsText2"/>
        <w:numPr>
          <w:ilvl w:val="0"/>
          <w:numId w:val="0"/>
        </w:numPr>
        <w:ind w:left="1560" w:hanging="240"/>
      </w:pPr>
      <w:r>
        <w:fldChar w:fldCharType="begin"/>
      </w:r>
      <w:r>
        <w:instrText xml:space="preserve"> seq paragraphs </w:instrText>
      </w:r>
      <w:r>
        <w:fldChar w:fldCharType="separate"/>
      </w:r>
      <w:r w:rsidR="00D11E4C">
        <w:rPr>
          <w:noProof/>
        </w:rPr>
        <w:t>6</w:t>
      </w:r>
      <w:r>
        <w:rPr>
          <w:noProof/>
        </w:rPr>
        <w:fldChar w:fldCharType="end"/>
      </w:r>
      <w:r w:rsidR="00D11E4C">
        <w:t>.</w:t>
      </w:r>
      <w:r w:rsidR="00D11E4C">
        <w:tab/>
        <w:t>Per le convalide all</w:t>
      </w:r>
      <w:r w:rsidR="000878EC">
        <w:t>'</w:t>
      </w:r>
      <w:r w:rsidR="00D11E4C">
        <w:t>interno di un modello in cui sono utilizzati soltanto punti di dati del modello stesso, le annotazioni non contengono l</w:t>
      </w:r>
      <w:r w:rsidR="000878EC">
        <w:t>'</w:t>
      </w:r>
      <w:r w:rsidR="00D11E4C">
        <w:t>indicazione del modello: {Riga; Colonna}.</w:t>
      </w:r>
    </w:p>
    <w:p w:rsidR="005643EA" w:rsidRPr="00661595" w:rsidRDefault="00A971CA" w:rsidP="00821208">
      <w:pPr>
        <w:pStyle w:val="InstructionsText2"/>
        <w:numPr>
          <w:ilvl w:val="0"/>
          <w:numId w:val="0"/>
        </w:numPr>
        <w:ind w:left="1560" w:hanging="240"/>
      </w:pPr>
      <w:r>
        <w:fldChar w:fldCharType="begin"/>
      </w:r>
      <w:r>
        <w:instrText xml:space="preserve"> seq paragraphs </w:instrText>
      </w:r>
      <w:r>
        <w:fldChar w:fldCharType="separate"/>
      </w:r>
      <w:r w:rsidR="00D11E4C">
        <w:rPr>
          <w:noProof/>
        </w:rPr>
        <w:t>7</w:t>
      </w:r>
      <w:r>
        <w:rPr>
          <w:noProof/>
        </w:rPr>
        <w:fldChar w:fldCharType="end"/>
      </w:r>
      <w:r w:rsidR="00D11E4C">
        <w:t>.</w:t>
      </w:r>
      <w:r w:rsidR="00D11E4C">
        <w:tab/>
        <w:t>Nei modelli con una sola colonna, sono indicate soltanto le righe. {Modello; Riga}</w:t>
      </w:r>
    </w:p>
    <w:p w:rsidR="002648B0" w:rsidRPr="00661595" w:rsidRDefault="00A971CA" w:rsidP="00821208">
      <w:pPr>
        <w:pStyle w:val="InstructionsText2"/>
        <w:numPr>
          <w:ilvl w:val="0"/>
          <w:numId w:val="0"/>
        </w:numPr>
        <w:ind w:left="1560" w:hanging="240"/>
      </w:pPr>
      <w:r>
        <w:fldChar w:fldCharType="begin"/>
      </w:r>
      <w:r>
        <w:instrText xml:space="preserve"> seq paragraphs </w:instrText>
      </w:r>
      <w:r>
        <w:fldChar w:fldCharType="separate"/>
      </w:r>
      <w:r w:rsidR="00D11E4C">
        <w:rPr>
          <w:noProof/>
        </w:rPr>
        <w:t>8</w:t>
      </w:r>
      <w:r>
        <w:rPr>
          <w:noProof/>
        </w:rPr>
        <w:fldChar w:fldCharType="end"/>
      </w:r>
      <w:r w:rsidR="00D11E4C">
        <w:t>.</w:t>
      </w:r>
      <w:r w:rsidR="00D11E4C">
        <w:tab/>
        <w:t>Un asterisco segnala che la convalida è effettuata per le righe o le colonne specificate in precedenza.</w:t>
      </w:r>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18" w:name="_Toc360188321"/>
      <w:bookmarkStart w:id="19" w:name="_Toc473560869"/>
      <w:bookmarkStart w:id="20" w:name="_Toc58915711"/>
      <w:r>
        <w:rPr>
          <w:rFonts w:ascii="Times New Roman" w:hAnsi="Times New Roman"/>
          <w:sz w:val="24"/>
          <w:u w:val="none"/>
        </w:rPr>
        <w:t>1.3.</w:t>
      </w:r>
      <w:r w:rsidRPr="00E478C7">
        <w:rPr>
          <w:u w:val="none"/>
        </w:rPr>
        <w:tab/>
      </w:r>
      <w:r>
        <w:rPr>
          <w:rFonts w:ascii="Times New Roman" w:hAnsi="Times New Roman"/>
          <w:sz w:val="24"/>
          <w:u w:val="none"/>
        </w:rPr>
        <w:t>Convenzione dei segni</w:t>
      </w:r>
      <w:bookmarkEnd w:id="12"/>
      <w:bookmarkEnd w:id="13"/>
      <w:bookmarkEnd w:id="18"/>
      <w:bookmarkEnd w:id="19"/>
      <w:bookmarkEnd w:id="20"/>
    </w:p>
    <w:p w:rsidR="002648B0" w:rsidRPr="00661595" w:rsidRDefault="00A971CA" w:rsidP="00821208">
      <w:pPr>
        <w:pStyle w:val="InstructionsText2"/>
        <w:numPr>
          <w:ilvl w:val="0"/>
          <w:numId w:val="0"/>
        </w:numPr>
        <w:ind w:left="1560" w:hanging="240"/>
      </w:pPr>
      <w:r>
        <w:fldChar w:fldCharType="begin"/>
      </w:r>
      <w:r>
        <w:instrText xml:space="preserve"> seq paragraphs </w:instrText>
      </w:r>
      <w:r>
        <w:fldChar w:fldCharType="separate"/>
      </w:r>
      <w:r w:rsidR="00D11E4C">
        <w:rPr>
          <w:noProof/>
        </w:rPr>
        <w:t>9</w:t>
      </w:r>
      <w:r>
        <w:rPr>
          <w:noProof/>
        </w:rPr>
        <w:fldChar w:fldCharType="end"/>
      </w:r>
      <w:r w:rsidR="00D11E4C">
        <w:t>.</w:t>
      </w:r>
      <w:r w:rsidR="00D11E4C">
        <w:tab/>
        <w:t>Qualsiasi importo che aumenta i fondi propri o i requisiti patrimoniali è segnalato come cifra positiva. Per contro, qualsiasi importo che riduce i fondi propri totali o i requisiti patrimoniali è segnalato come cifra negativa. Se l</w:t>
      </w:r>
      <w:r w:rsidR="000878EC">
        <w:t>'</w:t>
      </w:r>
      <w:r w:rsidR="00D11E4C">
        <w:t>intestazione della voce è preceduta da un segno negativo (-), significa che per quella voce non è prevista la segnalazione di cifre positive.</w:t>
      </w:r>
    </w:p>
    <w:p w:rsidR="00304CA5" w:rsidRPr="00661595" w:rsidRDefault="00304CA5" w:rsidP="00304CA5">
      <w:pPr>
        <w:pStyle w:val="Instructionsberschrift2"/>
        <w:numPr>
          <w:ilvl w:val="0"/>
          <w:numId w:val="0"/>
        </w:numPr>
        <w:ind w:left="357" w:hanging="357"/>
        <w:rPr>
          <w:rFonts w:ascii="Times New Roman" w:hAnsi="Times New Roman" w:cs="Times New Roman"/>
          <w:sz w:val="24"/>
          <w:u w:val="none"/>
        </w:rPr>
      </w:pPr>
      <w:bookmarkStart w:id="21" w:name="_Toc58915712"/>
      <w:r>
        <w:rPr>
          <w:rFonts w:ascii="Times New Roman" w:hAnsi="Times New Roman"/>
          <w:sz w:val="24"/>
          <w:u w:val="none"/>
        </w:rPr>
        <w:t>1.4.</w:t>
      </w:r>
      <w:r w:rsidRPr="00E478C7">
        <w:rPr>
          <w:u w:val="none"/>
        </w:rPr>
        <w:tab/>
      </w:r>
      <w:r>
        <w:rPr>
          <w:rFonts w:ascii="Times New Roman" w:hAnsi="Times New Roman"/>
          <w:sz w:val="24"/>
          <w:u w:val="none"/>
        </w:rPr>
        <w:t>Abbreviazioni</w:t>
      </w:r>
      <w:bookmarkEnd w:id="21"/>
    </w:p>
    <w:p w:rsidR="00304CA5" w:rsidRPr="00661595" w:rsidRDefault="00A971CA" w:rsidP="00821208">
      <w:pPr>
        <w:pStyle w:val="InstructionsText2"/>
        <w:numPr>
          <w:ilvl w:val="0"/>
          <w:numId w:val="0"/>
        </w:numPr>
        <w:ind w:left="1560" w:hanging="240"/>
      </w:pPr>
      <w:r>
        <w:fldChar w:fldCharType="begin"/>
      </w:r>
      <w:r>
        <w:instrText xml:space="preserve"> seq paragraphs </w:instrText>
      </w:r>
      <w:r>
        <w:fldChar w:fldCharType="separate"/>
      </w:r>
      <w:r w:rsidR="00D11E4C">
        <w:rPr>
          <w:noProof/>
        </w:rPr>
        <w:t>10</w:t>
      </w:r>
      <w:r>
        <w:rPr>
          <w:noProof/>
        </w:rPr>
        <w:fldChar w:fldCharType="end"/>
      </w:r>
      <w:r w:rsidR="00D11E4C">
        <w:t xml:space="preserve">. Ai fini del presente allegato sono usate le denominazioni seguenti: </w:t>
      </w:r>
      <w:r w:rsidR="000878EC">
        <w:t>"</w:t>
      </w:r>
      <w:r w:rsidR="00E478C7">
        <w:t>CRR</w:t>
      </w:r>
      <w:r w:rsidR="000878EC">
        <w:t>"</w:t>
      </w:r>
      <w:r w:rsidR="00E478C7">
        <w:t xml:space="preserve"> per il regolamento (UE) n. </w:t>
      </w:r>
      <w:r w:rsidR="00D11E4C">
        <w:t>575/2013 del Parlamento europeo e del Consiglio</w:t>
      </w:r>
      <w:r w:rsidR="00D11E4C">
        <w:rPr>
          <w:vertAlign w:val="superscript"/>
        </w:rPr>
        <w:footnoteReference w:id="2"/>
      </w:r>
      <w:r w:rsidR="00D11E4C">
        <w:t xml:space="preserve">, </w:t>
      </w:r>
      <w:r w:rsidR="000878EC">
        <w:t>"</w:t>
      </w:r>
      <w:r w:rsidR="00D11E4C">
        <w:t>CRD</w:t>
      </w:r>
      <w:r w:rsidR="000878EC">
        <w:t>"</w:t>
      </w:r>
      <w:r w:rsidR="00D11E4C">
        <w:t xml:space="preserve"> per la direttiva 2013/36/UE del Parlamento europeo e del Consiglio</w:t>
      </w:r>
      <w:r w:rsidR="00D11E4C">
        <w:rPr>
          <w:vertAlign w:val="superscript"/>
        </w:rPr>
        <w:footnoteReference w:id="3"/>
      </w:r>
      <w:r w:rsidR="00D11E4C">
        <w:t xml:space="preserve">, </w:t>
      </w:r>
      <w:r w:rsidR="000878EC">
        <w:t>"</w:t>
      </w:r>
      <w:r w:rsidR="00D11E4C">
        <w:t>AD</w:t>
      </w:r>
      <w:r w:rsidR="000878EC">
        <w:t>"</w:t>
      </w:r>
      <w:r w:rsidR="00D11E4C">
        <w:t xml:space="preserve"> per la direttiva 2013/34/UE del Parlamento europeo e del Consiglio</w:t>
      </w:r>
      <w:r w:rsidR="00D11E4C">
        <w:rPr>
          <w:vertAlign w:val="superscript"/>
        </w:rPr>
        <w:footnoteReference w:id="4"/>
      </w:r>
      <w:r w:rsidR="00E478C7">
        <w:t xml:space="preserve">, </w:t>
      </w:r>
      <w:r w:rsidR="000878EC">
        <w:t>"</w:t>
      </w:r>
      <w:r w:rsidR="00D11E4C">
        <w:t>BAD</w:t>
      </w:r>
      <w:r w:rsidR="000878EC">
        <w:t>"</w:t>
      </w:r>
      <w:r w:rsidR="00D11E4C">
        <w:t xml:space="preserve"> per la direttiva 86/635/CEE del Consiglio</w:t>
      </w:r>
      <w:r w:rsidR="00D11E4C">
        <w:rPr>
          <w:vertAlign w:val="superscript"/>
        </w:rPr>
        <w:footnoteReference w:id="5"/>
      </w:r>
      <w:r w:rsidR="00D11E4C">
        <w:t xml:space="preserve"> e </w:t>
      </w:r>
      <w:r w:rsidR="000878EC">
        <w:t>"</w:t>
      </w:r>
      <w:r w:rsidR="00D11E4C">
        <w:t>BRRD</w:t>
      </w:r>
      <w:r w:rsidR="000878EC">
        <w:t>"</w:t>
      </w:r>
      <w:r w:rsidR="00D11E4C">
        <w:t xml:space="preserve"> per la direttiva 2014/59/UE del Parlamento europeo e del Consiglio</w:t>
      </w:r>
      <w:r w:rsidR="00D11E4C">
        <w:rPr>
          <w:vertAlign w:val="superscript"/>
        </w:rPr>
        <w:footnoteReference w:id="6"/>
      </w:r>
      <w:r w:rsidR="00D11E4C">
        <w:t>.</w:t>
      </w:r>
    </w:p>
    <w:p w:rsidR="00304CA5" w:rsidRPr="00661595" w:rsidRDefault="00304CA5" w:rsidP="00821208">
      <w:pPr>
        <w:pStyle w:val="InstructionsText2"/>
        <w:numPr>
          <w:ilvl w:val="0"/>
          <w:numId w:val="0"/>
        </w:numPr>
        <w:ind w:left="1320"/>
      </w:pPr>
    </w:p>
    <w:p w:rsidR="002648B0" w:rsidRPr="00661595" w:rsidRDefault="002648B0" w:rsidP="00115052">
      <w:pPr>
        <w:pStyle w:val="InstructionsText2"/>
        <w:sectPr w:rsidR="002648B0" w:rsidRPr="00661595" w:rsidSect="00A801A9">
          <w:endnotePr>
            <w:numFmt w:val="decimal"/>
          </w:endnotePr>
          <w:pgSz w:w="11906" w:h="16838"/>
          <w:pgMar w:top="1417" w:right="1417" w:bottom="1134" w:left="1417" w:header="708" w:footer="708" w:gutter="0"/>
          <w:cols w:space="708"/>
          <w:rtlGutter/>
          <w:docGrid w:linePitch="360"/>
        </w:sectPr>
      </w:pPr>
      <w:bookmarkStart w:id="22" w:name="_Toc264033192"/>
      <w:bookmarkEnd w:id="22"/>
    </w:p>
    <w:p w:rsidR="002648B0" w:rsidRPr="00661595" w:rsidRDefault="002648B0" w:rsidP="00005FFC">
      <w:pPr>
        <w:rPr>
          <w:rFonts w:ascii="Times New Roman" w:hAnsi="Times New Roman"/>
          <w:sz w:val="24"/>
        </w:rPr>
      </w:pPr>
    </w:p>
    <w:p w:rsidR="002648B0" w:rsidRPr="00661595" w:rsidRDefault="002648B0" w:rsidP="00D64B66">
      <w:pPr>
        <w:pStyle w:val="Heading2"/>
        <w:rPr>
          <w:rFonts w:ascii="Times New Roman" w:hAnsi="Times New Roman"/>
        </w:rPr>
      </w:pPr>
      <w:bookmarkStart w:id="23" w:name="_Toc360188322"/>
      <w:bookmarkStart w:id="24" w:name="_Toc473560870"/>
      <w:bookmarkStart w:id="25" w:name="_Toc58915713"/>
      <w:r>
        <w:rPr>
          <w:rFonts w:ascii="Times New Roman" w:hAnsi="Times New Roman"/>
        </w:rPr>
        <w:t>PARTE II: ISTRUZIONI RELATIVE AI MODELLI</w:t>
      </w:r>
      <w:bookmarkEnd w:id="23"/>
      <w:bookmarkEnd w:id="24"/>
      <w:bookmarkEnd w:id="25"/>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26" w:name="_Toc473560871"/>
      <w:bookmarkStart w:id="27" w:name="_Toc58915714"/>
      <w:r>
        <w:rPr>
          <w:rFonts w:ascii="Times New Roman" w:hAnsi="Times New Roman"/>
          <w:sz w:val="24"/>
          <w:u w:val="none"/>
        </w:rPr>
        <w:t>1</w:t>
      </w:r>
      <w:r w:rsidRPr="008B5B21">
        <w:rPr>
          <w:u w:val="none"/>
        </w:rPr>
        <w:tab/>
      </w:r>
      <w:bookmarkStart w:id="28" w:name="_Toc360188323"/>
      <w:r>
        <w:rPr>
          <w:rFonts w:ascii="Times New Roman" w:hAnsi="Times New Roman"/>
          <w:sz w:val="24"/>
          <w:u w:val="none"/>
        </w:rPr>
        <w:t>Descrizione dell</w:t>
      </w:r>
      <w:r w:rsidR="000878EC">
        <w:rPr>
          <w:rFonts w:ascii="Times New Roman" w:hAnsi="Times New Roman"/>
          <w:sz w:val="24"/>
          <w:u w:val="none"/>
        </w:rPr>
        <w:t>'</w:t>
      </w:r>
      <w:r>
        <w:rPr>
          <w:rFonts w:ascii="Times New Roman" w:hAnsi="Times New Roman"/>
          <w:sz w:val="24"/>
          <w:u w:val="none"/>
        </w:rPr>
        <w:t>adeguatezza patrimoniale (CA)</w:t>
      </w:r>
      <w:bookmarkEnd w:id="26"/>
      <w:bookmarkEnd w:id="27"/>
      <w:bookmarkEnd w:id="28"/>
    </w:p>
    <w:p w:rsidR="002648B0" w:rsidRPr="00661595" w:rsidRDefault="00125707" w:rsidP="0023700C">
      <w:pPr>
        <w:pStyle w:val="Instructionsberschrift2"/>
        <w:numPr>
          <w:ilvl w:val="0"/>
          <w:numId w:val="0"/>
        </w:numPr>
        <w:ind w:left="357" w:hanging="357"/>
        <w:rPr>
          <w:rFonts w:ascii="Times New Roman" w:hAnsi="Times New Roman" w:cs="Times New Roman"/>
          <w:sz w:val="24"/>
          <w:u w:val="none"/>
        </w:rPr>
      </w:pPr>
      <w:bookmarkStart w:id="29" w:name="_Toc308175819"/>
      <w:bookmarkStart w:id="30" w:name="_Toc360188324"/>
      <w:bookmarkStart w:id="31" w:name="_Toc473560872"/>
      <w:bookmarkStart w:id="32" w:name="_Toc58915715"/>
      <w:r>
        <w:rPr>
          <w:rFonts w:ascii="Times New Roman" w:hAnsi="Times New Roman"/>
          <w:sz w:val="24"/>
          <w:u w:val="none"/>
        </w:rPr>
        <w:t>1.1</w:t>
      </w:r>
      <w:r w:rsidR="008B5B21">
        <w:rPr>
          <w:u w:val="none"/>
        </w:rPr>
        <w:tab/>
      </w:r>
      <w:r w:rsidR="008B5B21">
        <w:rPr>
          <w:u w:val="none"/>
        </w:rPr>
        <w:tab/>
      </w:r>
      <w:r>
        <w:rPr>
          <w:rFonts w:ascii="Times New Roman" w:hAnsi="Times New Roman"/>
          <w:sz w:val="24"/>
          <w:u w:val="none"/>
        </w:rPr>
        <w:t>Osservazioni di carattere generale</w:t>
      </w:r>
      <w:bookmarkEnd w:id="29"/>
      <w:bookmarkEnd w:id="30"/>
      <w:bookmarkEnd w:id="31"/>
      <w:bookmarkEnd w:id="32"/>
    </w:p>
    <w:p w:rsidR="002648B0" w:rsidRPr="00661595" w:rsidRDefault="00A971CA" w:rsidP="00821208">
      <w:pPr>
        <w:pStyle w:val="InstructionsText2"/>
        <w:numPr>
          <w:ilvl w:val="0"/>
          <w:numId w:val="0"/>
        </w:numPr>
        <w:ind w:left="1680" w:hanging="360"/>
      </w:pPr>
      <w:r>
        <w:fldChar w:fldCharType="begin"/>
      </w:r>
      <w:r>
        <w:instrText xml:space="preserve"> seq paragraphs </w:instrText>
      </w:r>
      <w:r>
        <w:fldChar w:fldCharType="separate"/>
      </w:r>
      <w:r w:rsidR="00D11E4C">
        <w:rPr>
          <w:noProof/>
        </w:rPr>
        <w:t>11</w:t>
      </w:r>
      <w:r>
        <w:rPr>
          <w:noProof/>
        </w:rPr>
        <w:fldChar w:fldCharType="end"/>
      </w:r>
      <w:r w:rsidR="00D11E4C">
        <w:t>.</w:t>
      </w:r>
      <w:r w:rsidR="00D11E4C">
        <w:tab/>
        <w:t>I modelli CA contengono informazioni sui numeratori del primo pilastro (fondi propri, classe 1, capitale primario di classe 1), sul denominatore (requisiti di fondi propri) e sull</w:t>
      </w:r>
      <w:r w:rsidR="000878EC">
        <w:t>'</w:t>
      </w:r>
      <w:r w:rsidR="00D11E4C">
        <w:t xml:space="preserve">applicazione delle disposizioni transitorie del CRR e della CRD. I modelli CA sono cinque: </w:t>
      </w:r>
    </w:p>
    <w:p w:rsidR="005643EA" w:rsidRPr="00661595" w:rsidRDefault="00125707" w:rsidP="00821208">
      <w:pPr>
        <w:pStyle w:val="InstructionsText2"/>
        <w:numPr>
          <w:ilvl w:val="0"/>
          <w:numId w:val="0"/>
        </w:numPr>
        <w:ind w:left="1680" w:hanging="360"/>
      </w:pPr>
      <w:r>
        <w:t>a)</w:t>
      </w:r>
      <w:r>
        <w:tab/>
        <w:t>il modello CA1 indica l</w:t>
      </w:r>
      <w:r w:rsidR="000878EC">
        <w:t>'</w:t>
      </w:r>
      <w:r>
        <w:t>importo dei fondi propri dell</w:t>
      </w:r>
      <w:r w:rsidR="000878EC">
        <w:t>'</w:t>
      </w:r>
      <w:r>
        <w:t>ente, ripartito nei singoli elementi che lo compongono. L</w:t>
      </w:r>
      <w:r w:rsidR="000878EC">
        <w:t>'</w:t>
      </w:r>
      <w:r>
        <w:t>importo dei fondi propri così determinato comprende l</w:t>
      </w:r>
      <w:r w:rsidR="000878EC">
        <w:t>'</w:t>
      </w:r>
      <w:r>
        <w:t>effetto aggregato dell</w:t>
      </w:r>
      <w:r w:rsidR="000878EC">
        <w:t>'</w:t>
      </w:r>
      <w:r>
        <w:t>applicazione delle disposizioni transitorie del CRR e della CRD per tipo di capitale;</w:t>
      </w:r>
    </w:p>
    <w:p w:rsidR="005643EA" w:rsidRPr="00661595" w:rsidRDefault="00125707" w:rsidP="00821208">
      <w:pPr>
        <w:pStyle w:val="InstructionsText2"/>
        <w:numPr>
          <w:ilvl w:val="0"/>
          <w:numId w:val="0"/>
        </w:numPr>
        <w:ind w:left="1800" w:hanging="480"/>
      </w:pPr>
      <w:r>
        <w:t>b)</w:t>
      </w:r>
      <w:r>
        <w:tab/>
        <w:t>il modello CA2 riassume gli importi complessivi delle esposizioni al rischio defin</w:t>
      </w:r>
      <w:r w:rsidR="0034682C">
        <w:t>iti nell</w:t>
      </w:r>
      <w:r w:rsidR="000878EC">
        <w:t>'</w:t>
      </w:r>
      <w:r w:rsidR="0034682C">
        <w:t xml:space="preserve">articolo 92, paragrafo </w:t>
      </w:r>
      <w:r>
        <w:t>3, del CRR;</w:t>
      </w:r>
    </w:p>
    <w:p w:rsidR="005643EA" w:rsidRPr="00661595" w:rsidRDefault="00125707" w:rsidP="00821208">
      <w:pPr>
        <w:pStyle w:val="InstructionsText2"/>
        <w:numPr>
          <w:ilvl w:val="0"/>
          <w:numId w:val="0"/>
        </w:numPr>
        <w:ind w:left="1680" w:hanging="360"/>
      </w:pPr>
      <w:r>
        <w:t>c)</w:t>
      </w:r>
      <w:r>
        <w:tab/>
        <w:t>il modello CA3 indica i coefficienti per i quali il CRR definisce un livello minimo, i coefficienti del secondo pilastro nonché altri dati correlati;</w:t>
      </w:r>
    </w:p>
    <w:p w:rsidR="005643EA" w:rsidRPr="00661595" w:rsidRDefault="00125707" w:rsidP="00821208">
      <w:pPr>
        <w:pStyle w:val="InstructionsText2"/>
        <w:numPr>
          <w:ilvl w:val="0"/>
          <w:numId w:val="0"/>
        </w:numPr>
        <w:ind w:left="1680" w:hanging="360"/>
      </w:pPr>
      <w:r>
        <w:t>d)</w:t>
      </w:r>
      <w:r>
        <w:tab/>
        <w:t>il modello CA4 contiene le voci per memoria necessarie, fra le altre, per determinare</w:t>
      </w:r>
      <w:r w:rsidR="0034682C">
        <w:t xml:space="preserve"> gli elementi di cui al modello </w:t>
      </w:r>
      <w:r>
        <w:t xml:space="preserve">CA1, nonché informazioni riguardanti le riserve di capitale conformemente alla CRD; </w:t>
      </w:r>
    </w:p>
    <w:p w:rsidR="005643EA" w:rsidRPr="00661595" w:rsidRDefault="00125707" w:rsidP="00821208">
      <w:pPr>
        <w:pStyle w:val="InstructionsText2"/>
        <w:numPr>
          <w:ilvl w:val="0"/>
          <w:numId w:val="0"/>
        </w:numPr>
        <w:ind w:left="1680" w:hanging="360"/>
      </w:pPr>
      <w:r>
        <w:t>e)</w:t>
      </w:r>
      <w:r>
        <w:tab/>
        <w:t>il modello CA5 contiene i dati necessari per calcolare l</w:t>
      </w:r>
      <w:r w:rsidR="000878EC">
        <w:t>'</w:t>
      </w:r>
      <w:r>
        <w:t>effetto dell</w:t>
      </w:r>
      <w:r w:rsidR="000878EC">
        <w:t>'</w:t>
      </w:r>
      <w:r>
        <w:t>applicazione delle disposizioni transitorie del CRR sui fondi propri. Il modello CA5 sparirà allo scadere di dette disposizioni transitorie.</w:t>
      </w:r>
    </w:p>
    <w:p w:rsidR="00783881" w:rsidRPr="00661595" w:rsidRDefault="00A971CA" w:rsidP="00821208">
      <w:pPr>
        <w:pStyle w:val="InstructionsText2"/>
        <w:numPr>
          <w:ilvl w:val="0"/>
          <w:numId w:val="0"/>
        </w:numPr>
        <w:ind w:left="1680" w:hanging="360"/>
      </w:pPr>
      <w:r>
        <w:fldChar w:fldCharType="begin"/>
      </w:r>
      <w:r>
        <w:instrText xml:space="preserve"> seq paragraphs </w:instrText>
      </w:r>
      <w:r>
        <w:fldChar w:fldCharType="separate"/>
      </w:r>
      <w:r w:rsidR="00D11E4C">
        <w:rPr>
          <w:noProof/>
        </w:rPr>
        <w:t>12</w:t>
      </w:r>
      <w:r>
        <w:rPr>
          <w:noProof/>
        </w:rPr>
        <w:fldChar w:fldCharType="end"/>
      </w:r>
      <w:r w:rsidR="00D11E4C">
        <w:t>.</w:t>
      </w:r>
      <w:r w:rsidR="00D11E4C">
        <w:tab/>
        <w:t>I modelli sono usati da tutti i soggetti segnalanti, indipendentemente dai principi contabili applicati, anche se taluni elementi al numeratore sono specifici per i soggetti che utilizzano norme di valutazione del tipo usato negli IAS/IFRS. Di solito le informazioni indicate al denominatore sono correlate ai risultati finali segnalati nei corrispondenti modelli per il calcolo dell</w:t>
      </w:r>
      <w:r w:rsidR="000878EC">
        <w:t>'</w:t>
      </w:r>
      <w:r w:rsidR="00D11E4C">
        <w:t>importo complessivo dell</w:t>
      </w:r>
      <w:r w:rsidR="000878EC">
        <w:t>'</w:t>
      </w:r>
      <w:r w:rsidR="00D11E4C">
        <w:t>esposizione al rischio.</w:t>
      </w:r>
    </w:p>
    <w:p w:rsidR="005643EA" w:rsidRPr="00661595" w:rsidRDefault="00A971CA" w:rsidP="00821208">
      <w:pPr>
        <w:pStyle w:val="InstructionsText2"/>
        <w:numPr>
          <w:ilvl w:val="0"/>
          <w:numId w:val="0"/>
        </w:numPr>
        <w:ind w:left="1680" w:hanging="360"/>
      </w:pPr>
      <w:r>
        <w:fldChar w:fldCharType="begin"/>
      </w:r>
      <w:r>
        <w:instrText xml:space="preserve"> seq paragraphs </w:instrText>
      </w:r>
      <w:r>
        <w:fldChar w:fldCharType="separate"/>
      </w:r>
      <w:r w:rsidR="00D11E4C">
        <w:rPr>
          <w:noProof/>
        </w:rPr>
        <w:t>13</w:t>
      </w:r>
      <w:r>
        <w:rPr>
          <w:noProof/>
        </w:rPr>
        <w:fldChar w:fldCharType="end"/>
      </w:r>
      <w:r w:rsidR="00D11E4C">
        <w:t>.</w:t>
      </w:r>
      <w:r w:rsidR="00D11E4C">
        <w:tab/>
        <w:t>I fondi propri totali sono formati da tipi di capitale di</w:t>
      </w:r>
      <w:r w:rsidR="0034682C">
        <w:t>fferenti: il capitale di classe 1 </w:t>
      </w:r>
      <w:r w:rsidR="00D11E4C">
        <w:t xml:space="preserve">(T1), che è la somma del capitale primario di classe 1 (CET1) e del capitale aggiuntivo di classe 1 (AT1), e il capitale di classe 2 (T2). </w:t>
      </w:r>
    </w:p>
    <w:p w:rsidR="00783881" w:rsidRPr="00661595" w:rsidRDefault="00A971CA" w:rsidP="00821208">
      <w:pPr>
        <w:pStyle w:val="InstructionsText2"/>
        <w:numPr>
          <w:ilvl w:val="0"/>
          <w:numId w:val="0"/>
        </w:numPr>
        <w:ind w:left="1680" w:hanging="360"/>
      </w:pPr>
      <w:r>
        <w:fldChar w:fldCharType="begin"/>
      </w:r>
      <w:r>
        <w:instrText xml:space="preserve"> seq paragraphs </w:instrText>
      </w:r>
      <w:r>
        <w:fldChar w:fldCharType="separate"/>
      </w:r>
      <w:r w:rsidR="00D11E4C">
        <w:rPr>
          <w:noProof/>
        </w:rPr>
        <w:t>14</w:t>
      </w:r>
      <w:r>
        <w:rPr>
          <w:noProof/>
        </w:rPr>
        <w:fldChar w:fldCharType="end"/>
      </w:r>
      <w:r w:rsidR="00D11E4C">
        <w:t>.</w:t>
      </w:r>
      <w:r w:rsidR="00D11E4C">
        <w:tab/>
        <w:t>L</w:t>
      </w:r>
      <w:r w:rsidR="000878EC">
        <w:t>'</w:t>
      </w:r>
      <w:r w:rsidR="00D11E4C">
        <w:t>applicazione delle disposizioni transitorie del CRR e della CRD è trattata come segue nei modelli CA:</w:t>
      </w:r>
    </w:p>
    <w:p w:rsidR="00783881" w:rsidRPr="00661595" w:rsidRDefault="00125707" w:rsidP="00821208">
      <w:pPr>
        <w:pStyle w:val="InstructionsText2"/>
        <w:numPr>
          <w:ilvl w:val="0"/>
          <w:numId w:val="0"/>
        </w:numPr>
        <w:ind w:left="1680" w:hanging="360"/>
      </w:pPr>
      <w:r>
        <w:t>a)</w:t>
      </w:r>
      <w:r>
        <w:tab/>
        <w:t>le voci del modello CA1 prescindono di solito dagli aggiustamenti transitori. Questo significa che gli importi indicati alle voci del modello CA1 sono calcolati conformemente alle disposizioni definitive (ossia come se non ci fossero disposizioni transitorie), ad eccezione delle voci che riassumono l</w:t>
      </w:r>
      <w:r w:rsidR="000878EC">
        <w:t>'</w:t>
      </w:r>
      <w:r>
        <w:t>effetto di dette disposizioni transitorie. Per ciascun tipo di capitale (capitale primario di classe 1, capitale aggiuntivo di classe 1 e capitale di classe 2) tre diverse voci comprendono tutti gli aggiustamenti dovuti a dette disposizioni transitorie;</w:t>
      </w:r>
    </w:p>
    <w:p w:rsidR="00113EA5" w:rsidRPr="00661595" w:rsidRDefault="00125707" w:rsidP="00821208">
      <w:pPr>
        <w:pStyle w:val="InstructionsText2"/>
        <w:numPr>
          <w:ilvl w:val="0"/>
          <w:numId w:val="0"/>
        </w:numPr>
        <w:ind w:left="1680" w:hanging="360"/>
      </w:pPr>
      <w:r>
        <w:t>b)</w:t>
      </w:r>
      <w:r>
        <w:tab/>
        <w:t>le disposizioni transitorie possono influire anche sulla carenza di capitale aggiuntivo di classe 1 e di capitale di classe 2 (ossia l</w:t>
      </w:r>
      <w:r w:rsidR="000878EC">
        <w:t>'</w:t>
      </w:r>
      <w:r>
        <w:t>eccesso della deduzione dal capitale aggiuntivo di classe 1 e dal capitale di classe 2 disciplinata, rispettivamente, dall</w:t>
      </w:r>
      <w:r w:rsidR="000878EC">
        <w:t>'</w:t>
      </w:r>
      <w:r>
        <w:t>articolo 36, paragrafo 1, lettera j), e dall</w:t>
      </w:r>
      <w:r w:rsidR="000878EC">
        <w:t>'</w:t>
      </w:r>
      <w:r>
        <w:t>articolo 56, lettera e), del CRR); pertanto, le voci che riportano queste carenze possono riflettere indirettamente l</w:t>
      </w:r>
      <w:r w:rsidR="000878EC">
        <w:t>'</w:t>
      </w:r>
      <w:r>
        <w:t>effetto delle disposizioni transitorie;</w:t>
      </w:r>
    </w:p>
    <w:p w:rsidR="005643EA" w:rsidRPr="00661595" w:rsidRDefault="00125707" w:rsidP="00821208">
      <w:pPr>
        <w:pStyle w:val="InstructionsText2"/>
        <w:numPr>
          <w:ilvl w:val="0"/>
          <w:numId w:val="0"/>
        </w:numPr>
        <w:ind w:left="1680" w:hanging="360"/>
      </w:pPr>
      <w:r>
        <w:t>c)</w:t>
      </w:r>
      <w:r>
        <w:tab/>
        <w:t>il modello CA5 è usato esclusivamente per segnalare l</w:t>
      </w:r>
      <w:r w:rsidR="000878EC">
        <w:t>'</w:t>
      </w:r>
      <w:r>
        <w:t>effetto prodotto dall</w:t>
      </w:r>
      <w:r w:rsidR="000878EC">
        <w:t>'</w:t>
      </w:r>
      <w:r>
        <w:t xml:space="preserve">applicazione delle disposizioni transitorie del CRR. </w:t>
      </w:r>
    </w:p>
    <w:p w:rsidR="00783881" w:rsidRPr="00661595" w:rsidRDefault="00A971CA" w:rsidP="00821208">
      <w:pPr>
        <w:pStyle w:val="InstructionsText2"/>
        <w:numPr>
          <w:ilvl w:val="0"/>
          <w:numId w:val="0"/>
        </w:numPr>
        <w:ind w:left="1680" w:hanging="360"/>
      </w:pPr>
      <w:r>
        <w:fldChar w:fldCharType="begin"/>
      </w:r>
      <w:r>
        <w:instrText xml:space="preserve"> seq paragraphs </w:instrText>
      </w:r>
      <w:r>
        <w:fldChar w:fldCharType="separate"/>
      </w:r>
      <w:r w:rsidR="00D11E4C">
        <w:rPr>
          <w:noProof/>
        </w:rPr>
        <w:t>15</w:t>
      </w:r>
      <w:r>
        <w:rPr>
          <w:noProof/>
        </w:rPr>
        <w:fldChar w:fldCharType="end"/>
      </w:r>
      <w:r w:rsidR="00D11E4C">
        <w:t>.</w:t>
      </w:r>
      <w:r w:rsidR="00D11E4C">
        <w:tab/>
        <w:t>I requisiti del secondo pilastro possono ricevere un trattamento diverso all</w:t>
      </w:r>
      <w:r w:rsidR="000878EC">
        <w:t>'</w:t>
      </w:r>
      <w:r w:rsidR="00D11E4C">
        <w:t>interno dell</w:t>
      </w:r>
      <w:r w:rsidR="000878EC">
        <w:t>'</w:t>
      </w:r>
      <w:r w:rsidR="00D11E4C">
        <w:t>Unione (l</w:t>
      </w:r>
      <w:r w:rsidR="000878EC">
        <w:t>'</w:t>
      </w:r>
      <w:r w:rsidR="00D11E4C">
        <w:t>articolo 104 bis, paragrafo 1, della CRD deve essere recepito nella legislazione nazionale). La segnalazione della solvibilità imposta dal CRR comprende soltanto l</w:t>
      </w:r>
      <w:r w:rsidR="000878EC">
        <w:t>'</w:t>
      </w:r>
      <w:r w:rsidR="00D11E4C">
        <w:t xml:space="preserve">impatto dei requisiti del secondo pilastro sul coefficiente di solvibilità o sul coefficiente finale. </w:t>
      </w:r>
    </w:p>
    <w:p w:rsidR="005643EA" w:rsidRPr="00661595" w:rsidRDefault="00125707" w:rsidP="00821208">
      <w:pPr>
        <w:pStyle w:val="InstructionsText2"/>
        <w:numPr>
          <w:ilvl w:val="0"/>
          <w:numId w:val="0"/>
        </w:numPr>
        <w:ind w:left="1680" w:hanging="360"/>
      </w:pPr>
      <w:r>
        <w:t>a)</w:t>
      </w:r>
      <w:r>
        <w:tab/>
        <w:t>I modelli CA1, CA2 e CA5 contengono solamente dati relativi ad elementi del primo pilastro.</w:t>
      </w:r>
    </w:p>
    <w:p w:rsidR="005643EA" w:rsidRPr="00661595" w:rsidRDefault="00125707" w:rsidP="00821208">
      <w:pPr>
        <w:pStyle w:val="InstructionsText2"/>
        <w:numPr>
          <w:ilvl w:val="0"/>
          <w:numId w:val="0"/>
        </w:numPr>
        <w:ind w:left="1680" w:hanging="360"/>
      </w:pPr>
      <w:r>
        <w:t>b)</w:t>
      </w:r>
      <w:r>
        <w:tab/>
        <w:t>Il modello CA3 indica l</w:t>
      </w:r>
      <w:r w:rsidR="000878EC">
        <w:t>'</w:t>
      </w:r>
      <w:r>
        <w:t>impatto dei requisiti aggiuntivi del secondo pilastro sul coefficiente di solvibilità su base aggregata. Si concentra principalmente sui coefficienti finali. Non vi sono ulteriori collegamenti con i modelli CA1, CA2 o CA5.</w:t>
      </w:r>
    </w:p>
    <w:p w:rsidR="00505941" w:rsidRDefault="00125707" w:rsidP="00821208">
      <w:pPr>
        <w:pStyle w:val="InstructionsText2"/>
        <w:numPr>
          <w:ilvl w:val="0"/>
          <w:numId w:val="0"/>
        </w:numPr>
        <w:ind w:left="1680" w:hanging="360"/>
      </w:pPr>
      <w:r>
        <w:t>c)</w:t>
      </w:r>
      <w:r>
        <w:tab/>
        <w:t>Il modello CA4 contiene una cella per i requisiti aggiuntivi di fondi propri connessi al secondo pilastro. Detta cella, che non è collegata tramite norme di convalida ai coefficienti di capitale del modello CA3, rispecchia l</w:t>
      </w:r>
      <w:r w:rsidR="000878EC">
        <w:t>'</w:t>
      </w:r>
      <w:r>
        <w:t>articolo 104 bis, paragrafo 1, della CRD, che cita esplicitamente i requisiti aggiuntivi di fondi propri come una possibilità per le decisioni nell</w:t>
      </w:r>
      <w:r w:rsidR="000878EC">
        <w:t>'</w:t>
      </w:r>
      <w:r>
        <w:t>ambito del secondo pilastro.</w:t>
      </w:r>
    </w:p>
    <w:p w:rsidR="00505941" w:rsidRDefault="00505941">
      <w:pPr>
        <w:spacing w:before="0" w:after="0"/>
        <w:jc w:val="left"/>
        <w:rPr>
          <w:rFonts w:ascii="Times New Roman" w:hAnsi="Times New Roman"/>
          <w:sz w:val="24"/>
          <w:lang w:eastAsia="de-DE"/>
        </w:rPr>
      </w:pPr>
      <w:r>
        <w:br w:type="page"/>
      </w:r>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33" w:name="_Toc473560873"/>
      <w:bookmarkStart w:id="34" w:name="_Toc308175820"/>
      <w:bookmarkStart w:id="35" w:name="_Toc360188325"/>
      <w:bookmarkStart w:id="36" w:name="_Toc58915716"/>
      <w:r>
        <w:rPr>
          <w:rFonts w:ascii="Times New Roman" w:hAnsi="Times New Roman"/>
          <w:sz w:val="24"/>
          <w:u w:val="none"/>
        </w:rPr>
        <w:t>1.2</w:t>
      </w:r>
      <w:r w:rsidR="002F72F8">
        <w:rPr>
          <w:rFonts w:ascii="Times New Roman" w:hAnsi="Times New Roman"/>
          <w:sz w:val="24"/>
          <w:u w:val="none"/>
        </w:rPr>
        <w:tab/>
      </w:r>
      <w:r w:rsidRPr="002F72F8">
        <w:rPr>
          <w:u w:val="none"/>
        </w:rPr>
        <w:tab/>
      </w:r>
      <w:r>
        <w:rPr>
          <w:rFonts w:ascii="Times New Roman" w:hAnsi="Times New Roman"/>
          <w:sz w:val="24"/>
        </w:rPr>
        <w:t>C 01.00 — FONDI PROPRI (CA1)</w:t>
      </w:r>
      <w:bookmarkEnd w:id="33"/>
      <w:bookmarkEnd w:id="36"/>
      <w:r>
        <w:rPr>
          <w:rFonts w:ascii="Times New Roman" w:hAnsi="Times New Roman"/>
          <w:sz w:val="24"/>
        </w:rPr>
        <w:t xml:space="preserve"> </w:t>
      </w:r>
      <w:bookmarkEnd w:id="34"/>
      <w:bookmarkEnd w:id="35"/>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37" w:name="_Toc360188326"/>
      <w:bookmarkStart w:id="38" w:name="_Toc473560874"/>
      <w:bookmarkStart w:id="39" w:name="_Toc58915717"/>
      <w:r>
        <w:rPr>
          <w:rFonts w:ascii="Times New Roman" w:hAnsi="Times New Roman"/>
          <w:sz w:val="24"/>
          <w:u w:val="none"/>
        </w:rPr>
        <w:t>1.2.1.</w:t>
      </w:r>
      <w:r w:rsidRPr="002F72F8">
        <w:rPr>
          <w:u w:val="none"/>
        </w:rPr>
        <w:tab/>
      </w:r>
      <w:bookmarkStart w:id="40" w:name="_Toc308175821"/>
      <w:r>
        <w:rPr>
          <w:rFonts w:ascii="Times New Roman" w:hAnsi="Times New Roman"/>
          <w:sz w:val="24"/>
        </w:rPr>
        <w:t>Istruzioni relative a posizioni specifiche</w:t>
      </w:r>
      <w:bookmarkEnd w:id="37"/>
      <w:bookmarkEnd w:id="38"/>
      <w:bookmarkEnd w:id="39"/>
      <w:bookmarkEnd w:id="40"/>
    </w:p>
    <w:p w:rsidR="002648B0" w:rsidRPr="00661595" w:rsidRDefault="002648B0" w:rsidP="00115052">
      <w:pPr>
        <w:pStyle w:val="InstructionsText"/>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661595" w:rsidTr="00D731E3">
        <w:tc>
          <w:tcPr>
            <w:tcW w:w="1129" w:type="dxa"/>
            <w:shd w:val="clear" w:color="auto" w:fill="D9D9D9"/>
          </w:tcPr>
          <w:p w:rsidR="005643EA" w:rsidRPr="00661595" w:rsidRDefault="002648B0" w:rsidP="00115052">
            <w:pPr>
              <w:pStyle w:val="InstructionsText"/>
              <w:rPr>
                <w:rStyle w:val="InstructionsTabelleText"/>
                <w:rFonts w:ascii="Times New Roman" w:hAnsi="Times New Roman"/>
                <w:bCs/>
                <w:sz w:val="24"/>
              </w:rPr>
            </w:pPr>
            <w:r>
              <w:rPr>
                <w:rStyle w:val="InstructionsTabelleText"/>
                <w:rFonts w:ascii="Times New Roman" w:hAnsi="Times New Roman"/>
                <w:sz w:val="24"/>
              </w:rPr>
              <w:t>Riga</w:t>
            </w:r>
          </w:p>
        </w:tc>
        <w:tc>
          <w:tcPr>
            <w:tcW w:w="7620" w:type="dxa"/>
            <w:shd w:val="clear" w:color="auto" w:fill="D9D9D9"/>
          </w:tcPr>
          <w:p w:rsidR="005643EA" w:rsidRPr="00661595" w:rsidRDefault="002648B0" w:rsidP="00115052">
            <w:pPr>
              <w:pStyle w:val="InstructionsText"/>
              <w:rPr>
                <w:rStyle w:val="InstructionsTabelleText"/>
                <w:rFonts w:ascii="Times New Roman" w:hAnsi="Times New Roman"/>
                <w:bCs/>
                <w:sz w:val="24"/>
              </w:rPr>
            </w:pPr>
            <w:r>
              <w:rPr>
                <w:rStyle w:val="InstructionsTabelleText"/>
                <w:rFonts w:ascii="Times New Roman" w:hAnsi="Times New Roman"/>
                <w:sz w:val="24"/>
              </w:rPr>
              <w:t>Riferimenti giuridici e istruzioni</w:t>
            </w:r>
          </w:p>
        </w:tc>
      </w:tr>
      <w:tr w:rsidR="002648B0" w:rsidRPr="00661595" w:rsidTr="00D731E3">
        <w:tc>
          <w:tcPr>
            <w:tcW w:w="1129" w:type="dxa"/>
          </w:tcPr>
          <w:p w:rsidR="002648B0" w:rsidRPr="00661595" w:rsidRDefault="00A53185"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rsidR="00D7242F" w:rsidRPr="00FF6590" w:rsidRDefault="00C66473" w:rsidP="00115052">
            <w:pPr>
              <w:pStyle w:val="InstructionsText"/>
              <w:rPr>
                <w:rStyle w:val="InstructionsTabelleberschrift"/>
                <w:rFonts w:ascii="Times New Roman" w:hAnsi="Times New Roman"/>
                <w:sz w:val="24"/>
              </w:rPr>
            </w:pPr>
            <w:r w:rsidRPr="00FF6590">
              <w:rPr>
                <w:rStyle w:val="InstructionsTabelleberschrift"/>
                <w:rFonts w:ascii="Times New Roman" w:hAnsi="Times New Roman"/>
                <w:sz w:val="24"/>
              </w:rPr>
              <w:t>1.</w:t>
            </w:r>
            <w:r w:rsidRPr="00821208">
              <w:rPr>
                <w:u w:val="single"/>
              </w:rPr>
              <w:tab/>
            </w:r>
            <w:r w:rsidRPr="00FF6590">
              <w:rPr>
                <w:rStyle w:val="InstructionsTabelleberschrift"/>
                <w:rFonts w:ascii="Times New Roman" w:hAnsi="Times New Roman"/>
                <w:sz w:val="24"/>
              </w:rPr>
              <w:t>Fondi propri</w:t>
            </w:r>
          </w:p>
          <w:p w:rsidR="005643EA" w:rsidRPr="00661595" w:rsidRDefault="00FF2818"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4, paragrafo 1, punto 118, e articolo 72 del CRR</w:t>
            </w:r>
          </w:p>
          <w:p w:rsidR="005643EA" w:rsidRPr="00661595" w:rsidRDefault="002648B0" w:rsidP="0011505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I fondi propri di un ente consistono nella somma del suo capitale di classe 1 e del capitale di classe 2.</w:t>
            </w:r>
          </w:p>
        </w:tc>
      </w:tr>
      <w:tr w:rsidR="00666996" w:rsidRPr="00661595" w:rsidTr="00D731E3">
        <w:tc>
          <w:tcPr>
            <w:tcW w:w="1129" w:type="dxa"/>
          </w:tcPr>
          <w:p w:rsidR="00666996" w:rsidRPr="00661595" w:rsidRDefault="00A53185"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0015</w:t>
            </w:r>
          </w:p>
        </w:tc>
        <w:tc>
          <w:tcPr>
            <w:tcW w:w="7620" w:type="dxa"/>
          </w:tcPr>
          <w:p w:rsidR="005643EA" w:rsidRPr="00661595" w:rsidRDefault="00666996"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rsidRPr="00821208">
              <w:rPr>
                <w:u w:val="single"/>
              </w:rPr>
              <w:tab/>
            </w:r>
            <w:r>
              <w:rPr>
                <w:rStyle w:val="InstructionsTabelleberschrift"/>
                <w:rFonts w:ascii="Times New Roman" w:hAnsi="Times New Roman"/>
                <w:sz w:val="24"/>
              </w:rPr>
              <w:t>Capitale di classe 1</w:t>
            </w:r>
          </w:p>
          <w:p w:rsidR="005643EA" w:rsidRPr="00661595" w:rsidRDefault="00666996"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25 del CRR</w:t>
            </w:r>
          </w:p>
          <w:p w:rsidR="005643EA" w:rsidRPr="00661595" w:rsidRDefault="00666996" w:rsidP="0011505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 xml:space="preserve">Il capitale di classe 1 è la somma del capitale primario di classe 1 e del capitale aggiuntivo di classe 1. </w:t>
            </w:r>
          </w:p>
        </w:tc>
      </w:tr>
      <w:tr w:rsidR="002648B0" w:rsidRPr="00661595" w:rsidTr="00D731E3">
        <w:tc>
          <w:tcPr>
            <w:tcW w:w="1129" w:type="dxa"/>
          </w:tcPr>
          <w:p w:rsidR="002648B0" w:rsidRPr="00661595" w:rsidRDefault="00A53185"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rsidR="005643EA" w:rsidRPr="00661595" w:rsidRDefault="00666996"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sidRPr="00821208">
              <w:rPr>
                <w:u w:val="single"/>
              </w:rPr>
              <w:tab/>
            </w:r>
            <w:r>
              <w:rPr>
                <w:rStyle w:val="InstructionsTabelleberschrift"/>
                <w:rFonts w:ascii="Times New Roman" w:hAnsi="Times New Roman"/>
                <w:sz w:val="24"/>
              </w:rPr>
              <w:t>Capitale primario di classe 1</w:t>
            </w:r>
          </w:p>
          <w:p w:rsidR="005643EA" w:rsidRPr="00661595" w:rsidRDefault="002648B0"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50 del CRR</w:t>
            </w:r>
          </w:p>
        </w:tc>
      </w:tr>
      <w:tr w:rsidR="002648B0" w:rsidRPr="00661595" w:rsidTr="00D731E3">
        <w:tc>
          <w:tcPr>
            <w:tcW w:w="1129" w:type="dxa"/>
          </w:tcPr>
          <w:p w:rsidR="002648B0" w:rsidRPr="00661595" w:rsidRDefault="00A53185"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rsidR="005643EA" w:rsidRPr="00661595" w:rsidRDefault="000120EB"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w:t>
            </w:r>
            <w:r w:rsidRPr="00821208">
              <w:rPr>
                <w:u w:val="single"/>
              </w:rPr>
              <w:tab/>
            </w:r>
            <w:r>
              <w:rPr>
                <w:rStyle w:val="InstructionsTabelleberschrift"/>
                <w:rFonts w:ascii="Times New Roman" w:hAnsi="Times New Roman"/>
                <w:sz w:val="24"/>
              </w:rPr>
              <w:t xml:space="preserve">Strumenti di capitale ammissibili come capitale primario </w:t>
            </w:r>
            <w:r w:rsidR="001170F2">
              <w:rPr>
                <w:rStyle w:val="InstructionsTabelleberschrift"/>
                <w:rFonts w:ascii="Times New Roman" w:hAnsi="Times New Roman"/>
                <w:sz w:val="24"/>
              </w:rPr>
              <w:br/>
            </w:r>
            <w:r>
              <w:rPr>
                <w:rStyle w:val="InstructionsTabelleberschrift"/>
                <w:rFonts w:ascii="Times New Roman" w:hAnsi="Times New Roman"/>
                <w:sz w:val="24"/>
              </w:rPr>
              <w:t>di classe 1</w:t>
            </w:r>
          </w:p>
          <w:p w:rsidR="005643EA" w:rsidRPr="00661595" w:rsidRDefault="00C7103D"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26, paragrafo 1, lettere a) e b), articoli da 27 a 30, articolo 36, paragrafo 1, lettera f), e articolo 42 del CRR</w:t>
            </w:r>
          </w:p>
        </w:tc>
      </w:tr>
      <w:tr w:rsidR="002648B0" w:rsidRPr="00661595" w:rsidTr="00D731E3">
        <w:tc>
          <w:tcPr>
            <w:tcW w:w="1129" w:type="dxa"/>
          </w:tcPr>
          <w:p w:rsidR="002648B0" w:rsidRPr="00661595" w:rsidRDefault="00A53185"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rsidR="005643EA" w:rsidRPr="00661595" w:rsidRDefault="00666996"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rsidRPr="00821208">
              <w:rPr>
                <w:u w:val="single"/>
              </w:rPr>
              <w:tab/>
            </w:r>
            <w:r>
              <w:rPr>
                <w:rStyle w:val="InstructionsTabelleberschrift"/>
                <w:rFonts w:ascii="Times New Roman" w:hAnsi="Times New Roman"/>
                <w:sz w:val="24"/>
              </w:rPr>
              <w:t>Strumenti di capitale interamente versati</w:t>
            </w:r>
          </w:p>
          <w:p w:rsidR="005643EA" w:rsidRPr="00661595" w:rsidRDefault="00C7103D"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26, paragrafo 1, lettera a), e articoli da 27 a 31 del CRR</w:t>
            </w:r>
          </w:p>
          <w:p w:rsidR="00FE3BD8" w:rsidRPr="00661595" w:rsidRDefault="00543DBD"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Sono compresi gli strumenti di capitale delle società mutue e cooperative o di enti analoghi (articoli 27 e 29 del CRR).</w:t>
            </w:r>
          </w:p>
          <w:p w:rsidR="00FE3BD8" w:rsidRPr="00661595" w:rsidRDefault="002648B0"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Non è compreso il sovrapprezzo azioni relativo agli strumenti.</w:t>
            </w:r>
          </w:p>
          <w:p w:rsidR="005643EA" w:rsidRPr="00661595" w:rsidRDefault="00543DBD"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Gli strumenti di capitale sottoscritti dalle autorità pubbliche in situazioni di emergenza sono compresi se sono soddisfatte tutte le condizioni di cui all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articolo 31 del CRR.</w:t>
            </w:r>
          </w:p>
        </w:tc>
      </w:tr>
      <w:tr w:rsidR="00216D67" w:rsidRPr="00661595" w:rsidTr="00D731E3">
        <w:tc>
          <w:tcPr>
            <w:tcW w:w="1129" w:type="dxa"/>
          </w:tcPr>
          <w:p w:rsidR="00216D67" w:rsidRPr="00661595" w:rsidRDefault="00A53185"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0045</w:t>
            </w:r>
          </w:p>
        </w:tc>
        <w:tc>
          <w:tcPr>
            <w:tcW w:w="7620" w:type="dxa"/>
          </w:tcPr>
          <w:p w:rsidR="00216D67" w:rsidRPr="00661595" w:rsidRDefault="00DD2C1E"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w:t>
            </w:r>
            <w:r w:rsidRPr="00821208">
              <w:rPr>
                <w:u w:val="single"/>
              </w:rPr>
              <w:tab/>
            </w:r>
            <w:r>
              <w:rPr>
                <w:rStyle w:val="InstructionsTabelleberschrift"/>
                <w:rFonts w:ascii="Times New Roman" w:hAnsi="Times New Roman"/>
                <w:sz w:val="24"/>
              </w:rPr>
              <w:t>di cui: Strumenti di capitale sottoscritti dalle pubbliche autorità in situazioni di emergenza</w:t>
            </w:r>
          </w:p>
          <w:p w:rsidR="00216D67" w:rsidRPr="00661595" w:rsidRDefault="00216D67" w:rsidP="0011505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31 del CRR</w:t>
            </w:r>
          </w:p>
          <w:p w:rsidR="00216D67" w:rsidRPr="00661595" w:rsidRDefault="00216D67" w:rsidP="0011505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Gli strumenti di capitale sottoscritti dalle pubbliche autorità in situazioni di emergenza sono compresi nel capitale primario di classe 1 se sono soddisfatte tutte le condizioni di cui all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articolo 31 del CRR.</w:t>
            </w:r>
          </w:p>
        </w:tc>
      </w:tr>
      <w:tr w:rsidR="002648B0" w:rsidRPr="00661595" w:rsidTr="00D731E3">
        <w:tc>
          <w:tcPr>
            <w:tcW w:w="1129" w:type="dxa"/>
          </w:tcPr>
          <w:p w:rsidR="002648B0" w:rsidRPr="00661595" w:rsidRDefault="00A53185"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rsidR="005643EA" w:rsidRPr="00661595" w:rsidRDefault="00666996"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rsidRPr="00821208">
              <w:rPr>
                <w:u w:val="single"/>
              </w:rPr>
              <w:tab/>
            </w:r>
            <w:r>
              <w:rPr>
                <w:rStyle w:val="InstructionsTabelleberschrift"/>
                <w:rFonts w:ascii="Times New Roman" w:hAnsi="Times New Roman"/>
                <w:sz w:val="24"/>
              </w:rPr>
              <w:t>Voce per memoria: Strumenti di capitale non ammissibili</w:t>
            </w:r>
          </w:p>
          <w:p w:rsidR="005643EA" w:rsidRPr="00661595" w:rsidRDefault="00C7103D"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28, paragrafo 1, lettere b), l) e m), del CRR</w:t>
            </w:r>
          </w:p>
          <w:p w:rsidR="005643EA" w:rsidRPr="00661595" w:rsidRDefault="002648B0"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condizioni previste dalle lettere citate valgono per situazioni di capitale differenti, che sono reversibili; ne consegue che 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importo qui indicato può diventare ammissibile in periodi successivi.</w:t>
            </w:r>
          </w:p>
          <w:p w:rsidR="005643EA" w:rsidRPr="00661595" w:rsidRDefault="002648B0"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importo da segnalare non comprende il sovrapprezzo azioni relativo agli strumenti.</w:t>
            </w:r>
          </w:p>
        </w:tc>
      </w:tr>
      <w:tr w:rsidR="002648B0" w:rsidRPr="00661595" w:rsidTr="00D731E3">
        <w:tc>
          <w:tcPr>
            <w:tcW w:w="1129" w:type="dxa"/>
          </w:tcPr>
          <w:p w:rsidR="002648B0" w:rsidRPr="00661595" w:rsidRDefault="00A53185"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rsidR="005643EA" w:rsidRPr="00661595" w:rsidRDefault="00666996"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rsidRPr="00821208">
              <w:rPr>
                <w:u w:val="single"/>
              </w:rPr>
              <w:tab/>
            </w:r>
            <w:r>
              <w:rPr>
                <w:rStyle w:val="InstructionsTabelleberschrift"/>
                <w:rFonts w:ascii="Times New Roman" w:hAnsi="Times New Roman"/>
                <w:sz w:val="24"/>
              </w:rPr>
              <w:t>Sovrapprezzo azioni</w:t>
            </w:r>
          </w:p>
          <w:p w:rsidR="005643EA" w:rsidRPr="00661595" w:rsidRDefault="00FF2818"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4, paragrafo 1, punto 124, e articolo 26, paragrafo 1, lettera b), del CRR</w:t>
            </w:r>
          </w:p>
          <w:p w:rsidR="005643EA" w:rsidRPr="00661595" w:rsidRDefault="002648B0"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Il </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sovrapprezzo azioni</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 xml:space="preserve"> ha lo stesso significato di cui al principio contabile applicabile. </w:t>
            </w:r>
          </w:p>
          <w:p w:rsidR="005643EA" w:rsidRPr="00661595" w:rsidRDefault="002648B0"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 xml:space="preserve">importo da segnalare in questa voce è la parte relativa agli </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strumenti di capitale interamente versati</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 xml:space="preserve">. </w:t>
            </w:r>
          </w:p>
        </w:tc>
      </w:tr>
      <w:tr w:rsidR="002648B0" w:rsidRPr="00661595" w:rsidTr="00D731E3">
        <w:tc>
          <w:tcPr>
            <w:tcW w:w="1129" w:type="dxa"/>
          </w:tcPr>
          <w:p w:rsidR="002648B0" w:rsidRPr="00661595" w:rsidRDefault="00A53185"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rsidR="005643EA" w:rsidRPr="00661595" w:rsidRDefault="00666996"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rsidRPr="00821208">
              <w:rPr>
                <w:u w:val="single"/>
              </w:rPr>
              <w:tab/>
            </w:r>
            <w:r>
              <w:rPr>
                <w:rStyle w:val="InstructionsTabelleberschrift"/>
                <w:rFonts w:ascii="Times New Roman" w:hAnsi="Times New Roman"/>
                <w:sz w:val="24"/>
              </w:rPr>
              <w:t>(-) Strumenti propri di capitale primario di classe 1</w:t>
            </w:r>
          </w:p>
          <w:p w:rsidR="005643EA" w:rsidRPr="00661595" w:rsidRDefault="00C7103D"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36, paragrafo 1, lettera f), e articolo 42 del CRR</w:t>
            </w:r>
          </w:p>
          <w:p w:rsidR="005643EA" w:rsidRPr="00661595" w:rsidRDefault="002648B0"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Strumenti propri di capitale primario di classe 1 detenuti dall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ente o gruppo segnalante alla data di riferimento. Soggetti all</w:t>
            </w:r>
            <w:r w:rsidR="00653C4E">
              <w:rPr>
                <w:rStyle w:val="FormatvorlageInstructionsTabelleText"/>
                <w:rFonts w:ascii="Times New Roman" w:hAnsi="Times New Roman"/>
                <w:sz w:val="24"/>
              </w:rPr>
              <w:t>e eccezioni di cui all</w:t>
            </w:r>
            <w:r w:rsidR="000878EC">
              <w:rPr>
                <w:rStyle w:val="FormatvorlageInstructionsTabelleText"/>
                <w:rFonts w:ascii="Times New Roman" w:hAnsi="Times New Roman"/>
                <w:sz w:val="24"/>
              </w:rPr>
              <w:t>'</w:t>
            </w:r>
            <w:r w:rsidR="00653C4E">
              <w:rPr>
                <w:rStyle w:val="FormatvorlageInstructionsTabelleText"/>
                <w:rFonts w:ascii="Times New Roman" w:hAnsi="Times New Roman"/>
                <w:sz w:val="24"/>
              </w:rPr>
              <w:t>articolo </w:t>
            </w:r>
            <w:r>
              <w:rPr>
                <w:rStyle w:val="FormatvorlageInstructionsTabelleText"/>
                <w:rFonts w:ascii="Times New Roman" w:hAnsi="Times New Roman"/>
                <w:sz w:val="24"/>
              </w:rPr>
              <w:t>42 del CRR.</w:t>
            </w:r>
          </w:p>
          <w:p w:rsidR="005643EA" w:rsidRPr="00661595" w:rsidRDefault="002648B0"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Le partecipazioni azionarie incluse come </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strumenti di capitale non ammissibili</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 xml:space="preserve"> non sono segnalate in questa riga.</w:t>
            </w:r>
          </w:p>
          <w:p w:rsidR="005643EA" w:rsidRPr="00661595" w:rsidRDefault="002648B0"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importo da segnalare comprende il sovrapprezzo azioni relativo alle azioni proprie.</w:t>
            </w:r>
          </w:p>
          <w:p w:rsidR="005643EA" w:rsidRPr="00661595" w:rsidRDefault="002648B0"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voci da 1.1.1.1.4 a 1.1.1.1.4.3 non comprendono gli obblighi effettivi o potenziali di acquistare strumenti propri di capitale primario di classe 1. Gli obblighi effettivi o potenziali di acquistare strumenti propri di capitale primario di classe 1 sono segnalati separatamente nella voce 1.1.1.1.5.</w:t>
            </w:r>
          </w:p>
        </w:tc>
      </w:tr>
      <w:tr w:rsidR="002648B0" w:rsidRPr="00661595" w:rsidTr="00D731E3">
        <w:tc>
          <w:tcPr>
            <w:tcW w:w="1129" w:type="dxa"/>
          </w:tcPr>
          <w:p w:rsidR="002648B0" w:rsidRPr="00661595" w:rsidRDefault="00252454"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rsidR="005643EA" w:rsidRPr="00661595" w:rsidRDefault="00666996"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rsidRPr="00821208">
              <w:rPr>
                <w:u w:val="single"/>
              </w:rPr>
              <w:tab/>
            </w:r>
            <w:r>
              <w:rPr>
                <w:rStyle w:val="InstructionsTabelleberschrift"/>
                <w:rFonts w:ascii="Times New Roman" w:hAnsi="Times New Roman"/>
                <w:sz w:val="24"/>
              </w:rPr>
              <w:t>(-) Strumenti di capitale primario di classe 1 detenuti direttamente</w:t>
            </w:r>
          </w:p>
          <w:p w:rsidR="005643EA" w:rsidRPr="00661595" w:rsidRDefault="00C7103D"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36, paragrafo 1, lettera f), e articolo 42 del CRR</w:t>
            </w:r>
          </w:p>
          <w:p w:rsidR="005643EA" w:rsidRPr="00661595" w:rsidRDefault="002648B0"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Strumenti di capitale primario di classe 1 compresi nella voce 1.1.1.1 detenuti da enti del gruppo consolidato. </w:t>
            </w:r>
          </w:p>
          <w:p w:rsidR="005643EA" w:rsidRPr="00661595" w:rsidRDefault="002648B0"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importo da segnalare comprende le posizioni detenute all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interno del portafoglio di negoziazione calcolate sulla base della posizione lunga netta, come previsto dall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articolo 42, lettera a), del CRR.</w:t>
            </w:r>
          </w:p>
        </w:tc>
      </w:tr>
      <w:tr w:rsidR="002648B0" w:rsidRPr="00661595" w:rsidTr="00D731E3">
        <w:tc>
          <w:tcPr>
            <w:tcW w:w="1129" w:type="dxa"/>
          </w:tcPr>
          <w:p w:rsidR="002648B0" w:rsidRPr="00661595" w:rsidRDefault="00252454"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rsidR="005643EA" w:rsidRPr="00661595" w:rsidRDefault="00666996"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rsidRPr="00821208">
              <w:rPr>
                <w:u w:val="single"/>
              </w:rPr>
              <w:tab/>
            </w:r>
            <w:r>
              <w:rPr>
                <w:rStyle w:val="InstructionsTabelleberschrift"/>
                <w:rFonts w:ascii="Times New Roman" w:hAnsi="Times New Roman"/>
                <w:sz w:val="24"/>
              </w:rPr>
              <w:t>(-) Strumenti di capitale primario di classe 1 detenuti indirettamente</w:t>
            </w:r>
          </w:p>
          <w:p w:rsidR="005643EA" w:rsidRPr="00661595" w:rsidRDefault="00FF2818"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4, paragrafo 1, punto 114, articolo 36, paragrafo 1, lettera f), e articolo 42 del CRR</w:t>
            </w:r>
          </w:p>
        </w:tc>
      </w:tr>
      <w:tr w:rsidR="002648B0" w:rsidRPr="00661595" w:rsidTr="00D731E3">
        <w:tc>
          <w:tcPr>
            <w:tcW w:w="1129" w:type="dxa"/>
          </w:tcPr>
          <w:p w:rsidR="005643EA" w:rsidRPr="00661595" w:rsidRDefault="00252454"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0091</w:t>
            </w:r>
          </w:p>
        </w:tc>
        <w:tc>
          <w:tcPr>
            <w:tcW w:w="7620" w:type="dxa"/>
          </w:tcPr>
          <w:p w:rsidR="005643EA" w:rsidRPr="00661595" w:rsidRDefault="00666996"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rsidRPr="00821208">
              <w:rPr>
                <w:u w:val="single"/>
              </w:rPr>
              <w:tab/>
            </w:r>
            <w:r>
              <w:rPr>
                <w:rStyle w:val="InstructionsTabelleberschrift"/>
                <w:rFonts w:ascii="Times New Roman" w:hAnsi="Times New Roman"/>
                <w:sz w:val="24"/>
              </w:rPr>
              <w:t>(-) Strumenti di capitale primario di classe 1 detenuti sinteticamente</w:t>
            </w:r>
          </w:p>
          <w:p w:rsidR="005643EA" w:rsidRPr="00661595" w:rsidRDefault="00FF2818" w:rsidP="0011505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Articolo 4, paragrafo 1, punto 126, articolo 36, paragrafo 1, lettera f), e articolo 42 del CRR</w:t>
            </w:r>
          </w:p>
        </w:tc>
      </w:tr>
      <w:tr w:rsidR="002648B0" w:rsidRPr="00661595" w:rsidTr="00D731E3">
        <w:tc>
          <w:tcPr>
            <w:tcW w:w="1129" w:type="dxa"/>
          </w:tcPr>
          <w:p w:rsidR="002648B0" w:rsidRPr="00661595" w:rsidRDefault="00252454"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0092</w:t>
            </w:r>
          </w:p>
        </w:tc>
        <w:tc>
          <w:tcPr>
            <w:tcW w:w="7620" w:type="dxa"/>
          </w:tcPr>
          <w:p w:rsidR="005643EA" w:rsidRPr="00661595" w:rsidRDefault="00666996"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1.1.1.1.5</w:t>
            </w:r>
            <w:r w:rsidRPr="00821208">
              <w:rPr>
                <w:u w:val="single"/>
              </w:rPr>
              <w:tab/>
            </w:r>
            <w:r>
              <w:rPr>
                <w:rStyle w:val="InstructionsTabelleberschrift"/>
                <w:rFonts w:ascii="Times New Roman" w:hAnsi="Times New Roman"/>
                <w:sz w:val="24"/>
              </w:rPr>
              <w:t>(-) Obblighi effettivi o potenziali di acquistare strumenti propri di capitale primario di classe 1</w:t>
            </w:r>
          </w:p>
          <w:p w:rsidR="005643EA" w:rsidRPr="00661595" w:rsidRDefault="00C7103D"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36, paragrafo 1, lettera f), e articolo 42 del CRR</w:t>
            </w:r>
          </w:p>
          <w:p w:rsidR="005643EA" w:rsidRPr="00661595" w:rsidRDefault="002648B0" w:rsidP="00115052">
            <w:pPr>
              <w:pStyle w:val="InstructionsText"/>
              <w:rPr>
                <w:rStyle w:val="InstructionsTabelleberschrift"/>
                <w:rFonts w:ascii="Times New Roman" w:hAnsi="Times New Roman"/>
                <w:b w:val="0"/>
                <w:bCs w:val="0"/>
                <w:sz w:val="24"/>
                <w:u w:val="none"/>
              </w:rPr>
            </w:pPr>
            <w:r>
              <w:t>Conformemente all</w:t>
            </w:r>
            <w:r w:rsidR="000878EC">
              <w:t>'</w:t>
            </w:r>
            <w:r>
              <w:t xml:space="preserve">articolo 36, paragrafo 1, lettera f), del CRR, sono dedotti gli </w:t>
            </w:r>
            <w:r w:rsidR="000878EC">
              <w:t>"</w:t>
            </w:r>
            <w:r>
              <w:t>strumenti propri del capitale primario di classe 1 che l</w:t>
            </w:r>
            <w:r w:rsidR="000878EC">
              <w:t>'</w:t>
            </w:r>
            <w:r>
              <w:t>ente ha l</w:t>
            </w:r>
            <w:r w:rsidR="000878EC">
              <w:t>'</w:t>
            </w:r>
            <w:r>
              <w:t>obbligo effettivo o potenziale di acquistare, in virtù di un obbligo contrattuale esistente</w:t>
            </w:r>
            <w:r w:rsidR="000878EC">
              <w:t>"</w:t>
            </w:r>
            <w:r>
              <w:t>.</w:t>
            </w:r>
          </w:p>
        </w:tc>
      </w:tr>
      <w:tr w:rsidR="002648B0" w:rsidRPr="00661595" w:rsidTr="00D731E3">
        <w:tc>
          <w:tcPr>
            <w:tcW w:w="1129" w:type="dxa"/>
          </w:tcPr>
          <w:p w:rsidR="002648B0" w:rsidRPr="00661595" w:rsidRDefault="00252454"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rsidR="005643EA" w:rsidRPr="00661595" w:rsidRDefault="00666996"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w:t>
            </w:r>
            <w:r w:rsidRPr="00821208">
              <w:rPr>
                <w:u w:val="single"/>
              </w:rPr>
              <w:tab/>
            </w:r>
            <w:r>
              <w:rPr>
                <w:rStyle w:val="InstructionsTabelleberschrift"/>
                <w:rFonts w:ascii="Times New Roman" w:hAnsi="Times New Roman"/>
                <w:sz w:val="24"/>
              </w:rPr>
              <w:t>Utili non distribuiti</w:t>
            </w:r>
          </w:p>
          <w:p w:rsidR="005643EA" w:rsidRPr="00661595" w:rsidRDefault="00C7103D"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26, paragrafo 1, lettera c), e articolo 26, paragrafo 2, del CRR</w:t>
            </w:r>
          </w:p>
          <w:p w:rsidR="005643EA" w:rsidRPr="00661595" w:rsidRDefault="002648B0"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Gli utili non distribuiti comprendono gli utili non distribuiti dell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anno precedente più gli utili di periodo o di fine esercizio ammissibili.</w:t>
            </w:r>
          </w:p>
        </w:tc>
      </w:tr>
      <w:tr w:rsidR="002648B0" w:rsidRPr="00661595" w:rsidTr="00D731E3">
        <w:tc>
          <w:tcPr>
            <w:tcW w:w="1129" w:type="dxa"/>
          </w:tcPr>
          <w:p w:rsidR="002648B0" w:rsidRPr="00661595" w:rsidRDefault="00252454"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rsidR="005643EA" w:rsidRPr="00661595" w:rsidRDefault="00666996"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1.1.1.2.1</w:t>
            </w:r>
            <w:r w:rsidRPr="00821208">
              <w:rPr>
                <w:u w:val="single"/>
              </w:rPr>
              <w:tab/>
            </w:r>
            <w:r>
              <w:rPr>
                <w:rStyle w:val="InstructionsTabelleberschrift"/>
                <w:rFonts w:ascii="Times New Roman" w:hAnsi="Times New Roman"/>
                <w:sz w:val="24"/>
              </w:rPr>
              <w:t>Utili non distribuiti di anni precedenti</w:t>
            </w:r>
          </w:p>
          <w:p w:rsidR="005643EA" w:rsidRPr="00661595" w:rsidRDefault="00FF2818"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4, paragrafo 1, punto 123, e articolo 26, paragrafo 1, lettera c), del CRR</w:t>
            </w:r>
          </w:p>
          <w:p w:rsidR="005643EA" w:rsidRPr="00661595" w:rsidRDefault="00FF2818"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 xml:space="preserve">articolo 4, paragrafo 1, punto 123, del CRR definisce gli utili non distribuiti come </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i profitti e le perdite portati a nuovo per destinazione del risultato finale di esercizio in virtù della disciplina contabile applicabile</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w:t>
            </w:r>
          </w:p>
        </w:tc>
      </w:tr>
      <w:tr w:rsidR="002648B0" w:rsidRPr="00661595" w:rsidTr="00D731E3">
        <w:tc>
          <w:tcPr>
            <w:tcW w:w="1129" w:type="dxa"/>
          </w:tcPr>
          <w:p w:rsidR="002648B0" w:rsidRPr="00661595" w:rsidRDefault="00252454"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rsidR="005643EA" w:rsidRPr="00661595" w:rsidRDefault="00666996"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rsidRPr="00821208">
              <w:rPr>
                <w:u w:val="single"/>
              </w:rPr>
              <w:tab/>
            </w:r>
            <w:r>
              <w:rPr>
                <w:rStyle w:val="InstructionsTabelleberschrift"/>
                <w:rFonts w:ascii="Times New Roman" w:hAnsi="Times New Roman"/>
                <w:sz w:val="24"/>
              </w:rPr>
              <w:t>Utile o perdita ammissibile</w:t>
            </w:r>
          </w:p>
          <w:p w:rsidR="005643EA" w:rsidRPr="00661595" w:rsidRDefault="00FF2818"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4, paragrafo 1, punto 121, articolo 26, paragrafo 2, e articolo 36, paragrafo 1, lettera a), del CRR</w:t>
            </w:r>
          </w:p>
          <w:p w:rsidR="005643EA" w:rsidRPr="00661595" w:rsidRDefault="002648B0"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articolo 26, paragrafo 2, del CRR autorizza 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inserimento degli utili di periodo o di fine esercizio a titolo di utile non distribuito, previo consenso dell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 xml:space="preserve">autorità competente e purché siano soddisfatte alcune condizioni. </w:t>
            </w:r>
          </w:p>
          <w:p w:rsidR="005643EA" w:rsidRPr="00661595" w:rsidRDefault="002648B0"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perdite sono invece dedotte dal capitale primario di classe 1 come previsto dall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articolo 36, paragrafo 1, lettera a), del CRR.</w:t>
            </w:r>
          </w:p>
        </w:tc>
      </w:tr>
      <w:tr w:rsidR="002648B0" w:rsidRPr="00661595" w:rsidTr="00D731E3">
        <w:tc>
          <w:tcPr>
            <w:tcW w:w="1129" w:type="dxa"/>
          </w:tcPr>
          <w:p w:rsidR="002648B0" w:rsidRPr="00661595" w:rsidRDefault="00252454"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620" w:type="dxa"/>
          </w:tcPr>
          <w:p w:rsidR="005643EA" w:rsidRPr="00661595" w:rsidRDefault="00666996"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1.1.1.2.2.1</w:t>
            </w:r>
            <w:r w:rsidRPr="00821208">
              <w:rPr>
                <w:u w:val="single"/>
              </w:rPr>
              <w:tab/>
            </w:r>
            <w:r>
              <w:rPr>
                <w:rStyle w:val="InstructionsTabelleberschrift"/>
                <w:rFonts w:ascii="Times New Roman" w:hAnsi="Times New Roman"/>
                <w:sz w:val="24"/>
              </w:rPr>
              <w:t>Utile o perdita attribuibile ai proprietari dell</w:t>
            </w:r>
            <w:r w:rsidR="000878EC">
              <w:rPr>
                <w:rStyle w:val="InstructionsTabelleberschrift"/>
                <w:rFonts w:ascii="Times New Roman" w:hAnsi="Times New Roman"/>
                <w:sz w:val="24"/>
              </w:rPr>
              <w:t>'</w:t>
            </w:r>
            <w:r>
              <w:rPr>
                <w:rStyle w:val="InstructionsTabelleberschrift"/>
                <w:rFonts w:ascii="Times New Roman" w:hAnsi="Times New Roman"/>
                <w:sz w:val="24"/>
              </w:rPr>
              <w:t>impresa madre</w:t>
            </w:r>
          </w:p>
          <w:p w:rsidR="005643EA" w:rsidRPr="00661595" w:rsidRDefault="002648B0"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26, paragrafo 2, e articolo 36, paragrafo 1, lettera a), del CRR</w:t>
            </w:r>
          </w:p>
          <w:p w:rsidR="005643EA" w:rsidRPr="00661595" w:rsidRDefault="002648B0"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importo da segnalare è il profitto o la perdita rilevati nel conto economico.</w:t>
            </w:r>
          </w:p>
        </w:tc>
      </w:tr>
      <w:tr w:rsidR="002648B0" w:rsidRPr="00661595" w:rsidTr="00D731E3">
        <w:tc>
          <w:tcPr>
            <w:tcW w:w="1129" w:type="dxa"/>
          </w:tcPr>
          <w:p w:rsidR="002648B0" w:rsidRPr="00661595" w:rsidRDefault="00A20B7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rsidR="005643EA" w:rsidRPr="00661595" w:rsidRDefault="00666996"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1.1.1.2.2.2</w:t>
            </w:r>
            <w:r w:rsidRPr="00821208">
              <w:rPr>
                <w:u w:val="single"/>
              </w:rPr>
              <w:tab/>
            </w:r>
            <w:r>
              <w:rPr>
                <w:rStyle w:val="InstructionsTabelleberschrift"/>
                <w:rFonts w:ascii="Times New Roman" w:hAnsi="Times New Roman"/>
                <w:sz w:val="24"/>
              </w:rPr>
              <w:t>(-) Parte degli utili di periodo o di fine esercizio non ammissibile</w:t>
            </w:r>
          </w:p>
          <w:p w:rsidR="005643EA" w:rsidRPr="00661595" w:rsidRDefault="002648B0"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26, paragrafo 2, del CRR</w:t>
            </w:r>
          </w:p>
          <w:p w:rsidR="005643EA" w:rsidRPr="00661595" w:rsidRDefault="002648B0"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Questa riga non contiene alcun importo se nel periodo di riferimento 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ente ha registrato perdite, perché le perdite sono dedotte integralmente dal capitale primario di classe 1.</w:t>
            </w:r>
          </w:p>
          <w:p w:rsidR="005643EA" w:rsidRPr="00661595" w:rsidRDefault="002648B0"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Se 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ente ha registrato utili, è segnalata la parte non ammissibile conformemente all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articolo 26, paragrafo 2, del CRR (ossia gli utili non verificati mediante revisione contabile e gli oneri e dividendi prevedibili).</w:t>
            </w:r>
          </w:p>
          <w:p w:rsidR="005643EA" w:rsidRPr="00661595" w:rsidRDefault="002648B0"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Va rilevato che, in caso di utili, deve essere dedotto quanto meno 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importo dei dividendi di periodo.</w:t>
            </w:r>
          </w:p>
        </w:tc>
      </w:tr>
      <w:tr w:rsidR="002648B0" w:rsidRPr="00661595" w:rsidTr="00D731E3">
        <w:tc>
          <w:tcPr>
            <w:tcW w:w="1129" w:type="dxa"/>
          </w:tcPr>
          <w:p w:rsidR="002648B0" w:rsidRPr="00661595" w:rsidRDefault="00A20B7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620" w:type="dxa"/>
          </w:tcPr>
          <w:p w:rsidR="005643EA" w:rsidRPr="00661595" w:rsidRDefault="00666996"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1.1.1.3</w:t>
            </w:r>
            <w:r w:rsidRPr="00821208">
              <w:rPr>
                <w:u w:val="single"/>
              </w:rPr>
              <w:tab/>
            </w:r>
            <w:r>
              <w:rPr>
                <w:rStyle w:val="InstructionsTabelleberschrift"/>
                <w:rFonts w:ascii="Times New Roman" w:hAnsi="Times New Roman"/>
                <w:sz w:val="24"/>
              </w:rPr>
              <w:t>Altre componenti di conto economico complessivo accumulate</w:t>
            </w:r>
          </w:p>
          <w:p w:rsidR="005643EA" w:rsidRPr="00661595" w:rsidRDefault="00FF2818"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4, paragrafo 1, punto 100, e articolo 26, paragrafo 1, lettera d), del CRR</w:t>
            </w:r>
          </w:p>
          <w:p w:rsidR="005643EA" w:rsidRPr="00661595" w:rsidRDefault="002648B0"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importo va segnalato al netto di qualsiasi onere fiscale prevedibile al momento del calcolo e prima dell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applicazione dei filtri prudenziali. 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importo da segnalare è determinato conformemente all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articolo 13, paragrafo 4, del regolamento delegato (UE) n. 241/2014 della Commissione</w:t>
            </w:r>
            <w:r>
              <w:rPr>
                <w:rStyle w:val="FootnoteReference"/>
                <w:rFonts w:ascii="Times New Roman" w:hAnsi="Times New Roman"/>
                <w:bCs/>
                <w:sz w:val="24"/>
                <w:szCs w:val="24"/>
                <w:vertAlign w:val="superscript"/>
              </w:rPr>
              <w:footnoteReference w:id="7"/>
            </w:r>
            <w:r>
              <w:rPr>
                <w:rStyle w:val="FormatvorlageInstructionsTabelleText"/>
                <w:rFonts w:ascii="Times New Roman" w:hAnsi="Times New Roman"/>
                <w:sz w:val="24"/>
              </w:rPr>
              <w:t xml:space="preserve">. </w:t>
            </w:r>
          </w:p>
        </w:tc>
      </w:tr>
      <w:tr w:rsidR="002648B0" w:rsidRPr="00661595" w:rsidTr="00D731E3">
        <w:tc>
          <w:tcPr>
            <w:tcW w:w="1129" w:type="dxa"/>
          </w:tcPr>
          <w:p w:rsidR="002648B0" w:rsidRPr="00661595" w:rsidRDefault="00A20B7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0200</w:t>
            </w:r>
          </w:p>
        </w:tc>
        <w:tc>
          <w:tcPr>
            <w:tcW w:w="7620" w:type="dxa"/>
          </w:tcPr>
          <w:p w:rsidR="005643EA" w:rsidRPr="00661595" w:rsidRDefault="00666996"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1.1.1.4</w:t>
            </w:r>
            <w:r w:rsidRPr="00821208">
              <w:rPr>
                <w:u w:val="single"/>
              </w:rPr>
              <w:tab/>
            </w:r>
            <w:r>
              <w:rPr>
                <w:rStyle w:val="InstructionsTabelleberschrift"/>
                <w:rFonts w:ascii="Times New Roman" w:hAnsi="Times New Roman"/>
                <w:sz w:val="24"/>
              </w:rPr>
              <w:t>Altre riserve</w:t>
            </w:r>
          </w:p>
          <w:p w:rsidR="005643EA" w:rsidRPr="00661595" w:rsidRDefault="00FF2818"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4, paragrafo 1, punto 117, e articolo 26, paragrafo 1, lettera e), del CRR</w:t>
            </w:r>
          </w:p>
          <w:p w:rsidR="005643EA" w:rsidRPr="00661595" w:rsidRDefault="002648B0"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Il CRR definisce le altre riserve come </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riserve ai sensi della disciplina contabile applicabile, che devono essere rese pubbliche in virtù del principio contabile applicabile, esclusi gli importi già compresi nelle altre componenti di conto economico complessivo accumulate (accumulated other comprehensive income) o negli utili non distribuiti</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w:t>
            </w:r>
          </w:p>
          <w:p w:rsidR="005643EA" w:rsidRPr="00661595" w:rsidRDefault="002648B0"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importo va segnalato al netto di qualsiasi onere fiscale prevedibile al momento del calcolo.</w:t>
            </w:r>
          </w:p>
        </w:tc>
      </w:tr>
      <w:tr w:rsidR="002648B0" w:rsidRPr="00661595" w:rsidTr="00D731E3">
        <w:tc>
          <w:tcPr>
            <w:tcW w:w="1129" w:type="dxa"/>
          </w:tcPr>
          <w:p w:rsidR="002648B0" w:rsidRPr="00661595" w:rsidRDefault="00A20B7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620" w:type="dxa"/>
          </w:tcPr>
          <w:p w:rsidR="005643EA" w:rsidRPr="00661595" w:rsidRDefault="00666996"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1.1.1.5</w:t>
            </w:r>
            <w:r w:rsidRPr="00821208">
              <w:rPr>
                <w:u w:val="single"/>
              </w:rPr>
              <w:tab/>
            </w:r>
            <w:r>
              <w:rPr>
                <w:rStyle w:val="InstructionsTabelleberschrift"/>
                <w:rFonts w:ascii="Times New Roman" w:hAnsi="Times New Roman"/>
                <w:sz w:val="24"/>
              </w:rPr>
              <w:t>Fondi per rischi bancari generali</w:t>
            </w:r>
          </w:p>
          <w:p w:rsidR="005643EA" w:rsidRPr="00661595" w:rsidRDefault="00FF2818"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4, paragrafo 1, punto 112, e articolo 26, paragrafo 1, lettera f), del CRR</w:t>
            </w:r>
          </w:p>
          <w:p w:rsidR="005643EA" w:rsidRPr="00661595" w:rsidRDefault="002648B0"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 xml:space="preserve">articolo 38 della BAD definisce i fondi per rischi bancari generali come gli </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importi che 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ente creditizio decide di destinare alla copertura di tali rischi, quando ciò sia necessario in considerazione della prudenza imposta dai rischi particolari inerenti alle operazioni bancarie</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w:t>
            </w:r>
          </w:p>
          <w:p w:rsidR="005643EA" w:rsidRPr="00661595" w:rsidRDefault="002648B0"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importo va segnalato al netto di qualsiasi onere fiscale prevedibile al momento del calcolo.</w:t>
            </w:r>
          </w:p>
        </w:tc>
      </w:tr>
      <w:tr w:rsidR="002648B0" w:rsidRPr="00661595" w:rsidTr="00D731E3">
        <w:tc>
          <w:tcPr>
            <w:tcW w:w="1129" w:type="dxa"/>
          </w:tcPr>
          <w:p w:rsidR="002648B0" w:rsidRPr="00661595" w:rsidRDefault="00A20B7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0220</w:t>
            </w:r>
          </w:p>
        </w:tc>
        <w:tc>
          <w:tcPr>
            <w:tcW w:w="7620" w:type="dxa"/>
          </w:tcPr>
          <w:p w:rsidR="005643EA" w:rsidRPr="00661595" w:rsidRDefault="00666996"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1.1.1.6</w:t>
            </w:r>
            <w:r w:rsidRPr="00821208">
              <w:rPr>
                <w:u w:val="single"/>
              </w:rPr>
              <w:tab/>
            </w:r>
            <w:r>
              <w:rPr>
                <w:rStyle w:val="InstructionsTabelleberschrift"/>
                <w:rFonts w:ascii="Times New Roman" w:hAnsi="Times New Roman"/>
                <w:sz w:val="24"/>
              </w:rPr>
              <w:t>Aggiustamenti transitori dovuti a strumenti di capitale primario di classe 1 soggetti alla clausola grandfathering</w:t>
            </w:r>
          </w:p>
          <w:p w:rsidR="005643EA" w:rsidRPr="00661595" w:rsidRDefault="002C66A4"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483, paragrafi 1, 2 e 3, e articoli da 484 a 487 del CRR</w:t>
            </w:r>
          </w:p>
          <w:p w:rsidR="005643EA" w:rsidRPr="00661595" w:rsidRDefault="002648B0"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Importo degli strumenti di capitale assoggettati temporaneamente alla clausola grandfathering come capitale primario di classe 1. 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importo da segnalare si ricava direttamente dal modello CA5.</w:t>
            </w:r>
          </w:p>
        </w:tc>
      </w:tr>
      <w:tr w:rsidR="002648B0" w:rsidRPr="00661595" w:rsidTr="00D731E3">
        <w:tc>
          <w:tcPr>
            <w:tcW w:w="1129" w:type="dxa"/>
          </w:tcPr>
          <w:p w:rsidR="002648B0" w:rsidRPr="00661595" w:rsidRDefault="00A20B7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0230</w:t>
            </w:r>
          </w:p>
        </w:tc>
        <w:tc>
          <w:tcPr>
            <w:tcW w:w="7620" w:type="dxa"/>
          </w:tcPr>
          <w:p w:rsidR="005643EA" w:rsidRPr="00661595" w:rsidRDefault="00666996"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1.1.1.7</w:t>
            </w:r>
            <w:r w:rsidRPr="00821208">
              <w:rPr>
                <w:u w:val="single"/>
              </w:rPr>
              <w:tab/>
            </w:r>
            <w:r>
              <w:rPr>
                <w:rStyle w:val="InstructionsTabelleberschrift"/>
                <w:rFonts w:ascii="Times New Roman" w:hAnsi="Times New Roman"/>
                <w:sz w:val="24"/>
              </w:rPr>
              <w:t>Interessi di minoranza inclusi nel capitale primario di classe 1</w:t>
            </w:r>
          </w:p>
          <w:p w:rsidR="005643EA" w:rsidRPr="00661595" w:rsidRDefault="00FF2818"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4, paragrafo 1, punto 120, e articolo 84 del CRR</w:t>
            </w:r>
          </w:p>
          <w:p w:rsidR="005643EA" w:rsidRPr="00661595" w:rsidRDefault="002648B0"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Somma di tutti gli importi degli interessi di minoranza delle filiazioni compresi nel capitale primario di classe 1 consolidato.</w:t>
            </w:r>
          </w:p>
        </w:tc>
      </w:tr>
      <w:tr w:rsidR="002648B0" w:rsidRPr="00661595" w:rsidTr="00D731E3">
        <w:tc>
          <w:tcPr>
            <w:tcW w:w="1129" w:type="dxa"/>
          </w:tcPr>
          <w:p w:rsidR="002648B0" w:rsidRPr="00661595" w:rsidRDefault="00A20B7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620" w:type="dxa"/>
          </w:tcPr>
          <w:p w:rsidR="005643EA" w:rsidRPr="00661595" w:rsidRDefault="002648B0"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1.1.1.8</w:t>
            </w:r>
            <w:r w:rsidRPr="00821208">
              <w:rPr>
                <w:u w:val="single"/>
              </w:rPr>
              <w:tab/>
            </w:r>
            <w:r>
              <w:rPr>
                <w:rStyle w:val="InstructionsTabelleberschrift"/>
                <w:rFonts w:ascii="Times New Roman" w:hAnsi="Times New Roman"/>
                <w:sz w:val="24"/>
              </w:rPr>
              <w:t>Aggiustamenti transitori dovuti ad altri interessi di minoranza</w:t>
            </w:r>
          </w:p>
          <w:p w:rsidR="005643EA" w:rsidRPr="00661595" w:rsidRDefault="002648B0"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Articoli 479 e 480 del CRR</w:t>
            </w:r>
          </w:p>
          <w:p w:rsidR="005643EA" w:rsidRPr="00661595" w:rsidRDefault="002648B0"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Aggiustamenti degli interessi di minoranza dovuti a disposizioni transitorie. Questa voce si ricava direttamente dal modello CA5.</w:t>
            </w:r>
          </w:p>
        </w:tc>
      </w:tr>
      <w:tr w:rsidR="002648B0" w:rsidRPr="00661595" w:rsidTr="00D731E3">
        <w:tc>
          <w:tcPr>
            <w:tcW w:w="1129" w:type="dxa"/>
          </w:tcPr>
          <w:p w:rsidR="002648B0" w:rsidRPr="00661595" w:rsidRDefault="00A20B7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620" w:type="dxa"/>
          </w:tcPr>
          <w:p w:rsidR="005643EA" w:rsidRPr="00661595" w:rsidRDefault="002648B0"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w:t>
            </w:r>
            <w:r w:rsidRPr="00821208">
              <w:rPr>
                <w:u w:val="single"/>
              </w:rPr>
              <w:tab/>
            </w:r>
            <w:r>
              <w:rPr>
                <w:rStyle w:val="InstructionsTabelleberschrift"/>
                <w:rFonts w:ascii="Times New Roman" w:hAnsi="Times New Roman"/>
                <w:sz w:val="24"/>
              </w:rPr>
              <w:t>Aggiustamenti del capitale primario di classe 1 dovuti a filtri prudenziali</w:t>
            </w:r>
          </w:p>
          <w:p w:rsidR="005643EA" w:rsidRPr="00661595" w:rsidRDefault="002648B0"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Articoli da 32 a 35 del CRR </w:t>
            </w:r>
          </w:p>
        </w:tc>
      </w:tr>
      <w:tr w:rsidR="002648B0" w:rsidRPr="00661595" w:rsidTr="00D731E3">
        <w:tc>
          <w:tcPr>
            <w:tcW w:w="1129" w:type="dxa"/>
          </w:tcPr>
          <w:p w:rsidR="002648B0" w:rsidRPr="00661595" w:rsidRDefault="00A20B7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620" w:type="dxa"/>
          </w:tcPr>
          <w:p w:rsidR="005643EA" w:rsidRPr="00661595" w:rsidRDefault="002648B0"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1.1.1.9.1</w:t>
            </w:r>
            <w:r w:rsidRPr="00821208">
              <w:rPr>
                <w:u w:val="single"/>
              </w:rPr>
              <w:tab/>
            </w:r>
            <w:r>
              <w:rPr>
                <w:rStyle w:val="InstructionsTabelleberschrift"/>
                <w:rFonts w:ascii="Times New Roman" w:hAnsi="Times New Roman"/>
                <w:sz w:val="24"/>
              </w:rPr>
              <w:t>(-) Aumenti del patrimonio netto risultanti da attività cartolarizzate</w:t>
            </w:r>
          </w:p>
          <w:p w:rsidR="005643EA" w:rsidRPr="00661595" w:rsidRDefault="002648B0"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32, paragrafo 1, del CRR</w:t>
            </w:r>
          </w:p>
          <w:p w:rsidR="005643EA" w:rsidRPr="00661595" w:rsidRDefault="002648B0"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importo da segnalare è 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aumento del patrimonio netto dell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ente risultante da attività cartolarizzate, conformemente al principio contabile applicabile.</w:t>
            </w:r>
          </w:p>
          <w:p w:rsidR="005643EA" w:rsidRPr="00661595" w:rsidRDefault="002648B0"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Questa voce comprende, ad esempio, il reddito futuro atteso che si traduce in una plusvalenza per 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ente oppure, nel caso dei cedenti, i profitti netti derivanti dalla capitalizzazione dei redditi futuri delle attività cartolarizzate che costituiscono il supporto di credito per le posizioni della cartolarizzazione.</w:t>
            </w:r>
          </w:p>
        </w:tc>
      </w:tr>
      <w:tr w:rsidR="002648B0" w:rsidRPr="00661595" w:rsidTr="00D731E3">
        <w:tc>
          <w:tcPr>
            <w:tcW w:w="1129" w:type="dxa"/>
          </w:tcPr>
          <w:p w:rsidR="002648B0" w:rsidRPr="00661595" w:rsidRDefault="00A20B7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620" w:type="dxa"/>
          </w:tcPr>
          <w:p w:rsidR="005643EA" w:rsidRPr="00661595" w:rsidRDefault="002648B0"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1.1.1.9.2</w:t>
            </w:r>
            <w:r w:rsidRPr="00821208">
              <w:rPr>
                <w:u w:val="single"/>
              </w:rPr>
              <w:tab/>
            </w:r>
            <w:r>
              <w:rPr>
                <w:rStyle w:val="InstructionsTabelleberschrift"/>
                <w:rFonts w:ascii="Times New Roman" w:hAnsi="Times New Roman"/>
                <w:sz w:val="24"/>
              </w:rPr>
              <w:t>Riserva di copertura dei flussi di cassa</w:t>
            </w:r>
          </w:p>
          <w:p w:rsidR="005643EA" w:rsidRPr="00661595" w:rsidRDefault="00C7103D"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33, paragrafo 1, lettera a), del CRR</w:t>
            </w:r>
          </w:p>
          <w:p w:rsidR="005643EA" w:rsidRPr="00661595" w:rsidRDefault="002648B0"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importo da segnalare può essere positivo o negativo. È positivo se le coperture dei flussi di cassa si traducono in una perdita (cioè se riducono il capitale contabile) e viceversa. 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importo è pertanto di segno opposto a quello indicato nei documenti contabili.</w:t>
            </w:r>
          </w:p>
          <w:p w:rsidR="005643EA" w:rsidRPr="00661595" w:rsidRDefault="002648B0"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importo è segnalato al netto di qualsiasi onere fiscale prevedibile al momento del calcolo.</w:t>
            </w:r>
          </w:p>
        </w:tc>
      </w:tr>
      <w:tr w:rsidR="002648B0" w:rsidRPr="00661595" w:rsidTr="00D731E3">
        <w:tc>
          <w:tcPr>
            <w:tcW w:w="1129" w:type="dxa"/>
          </w:tcPr>
          <w:p w:rsidR="002648B0" w:rsidRPr="00661595" w:rsidRDefault="00A20B7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620" w:type="dxa"/>
          </w:tcPr>
          <w:p w:rsidR="005643EA" w:rsidRPr="00661595" w:rsidRDefault="002648B0"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1.1.1.9.3</w:t>
            </w:r>
            <w:r w:rsidRPr="00821208">
              <w:rPr>
                <w:u w:val="single"/>
              </w:rPr>
              <w:tab/>
            </w:r>
            <w:r>
              <w:rPr>
                <w:rStyle w:val="InstructionsTabelleberschrift"/>
                <w:rFonts w:ascii="Times New Roman" w:hAnsi="Times New Roman"/>
                <w:sz w:val="24"/>
              </w:rPr>
              <w:t>Profitti e perdite cumulativi dovuti a variazioni del rischio di credito proprio sulle passività al fair value (valore equo)</w:t>
            </w:r>
          </w:p>
          <w:p w:rsidR="005643EA" w:rsidRPr="00661595" w:rsidRDefault="00C7103D"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33, paragrafo 1, lettera b), del CRR</w:t>
            </w:r>
          </w:p>
          <w:p w:rsidR="005643EA" w:rsidRPr="00661595" w:rsidRDefault="002648B0"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importo da segnalare può essere positivo o negativo. È positivo in caso di perdita dovuta a variazioni del rischio di credito proprio (cioè se la perdita riduce il capitale contabile) e viceversa. 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importo è pertanto di segno opposto a quello indicato nei documenti contabili.</w:t>
            </w:r>
          </w:p>
          <w:p w:rsidR="005643EA" w:rsidRPr="00661595" w:rsidRDefault="002648B0"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questa voce non sono inseriti gli utili non verificati mediante revisione contabile.</w:t>
            </w:r>
          </w:p>
        </w:tc>
      </w:tr>
      <w:tr w:rsidR="00666996" w:rsidRPr="00661595" w:rsidTr="00D731E3">
        <w:tc>
          <w:tcPr>
            <w:tcW w:w="1129" w:type="dxa"/>
          </w:tcPr>
          <w:p w:rsidR="00666996" w:rsidRPr="00661595" w:rsidRDefault="007C2334"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0285</w:t>
            </w:r>
          </w:p>
        </w:tc>
        <w:tc>
          <w:tcPr>
            <w:tcW w:w="7620" w:type="dxa"/>
          </w:tcPr>
          <w:p w:rsidR="005643EA" w:rsidRPr="00661595" w:rsidRDefault="00855D5F"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1.1.1.9.4</w:t>
            </w:r>
            <w:r w:rsidRPr="00821208">
              <w:rPr>
                <w:u w:val="single"/>
              </w:rPr>
              <w:tab/>
            </w:r>
            <w:r>
              <w:rPr>
                <w:rStyle w:val="InstructionsTabelleberschrift"/>
                <w:rFonts w:ascii="Times New Roman" w:hAnsi="Times New Roman"/>
                <w:sz w:val="24"/>
              </w:rPr>
              <w:t>Profitti e perdite di fair value (valore equo) derivanti dal rischio di credito proprio dell</w:t>
            </w:r>
            <w:r w:rsidR="000878EC">
              <w:rPr>
                <w:rStyle w:val="InstructionsTabelleberschrift"/>
                <w:rFonts w:ascii="Times New Roman" w:hAnsi="Times New Roman"/>
                <w:sz w:val="24"/>
              </w:rPr>
              <w:t>'</w:t>
            </w:r>
            <w:r>
              <w:rPr>
                <w:rStyle w:val="InstructionsTabelleberschrift"/>
                <w:rFonts w:ascii="Times New Roman" w:hAnsi="Times New Roman"/>
                <w:sz w:val="24"/>
              </w:rPr>
              <w:t>ente correlato a derivati passivi</w:t>
            </w:r>
          </w:p>
          <w:p w:rsidR="005643EA" w:rsidRPr="00661595" w:rsidRDefault="00C7103D"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33, paragrafo 1, lettera c), e articolo 33, paragrafo 2, del CRR</w:t>
            </w:r>
          </w:p>
          <w:p w:rsidR="005643EA" w:rsidRPr="00661595" w:rsidRDefault="00666996"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importo da segnalare può essere positivo o negativo. È positivo in caso di perdita dovuta a variazioni del rischio di credito proprio e viceversa. 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importo è pertanto di segno opposto a quello indicato nei documenti contabili.</w:t>
            </w:r>
          </w:p>
          <w:p w:rsidR="005643EA" w:rsidRPr="00661595" w:rsidRDefault="00666996" w:rsidP="0011505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In questa voce non sono inseriti gli utili non verificati mediante revisione contabile.</w:t>
            </w:r>
          </w:p>
        </w:tc>
      </w:tr>
      <w:tr w:rsidR="00666996" w:rsidRPr="00661595" w:rsidTr="00D731E3">
        <w:tc>
          <w:tcPr>
            <w:tcW w:w="1129" w:type="dxa"/>
          </w:tcPr>
          <w:p w:rsidR="00666996" w:rsidRPr="00661595" w:rsidRDefault="007C2334"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620" w:type="dxa"/>
          </w:tcPr>
          <w:p w:rsidR="005643EA" w:rsidRPr="00661595" w:rsidRDefault="00855D5F"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1.1.1.9.5</w:t>
            </w:r>
            <w:r w:rsidRPr="00821208">
              <w:rPr>
                <w:u w:val="single"/>
              </w:rPr>
              <w:tab/>
            </w:r>
            <w:r>
              <w:rPr>
                <w:rStyle w:val="InstructionsTabelleberschrift"/>
                <w:rFonts w:ascii="Times New Roman" w:hAnsi="Times New Roman"/>
                <w:sz w:val="24"/>
              </w:rPr>
              <w:t>(-) Rettifiche di valore dovute ai requisiti per la valutazione prudente</w:t>
            </w:r>
          </w:p>
          <w:p w:rsidR="005643EA" w:rsidRPr="00661595" w:rsidRDefault="00666996"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Articoli 34 e 105 del CRR</w:t>
            </w:r>
          </w:p>
          <w:p w:rsidR="005643EA" w:rsidRPr="00661595" w:rsidRDefault="00666996"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Rettifiche del fair value (valore equo) delle esposizioni interne o esterne al portafoglio di negoziazione, dovute all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applicazione di norme più rigorose per la valutazione prudente di cui all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articolo 105 del CRR.</w:t>
            </w:r>
          </w:p>
        </w:tc>
      </w:tr>
      <w:tr w:rsidR="00666996" w:rsidRPr="00661595" w:rsidTr="00D731E3">
        <w:tc>
          <w:tcPr>
            <w:tcW w:w="1129" w:type="dxa"/>
          </w:tcPr>
          <w:p w:rsidR="00666996" w:rsidRPr="00661595" w:rsidRDefault="007C2334"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620" w:type="dxa"/>
          </w:tcPr>
          <w:p w:rsidR="005643EA" w:rsidRPr="00661595" w:rsidRDefault="00855D5F"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w:t>
            </w:r>
            <w:r w:rsidRPr="00821208">
              <w:rPr>
                <w:u w:val="single"/>
              </w:rPr>
              <w:tab/>
            </w:r>
            <w:r>
              <w:rPr>
                <w:rStyle w:val="InstructionsTabelleberschrift"/>
                <w:rFonts w:ascii="Times New Roman" w:hAnsi="Times New Roman"/>
                <w:sz w:val="24"/>
              </w:rPr>
              <w:t>(-) Avviamento</w:t>
            </w:r>
          </w:p>
          <w:p w:rsidR="005643EA" w:rsidRPr="00661595" w:rsidRDefault="00FF2818"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4, paragrafo 1, punto 113, articolo 36, paragrafo 1, lettera b), e articolo 37 del CRR</w:t>
            </w:r>
          </w:p>
        </w:tc>
      </w:tr>
      <w:tr w:rsidR="00666996" w:rsidRPr="00661595" w:rsidTr="00D731E3">
        <w:tc>
          <w:tcPr>
            <w:tcW w:w="1129" w:type="dxa"/>
          </w:tcPr>
          <w:p w:rsidR="00666996" w:rsidRPr="00661595" w:rsidRDefault="007C2334"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620" w:type="dxa"/>
          </w:tcPr>
          <w:p w:rsidR="005643EA" w:rsidRPr="00661595" w:rsidRDefault="00855D5F"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rsidRPr="00821208">
              <w:rPr>
                <w:u w:val="single"/>
              </w:rPr>
              <w:tab/>
            </w:r>
            <w:r>
              <w:rPr>
                <w:rStyle w:val="InstructionsTabelleberschrift"/>
                <w:rFonts w:ascii="Times New Roman" w:hAnsi="Times New Roman"/>
                <w:sz w:val="24"/>
              </w:rPr>
              <w:t>(-) Avviamento contabilizzato come attività immateriale</w:t>
            </w:r>
          </w:p>
          <w:p w:rsidR="005643EA" w:rsidRPr="00661595" w:rsidRDefault="00FF2818"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4, paragrafo 1, punto 113, e articolo 36, paragrafo 1, lettera b), del CRR</w:t>
            </w:r>
          </w:p>
          <w:p w:rsidR="005643EA" w:rsidRPr="00661595" w:rsidRDefault="000878EC"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w:t>
            </w:r>
            <w:r w:rsidR="00666996">
              <w:rPr>
                <w:rStyle w:val="FormatvorlageInstructionsTabelleText"/>
                <w:rFonts w:ascii="Times New Roman" w:hAnsi="Times New Roman"/>
                <w:sz w:val="24"/>
              </w:rPr>
              <w:t>Avviamento</w:t>
            </w:r>
            <w:r>
              <w:rPr>
                <w:rStyle w:val="FormatvorlageInstructionsTabelleText"/>
                <w:rFonts w:ascii="Times New Roman" w:hAnsi="Times New Roman"/>
                <w:sz w:val="24"/>
              </w:rPr>
              <w:t>"</w:t>
            </w:r>
            <w:r w:rsidR="00666996">
              <w:rPr>
                <w:rStyle w:val="FormatvorlageInstructionsTabelleText"/>
                <w:rFonts w:ascii="Times New Roman" w:hAnsi="Times New Roman"/>
                <w:sz w:val="24"/>
              </w:rPr>
              <w:t xml:space="preserve"> ha lo stesso significato di cui al principio contabile applicabile.</w:t>
            </w:r>
          </w:p>
          <w:p w:rsidR="005643EA" w:rsidRPr="00661595" w:rsidRDefault="00666996"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importo da segnalare in questa voce è 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importo rilevato in bilancio.</w:t>
            </w:r>
          </w:p>
        </w:tc>
      </w:tr>
      <w:tr w:rsidR="00666996" w:rsidRPr="00661595" w:rsidTr="00D731E3">
        <w:tc>
          <w:tcPr>
            <w:tcW w:w="1129" w:type="dxa"/>
          </w:tcPr>
          <w:p w:rsidR="00666996" w:rsidRPr="00661595" w:rsidRDefault="007C2334"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620" w:type="dxa"/>
          </w:tcPr>
          <w:p w:rsidR="005643EA" w:rsidRPr="00661595" w:rsidRDefault="00855D5F"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1.1.1.10.2</w:t>
            </w:r>
            <w:r w:rsidRPr="00821208">
              <w:rPr>
                <w:u w:val="single"/>
              </w:rPr>
              <w:tab/>
            </w:r>
            <w:r>
              <w:rPr>
                <w:rStyle w:val="InstructionsTabelleberschrift"/>
                <w:rFonts w:ascii="Times New Roman" w:hAnsi="Times New Roman"/>
                <w:sz w:val="24"/>
              </w:rPr>
              <w:t>(-) Avviamento incluso nella valutazione degli investimenti significativi</w:t>
            </w:r>
          </w:p>
          <w:p w:rsidR="005643EA" w:rsidRPr="00661595" w:rsidRDefault="00C7103D"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37, lettera b), e articolo 43 del CRR</w:t>
            </w:r>
          </w:p>
        </w:tc>
      </w:tr>
      <w:tr w:rsidR="00666996" w:rsidRPr="00661595" w:rsidTr="00D731E3">
        <w:tc>
          <w:tcPr>
            <w:tcW w:w="1129" w:type="dxa"/>
          </w:tcPr>
          <w:p w:rsidR="00666996" w:rsidRPr="00661595" w:rsidRDefault="007C2334"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620" w:type="dxa"/>
          </w:tcPr>
          <w:p w:rsidR="005643EA" w:rsidRPr="00661595" w:rsidRDefault="00AD70F1"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1.1.1.10.3</w:t>
            </w:r>
            <w:r w:rsidRPr="00821208">
              <w:rPr>
                <w:u w:val="single"/>
              </w:rPr>
              <w:tab/>
            </w:r>
            <w:r>
              <w:rPr>
                <w:rStyle w:val="InstructionsTabelleberschrift"/>
                <w:rFonts w:ascii="Times New Roman" w:hAnsi="Times New Roman"/>
                <w:sz w:val="24"/>
              </w:rPr>
              <w:t>Passività fiscali differite associate all</w:t>
            </w:r>
            <w:r w:rsidR="000878EC">
              <w:rPr>
                <w:rStyle w:val="InstructionsTabelleberschrift"/>
                <w:rFonts w:ascii="Times New Roman" w:hAnsi="Times New Roman"/>
                <w:sz w:val="24"/>
              </w:rPr>
              <w:t>'</w:t>
            </w:r>
            <w:r>
              <w:rPr>
                <w:rStyle w:val="InstructionsTabelleberschrift"/>
                <w:rFonts w:ascii="Times New Roman" w:hAnsi="Times New Roman"/>
                <w:sz w:val="24"/>
              </w:rPr>
              <w:t>avviamento</w:t>
            </w:r>
          </w:p>
          <w:p w:rsidR="005643EA" w:rsidRPr="00661595" w:rsidRDefault="00C7103D"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37, lettera a), del CRR</w:t>
            </w:r>
          </w:p>
          <w:p w:rsidR="005643EA" w:rsidRPr="00661595" w:rsidRDefault="00666996"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Importo delle passività fiscali differite che si estinguerebbero se 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avviamento fosse deteriorato o eliminato contabilmente in base al principio contabile applicabile.</w:t>
            </w:r>
          </w:p>
        </w:tc>
      </w:tr>
      <w:tr w:rsidR="00D731E3" w:rsidRPr="00661595" w:rsidTr="00D731E3">
        <w:tc>
          <w:tcPr>
            <w:tcW w:w="1129" w:type="dxa"/>
          </w:tcPr>
          <w:p w:rsidR="00D731E3" w:rsidRPr="00661595" w:rsidRDefault="007C2334"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0335</w:t>
            </w:r>
          </w:p>
        </w:tc>
        <w:tc>
          <w:tcPr>
            <w:tcW w:w="7620" w:type="dxa"/>
          </w:tcPr>
          <w:p w:rsidR="00D731E3" w:rsidRPr="00661595" w:rsidRDefault="00D731E3"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1.1.1.10.4</w:t>
            </w:r>
            <w:r w:rsidRPr="00821208">
              <w:rPr>
                <w:u w:val="single"/>
              </w:rPr>
              <w:tab/>
            </w:r>
            <w:r>
              <w:rPr>
                <w:rStyle w:val="InstructionsTabelleberschrift"/>
                <w:rFonts w:ascii="Times New Roman" w:hAnsi="Times New Roman"/>
                <w:sz w:val="24"/>
              </w:rPr>
              <w:t>Rivalutazione contabile dell</w:t>
            </w:r>
            <w:r w:rsidR="000878EC">
              <w:rPr>
                <w:rStyle w:val="InstructionsTabelleberschrift"/>
                <w:rFonts w:ascii="Times New Roman" w:hAnsi="Times New Roman"/>
                <w:sz w:val="24"/>
              </w:rPr>
              <w:t>'</w:t>
            </w:r>
            <w:r>
              <w:rPr>
                <w:rStyle w:val="InstructionsTabelleberschrift"/>
                <w:rFonts w:ascii="Times New Roman" w:hAnsi="Times New Roman"/>
                <w:sz w:val="24"/>
              </w:rPr>
              <w:t>avviamento di filiazioni derivante dal consolidamento delle filiazioni attribuibile a terzi</w:t>
            </w:r>
          </w:p>
          <w:p w:rsidR="00D731E3" w:rsidRPr="00661595" w:rsidRDefault="00064158"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37, lettera c), del CRR</w:t>
            </w:r>
          </w:p>
          <w:p w:rsidR="00D731E3" w:rsidRPr="00661595" w:rsidRDefault="00D731E3" w:rsidP="0011505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importo della rivalutazione contabile dell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avviamento delle filiazioni derivante dal consolidamento delle filiazioni e attribuibile a persone diverse dalle imprese incluse nel consolidamento ai sensi della parte uno, titolo II, capo 2.</w:t>
            </w:r>
          </w:p>
        </w:tc>
      </w:tr>
      <w:tr w:rsidR="00D731E3" w:rsidRPr="00661595" w:rsidTr="00D731E3">
        <w:tc>
          <w:tcPr>
            <w:tcW w:w="1129" w:type="dxa"/>
          </w:tcPr>
          <w:p w:rsidR="00D731E3" w:rsidRPr="00661595" w:rsidRDefault="003172C8"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620" w:type="dxa"/>
          </w:tcPr>
          <w:p w:rsidR="00D731E3" w:rsidRPr="00661595" w:rsidRDefault="00D731E3"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w:t>
            </w:r>
            <w:r w:rsidRPr="00821208">
              <w:rPr>
                <w:u w:val="single"/>
              </w:rPr>
              <w:tab/>
            </w:r>
            <w:r>
              <w:rPr>
                <w:rStyle w:val="InstructionsTabelleberschrift"/>
                <w:rFonts w:ascii="Times New Roman" w:hAnsi="Times New Roman"/>
                <w:sz w:val="24"/>
              </w:rPr>
              <w:t>(-) Altre attività immateriali</w:t>
            </w:r>
          </w:p>
          <w:p w:rsidR="00D731E3" w:rsidRPr="00661595" w:rsidRDefault="00D731E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4, paragrafo 1, punto 115, articolo 36, paragrafo 1, lettera b), e articolo 37, lettere a) e c), del CRR</w:t>
            </w:r>
          </w:p>
          <w:p w:rsidR="00D731E3" w:rsidRPr="00661595" w:rsidRDefault="00D731E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Costituiscono altre attività immateriali le attività immateriali conformemente al principio contabile applicabile, meno 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avviamento, sempre conformemente al principio contabile applicabile.</w:t>
            </w:r>
          </w:p>
        </w:tc>
      </w:tr>
      <w:tr w:rsidR="00D731E3" w:rsidRPr="00661595" w:rsidTr="00D731E3">
        <w:tc>
          <w:tcPr>
            <w:tcW w:w="1129" w:type="dxa"/>
          </w:tcPr>
          <w:p w:rsidR="00D731E3" w:rsidRPr="00661595" w:rsidRDefault="003172C8"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620" w:type="dxa"/>
          </w:tcPr>
          <w:p w:rsidR="00D731E3" w:rsidRPr="00661595" w:rsidRDefault="00D731E3"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1.1.1.11.1</w:t>
            </w:r>
            <w:r w:rsidRPr="00821208">
              <w:rPr>
                <w:u w:val="single"/>
              </w:rPr>
              <w:tab/>
            </w:r>
            <w:r>
              <w:rPr>
                <w:rStyle w:val="InstructionsTabelleberschrift"/>
                <w:rFonts w:ascii="Times New Roman" w:hAnsi="Times New Roman"/>
                <w:sz w:val="24"/>
              </w:rPr>
              <w:t>(-) Altre attività immateriali prima della deduzione delle passività fiscali differite</w:t>
            </w:r>
          </w:p>
          <w:p w:rsidR="00D731E3" w:rsidRPr="00661595" w:rsidRDefault="00D731E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4, paragrafo 1, punto 115, e articolo 36, paragrafo 1, lettera b), del CRR</w:t>
            </w:r>
          </w:p>
          <w:p w:rsidR="00D731E3" w:rsidRPr="00661595" w:rsidRDefault="00D731E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Costituiscono altre attività immateriali le attività immateriali conformemente al principio contabile applicabile, meno 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avviamento, sempre conformemente al principio contabile applicabile.</w:t>
            </w:r>
          </w:p>
          <w:p w:rsidR="00D731E3" w:rsidRPr="00661595" w:rsidRDefault="00D731E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importo da segnalare in questa voce corrisponde all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importo rilevato in bilancio per le attività immateriali diverse dall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avviamento.</w:t>
            </w:r>
          </w:p>
        </w:tc>
      </w:tr>
      <w:tr w:rsidR="00D731E3" w:rsidRPr="00661595" w:rsidTr="00D731E3">
        <w:tc>
          <w:tcPr>
            <w:tcW w:w="1129" w:type="dxa"/>
          </w:tcPr>
          <w:p w:rsidR="00D731E3" w:rsidRPr="00661595" w:rsidRDefault="003172C8"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620" w:type="dxa"/>
          </w:tcPr>
          <w:p w:rsidR="00D731E3" w:rsidRPr="00661595" w:rsidRDefault="00D731E3"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1.1.1.11.2</w:t>
            </w:r>
            <w:r w:rsidRPr="00821208">
              <w:rPr>
                <w:u w:val="single"/>
              </w:rPr>
              <w:tab/>
            </w:r>
            <w:r>
              <w:rPr>
                <w:rStyle w:val="InstructionsTabelleberschrift"/>
                <w:rFonts w:ascii="Times New Roman" w:hAnsi="Times New Roman"/>
                <w:sz w:val="24"/>
              </w:rPr>
              <w:t>Passività fiscali differite associate ad altre attività immateriali</w:t>
            </w:r>
          </w:p>
          <w:p w:rsidR="00D731E3" w:rsidRPr="00661595" w:rsidRDefault="00D731E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37, lettera a), del CRR</w:t>
            </w:r>
          </w:p>
          <w:p w:rsidR="00D731E3" w:rsidRPr="00661595" w:rsidRDefault="00D731E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Importo delle passività fiscali differite che si estinguerebbero se le attività immateriali diverse dall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avviamento fossero deteriorate o eliminate contabilmente in base al principio contabile applicabile.</w:t>
            </w:r>
          </w:p>
        </w:tc>
      </w:tr>
      <w:tr w:rsidR="0022315F" w:rsidRPr="00661595" w:rsidTr="00D731E3">
        <w:tc>
          <w:tcPr>
            <w:tcW w:w="1129" w:type="dxa"/>
          </w:tcPr>
          <w:p w:rsidR="0022315F"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0365</w:t>
            </w:r>
          </w:p>
        </w:tc>
        <w:tc>
          <w:tcPr>
            <w:tcW w:w="7620" w:type="dxa"/>
          </w:tcPr>
          <w:p w:rsidR="0022315F" w:rsidRPr="00661595" w:rsidRDefault="0022315F"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1.1.1.11.3</w:t>
            </w:r>
            <w:r w:rsidRPr="00821208">
              <w:rPr>
                <w:u w:val="single"/>
              </w:rPr>
              <w:tab/>
            </w:r>
            <w:r>
              <w:rPr>
                <w:rStyle w:val="InstructionsTabelleberschrift"/>
                <w:rFonts w:ascii="Times New Roman" w:hAnsi="Times New Roman"/>
                <w:sz w:val="24"/>
              </w:rPr>
              <w:t>Rivalutazione contabile delle altre attività immateriali di filiazioni derivante dal consolidamento delle filiazioni attribuibili a terzi</w:t>
            </w:r>
          </w:p>
          <w:p w:rsidR="0022315F" w:rsidRPr="00661595" w:rsidRDefault="00064158"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37, lettera c), del CRR</w:t>
            </w:r>
          </w:p>
          <w:p w:rsidR="0022315F" w:rsidRPr="00661595" w:rsidRDefault="0022315F" w:rsidP="0011505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importo della rivalutazione contabile delle attività immateriali delle filiazioni diverse dall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avviamento derivanti dal consolidamento delle filiazioni e attribuibili a persone diverse dalle imprese incluse nel consolidamento ai sensi della parte uno, titolo II, capo 2.</w:t>
            </w:r>
          </w:p>
        </w:tc>
      </w:tr>
      <w:tr w:rsidR="0022315F" w:rsidRPr="00661595" w:rsidTr="00D731E3">
        <w:tc>
          <w:tcPr>
            <w:tcW w:w="1129" w:type="dxa"/>
          </w:tcPr>
          <w:p w:rsidR="0022315F"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620" w:type="dxa"/>
          </w:tcPr>
          <w:p w:rsidR="0022315F" w:rsidRPr="00661595" w:rsidRDefault="0022315F"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1.1.1.12</w:t>
            </w:r>
            <w:r w:rsidRPr="00821208">
              <w:rPr>
                <w:u w:val="single"/>
              </w:rPr>
              <w:tab/>
            </w:r>
            <w:r>
              <w:rPr>
                <w:rStyle w:val="InstructionsTabelleberschrift"/>
                <w:rFonts w:ascii="Times New Roman" w:hAnsi="Times New Roman"/>
                <w:sz w:val="24"/>
              </w:rPr>
              <w:t>(-) Attività fiscali differite che si basano sulla redditività futura e non derivano da differenze temporanee al netto delle associate passività fiscali</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36, paragrafo 1, lettera c), e articolo 38 del CRR</w:t>
            </w:r>
          </w:p>
        </w:tc>
      </w:tr>
      <w:tr w:rsidR="0022315F" w:rsidRPr="00661595" w:rsidTr="00D731E3">
        <w:tc>
          <w:tcPr>
            <w:tcW w:w="1129" w:type="dxa"/>
          </w:tcPr>
          <w:p w:rsidR="0022315F"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620" w:type="dxa"/>
          </w:tcPr>
          <w:p w:rsidR="0022315F" w:rsidRPr="00661595" w:rsidRDefault="0022315F"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1.1.1.13</w:t>
            </w:r>
            <w:r w:rsidRPr="00821208">
              <w:rPr>
                <w:u w:val="single"/>
              </w:rPr>
              <w:tab/>
            </w:r>
            <w:r>
              <w:rPr>
                <w:rStyle w:val="InstructionsTabelleberschrift"/>
                <w:rFonts w:ascii="Times New Roman" w:hAnsi="Times New Roman"/>
                <w:sz w:val="24"/>
              </w:rPr>
              <w:t>(-) Carenza di rettifiche di valore su crediti in base al metodo IRB rispetto alle perdite attese</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36, paragrafo 1, lettera d), e articoli 40, 158 e 159 del CRR</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importo da segnalare non è ridotto dall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aumento del livello delle attività fiscali differite che si basano sulla redditività futura né da altri effetti fiscali supplementari che potrebbero verificarsi se gli accantonamenti raggiungessero il livello delle perdite attese (articolo 40 del CRR).</w:t>
            </w:r>
          </w:p>
        </w:tc>
      </w:tr>
      <w:tr w:rsidR="0022315F" w:rsidRPr="00661595" w:rsidTr="00D731E3">
        <w:tc>
          <w:tcPr>
            <w:tcW w:w="1129" w:type="dxa"/>
          </w:tcPr>
          <w:p w:rsidR="0022315F"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620" w:type="dxa"/>
          </w:tcPr>
          <w:p w:rsidR="0022315F" w:rsidRPr="00661595" w:rsidRDefault="0022315F"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w:t>
            </w:r>
            <w:r w:rsidRPr="00821208">
              <w:rPr>
                <w:u w:val="single"/>
              </w:rPr>
              <w:tab/>
            </w:r>
            <w:r>
              <w:rPr>
                <w:rStyle w:val="InstructionsTabelleberschrift"/>
                <w:rFonts w:ascii="Times New Roman" w:hAnsi="Times New Roman"/>
                <w:sz w:val="24"/>
              </w:rPr>
              <w:t>(-) Attività dei fondi pensione a prestazioni definite</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4, paragrafo 1, punto 109, articolo 36, paragrafo 1, lettera e), e articolo 41 del CRR</w:t>
            </w:r>
          </w:p>
        </w:tc>
      </w:tr>
      <w:tr w:rsidR="0022315F" w:rsidRPr="00661595" w:rsidTr="00D731E3">
        <w:tc>
          <w:tcPr>
            <w:tcW w:w="1129" w:type="dxa"/>
          </w:tcPr>
          <w:p w:rsidR="0022315F"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620" w:type="dxa"/>
          </w:tcPr>
          <w:p w:rsidR="0022315F" w:rsidRPr="00661595" w:rsidRDefault="0022315F"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1.1.1.14.1</w:t>
            </w:r>
            <w:r w:rsidRPr="00821208">
              <w:rPr>
                <w:u w:val="single"/>
              </w:rPr>
              <w:tab/>
            </w:r>
            <w:r>
              <w:rPr>
                <w:rStyle w:val="InstructionsTabelleberschrift"/>
                <w:rFonts w:ascii="Times New Roman" w:hAnsi="Times New Roman"/>
                <w:sz w:val="24"/>
              </w:rPr>
              <w:t xml:space="preserve">(-) Attività dei fondi pensione a prestazioni definite </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4, paragrafo 1, punto 109, e articolo 36, paragrafo 1, lettera e), del CRR</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Le attività dei fondi pensione a prestazioni definite sono definite come </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le attività di un fondo o un piano pensionistico, a seconda del caso, a prestazioni definite, calcolate dopo la sottrazione degli obblighi previsti dallo stesso fondo o piano</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importo da segnalare in questa voce corrisponde all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importo rilevato in bilancio (se indicato separatamente).</w:t>
            </w:r>
          </w:p>
        </w:tc>
      </w:tr>
      <w:tr w:rsidR="0022315F" w:rsidRPr="00661595" w:rsidTr="00D731E3">
        <w:tc>
          <w:tcPr>
            <w:tcW w:w="1129" w:type="dxa"/>
          </w:tcPr>
          <w:p w:rsidR="0022315F" w:rsidRPr="00661595" w:rsidRDefault="00CF1093" w:rsidP="00821208">
            <w:pPr>
              <w:pStyle w:val="InstructionsText"/>
              <w:keepNext/>
              <w:keepLines/>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620" w:type="dxa"/>
          </w:tcPr>
          <w:p w:rsidR="0022315F" w:rsidRPr="00661595" w:rsidRDefault="0022315F" w:rsidP="00821208">
            <w:pPr>
              <w:pStyle w:val="InstructionsText"/>
              <w:keepNext/>
              <w:keepLines/>
              <w:rPr>
                <w:rStyle w:val="FormatvorlageInstructionsTabelleText"/>
                <w:rFonts w:ascii="Times New Roman" w:hAnsi="Times New Roman"/>
                <w:b/>
                <w:sz w:val="24"/>
                <w:u w:val="single"/>
              </w:rPr>
            </w:pPr>
            <w:r>
              <w:rPr>
                <w:rStyle w:val="InstructionsTabelleberschrift"/>
                <w:rFonts w:ascii="Times New Roman" w:hAnsi="Times New Roman"/>
                <w:sz w:val="24"/>
              </w:rPr>
              <w:t>1.1.1.14.2</w:t>
            </w:r>
            <w:r w:rsidRPr="00821208">
              <w:rPr>
                <w:u w:val="single"/>
              </w:rPr>
              <w:tab/>
            </w:r>
            <w:r>
              <w:rPr>
                <w:rStyle w:val="InstructionsTabelleberschrift"/>
                <w:rFonts w:ascii="Times New Roman" w:hAnsi="Times New Roman"/>
                <w:sz w:val="24"/>
              </w:rPr>
              <w:t>Passività fiscali differite associate alle attività dei fondi pensione a prestazioni definite</w:t>
            </w:r>
          </w:p>
          <w:p w:rsidR="0022315F" w:rsidRPr="00661595" w:rsidRDefault="0022315F" w:rsidP="00821208">
            <w:pPr>
              <w:pStyle w:val="InstructionsText"/>
              <w:keepNext/>
              <w:keepLines/>
              <w:rPr>
                <w:rStyle w:val="FormatvorlageInstructionsTabelleText"/>
                <w:rFonts w:ascii="Times New Roman" w:hAnsi="Times New Roman"/>
                <w:sz w:val="24"/>
              </w:rPr>
            </w:pPr>
            <w:r>
              <w:rPr>
                <w:rStyle w:val="FormatvorlageInstructionsTabelleText"/>
                <w:rFonts w:ascii="Times New Roman" w:hAnsi="Times New Roman"/>
                <w:sz w:val="24"/>
              </w:rPr>
              <w:t>Articolo 4, paragrafo 1, punti 108 e 109, e articolo 41, paragrafo 1, lettera a), del CRR</w:t>
            </w:r>
          </w:p>
          <w:p w:rsidR="0022315F" w:rsidRPr="00661595" w:rsidRDefault="0022315F" w:rsidP="00821208">
            <w:pPr>
              <w:pStyle w:val="InstructionsText"/>
              <w:keepNext/>
              <w:keepLines/>
              <w:rPr>
                <w:rStyle w:val="FormatvorlageInstructionsTabelleText"/>
                <w:rFonts w:ascii="Times New Roman" w:hAnsi="Times New Roman"/>
                <w:sz w:val="24"/>
              </w:rPr>
            </w:pPr>
            <w:r>
              <w:rPr>
                <w:rStyle w:val="FormatvorlageInstructionsTabelleText"/>
                <w:rFonts w:ascii="Times New Roman" w:hAnsi="Times New Roman"/>
                <w:sz w:val="24"/>
              </w:rPr>
              <w:t>Importo delle passività fiscali differite che si estinguerebbero se le attività dei fondi pensione a prestazioni definite fossero deteriorate o eliminate contabilmente in base al principio contabile applicabile.</w:t>
            </w:r>
          </w:p>
        </w:tc>
      </w:tr>
      <w:tr w:rsidR="0022315F" w:rsidRPr="00661595" w:rsidTr="00D731E3">
        <w:tc>
          <w:tcPr>
            <w:tcW w:w="1129" w:type="dxa"/>
          </w:tcPr>
          <w:p w:rsidR="0022315F"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620" w:type="dxa"/>
          </w:tcPr>
          <w:p w:rsidR="0022315F" w:rsidRPr="00661595" w:rsidRDefault="0022315F"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1.1.1.14.3</w:t>
            </w:r>
            <w:r w:rsidRPr="00821208">
              <w:rPr>
                <w:u w:val="single"/>
              </w:rPr>
              <w:tab/>
            </w:r>
            <w:r>
              <w:rPr>
                <w:rStyle w:val="InstructionsTabelleberschrift"/>
                <w:rFonts w:ascii="Times New Roman" w:hAnsi="Times New Roman"/>
                <w:sz w:val="24"/>
              </w:rPr>
              <w:t>Attività dei fondi pensione a prestazioni definite che l</w:t>
            </w:r>
            <w:r w:rsidR="000878EC">
              <w:rPr>
                <w:rStyle w:val="InstructionsTabelleberschrift"/>
                <w:rFonts w:ascii="Times New Roman" w:hAnsi="Times New Roman"/>
                <w:sz w:val="24"/>
              </w:rPr>
              <w:t>'</w:t>
            </w:r>
            <w:r>
              <w:rPr>
                <w:rStyle w:val="InstructionsTabelleberschrift"/>
                <w:rFonts w:ascii="Times New Roman" w:hAnsi="Times New Roman"/>
                <w:sz w:val="24"/>
              </w:rPr>
              <w:t>ente può utilizzare senza restrizioni</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4, paragrafo 1, punto 109, e articolo 41, paragrafo 1, lettera b), del CRR</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Questa voce è compilata soltanto in presenza di un</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autorizzazione preventiva dell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autorità competente di ridurre 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importo delle attività dei fondi pensione a prestazioni definite da dedurre.</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attività comprese in questa riga sono soggette a un fattore di ponderazione del rischio per i requisiti del rischio di credito.</w:t>
            </w:r>
          </w:p>
        </w:tc>
      </w:tr>
      <w:tr w:rsidR="0022315F" w:rsidRPr="00661595" w:rsidTr="00D731E3">
        <w:tc>
          <w:tcPr>
            <w:tcW w:w="1129" w:type="dxa"/>
          </w:tcPr>
          <w:p w:rsidR="0022315F"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0430</w:t>
            </w:r>
          </w:p>
        </w:tc>
        <w:tc>
          <w:tcPr>
            <w:tcW w:w="7620" w:type="dxa"/>
          </w:tcPr>
          <w:p w:rsidR="0022315F" w:rsidRPr="00661595" w:rsidRDefault="0022315F"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1.1.1.15</w:t>
            </w:r>
            <w:r w:rsidRPr="00821208">
              <w:rPr>
                <w:u w:val="single"/>
              </w:rPr>
              <w:tab/>
            </w:r>
            <w:r>
              <w:rPr>
                <w:rStyle w:val="InstructionsTabelleberschrift"/>
                <w:rFonts w:ascii="Times New Roman" w:hAnsi="Times New Roman"/>
                <w:sz w:val="24"/>
              </w:rPr>
              <w:t>(-) Partecipazioni incrociate reciproche nel capitale primario di classe 1</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4, paragrafo 1, punto 122, articolo 36, paragrafo 1, lettera g), e articolo 44 del CRR</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Possesso di strumenti di capitale primario di classe 1 di soggetti del settore finanziario (così come definiti nell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articolo 4, paragrafo 1, punto 27, del CRR) laddove sussista una partecipazione incrociata reciproca che 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autorità competente ritiene essere stata concepita per aumentare artificialmente i fondi propri dell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ente.</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importo da segnalare è calcolato sulla base delle posizioni lunghe lorde e comprende gli elementi assicurativi dei fondi propri di classe 1.</w:t>
            </w:r>
          </w:p>
        </w:tc>
      </w:tr>
      <w:tr w:rsidR="0022315F" w:rsidRPr="00661595" w:rsidTr="00D731E3">
        <w:tc>
          <w:tcPr>
            <w:tcW w:w="1129" w:type="dxa"/>
          </w:tcPr>
          <w:p w:rsidR="0022315F"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0440</w:t>
            </w:r>
          </w:p>
        </w:tc>
        <w:tc>
          <w:tcPr>
            <w:tcW w:w="7620" w:type="dxa"/>
          </w:tcPr>
          <w:p w:rsidR="0022315F" w:rsidRPr="00661595" w:rsidRDefault="0022315F"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1.1.1.16</w:t>
            </w:r>
            <w:r w:rsidRPr="00821208">
              <w:rPr>
                <w:u w:val="single"/>
              </w:rPr>
              <w:tab/>
            </w:r>
            <w:r>
              <w:rPr>
                <w:rStyle w:val="InstructionsTabelleberschrift"/>
                <w:rFonts w:ascii="Times New Roman" w:hAnsi="Times New Roman"/>
                <w:sz w:val="24"/>
              </w:rPr>
              <w:t xml:space="preserve">(-) Eccesso di deduzione da elementi del capitale aggiuntivo di classe 1 rispetto al capitale aggiuntivo di classe 1 </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36, paragrafo 1, lettera j), del CRR</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 xml:space="preserve">importo da segnalare è ripreso direttamente dalla voce CA1 </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Eccesso di deduzione da elementi del capitale aggiuntivo di classe 1 rispetto al capitale aggiuntivo di classe 1</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 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importo deve essere dedotto dal capitale primario di classe 1.</w:t>
            </w:r>
          </w:p>
        </w:tc>
      </w:tr>
      <w:tr w:rsidR="0022315F" w:rsidRPr="00661595" w:rsidTr="00D731E3">
        <w:tc>
          <w:tcPr>
            <w:tcW w:w="1129" w:type="dxa"/>
          </w:tcPr>
          <w:p w:rsidR="0022315F"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620" w:type="dxa"/>
          </w:tcPr>
          <w:p w:rsidR="0022315F" w:rsidRPr="00661595" w:rsidRDefault="0022315F"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1.1.1.17</w:t>
            </w:r>
            <w:r w:rsidRPr="00821208">
              <w:rPr>
                <w:u w:val="single"/>
              </w:rPr>
              <w:tab/>
            </w:r>
            <w:r>
              <w:rPr>
                <w:rStyle w:val="InstructionsTabelleberschrift"/>
                <w:rFonts w:ascii="Times New Roman" w:hAnsi="Times New Roman"/>
                <w:sz w:val="24"/>
              </w:rPr>
              <w:t>(-) Partecipazioni qualificate al di fuori del settore finanziario che possono essere soggette in alternativa a un fattore di ponderazione del rischio del 1 250 %</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4, paragrafo 1, punto 36, articolo 36, paragrafo 1, lettera k), punto i), e articoli da 89 a 91 del CRR</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Le partecipazioni qualificate sono definite come il </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possesso diretto o indiretto di almeno il 10 % del capitale o dei diritti di voto in un</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impresa, ovvero che consente 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esercizio di un</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influenza notevole sulla gestione di tale impresa</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In conformità dell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articolo 36, paragrafo 1, lettera k), punto i), del CRR, le partecipazioni qualificate possono essere dedotte dal capitale primario di classe 1 (utilizzando questa voce) o, in alternativa, essere sottoposte a un fattore di ponderazione del rischio del 1 250 %.</w:t>
            </w:r>
          </w:p>
        </w:tc>
      </w:tr>
      <w:tr w:rsidR="0022315F" w:rsidRPr="00661595" w:rsidTr="00D731E3">
        <w:tc>
          <w:tcPr>
            <w:tcW w:w="1129" w:type="dxa"/>
          </w:tcPr>
          <w:p w:rsidR="0022315F"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620" w:type="dxa"/>
          </w:tcPr>
          <w:p w:rsidR="0022315F" w:rsidRPr="00661595" w:rsidRDefault="0022315F"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1.1.1.18</w:t>
            </w:r>
            <w:r w:rsidRPr="00821208">
              <w:rPr>
                <w:u w:val="single"/>
              </w:rPr>
              <w:tab/>
            </w:r>
            <w:r>
              <w:rPr>
                <w:rStyle w:val="InstructionsTabelleberschrift"/>
                <w:rFonts w:ascii="Times New Roman" w:hAnsi="Times New Roman"/>
                <w:sz w:val="24"/>
              </w:rPr>
              <w:t>(-) Posizioni verso la cartolarizzazione che possono essere soggette in alternativa a un fattore di ponderazione del rischio del 1 250 %</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Articolo 244, paragrafo 1, lettera b), articolo 245, paragrafo 1, lettera b), e articolo 253, paragrafo 1, del CRR </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Sono segnalate in questa voce le posizioni verso la cartolarizzazione che sono soggette a un fattore di ponderazione del rischio del 1 250 % ma che, in alternativa, possono essere dedotte dal capitale</w:t>
            </w:r>
            <w:r w:rsidR="009310C6">
              <w:rPr>
                <w:rStyle w:val="FormatvorlageInstructionsTabelleText"/>
                <w:rFonts w:ascii="Times New Roman" w:hAnsi="Times New Roman"/>
                <w:sz w:val="24"/>
              </w:rPr>
              <w:t xml:space="preserve"> primario di classe 1 (articolo </w:t>
            </w:r>
            <w:r>
              <w:rPr>
                <w:rStyle w:val="FormatvorlageInstructionsTabelleText"/>
                <w:rFonts w:ascii="Times New Roman" w:hAnsi="Times New Roman"/>
                <w:sz w:val="24"/>
              </w:rPr>
              <w:t>36, paragrafo 1, lettera k), punto ii), del CRR).</w:t>
            </w:r>
          </w:p>
        </w:tc>
      </w:tr>
      <w:tr w:rsidR="0022315F" w:rsidRPr="00661595" w:rsidTr="00D731E3">
        <w:tc>
          <w:tcPr>
            <w:tcW w:w="1129" w:type="dxa"/>
          </w:tcPr>
          <w:p w:rsidR="0022315F"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620" w:type="dxa"/>
          </w:tcPr>
          <w:p w:rsidR="0022315F" w:rsidRPr="00661595" w:rsidRDefault="0022315F"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1.1.1.19</w:t>
            </w:r>
            <w:r w:rsidRPr="00821208">
              <w:rPr>
                <w:u w:val="single"/>
              </w:rPr>
              <w:tab/>
            </w:r>
            <w:r>
              <w:rPr>
                <w:rStyle w:val="InstructionsTabelleberschrift"/>
                <w:rFonts w:ascii="Times New Roman" w:hAnsi="Times New Roman"/>
                <w:sz w:val="24"/>
              </w:rPr>
              <w:t>(-) Operazioni con regolamento non contestuale che possono essere soggette in alternativa a un fattore di ponderazione del rischio del 1 250 %</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36, paragrafo 1, lettera k), punto iii), e articolo 379, paragrafo 3, del CRR</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operazioni con regolamento non contestuale sono soggette a un fattore di ponderazione del rischio del 1 250 % cinque giorni dopo la seconda data prevista dal contratto per il pagamento o la consegna fino all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estinzione dell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operazione, conformemente ai requisiti dei fondi propri per il rischio di regolamento. In alternativa possono essere dedotte dal capitale primario di classe 1 (articolo 36, paragrafo 1, lettera k), punto iii), del CRR). In quest</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ultimo caso sono segnalate in questa voce.</w:t>
            </w:r>
          </w:p>
        </w:tc>
      </w:tr>
      <w:tr w:rsidR="0022315F" w:rsidRPr="00661595" w:rsidTr="00D731E3">
        <w:tc>
          <w:tcPr>
            <w:tcW w:w="1129" w:type="dxa"/>
          </w:tcPr>
          <w:p w:rsidR="0022315F"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0471</w:t>
            </w:r>
          </w:p>
        </w:tc>
        <w:tc>
          <w:tcPr>
            <w:tcW w:w="7620" w:type="dxa"/>
          </w:tcPr>
          <w:p w:rsidR="0022315F" w:rsidRPr="00661595" w:rsidRDefault="0022315F"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1.1.1.20</w:t>
            </w:r>
            <w:r w:rsidRPr="00821208">
              <w:rPr>
                <w:u w:val="single"/>
              </w:rPr>
              <w:tab/>
            </w:r>
            <w:r>
              <w:rPr>
                <w:rStyle w:val="InstructionsTabelleberschrift"/>
                <w:rFonts w:ascii="Times New Roman" w:hAnsi="Times New Roman"/>
                <w:sz w:val="24"/>
              </w:rPr>
              <w:t>(-) Posizioni in un paniere per le quali un ente non è in grado di stabilire la ponderazione del rischio nell</w:t>
            </w:r>
            <w:r w:rsidR="000878EC">
              <w:rPr>
                <w:rStyle w:val="InstructionsTabelleberschrift"/>
                <w:rFonts w:ascii="Times New Roman" w:hAnsi="Times New Roman"/>
                <w:sz w:val="24"/>
              </w:rPr>
              <w:t>'</w:t>
            </w:r>
            <w:r>
              <w:rPr>
                <w:rStyle w:val="InstructionsTabelleberschrift"/>
                <w:rFonts w:ascii="Times New Roman" w:hAnsi="Times New Roman"/>
                <w:sz w:val="24"/>
              </w:rPr>
              <w:t>ambito del metodo IRB e che possono essere soggette in alternativa a una ponderazione del rischio del 1 250 %</w:t>
            </w:r>
          </w:p>
          <w:p w:rsidR="0022315F" w:rsidRPr="00661595" w:rsidRDefault="0022315F" w:rsidP="0011505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36, paragrafo 1, lettera k), punto iv), e articolo 153, paragrafo 8, del CRR</w:t>
            </w:r>
          </w:p>
          <w:p w:rsidR="0022315F" w:rsidRPr="00661595" w:rsidRDefault="0022315F" w:rsidP="00115052">
            <w:pPr>
              <w:pStyle w:val="InstructionsText"/>
              <w:rPr>
                <w:rStyle w:val="InstructionsTabelleberschrift"/>
                <w:rFonts w:ascii="Times New Roman" w:hAnsi="Times New Roman"/>
                <w:b w:val="0"/>
                <w:sz w:val="24"/>
                <w:u w:val="none"/>
              </w:rPr>
            </w:pPr>
            <w:r>
              <w:t>In conformità dell</w:t>
            </w:r>
            <w:r w:rsidR="000878EC">
              <w:t>'</w:t>
            </w:r>
            <w:r>
              <w:t>articolo 36, paragrafo 1, lettera k), punto iv), del CRR, le posizioni in un paniere per le quali un ente non è in grado di stabilire la ponderazione del rischio nell</w:t>
            </w:r>
            <w:r w:rsidR="000878EC">
              <w:t>'</w:t>
            </w:r>
            <w:r>
              <w:t>ambito del metodo IRB possono essere dedotte dal capitale primario di classe 1 (utilizzando questa voce) o, in alternativa, essere sottoposte a un fattore di ponderazione del rischio del 1 250 %.</w:t>
            </w:r>
          </w:p>
        </w:tc>
      </w:tr>
      <w:tr w:rsidR="0022315F" w:rsidRPr="00661595" w:rsidTr="00D731E3">
        <w:tc>
          <w:tcPr>
            <w:tcW w:w="1129" w:type="dxa"/>
          </w:tcPr>
          <w:p w:rsidR="0022315F"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0472</w:t>
            </w:r>
          </w:p>
        </w:tc>
        <w:tc>
          <w:tcPr>
            <w:tcW w:w="7620" w:type="dxa"/>
          </w:tcPr>
          <w:p w:rsidR="0022315F" w:rsidRPr="00661595" w:rsidRDefault="0022315F"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1.1.1.21</w:t>
            </w:r>
            <w:r w:rsidRPr="00821208">
              <w:rPr>
                <w:u w:val="single"/>
              </w:rPr>
              <w:tab/>
            </w:r>
            <w:r>
              <w:rPr>
                <w:rStyle w:val="InstructionsTabelleberschrift"/>
                <w:rFonts w:ascii="Times New Roman" w:hAnsi="Times New Roman"/>
                <w:sz w:val="24"/>
              </w:rPr>
              <w:t>(-) Esposizioni in strumenti di capitale nel quadro del metodo dei modelli interni che possono essere soggette in alternativa a un fattore di ponderazione del rischio del 1 250 %</w:t>
            </w:r>
          </w:p>
          <w:p w:rsidR="0022315F" w:rsidRPr="00661595" w:rsidRDefault="0022315F" w:rsidP="0011505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36, paragrafo 1, lettera k), punto v), e articolo 155, paragrafo 4, del CRR</w:t>
            </w:r>
          </w:p>
          <w:p w:rsidR="0022315F" w:rsidRPr="00661595" w:rsidRDefault="0022315F" w:rsidP="0011505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In conformità dell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articolo 36, paragrafo 1, lettera k), punto v), del CRR, le esposizioni in strumenti di capitale nel quadro del metodo dei modelli interni possono essere dedotte dal capitale primario di classe 1 (utilizzando questa voce) o, in alternativa, essere sottoposte a un fattore di ponderazione del rischio del 1 250 %.</w:t>
            </w:r>
          </w:p>
        </w:tc>
      </w:tr>
      <w:tr w:rsidR="0022315F" w:rsidRPr="00661595" w:rsidTr="00D731E3">
        <w:tc>
          <w:tcPr>
            <w:tcW w:w="1129" w:type="dxa"/>
          </w:tcPr>
          <w:p w:rsidR="0022315F"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0480</w:t>
            </w:r>
          </w:p>
        </w:tc>
        <w:tc>
          <w:tcPr>
            <w:tcW w:w="7620" w:type="dxa"/>
          </w:tcPr>
          <w:p w:rsidR="0022315F" w:rsidRPr="00661595" w:rsidRDefault="0022315F"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1.1.1.22</w:t>
            </w:r>
            <w:r w:rsidRPr="00821208">
              <w:rPr>
                <w:u w:val="single"/>
              </w:rPr>
              <w:tab/>
            </w:r>
            <w:r>
              <w:rPr>
                <w:rStyle w:val="InstructionsTabelleberschrift"/>
                <w:rFonts w:ascii="Times New Roman" w:hAnsi="Times New Roman"/>
                <w:sz w:val="24"/>
              </w:rPr>
              <w:t>(-) Strumenti di capitale primario di classe 1 di soggetti del settore finanziario in cui l</w:t>
            </w:r>
            <w:r w:rsidR="000878EC">
              <w:rPr>
                <w:rStyle w:val="InstructionsTabelleberschrift"/>
                <w:rFonts w:ascii="Times New Roman" w:hAnsi="Times New Roman"/>
                <w:sz w:val="24"/>
              </w:rPr>
              <w:t>'</w:t>
            </w:r>
            <w:r>
              <w:rPr>
                <w:rStyle w:val="InstructionsTabelleberschrift"/>
                <w:rFonts w:ascii="Times New Roman" w:hAnsi="Times New Roman"/>
                <w:sz w:val="24"/>
              </w:rPr>
              <w:t>ente non ha un investimento significativo</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4, paragrafo 1, punto 27, articolo 36, paragrafo 1, lettera h), articoli da 43 a 46, articolo 49, paragrafi 2 e 3, e articolo 79 del CRR</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Parte delle partecipazioni detenute dall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ente in strumenti di soggetti del settore finanziario (così come definiti nell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articolo 4, paragrafo 1, punto 27, del CRR) nei casi in cui 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ente non ha un investimento significativo che deve essere dedotta dal capitale primario di classe 1.</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Cfr. le alternative alla deduzione in caso di applicazione del consolidamento (articolo 49, paragrafi 2 e 3).</w:t>
            </w:r>
          </w:p>
        </w:tc>
      </w:tr>
      <w:tr w:rsidR="0022315F" w:rsidRPr="00661595" w:rsidTr="00D731E3">
        <w:tc>
          <w:tcPr>
            <w:tcW w:w="1129" w:type="dxa"/>
          </w:tcPr>
          <w:p w:rsidR="0022315F"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620" w:type="dxa"/>
          </w:tcPr>
          <w:p w:rsidR="0022315F" w:rsidRPr="00661595" w:rsidRDefault="0022315F"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1.1.1.23</w:t>
            </w:r>
            <w:r w:rsidRPr="00821208">
              <w:rPr>
                <w:u w:val="single"/>
              </w:rPr>
              <w:tab/>
            </w:r>
            <w:r>
              <w:rPr>
                <w:rStyle w:val="InstructionsTabelleberschrift"/>
                <w:rFonts w:ascii="Times New Roman" w:hAnsi="Times New Roman"/>
                <w:sz w:val="24"/>
              </w:rPr>
              <w:t>(-) Attività fiscali differite deducibili che si basano sulla redditività futura e derivano da differenze temporanee</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36, paragrafo 1, lettera c), articolo 38 e articolo 48, paragrafo 1, lettera a), del CRR</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Parte delle attività fiscali differite che si basano sulla redditività futura e derivano da differenze temporanee (al netto della parte delle associate passività fiscali differite che sono assegnate alle attività fiscali differite derivanti da differenze temporanee) che, ai sensi dell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articolo 38, paragrafo 5, lettera b), del CRR, deve essere dedotta applicando la soglia del 10 % di cui all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articolo 48, paragrafo 1, lettera a), del CRR.</w:t>
            </w:r>
          </w:p>
        </w:tc>
      </w:tr>
      <w:tr w:rsidR="0022315F" w:rsidRPr="00661595" w:rsidTr="00D731E3">
        <w:tc>
          <w:tcPr>
            <w:tcW w:w="1129" w:type="dxa"/>
          </w:tcPr>
          <w:p w:rsidR="0022315F"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620" w:type="dxa"/>
          </w:tcPr>
          <w:p w:rsidR="0022315F" w:rsidRPr="00661595" w:rsidRDefault="0022315F"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1.1.1.24</w:t>
            </w:r>
            <w:r w:rsidRPr="00821208">
              <w:rPr>
                <w:u w:val="single"/>
              </w:rPr>
              <w:tab/>
            </w:r>
            <w:r w:rsidRPr="005D3A3F">
              <w:rPr>
                <w:rStyle w:val="InstructionsTabelleberschrift"/>
                <w:rFonts w:ascii="Times New Roman" w:hAnsi="Times New Roman"/>
                <w:sz w:val="24"/>
              </w:rPr>
              <w:t>(</w:t>
            </w:r>
            <w:r>
              <w:rPr>
                <w:rStyle w:val="InstructionsTabelleberschrift"/>
                <w:rFonts w:ascii="Times New Roman" w:hAnsi="Times New Roman"/>
                <w:sz w:val="24"/>
              </w:rPr>
              <w:t>-) Strumenti di capitale primario di classe 1 di soggetti del settore finanziario in cui l</w:t>
            </w:r>
            <w:r w:rsidR="000878EC">
              <w:rPr>
                <w:rStyle w:val="InstructionsTabelleberschrift"/>
                <w:rFonts w:ascii="Times New Roman" w:hAnsi="Times New Roman"/>
                <w:sz w:val="24"/>
              </w:rPr>
              <w:t>'</w:t>
            </w:r>
            <w:r>
              <w:rPr>
                <w:rStyle w:val="InstructionsTabelleberschrift"/>
                <w:rFonts w:ascii="Times New Roman" w:hAnsi="Times New Roman"/>
                <w:sz w:val="24"/>
              </w:rPr>
              <w:t>ente ha un investimento significativo</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4, paragrafo 1, punto 27, articolo 36, pa</w:t>
            </w:r>
            <w:r w:rsidR="00745395">
              <w:rPr>
                <w:rStyle w:val="FormatvorlageInstructionsTabelleText"/>
                <w:rFonts w:ascii="Times New Roman" w:hAnsi="Times New Roman"/>
                <w:sz w:val="24"/>
              </w:rPr>
              <w:t>ragrafo 1, lettera i), articoli </w:t>
            </w:r>
            <w:r>
              <w:rPr>
                <w:rStyle w:val="FormatvorlageInstructionsTabelleText"/>
                <w:rFonts w:ascii="Times New Roman" w:hAnsi="Times New Roman"/>
                <w:sz w:val="24"/>
              </w:rPr>
              <w:t>43, 45 e 47, articolo 48, paragrafo 2, lettera b), articolo 49, paragrafi 1, 2 e 3, e articolo 79 del CRR</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Parte delle partecipazioni detenute dall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ente in strumenti di capitale primario di classe 1 di soggetti del settore finanziario (c</w:t>
            </w:r>
            <w:r w:rsidR="00745395">
              <w:rPr>
                <w:rStyle w:val="FormatvorlageInstructionsTabelleText"/>
                <w:rFonts w:ascii="Times New Roman" w:hAnsi="Times New Roman"/>
                <w:sz w:val="24"/>
              </w:rPr>
              <w:t>osì come definiti nell</w:t>
            </w:r>
            <w:r w:rsidR="000878EC">
              <w:rPr>
                <w:rStyle w:val="FormatvorlageInstructionsTabelleText"/>
                <w:rFonts w:ascii="Times New Roman" w:hAnsi="Times New Roman"/>
                <w:sz w:val="24"/>
              </w:rPr>
              <w:t>'</w:t>
            </w:r>
            <w:r w:rsidR="00745395">
              <w:rPr>
                <w:rStyle w:val="FormatvorlageInstructionsTabelleText"/>
                <w:rFonts w:ascii="Times New Roman" w:hAnsi="Times New Roman"/>
                <w:sz w:val="24"/>
              </w:rPr>
              <w:t>articolo </w:t>
            </w:r>
            <w:r>
              <w:rPr>
                <w:rStyle w:val="FormatvorlageInstructionsTabelleText"/>
                <w:rFonts w:ascii="Times New Roman" w:hAnsi="Times New Roman"/>
                <w:sz w:val="24"/>
              </w:rPr>
              <w:t>4, paragrafo 1, punto 27, del CRR) in cui 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ente ha un investimento significativo che deve essere dedotta applicando la soglia del 10 % di cui all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articolo 48, paragrafo 1, lettera b), del CRR.</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Cfr. le alternative alla deduzione in caso di applicazione del consolidamento (articolo 49, paragrafi 1, 2 e 3, del CRR).</w:t>
            </w:r>
          </w:p>
        </w:tc>
      </w:tr>
      <w:tr w:rsidR="0022315F" w:rsidRPr="00661595" w:rsidTr="00D731E3">
        <w:tc>
          <w:tcPr>
            <w:tcW w:w="1129" w:type="dxa"/>
          </w:tcPr>
          <w:p w:rsidR="0022315F"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620" w:type="dxa"/>
          </w:tcPr>
          <w:p w:rsidR="0022315F" w:rsidRPr="00661595" w:rsidRDefault="0022315F"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1.1.1.25</w:t>
            </w:r>
            <w:r w:rsidRPr="00821208">
              <w:rPr>
                <w:u w:val="single"/>
              </w:rPr>
              <w:tab/>
            </w:r>
            <w:r>
              <w:rPr>
                <w:rStyle w:val="InstructionsTabelleberschrift"/>
                <w:rFonts w:ascii="Times New Roman" w:hAnsi="Times New Roman"/>
                <w:sz w:val="24"/>
              </w:rPr>
              <w:t>(-) Importo eccedente la soglia del 17,65 %</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48, paragrafo 2, del CRR</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Parte delle attività fiscali differite che si basano sulla redditività futura e derivano da differenze temporanee, nonché partecipazioni dirette, indirette e sintetiche detenute dall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ente in strumenti di capitale primario di classe 1 di soggetti del settore finanziario (così come definiti nell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articolo 4, paragrafo 1, punto 27, del CRR) in cui 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ente ha un investimento significativo che deve essere dedotta applicando la soglia del 17,65 % di</w:t>
            </w:r>
            <w:r w:rsidR="00745395">
              <w:rPr>
                <w:rStyle w:val="FormatvorlageInstructionsTabelleText"/>
                <w:rFonts w:ascii="Times New Roman" w:hAnsi="Times New Roman"/>
                <w:sz w:val="24"/>
              </w:rPr>
              <w:t xml:space="preserve"> cui all</w:t>
            </w:r>
            <w:r w:rsidR="000878EC">
              <w:rPr>
                <w:rStyle w:val="FormatvorlageInstructionsTabelleText"/>
                <w:rFonts w:ascii="Times New Roman" w:hAnsi="Times New Roman"/>
                <w:sz w:val="24"/>
              </w:rPr>
              <w:t>'</w:t>
            </w:r>
            <w:r w:rsidR="00745395">
              <w:rPr>
                <w:rStyle w:val="FormatvorlageInstructionsTabelleText"/>
                <w:rFonts w:ascii="Times New Roman" w:hAnsi="Times New Roman"/>
                <w:sz w:val="24"/>
              </w:rPr>
              <w:t>articolo 48, paragrafo </w:t>
            </w:r>
            <w:r>
              <w:rPr>
                <w:rStyle w:val="FormatvorlageInstructionsTabelleText"/>
                <w:rFonts w:ascii="Times New Roman" w:hAnsi="Times New Roman"/>
                <w:sz w:val="24"/>
              </w:rPr>
              <w:t>2, del CRR.</w:t>
            </w:r>
          </w:p>
        </w:tc>
      </w:tr>
      <w:tr w:rsidR="0022315F" w:rsidRPr="00661595" w:rsidTr="00D731E3">
        <w:tc>
          <w:tcPr>
            <w:tcW w:w="1129" w:type="dxa"/>
          </w:tcPr>
          <w:p w:rsidR="0022315F"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0511</w:t>
            </w:r>
          </w:p>
        </w:tc>
        <w:tc>
          <w:tcPr>
            <w:tcW w:w="7620" w:type="dxa"/>
          </w:tcPr>
          <w:p w:rsidR="0022315F" w:rsidRPr="00661595" w:rsidRDefault="0022315F"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1.1.1.25.1</w:t>
            </w:r>
            <w:r w:rsidRPr="00821208">
              <w:rPr>
                <w:u w:val="single"/>
              </w:rPr>
              <w:tab/>
            </w:r>
            <w:r>
              <w:rPr>
                <w:rStyle w:val="InstructionsTabelleberschrift"/>
                <w:rFonts w:ascii="Times New Roman" w:hAnsi="Times New Roman"/>
                <w:sz w:val="24"/>
              </w:rPr>
              <w:t>(-) Importo eccedente la soglia del 17,65% relativo agli strumenti di capitale primario di classe 1 di soggetti del settore finanziario in cui l</w:t>
            </w:r>
            <w:r w:rsidR="000878EC">
              <w:rPr>
                <w:rStyle w:val="InstructionsTabelleberschrift"/>
                <w:rFonts w:ascii="Times New Roman" w:hAnsi="Times New Roman"/>
                <w:sz w:val="24"/>
              </w:rPr>
              <w:t>'</w:t>
            </w:r>
            <w:r>
              <w:rPr>
                <w:rStyle w:val="InstructionsTabelleberschrift"/>
                <w:rFonts w:ascii="Times New Roman" w:hAnsi="Times New Roman"/>
                <w:sz w:val="24"/>
              </w:rPr>
              <w:t>ente ha un investimento significativo</w:t>
            </w:r>
          </w:p>
        </w:tc>
      </w:tr>
      <w:tr w:rsidR="0022315F" w:rsidRPr="00661595" w:rsidTr="00D731E3">
        <w:tc>
          <w:tcPr>
            <w:tcW w:w="1129" w:type="dxa"/>
          </w:tcPr>
          <w:p w:rsidR="0022315F"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0512</w:t>
            </w:r>
          </w:p>
        </w:tc>
        <w:tc>
          <w:tcPr>
            <w:tcW w:w="7620" w:type="dxa"/>
          </w:tcPr>
          <w:p w:rsidR="0022315F" w:rsidRPr="00661595" w:rsidRDefault="0022315F"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1.1.1.25.2</w:t>
            </w:r>
            <w:r w:rsidRPr="00821208">
              <w:rPr>
                <w:u w:val="single"/>
              </w:rPr>
              <w:tab/>
            </w:r>
            <w:r>
              <w:rPr>
                <w:rStyle w:val="InstructionsTabelleberschrift"/>
                <w:rFonts w:ascii="Times New Roman" w:hAnsi="Times New Roman"/>
                <w:sz w:val="24"/>
              </w:rPr>
              <w:t>(-) Importo eccedente la soglia del 17,65 % relativo ad attività fiscali differite derivanti da differenze temporanee</w:t>
            </w:r>
          </w:p>
        </w:tc>
      </w:tr>
      <w:tr w:rsidR="0022315F" w:rsidRPr="00661595" w:rsidTr="00D731E3">
        <w:tc>
          <w:tcPr>
            <w:tcW w:w="1129" w:type="dxa"/>
          </w:tcPr>
          <w:p w:rsidR="0022315F"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0513</w:t>
            </w:r>
          </w:p>
        </w:tc>
        <w:tc>
          <w:tcPr>
            <w:tcW w:w="7620" w:type="dxa"/>
          </w:tcPr>
          <w:p w:rsidR="0022315F" w:rsidRPr="00661595" w:rsidRDefault="0022315F"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1.1.1.25A (-) Copertura insufficiente per le esposizioni deteriorate</w:t>
            </w:r>
          </w:p>
          <w:p w:rsidR="0022315F" w:rsidRPr="00661595" w:rsidRDefault="0044539D" w:rsidP="0011505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Articolo 36, paragrafo 1, lettera m), e articolo 47 quater, del CRR</w:t>
            </w:r>
          </w:p>
        </w:tc>
      </w:tr>
      <w:tr w:rsidR="0022315F" w:rsidRPr="00661595" w:rsidTr="00D731E3">
        <w:tc>
          <w:tcPr>
            <w:tcW w:w="1129" w:type="dxa"/>
          </w:tcPr>
          <w:p w:rsidR="0022315F"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0514</w:t>
            </w:r>
          </w:p>
        </w:tc>
        <w:tc>
          <w:tcPr>
            <w:tcW w:w="7620" w:type="dxa"/>
          </w:tcPr>
          <w:p w:rsidR="0022315F" w:rsidRPr="00661595" w:rsidRDefault="0022315F"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1.1.1.25B (-) Riduzioni degli impegni di valore minimo</w:t>
            </w:r>
          </w:p>
          <w:p w:rsidR="0022315F" w:rsidRPr="00661595" w:rsidRDefault="0044539D" w:rsidP="0011505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Articolo 36, paragrafo 1, lettera n), e articolo 132 quater, paragrafo 2, del CRR</w:t>
            </w:r>
          </w:p>
        </w:tc>
      </w:tr>
      <w:tr w:rsidR="0022315F" w:rsidRPr="00661595" w:rsidTr="00D731E3">
        <w:tc>
          <w:tcPr>
            <w:tcW w:w="1129" w:type="dxa"/>
          </w:tcPr>
          <w:p w:rsidR="0022315F"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0515</w:t>
            </w:r>
          </w:p>
        </w:tc>
        <w:tc>
          <w:tcPr>
            <w:tcW w:w="7620" w:type="dxa"/>
          </w:tcPr>
          <w:p w:rsidR="0022315F" w:rsidRPr="00661595" w:rsidRDefault="0022315F"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1.1.1.25C (-) Altri tributi prevedibili</w:t>
            </w:r>
          </w:p>
          <w:p w:rsidR="0022315F" w:rsidRPr="00661595" w:rsidRDefault="0044539D" w:rsidP="00115052">
            <w:pPr>
              <w:pStyle w:val="InstructionsText"/>
              <w:rPr>
                <w:rStyle w:val="FormatvorlageInstructionsTabelleText"/>
                <w:rFonts w:ascii="Times New Roman" w:hAnsi="Times New Roman"/>
                <w:b/>
                <w:sz w:val="24"/>
              </w:rPr>
            </w:pPr>
            <w:r>
              <w:rPr>
                <w:rStyle w:val="FormatvorlageInstructionsTabelleText"/>
                <w:rFonts w:ascii="Times New Roman" w:hAnsi="Times New Roman"/>
                <w:sz w:val="24"/>
              </w:rPr>
              <w:t>Articolo 36, paragrafo 1, lettera l), del CRR</w:t>
            </w:r>
          </w:p>
          <w:p w:rsidR="0022315F" w:rsidRPr="00661595" w:rsidRDefault="0022315F" w:rsidP="0011505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Tributi relativi agli elementi del capitale primario di classe 1 prevedibili al momento del loro calcolo diversi dai tributi già considerati in una delle altre righe che riportano elementi del capitale primario di classe 1 mediante la riduzione dell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importo dell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elemento CET1 in questione.</w:t>
            </w:r>
          </w:p>
        </w:tc>
      </w:tr>
      <w:tr w:rsidR="0022315F" w:rsidRPr="00661595" w:rsidTr="00D731E3">
        <w:tc>
          <w:tcPr>
            <w:tcW w:w="1129" w:type="dxa"/>
          </w:tcPr>
          <w:p w:rsidR="0022315F"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620" w:type="dxa"/>
          </w:tcPr>
          <w:p w:rsidR="0022315F" w:rsidRPr="00661595" w:rsidRDefault="0022315F"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1.1.1.26</w:t>
            </w:r>
            <w:r w:rsidRPr="00821208">
              <w:rPr>
                <w:u w:val="single"/>
              </w:rPr>
              <w:tab/>
            </w:r>
            <w:r>
              <w:rPr>
                <w:rStyle w:val="InstructionsTabelleberschrift"/>
                <w:rFonts w:ascii="Times New Roman" w:hAnsi="Times New Roman"/>
                <w:sz w:val="24"/>
              </w:rPr>
              <w:t>Altri aggiustamenti transitori del capitale primario di classe 1</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Articoli da 469 a 478 e articolo 481 del CRR</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Aggiustamenti delle deduzioni dovuti a disposizioni transitorie. 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importo da segnalare si ricava direttamente dal modello CA5.</w:t>
            </w:r>
          </w:p>
        </w:tc>
      </w:tr>
      <w:tr w:rsidR="0022315F" w:rsidRPr="00661595" w:rsidTr="00D731E3">
        <w:tc>
          <w:tcPr>
            <w:tcW w:w="1129" w:type="dxa"/>
          </w:tcPr>
          <w:p w:rsidR="0022315F"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0524</w:t>
            </w:r>
          </w:p>
        </w:tc>
        <w:tc>
          <w:tcPr>
            <w:tcW w:w="7620" w:type="dxa"/>
          </w:tcPr>
          <w:p w:rsidR="0022315F" w:rsidRPr="00661595" w:rsidRDefault="0022315F"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1.1.1.27</w:t>
            </w:r>
            <w:r w:rsidRPr="00821208">
              <w:rPr>
                <w:u w:val="single"/>
              </w:rPr>
              <w:tab/>
            </w:r>
            <w:r>
              <w:rPr>
                <w:rStyle w:val="InstructionsTabelleberschrift"/>
                <w:rFonts w:ascii="Times New Roman" w:hAnsi="Times New Roman"/>
                <w:sz w:val="24"/>
              </w:rPr>
              <w:t>(-) Altre deduzioni del capitale primario di classe 1 dovute all</w:t>
            </w:r>
            <w:r w:rsidR="000878EC">
              <w:rPr>
                <w:rStyle w:val="InstructionsTabelleberschrift"/>
                <w:rFonts w:ascii="Times New Roman" w:hAnsi="Times New Roman"/>
                <w:sz w:val="24"/>
              </w:rPr>
              <w:t>'</w:t>
            </w:r>
            <w:r>
              <w:rPr>
                <w:rStyle w:val="InstructionsTabelleberschrift"/>
                <w:rFonts w:ascii="Times New Roman" w:hAnsi="Times New Roman"/>
                <w:sz w:val="24"/>
              </w:rPr>
              <w:t>articolo 3 del CRR</w:t>
            </w:r>
          </w:p>
          <w:p w:rsidR="0022315F" w:rsidRPr="00661595" w:rsidRDefault="0022315F" w:rsidP="0011505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3 del CRR</w:t>
            </w:r>
          </w:p>
        </w:tc>
      </w:tr>
      <w:tr w:rsidR="0022315F" w:rsidRPr="00661595" w:rsidTr="00D731E3">
        <w:tc>
          <w:tcPr>
            <w:tcW w:w="1129" w:type="dxa"/>
          </w:tcPr>
          <w:p w:rsidR="0022315F"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0529</w:t>
            </w:r>
          </w:p>
        </w:tc>
        <w:tc>
          <w:tcPr>
            <w:tcW w:w="7620" w:type="dxa"/>
          </w:tcPr>
          <w:p w:rsidR="0022315F" w:rsidRPr="00661595" w:rsidRDefault="0022315F"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1.1.1.28</w:t>
            </w:r>
            <w:r w:rsidRPr="00821208">
              <w:rPr>
                <w:u w:val="single"/>
              </w:rPr>
              <w:tab/>
            </w:r>
            <w:r>
              <w:rPr>
                <w:rStyle w:val="InstructionsTabelleberschrift"/>
                <w:rFonts w:ascii="Times New Roman" w:hAnsi="Times New Roman"/>
                <w:sz w:val="24"/>
              </w:rPr>
              <w:t>Elementi del capitale primario di classe 1 o deduzioni</w:t>
            </w:r>
            <w:r w:rsidR="000878EC">
              <w:rPr>
                <w:rStyle w:val="InstructionsTabelleberschrift"/>
                <w:rFonts w:ascii="Times New Roman" w:hAnsi="Times New Roman"/>
                <w:sz w:val="24"/>
              </w:rPr>
              <w:t xml:space="preserve"> </w:t>
            </w:r>
            <w:r>
              <w:rPr>
                <w:rStyle w:val="InstructionsTabelleberschrift"/>
                <w:rFonts w:ascii="Times New Roman" w:hAnsi="Times New Roman"/>
                <w:sz w:val="24"/>
              </w:rPr>
              <w:t>- altro</w:t>
            </w:r>
          </w:p>
          <w:p w:rsidR="0022315F" w:rsidRPr="00661595" w:rsidRDefault="0022315F" w:rsidP="0011505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Questa riga ha lo scopo di garantire flessibilità a esclusivi fini di segnalazione. È utilizzata soltanto nei rari casi in cui manchi una decisione finale sulla segnalazione di specifici elementi di capitale/deduzioni nel modello CA1 corrente. Pertanto è compilata solo qualora sia impossibile attribuire un elemento del capitale primario di classe 1 o una deduzione da un elemento del capitale primario di classe 1 a una delle righe da 020 a 524. </w:t>
            </w:r>
          </w:p>
          <w:p w:rsidR="0022315F" w:rsidRPr="00661595" w:rsidRDefault="0022315F" w:rsidP="0011505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Questa riga non è usata per assegnare elementi di capitale/deduzioni non soggetti al CRR nel calcolo dei coefficienti di solvibilità (ad esempio 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assegnazione di elementi del capitale/deduzioni nazionali che esulano dall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ambito di applicazione del CRR).</w:t>
            </w:r>
          </w:p>
        </w:tc>
      </w:tr>
      <w:tr w:rsidR="0022315F" w:rsidRPr="00661595" w:rsidTr="00D731E3">
        <w:tc>
          <w:tcPr>
            <w:tcW w:w="1129" w:type="dxa"/>
          </w:tcPr>
          <w:p w:rsidR="0022315F"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620" w:type="dxa"/>
          </w:tcPr>
          <w:p w:rsidR="0022315F" w:rsidRPr="00661595" w:rsidRDefault="0022315F"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w:t>
            </w:r>
            <w:r w:rsidRPr="00821208">
              <w:rPr>
                <w:u w:val="single"/>
              </w:rPr>
              <w:tab/>
            </w:r>
            <w:r>
              <w:rPr>
                <w:rStyle w:val="InstructionsTabelleberschrift"/>
                <w:rFonts w:ascii="Times New Roman" w:hAnsi="Times New Roman"/>
                <w:sz w:val="24"/>
              </w:rPr>
              <w:t>CAPITALE AGGIUNTIVO DI CLASSE 1</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61 del CRR</w:t>
            </w:r>
          </w:p>
        </w:tc>
      </w:tr>
      <w:tr w:rsidR="0022315F" w:rsidRPr="00661595" w:rsidTr="00D731E3">
        <w:tc>
          <w:tcPr>
            <w:tcW w:w="1129" w:type="dxa"/>
          </w:tcPr>
          <w:p w:rsidR="0022315F" w:rsidRPr="00661595" w:rsidRDefault="00CF1093" w:rsidP="00821208">
            <w:pPr>
              <w:pStyle w:val="InstructionsText"/>
              <w:keepNext/>
              <w:keepLines/>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620" w:type="dxa"/>
          </w:tcPr>
          <w:p w:rsidR="0022315F" w:rsidRPr="00661595" w:rsidRDefault="0022315F" w:rsidP="00821208">
            <w:pPr>
              <w:pStyle w:val="InstructionsText"/>
              <w:keepNext/>
              <w:keepLines/>
              <w:rPr>
                <w:rStyle w:val="FormatvorlageInstructionsTabelleText"/>
                <w:rFonts w:ascii="Times New Roman" w:hAnsi="Times New Roman"/>
                <w:b/>
                <w:sz w:val="24"/>
                <w:u w:val="single"/>
              </w:rPr>
            </w:pPr>
            <w:r>
              <w:rPr>
                <w:rStyle w:val="InstructionsTabelleberschrift"/>
                <w:rFonts w:ascii="Times New Roman" w:hAnsi="Times New Roman"/>
                <w:sz w:val="24"/>
              </w:rPr>
              <w:t>1.1.2.1</w:t>
            </w:r>
            <w:r w:rsidRPr="00821208">
              <w:rPr>
                <w:u w:val="single"/>
              </w:rPr>
              <w:tab/>
            </w:r>
            <w:r>
              <w:rPr>
                <w:rStyle w:val="InstructionsTabelleberschrift"/>
                <w:rFonts w:ascii="Times New Roman" w:hAnsi="Times New Roman"/>
                <w:sz w:val="24"/>
              </w:rPr>
              <w:t>Strumenti di capitale ammissibili come capitale aggiuntivo di classe 1</w:t>
            </w:r>
          </w:p>
          <w:p w:rsidR="0022315F" w:rsidRPr="00661595" w:rsidRDefault="0022315F" w:rsidP="00821208">
            <w:pPr>
              <w:pStyle w:val="InstructionsText"/>
              <w:keepNext/>
              <w:keepLines/>
              <w:rPr>
                <w:rStyle w:val="FormatvorlageInstructionsTabelleText"/>
                <w:rFonts w:ascii="Times New Roman" w:hAnsi="Times New Roman"/>
                <w:sz w:val="24"/>
              </w:rPr>
            </w:pPr>
            <w:r>
              <w:rPr>
                <w:rStyle w:val="FormatvorlageInstructionsTabelleText"/>
                <w:rFonts w:ascii="Times New Roman" w:hAnsi="Times New Roman"/>
                <w:sz w:val="24"/>
              </w:rPr>
              <w:t>Articolo 51, lettera a), articoli 52, 53 e 54, articolo 56, lettera a), e articolo 57 del CRR</w:t>
            </w:r>
          </w:p>
        </w:tc>
      </w:tr>
      <w:tr w:rsidR="0022315F" w:rsidRPr="00661595" w:rsidTr="00D731E3">
        <w:tc>
          <w:tcPr>
            <w:tcW w:w="1129" w:type="dxa"/>
          </w:tcPr>
          <w:p w:rsidR="0022315F"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0551</w:t>
            </w:r>
          </w:p>
        </w:tc>
        <w:tc>
          <w:tcPr>
            <w:tcW w:w="7620" w:type="dxa"/>
          </w:tcPr>
          <w:p w:rsidR="0022315F" w:rsidRPr="00661595" w:rsidRDefault="0022315F"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1.1.2.1.1</w:t>
            </w:r>
            <w:r w:rsidRPr="00821208">
              <w:rPr>
                <w:u w:val="single"/>
              </w:rPr>
              <w:tab/>
            </w:r>
            <w:r>
              <w:rPr>
                <w:rStyle w:val="InstructionsTabelleberschrift"/>
                <w:rFonts w:ascii="Times New Roman" w:hAnsi="Times New Roman"/>
                <w:sz w:val="24"/>
              </w:rPr>
              <w:t>Strumenti di capitale interamente versati, emessi direttamente</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51, lettera a), e articoli 52, 53 e 54 del CRR</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importo da segnalare non comprende il sovrapprezzo azioni relativo agli strumenti.</w:t>
            </w:r>
          </w:p>
        </w:tc>
      </w:tr>
      <w:tr w:rsidR="0022315F" w:rsidRPr="00661595" w:rsidTr="00D731E3">
        <w:tc>
          <w:tcPr>
            <w:tcW w:w="1129" w:type="dxa"/>
          </w:tcPr>
          <w:p w:rsidR="0022315F"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620" w:type="dxa"/>
          </w:tcPr>
          <w:p w:rsidR="0022315F" w:rsidRPr="00661595" w:rsidRDefault="0022315F"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1.1.2.1.2 (*)</w:t>
            </w:r>
            <w:r w:rsidRPr="00821208">
              <w:rPr>
                <w:u w:val="single"/>
              </w:rPr>
              <w:tab/>
            </w:r>
            <w:r>
              <w:rPr>
                <w:rStyle w:val="InstructionsTabelleberschrift"/>
                <w:rFonts w:ascii="Times New Roman" w:hAnsi="Times New Roman"/>
                <w:sz w:val="24"/>
              </w:rPr>
              <w:t>Voce per memoria: Strumenti di capitale non ammissibili</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52, paragrafo 1, lettere c), e) e f), del CRR</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condizioni previste dalle lettere citate valgono per situazioni di capitale differenti, che sono reversibili; ne consegue che 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importo qui indicato può diventare ammissibile in periodi successivi.</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importo da segnalare non comprende il sovrapprezzo azioni relativo agli strumenti.</w:t>
            </w:r>
          </w:p>
        </w:tc>
      </w:tr>
      <w:tr w:rsidR="0022315F" w:rsidRPr="00661595" w:rsidTr="00D731E3">
        <w:tc>
          <w:tcPr>
            <w:tcW w:w="1129" w:type="dxa"/>
          </w:tcPr>
          <w:p w:rsidR="0022315F"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0571</w:t>
            </w:r>
          </w:p>
        </w:tc>
        <w:tc>
          <w:tcPr>
            <w:tcW w:w="7620" w:type="dxa"/>
          </w:tcPr>
          <w:p w:rsidR="0022315F" w:rsidRPr="00661595" w:rsidRDefault="0022315F"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1.1.2.1.3</w:t>
            </w:r>
            <w:r w:rsidRPr="00821208">
              <w:rPr>
                <w:u w:val="single"/>
              </w:rPr>
              <w:tab/>
            </w:r>
            <w:r>
              <w:rPr>
                <w:rStyle w:val="InstructionsTabelleberschrift"/>
                <w:rFonts w:ascii="Times New Roman" w:hAnsi="Times New Roman"/>
                <w:sz w:val="24"/>
              </w:rPr>
              <w:t>Sovrapprezzo azioni</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51, lettera b), del CRR</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Il </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sovrapprezzo azioni</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 xml:space="preserve"> ha lo stesso significato di cui al principio contabile applicabile.</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 xml:space="preserve">importo da segnalare in questa voce è la parte relativa agli </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strumenti di capitale interamente versati ed emessi direttamente</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w:t>
            </w:r>
          </w:p>
        </w:tc>
      </w:tr>
      <w:tr w:rsidR="0022315F" w:rsidRPr="00661595" w:rsidTr="00D731E3">
        <w:tc>
          <w:tcPr>
            <w:tcW w:w="1129" w:type="dxa"/>
          </w:tcPr>
          <w:p w:rsidR="0022315F"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0580</w:t>
            </w:r>
          </w:p>
        </w:tc>
        <w:tc>
          <w:tcPr>
            <w:tcW w:w="7620" w:type="dxa"/>
          </w:tcPr>
          <w:p w:rsidR="0022315F" w:rsidRPr="00661595" w:rsidRDefault="0022315F"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w:t>
            </w:r>
            <w:r w:rsidRPr="00821208">
              <w:rPr>
                <w:u w:val="single"/>
              </w:rPr>
              <w:tab/>
            </w:r>
            <w:r>
              <w:rPr>
                <w:rStyle w:val="InstructionsTabelleberschrift"/>
                <w:rFonts w:ascii="Times New Roman" w:hAnsi="Times New Roman"/>
                <w:sz w:val="24"/>
              </w:rPr>
              <w:t>(-) Strumenti propri di capitale aggiuntivo di classe 1</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52, paragrafo 1, lettera b), articolo 56, lettera a), e articolo 57 del CRR</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Strumenti propri di capitale aggiuntivo di classe 1 detenuti dall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ente o gruppo segnalante alla data di riferimento. Soggetti alle eccezioni di cui all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articolo 57 del CRR.</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Le partecipazioni azionarie incluse come </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strumenti di capitale non ammissibili</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 xml:space="preserve"> non sono segnalate in questa riga.</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importo da segnalare comprende il sovrapprezzo azioni relativo alle azioni proprie.</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voci da 1.1.2.1.4 a 1.1.2.1.4.3 non comprendono gli obblighi effettivi o potenziali di acquistare gli strumenti propri di capitale primario di classe 1. Gli obblighi effettivi o potenziali di acquistare strumenti propri di capitale aggiuntivo di classe 1 sono segnalati separatamente nella voce 1.1.2.1.5.</w:t>
            </w:r>
          </w:p>
        </w:tc>
      </w:tr>
      <w:tr w:rsidR="0022315F" w:rsidRPr="00661595" w:rsidTr="00D731E3">
        <w:tc>
          <w:tcPr>
            <w:tcW w:w="1129" w:type="dxa"/>
          </w:tcPr>
          <w:p w:rsidR="0022315F"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620" w:type="dxa"/>
          </w:tcPr>
          <w:p w:rsidR="0022315F" w:rsidRPr="00661595" w:rsidRDefault="0022315F"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1.1.2.1.4.1</w:t>
            </w:r>
            <w:r w:rsidRPr="00821208">
              <w:rPr>
                <w:u w:val="single"/>
              </w:rPr>
              <w:tab/>
            </w:r>
            <w:r>
              <w:rPr>
                <w:rStyle w:val="InstructionsTabelleberschrift"/>
                <w:rFonts w:ascii="Times New Roman" w:hAnsi="Times New Roman"/>
                <w:sz w:val="24"/>
              </w:rPr>
              <w:t>(-) Strumenti di capitale aggiuntivo di classe 1 detenuti direttamente</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4, paragrafo 1, punto 144, articolo 52, pa</w:t>
            </w:r>
            <w:r w:rsidR="00F3294B">
              <w:rPr>
                <w:rStyle w:val="FormatvorlageInstructionsTabelleText"/>
                <w:rFonts w:ascii="Times New Roman" w:hAnsi="Times New Roman"/>
                <w:sz w:val="24"/>
              </w:rPr>
              <w:t>ragrafo 1, lettera b), articolo </w:t>
            </w:r>
            <w:r>
              <w:rPr>
                <w:rStyle w:val="FormatvorlageInstructionsTabelleText"/>
                <w:rFonts w:ascii="Times New Roman" w:hAnsi="Times New Roman"/>
                <w:sz w:val="24"/>
              </w:rPr>
              <w:t>56, lettera a), e articolo 57 del CRR</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Strumenti di capitale aggiuntivo di classe 1 compresi nella voce 1.1.2.1.1 detenuti da enti del gruppo consolidato. </w:t>
            </w:r>
          </w:p>
        </w:tc>
      </w:tr>
      <w:tr w:rsidR="0022315F" w:rsidRPr="00661595" w:rsidTr="00D731E3">
        <w:tc>
          <w:tcPr>
            <w:tcW w:w="1129" w:type="dxa"/>
          </w:tcPr>
          <w:p w:rsidR="0022315F"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620" w:type="dxa"/>
          </w:tcPr>
          <w:p w:rsidR="0022315F" w:rsidRPr="00661595" w:rsidRDefault="0022315F"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1.1.2.1.4.2</w:t>
            </w:r>
            <w:r w:rsidRPr="00821208">
              <w:rPr>
                <w:u w:val="single"/>
              </w:rPr>
              <w:tab/>
            </w:r>
            <w:r>
              <w:rPr>
                <w:rStyle w:val="InstructionsTabelleberschrift"/>
                <w:rFonts w:ascii="Times New Roman" w:hAnsi="Times New Roman"/>
                <w:sz w:val="24"/>
              </w:rPr>
              <w:t>(-) Strumenti di capitale aggiuntivo di classe 1 detenuti indirettamente</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52, paragrafo 1, lettera b), punto ii), arti</w:t>
            </w:r>
            <w:r w:rsidR="00F3294B">
              <w:rPr>
                <w:rStyle w:val="FormatvorlageInstructionsTabelleText"/>
                <w:rFonts w:ascii="Times New Roman" w:hAnsi="Times New Roman"/>
                <w:sz w:val="24"/>
              </w:rPr>
              <w:t>colo 56, lettera a), e articolo </w:t>
            </w:r>
            <w:r>
              <w:rPr>
                <w:rStyle w:val="FormatvorlageInstructionsTabelleText"/>
                <w:rFonts w:ascii="Times New Roman" w:hAnsi="Times New Roman"/>
                <w:sz w:val="24"/>
              </w:rPr>
              <w:t>57 del CRR</w:t>
            </w:r>
          </w:p>
        </w:tc>
      </w:tr>
      <w:tr w:rsidR="0022315F" w:rsidRPr="00661595" w:rsidTr="00745395">
        <w:trPr>
          <w:trHeight w:hRule="exact" w:val="1401"/>
        </w:trPr>
        <w:tc>
          <w:tcPr>
            <w:tcW w:w="1129" w:type="dxa"/>
          </w:tcPr>
          <w:p w:rsidR="0022315F"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0621</w:t>
            </w:r>
          </w:p>
        </w:tc>
        <w:tc>
          <w:tcPr>
            <w:tcW w:w="7620" w:type="dxa"/>
          </w:tcPr>
          <w:p w:rsidR="0022315F" w:rsidRPr="00661595" w:rsidRDefault="0022315F" w:rsidP="00115052">
            <w:pPr>
              <w:pStyle w:val="InstructionsText"/>
            </w:pPr>
            <w:r>
              <w:rPr>
                <w:rStyle w:val="InstructionsTabelleberschrift"/>
                <w:rFonts w:ascii="Times New Roman" w:hAnsi="Times New Roman"/>
                <w:sz w:val="24"/>
              </w:rPr>
              <w:t>1.1.2.1.4.3</w:t>
            </w:r>
            <w:r w:rsidRPr="00821208">
              <w:rPr>
                <w:u w:val="single"/>
              </w:rPr>
              <w:tab/>
            </w:r>
            <w:r>
              <w:rPr>
                <w:rStyle w:val="InstructionsTabelleberschrift"/>
                <w:rFonts w:ascii="Times New Roman" w:hAnsi="Times New Roman"/>
                <w:sz w:val="24"/>
              </w:rPr>
              <w:t>(-) Strumenti di capitale aggiuntivo di classe 1 detenuti sinteticamente</w:t>
            </w:r>
          </w:p>
          <w:p w:rsidR="0022315F" w:rsidRPr="00661595" w:rsidRDefault="0022315F" w:rsidP="00115052">
            <w:pPr>
              <w:pStyle w:val="InstructionsText"/>
              <w:rPr>
                <w:rStyle w:val="InstructionsTabelleberschrift"/>
                <w:rFonts w:ascii="Times New Roman" w:hAnsi="Times New Roman"/>
                <w:b w:val="0"/>
                <w:bCs w:val="0"/>
                <w:sz w:val="24"/>
                <w:u w:val="none"/>
              </w:rPr>
            </w:pPr>
            <w:r>
              <w:t>Articolo 4, paragrafo 1, punto 126, articolo 52, pa</w:t>
            </w:r>
            <w:r w:rsidR="00F3294B">
              <w:t>ragrafo 1, lettera b), articolo </w:t>
            </w:r>
            <w:r>
              <w:t>56, lettera a), e articolo 57 del CRR</w:t>
            </w:r>
          </w:p>
        </w:tc>
      </w:tr>
      <w:tr w:rsidR="0022315F" w:rsidRPr="00661595" w:rsidTr="00D731E3">
        <w:tc>
          <w:tcPr>
            <w:tcW w:w="1129" w:type="dxa"/>
          </w:tcPr>
          <w:p w:rsidR="0022315F"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0622</w:t>
            </w:r>
          </w:p>
        </w:tc>
        <w:tc>
          <w:tcPr>
            <w:tcW w:w="7620" w:type="dxa"/>
          </w:tcPr>
          <w:p w:rsidR="0022315F" w:rsidRPr="00661595" w:rsidRDefault="0022315F"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1.1.2.1.5</w:t>
            </w:r>
            <w:r w:rsidRPr="00821208">
              <w:rPr>
                <w:u w:val="single"/>
              </w:rPr>
              <w:tab/>
            </w:r>
            <w:r>
              <w:rPr>
                <w:rStyle w:val="InstructionsTabelleberschrift"/>
                <w:rFonts w:ascii="Times New Roman" w:hAnsi="Times New Roman"/>
                <w:sz w:val="24"/>
              </w:rPr>
              <w:t>(-) Obblighi effettivi o potenziali di acquistare strumenti propri di capitale aggiuntivo di classe 1</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56, lettera a), e articolo 57 del CRR</w:t>
            </w:r>
          </w:p>
          <w:p w:rsidR="0022315F" w:rsidRPr="00661595" w:rsidRDefault="0022315F" w:rsidP="0011505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Ai sensi dell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articolo 56, lettera a), del CRR</w:t>
            </w:r>
            <w:r>
              <w:t xml:space="preserve"> sono dedotti gli strumenti propri di capitale aggiuntivo di classe 1 </w:t>
            </w:r>
            <w:r w:rsidR="000878EC">
              <w:t>"</w:t>
            </w:r>
            <w:r>
              <w:t>che un ente potrebbe essere obbligato ad acquistare in virtù di obblighi contrattuali esistenti</w:t>
            </w:r>
            <w:r w:rsidR="000878EC">
              <w:t>"</w:t>
            </w:r>
            <w:r>
              <w:t>.</w:t>
            </w:r>
          </w:p>
        </w:tc>
      </w:tr>
      <w:tr w:rsidR="0022315F" w:rsidRPr="00661595" w:rsidTr="00D731E3">
        <w:tc>
          <w:tcPr>
            <w:tcW w:w="1129" w:type="dxa"/>
          </w:tcPr>
          <w:p w:rsidR="0022315F"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620" w:type="dxa"/>
          </w:tcPr>
          <w:p w:rsidR="0022315F" w:rsidRPr="00661595" w:rsidRDefault="0022315F"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1.1.2.2</w:t>
            </w:r>
            <w:r w:rsidRPr="00821208">
              <w:rPr>
                <w:u w:val="single"/>
              </w:rPr>
              <w:tab/>
            </w:r>
            <w:r>
              <w:rPr>
                <w:rStyle w:val="InstructionsTabelleberschrift"/>
                <w:rFonts w:ascii="Times New Roman" w:hAnsi="Times New Roman"/>
                <w:sz w:val="24"/>
              </w:rPr>
              <w:t>Aggiustamenti transitori dovuti a strumenti di capitale aggiuntivo di classe 1 soggetti alla clausola grandfathering</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483, paragrafi 4 e 5, articoli da 484 a 487 e articoli 489 e 491 del CRR</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Importo degli strumenti di capitale assoggettati temporaneamente alla clausola grandfathering come capitale aggiuntivo di classe 1. 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importo da segnalare si ricava direttamente dal modello CA5.</w:t>
            </w:r>
          </w:p>
        </w:tc>
      </w:tr>
      <w:tr w:rsidR="0022315F" w:rsidRPr="00661595" w:rsidTr="00D731E3">
        <w:tc>
          <w:tcPr>
            <w:tcW w:w="1129" w:type="dxa"/>
          </w:tcPr>
          <w:p w:rsidR="0022315F"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620" w:type="dxa"/>
          </w:tcPr>
          <w:p w:rsidR="0022315F" w:rsidRPr="00661595" w:rsidRDefault="0022315F"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1.1.2.3</w:t>
            </w:r>
            <w:r w:rsidRPr="00821208">
              <w:rPr>
                <w:u w:val="single"/>
              </w:rPr>
              <w:tab/>
            </w:r>
            <w:r>
              <w:rPr>
                <w:rStyle w:val="InstructionsTabelleberschrift"/>
                <w:rFonts w:ascii="Times New Roman" w:hAnsi="Times New Roman"/>
                <w:sz w:val="24"/>
              </w:rPr>
              <w:t>Strumenti emessi da filiazioni inclusi nel capitale aggiuntivo di classe 1</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Articoli 83, 85 e 86 del CRR</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Somma di tutti gli importi del capitale di classe 1 ammissibile delle filiazioni compreso nel capitale aggiuntivo di classe 1 consolidato.</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È compreso il capitale aggiuntivo di classe 1 ammissibile emesso da società veicolo (articolo 83 del CRR).</w:t>
            </w:r>
          </w:p>
        </w:tc>
      </w:tr>
      <w:tr w:rsidR="0022315F" w:rsidRPr="00661595" w:rsidTr="00D731E3">
        <w:tc>
          <w:tcPr>
            <w:tcW w:w="1129" w:type="dxa"/>
          </w:tcPr>
          <w:p w:rsidR="0022315F"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0680</w:t>
            </w:r>
          </w:p>
        </w:tc>
        <w:tc>
          <w:tcPr>
            <w:tcW w:w="7620" w:type="dxa"/>
          </w:tcPr>
          <w:p w:rsidR="0022315F" w:rsidRPr="00661595" w:rsidRDefault="0022315F"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1.1.2.4</w:t>
            </w:r>
            <w:r w:rsidRPr="00821208">
              <w:rPr>
                <w:u w:val="single"/>
              </w:rPr>
              <w:tab/>
            </w:r>
            <w:r>
              <w:rPr>
                <w:rStyle w:val="InstructionsTabelleberschrift"/>
                <w:rFonts w:ascii="Times New Roman" w:hAnsi="Times New Roman"/>
                <w:sz w:val="24"/>
              </w:rPr>
              <w:t>Aggiustamenti transitori dovuti all</w:t>
            </w:r>
            <w:r w:rsidR="000878EC">
              <w:rPr>
                <w:rStyle w:val="InstructionsTabelleberschrift"/>
                <w:rFonts w:ascii="Times New Roman" w:hAnsi="Times New Roman"/>
                <w:sz w:val="24"/>
              </w:rPr>
              <w:t>'</w:t>
            </w:r>
            <w:r>
              <w:rPr>
                <w:rStyle w:val="InstructionsTabelleberschrift"/>
                <w:rFonts w:ascii="Times New Roman" w:hAnsi="Times New Roman"/>
                <w:sz w:val="24"/>
              </w:rPr>
              <w:t>inclusione aggiuntiva di strumenti emessi da filiazioni nel capitale aggiuntivo di classe 1</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480 del CRR</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Aggiustamenti del capitale di classe 1 ammissibile compreso nel capitale aggiuntivo di classe 1 consolidato dovuti a disposizioni transitorie. Questa voce si ricava direttamente dal modello CA5.</w:t>
            </w:r>
          </w:p>
        </w:tc>
      </w:tr>
      <w:tr w:rsidR="0022315F" w:rsidRPr="00661595" w:rsidTr="00D731E3">
        <w:tc>
          <w:tcPr>
            <w:tcW w:w="1129" w:type="dxa"/>
          </w:tcPr>
          <w:p w:rsidR="0022315F" w:rsidRPr="00661595" w:rsidRDefault="00CF1093" w:rsidP="00821208">
            <w:pPr>
              <w:pStyle w:val="InstructionsText"/>
              <w:keepNext/>
              <w:keepLines/>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620" w:type="dxa"/>
          </w:tcPr>
          <w:p w:rsidR="0022315F" w:rsidRPr="00661595" w:rsidRDefault="0022315F" w:rsidP="00821208">
            <w:pPr>
              <w:pStyle w:val="InstructionsText"/>
              <w:keepNext/>
              <w:keepLines/>
              <w:rPr>
                <w:rStyle w:val="FormatvorlageInstructionsTabelleText"/>
                <w:rFonts w:ascii="Times New Roman" w:hAnsi="Times New Roman"/>
                <w:b/>
                <w:sz w:val="24"/>
                <w:u w:val="single"/>
              </w:rPr>
            </w:pPr>
            <w:r>
              <w:rPr>
                <w:rStyle w:val="InstructionsTabelleberschrift"/>
                <w:rFonts w:ascii="Times New Roman" w:hAnsi="Times New Roman"/>
                <w:sz w:val="24"/>
              </w:rPr>
              <w:t>1.1.2.5</w:t>
            </w:r>
            <w:r w:rsidRPr="00821208">
              <w:rPr>
                <w:u w:val="single"/>
              </w:rPr>
              <w:tab/>
            </w:r>
            <w:r>
              <w:rPr>
                <w:rStyle w:val="InstructionsTabelleberschrift"/>
                <w:rFonts w:ascii="Times New Roman" w:hAnsi="Times New Roman"/>
                <w:sz w:val="24"/>
              </w:rPr>
              <w:t>(-) Partecipazioni incrociate reciproche nel capitale aggiuntivo di classe 1</w:t>
            </w:r>
          </w:p>
          <w:p w:rsidR="0022315F" w:rsidRPr="00661595" w:rsidRDefault="0022315F" w:rsidP="00821208">
            <w:pPr>
              <w:pStyle w:val="InstructionsText"/>
              <w:keepNext/>
              <w:keepLines/>
              <w:rPr>
                <w:rStyle w:val="FormatvorlageInstructionsTabelleText"/>
                <w:rFonts w:ascii="Times New Roman" w:hAnsi="Times New Roman"/>
                <w:sz w:val="24"/>
              </w:rPr>
            </w:pPr>
            <w:r>
              <w:rPr>
                <w:rStyle w:val="FormatvorlageInstructionsTabelleText"/>
                <w:rFonts w:ascii="Times New Roman" w:hAnsi="Times New Roman"/>
                <w:sz w:val="24"/>
              </w:rPr>
              <w:t>Articolo 4, paragrafo 1, punto 122, articolo 56, lettera b), e articolo 58 del CRR</w:t>
            </w:r>
          </w:p>
          <w:p w:rsidR="0022315F" w:rsidRPr="00661595" w:rsidRDefault="0022315F" w:rsidP="00821208">
            <w:pPr>
              <w:pStyle w:val="InstructionsText"/>
              <w:keepNext/>
              <w:keepLines/>
              <w:rPr>
                <w:rStyle w:val="FormatvorlageInstructionsTabelleText"/>
                <w:rFonts w:ascii="Times New Roman" w:hAnsi="Times New Roman"/>
                <w:sz w:val="24"/>
              </w:rPr>
            </w:pPr>
            <w:r>
              <w:rPr>
                <w:rStyle w:val="FormatvorlageInstructionsTabelleText"/>
                <w:rFonts w:ascii="Times New Roman" w:hAnsi="Times New Roman"/>
                <w:sz w:val="24"/>
              </w:rPr>
              <w:t>Possesso di strumenti di capitale aggiuntivo di classe 1 di soggetti del settore finanziario (così come definiti nell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articolo 4, paragrafo 1, punto 27, del CRR) laddove sussista una partecipazione incrociata reciproca che 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autorità competente ritiene essere stata concepita per aumentare artificialmente i fondi propri dell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ente.</w:t>
            </w:r>
          </w:p>
          <w:p w:rsidR="0022315F" w:rsidRPr="00661595" w:rsidRDefault="0022315F" w:rsidP="00821208">
            <w:pPr>
              <w:pStyle w:val="InstructionsText"/>
              <w:keepNext/>
              <w:keepLines/>
              <w:rPr>
                <w:rStyle w:val="FormatvorlageInstructionsTabelleText"/>
                <w:rFonts w:ascii="Times New Roman" w:hAnsi="Times New Roman"/>
                <w:sz w:val="24"/>
              </w:rPr>
            </w:pPr>
            <w:r>
              <w:rPr>
                <w:rStyle w:val="FormatvorlageInstructionsTabelleText"/>
                <w:rFonts w:ascii="Times New Roman" w:hAnsi="Times New Roman"/>
                <w:sz w:val="24"/>
              </w:rPr>
              <w:t>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importo da segnalare è calcolato sulla base delle posizioni lunghe lorde e comprende gli elementi assicurativi dei fondi propri aggiuntivi di classe 1.</w:t>
            </w:r>
          </w:p>
        </w:tc>
      </w:tr>
      <w:tr w:rsidR="0022315F" w:rsidRPr="00661595" w:rsidTr="00D731E3">
        <w:tc>
          <w:tcPr>
            <w:tcW w:w="1129" w:type="dxa"/>
          </w:tcPr>
          <w:p w:rsidR="0022315F"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0700</w:t>
            </w:r>
          </w:p>
        </w:tc>
        <w:tc>
          <w:tcPr>
            <w:tcW w:w="7620" w:type="dxa"/>
          </w:tcPr>
          <w:p w:rsidR="0022315F" w:rsidRPr="00661595" w:rsidRDefault="0022315F"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1.1.2.6</w:t>
            </w:r>
            <w:r w:rsidRPr="00F3294B">
              <w:tab/>
            </w:r>
            <w:r>
              <w:rPr>
                <w:rStyle w:val="InstructionsTabelleberschrift"/>
                <w:rFonts w:ascii="Times New Roman" w:hAnsi="Times New Roman"/>
                <w:sz w:val="24"/>
              </w:rPr>
              <w:t>(-) Strumenti di capitale aggiuntivo di classe 1 di soggetti del settore finanziario in cui l</w:t>
            </w:r>
            <w:r w:rsidR="000878EC">
              <w:rPr>
                <w:rStyle w:val="InstructionsTabelleberschrift"/>
                <w:rFonts w:ascii="Times New Roman" w:hAnsi="Times New Roman"/>
                <w:sz w:val="24"/>
              </w:rPr>
              <w:t>'</w:t>
            </w:r>
            <w:r>
              <w:rPr>
                <w:rStyle w:val="InstructionsTabelleberschrift"/>
                <w:rFonts w:ascii="Times New Roman" w:hAnsi="Times New Roman"/>
                <w:sz w:val="24"/>
              </w:rPr>
              <w:t>ente non ha un investimento significativo</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4, paragrafo 1, punto 27, articolo 56, lettera c), articoli 59, 60 e 79 del CRR</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Parte delle partecipazioni detenute dall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ente in strumenti di soggetti del settore finanziario (così come definiti nell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articolo 4, paragrafo 1, punto 27, del CRR) nei casi in cui 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ente non ha un investimento significativo che deve essere dedotta dal capitale aggiuntivo di classe 1.</w:t>
            </w:r>
          </w:p>
        </w:tc>
      </w:tr>
      <w:tr w:rsidR="0022315F" w:rsidRPr="00661595" w:rsidTr="00D731E3">
        <w:tc>
          <w:tcPr>
            <w:tcW w:w="1129" w:type="dxa"/>
          </w:tcPr>
          <w:p w:rsidR="0022315F"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620" w:type="dxa"/>
          </w:tcPr>
          <w:p w:rsidR="0022315F" w:rsidRPr="00661595" w:rsidRDefault="0022315F"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1.1.2.7</w:t>
            </w:r>
            <w:r w:rsidRPr="00F3294B">
              <w:tab/>
            </w:r>
            <w:r>
              <w:rPr>
                <w:rStyle w:val="InstructionsTabelleberschrift"/>
                <w:rFonts w:ascii="Times New Roman" w:hAnsi="Times New Roman"/>
                <w:sz w:val="24"/>
              </w:rPr>
              <w:t>(-) Strumenti di capitale aggiuntivo di classe 1 di soggetti del settore finanziario in cui l</w:t>
            </w:r>
            <w:r w:rsidR="000878EC">
              <w:rPr>
                <w:rStyle w:val="InstructionsTabelleberschrift"/>
                <w:rFonts w:ascii="Times New Roman" w:hAnsi="Times New Roman"/>
                <w:sz w:val="24"/>
              </w:rPr>
              <w:t>'</w:t>
            </w:r>
            <w:r>
              <w:rPr>
                <w:rStyle w:val="InstructionsTabelleberschrift"/>
                <w:rFonts w:ascii="Times New Roman" w:hAnsi="Times New Roman"/>
                <w:sz w:val="24"/>
              </w:rPr>
              <w:t>ente ha un investimento significativo</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4, paragrafo 1, punto 27, articolo 56, lettera d), articoli 59 e 79 del CRR</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Sono dedotte interamente le partecipazioni detenute dall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ente in strumenti di capitale aggiuntivo di classe 1 di soggetti del settore finanziario (così come defi</w:t>
            </w:r>
            <w:r w:rsidR="00B02B23">
              <w:rPr>
                <w:rStyle w:val="FormatvorlageInstructionsTabelleText"/>
                <w:rFonts w:ascii="Times New Roman" w:hAnsi="Times New Roman"/>
                <w:sz w:val="24"/>
              </w:rPr>
              <w:t>niti nell</w:t>
            </w:r>
            <w:r w:rsidR="000878EC">
              <w:rPr>
                <w:rStyle w:val="FormatvorlageInstructionsTabelleText"/>
                <w:rFonts w:ascii="Times New Roman" w:hAnsi="Times New Roman"/>
                <w:sz w:val="24"/>
              </w:rPr>
              <w:t>'</w:t>
            </w:r>
            <w:r w:rsidR="00B02B23">
              <w:rPr>
                <w:rStyle w:val="FormatvorlageInstructionsTabelleText"/>
                <w:rFonts w:ascii="Times New Roman" w:hAnsi="Times New Roman"/>
                <w:sz w:val="24"/>
              </w:rPr>
              <w:t xml:space="preserve">articolo 4, paragrafo </w:t>
            </w:r>
            <w:r>
              <w:rPr>
                <w:rStyle w:val="FormatvorlageInstructionsTabelleText"/>
                <w:rFonts w:ascii="Times New Roman" w:hAnsi="Times New Roman"/>
                <w:sz w:val="24"/>
              </w:rPr>
              <w:t>1, punto 27, del CRR) in cui 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ente ha un investimento significativo.</w:t>
            </w:r>
          </w:p>
        </w:tc>
      </w:tr>
      <w:tr w:rsidR="0022315F" w:rsidRPr="00661595" w:rsidTr="00D731E3">
        <w:tc>
          <w:tcPr>
            <w:tcW w:w="1129" w:type="dxa"/>
          </w:tcPr>
          <w:p w:rsidR="0022315F"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620" w:type="dxa"/>
          </w:tcPr>
          <w:p w:rsidR="0022315F" w:rsidRPr="00661595" w:rsidRDefault="0022315F"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1.1.2.8</w:t>
            </w:r>
            <w:r w:rsidRPr="00821208">
              <w:rPr>
                <w:u w:val="single"/>
              </w:rPr>
              <w:tab/>
            </w:r>
            <w:r>
              <w:rPr>
                <w:rStyle w:val="InstructionsTabelleberschrift"/>
                <w:rFonts w:ascii="Times New Roman" w:hAnsi="Times New Roman"/>
                <w:sz w:val="24"/>
              </w:rPr>
              <w:t xml:space="preserve">(-) Eccesso di deduzione da elementi del capitale di classe 2 rispetto al capitale di classe 2 </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56, lettera e), del CRR</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 xml:space="preserve">importo da segnalare è ripreso direttamente dalla voce del modello CA1 </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Eccesso di deduzione da elementi del capitale di classe 2 rispetto al capitale di classe 2</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 xml:space="preserve"> (dedotto dal capitale aggiuntivo di classe 1)</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w:t>
            </w:r>
          </w:p>
        </w:tc>
      </w:tr>
      <w:tr w:rsidR="0022315F" w:rsidRPr="00661595" w:rsidTr="00D731E3">
        <w:tc>
          <w:tcPr>
            <w:tcW w:w="1129" w:type="dxa"/>
          </w:tcPr>
          <w:p w:rsidR="0022315F"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620" w:type="dxa"/>
          </w:tcPr>
          <w:p w:rsidR="0022315F" w:rsidRPr="00661595" w:rsidRDefault="0022315F"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1.1.2.9</w:t>
            </w:r>
            <w:r w:rsidRPr="00821208">
              <w:rPr>
                <w:u w:val="single"/>
              </w:rPr>
              <w:tab/>
            </w:r>
            <w:r>
              <w:rPr>
                <w:rStyle w:val="InstructionsTabelleberschrift"/>
                <w:rFonts w:ascii="Times New Roman" w:hAnsi="Times New Roman"/>
                <w:sz w:val="24"/>
              </w:rPr>
              <w:t>Altri aggiustamenti transitori del capitale aggiuntivo di classe 1</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Articoli 472, 473 bis, 474, 475, 478 e 481 del CRR.</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Aggiustamenti dovuti a disposizioni transitorie. 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importo da segnalare si ricava direttamente dal modello CA5.</w:t>
            </w:r>
          </w:p>
        </w:tc>
      </w:tr>
      <w:tr w:rsidR="0022315F" w:rsidRPr="00661595" w:rsidTr="00D731E3">
        <w:tc>
          <w:tcPr>
            <w:tcW w:w="1129" w:type="dxa"/>
          </w:tcPr>
          <w:p w:rsidR="0022315F"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620" w:type="dxa"/>
          </w:tcPr>
          <w:p w:rsidR="0022315F" w:rsidRPr="00661595" w:rsidRDefault="0022315F"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1.1.2.10</w:t>
            </w:r>
            <w:r w:rsidRPr="00821208">
              <w:rPr>
                <w:u w:val="single"/>
              </w:rPr>
              <w:tab/>
            </w:r>
            <w:r>
              <w:rPr>
                <w:rStyle w:val="InstructionsTabelleberschrift"/>
                <w:rFonts w:ascii="Times New Roman" w:hAnsi="Times New Roman"/>
                <w:sz w:val="24"/>
              </w:rPr>
              <w:t>Eccesso di deduzione da elementi del capitale aggiuntivo di classe 1 rispetto al capitale aggiuntivo di classe 1 (dedotto dal capitale primario di classe 1)</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36, paragrafo 1, lettera j), del CRR</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 capitale aggiuntivo di classe 1 non può essere negativo; è tuttavia possibile che le deduzioni siano superiori al capitale stesso, più il relativo sovrapprezzo azioni. In questi casi, il capitale aggiuntivo di classe 1 deve essere uguale a zero e la parte in eccesso delle deduzioni che gli competono va dedotta dal capitale primario di classe 1.</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Grazie a questa voce, la somma delle righe da 1.1.2.1 a 1.1.2.12 non è mai inferiore a zero. Se questa voce registra un importo positivo, alla voce 1.1.1.16 figurerà un pari importo di segno negativo.</w:t>
            </w:r>
          </w:p>
        </w:tc>
      </w:tr>
      <w:tr w:rsidR="0022315F" w:rsidRPr="00661595" w:rsidTr="00D731E3">
        <w:tc>
          <w:tcPr>
            <w:tcW w:w="1129" w:type="dxa"/>
          </w:tcPr>
          <w:p w:rsidR="0022315F"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0744</w:t>
            </w:r>
          </w:p>
        </w:tc>
        <w:tc>
          <w:tcPr>
            <w:tcW w:w="7620" w:type="dxa"/>
          </w:tcPr>
          <w:p w:rsidR="0022315F" w:rsidRPr="00661595" w:rsidRDefault="0022315F"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1.1.2.11</w:t>
            </w:r>
            <w:r w:rsidRPr="00821208">
              <w:rPr>
                <w:u w:val="single"/>
              </w:rPr>
              <w:tab/>
            </w:r>
            <w:r>
              <w:rPr>
                <w:rStyle w:val="InstructionsTabelleberschrift"/>
                <w:rFonts w:ascii="Times New Roman" w:hAnsi="Times New Roman"/>
                <w:sz w:val="24"/>
              </w:rPr>
              <w:t xml:space="preserve">(-) Altre deduzioni del capitale aggiuntivo </w:t>
            </w:r>
            <w:r w:rsidR="00B02B23">
              <w:rPr>
                <w:rStyle w:val="InstructionsTabelleberschrift"/>
                <w:rFonts w:ascii="Times New Roman" w:hAnsi="Times New Roman"/>
                <w:sz w:val="24"/>
              </w:rPr>
              <w:t>di classe 1 dovute all</w:t>
            </w:r>
            <w:r w:rsidR="000878EC">
              <w:rPr>
                <w:rStyle w:val="InstructionsTabelleberschrift"/>
                <w:rFonts w:ascii="Times New Roman" w:hAnsi="Times New Roman"/>
                <w:sz w:val="24"/>
              </w:rPr>
              <w:t>'</w:t>
            </w:r>
            <w:r w:rsidR="00B02B23">
              <w:rPr>
                <w:rStyle w:val="InstructionsTabelleberschrift"/>
                <w:rFonts w:ascii="Times New Roman" w:hAnsi="Times New Roman"/>
                <w:sz w:val="24"/>
              </w:rPr>
              <w:t xml:space="preserve">articolo </w:t>
            </w:r>
            <w:r>
              <w:rPr>
                <w:rStyle w:val="InstructionsTabelleberschrift"/>
                <w:rFonts w:ascii="Times New Roman" w:hAnsi="Times New Roman"/>
                <w:sz w:val="24"/>
              </w:rPr>
              <w:t>3 del CRR</w:t>
            </w:r>
          </w:p>
          <w:p w:rsidR="0022315F" w:rsidRPr="00661595" w:rsidRDefault="0022315F" w:rsidP="0011505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3 del CRR</w:t>
            </w:r>
          </w:p>
        </w:tc>
      </w:tr>
      <w:tr w:rsidR="0022315F" w:rsidRPr="00661595" w:rsidTr="00D731E3">
        <w:tc>
          <w:tcPr>
            <w:tcW w:w="1129" w:type="dxa"/>
          </w:tcPr>
          <w:p w:rsidR="0022315F"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0748</w:t>
            </w:r>
          </w:p>
        </w:tc>
        <w:tc>
          <w:tcPr>
            <w:tcW w:w="7620" w:type="dxa"/>
          </w:tcPr>
          <w:p w:rsidR="0022315F" w:rsidRPr="00661595" w:rsidRDefault="0022315F" w:rsidP="0011505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1.1.2.12</w:t>
            </w:r>
            <w:r w:rsidRPr="00821208">
              <w:rPr>
                <w:u w:val="single"/>
              </w:rPr>
              <w:tab/>
            </w:r>
            <w:r>
              <w:rPr>
                <w:rStyle w:val="InstructionsTabelleberschrift"/>
                <w:rFonts w:ascii="Times New Roman" w:hAnsi="Times New Roman"/>
                <w:sz w:val="24"/>
              </w:rPr>
              <w:t>Elementi del capitale aggiuntivo di classe 1 o deduzioni</w:t>
            </w:r>
            <w:r w:rsidR="000878EC">
              <w:rPr>
                <w:rStyle w:val="InstructionsTabelleberschrift"/>
                <w:rFonts w:ascii="Times New Roman" w:hAnsi="Times New Roman"/>
                <w:sz w:val="24"/>
              </w:rPr>
              <w:t xml:space="preserve"> </w:t>
            </w:r>
            <w:r>
              <w:rPr>
                <w:rStyle w:val="InstructionsTabelleberschrift"/>
                <w:rFonts w:ascii="Times New Roman" w:hAnsi="Times New Roman"/>
                <w:sz w:val="24"/>
              </w:rPr>
              <w:t>- altro</w:t>
            </w:r>
          </w:p>
          <w:p w:rsidR="0022315F" w:rsidRPr="00661595" w:rsidRDefault="0022315F" w:rsidP="0011505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Questa riga ha lo scopo di garantire flessibilità a esclusivi fini di segnalazione. È utilizzata soltanto nei rari casi in cui manchi una decisione finale sulla segnalazione di specifici elementi di capitale/deduzioni nel modello CA1 corrente. Pertanto è compilata solo qualora sia impossibile attribuire un elemento del capitale aggiuntivo di classe 1 o una deduzione da un elemento aggiuntivo di classe 1 a una delle righe da 530 a 744. </w:t>
            </w:r>
          </w:p>
          <w:p w:rsidR="0022315F" w:rsidRPr="00661595" w:rsidRDefault="0022315F" w:rsidP="0011505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Questa riga non è usata per assegnare elementi di capitale/deduzioni non soggetti al CRR nel calcolo dei coefficienti di solvibilità (ad esempio 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assegnazione di elementi del capitale/deduzioni nazionali che esulano dall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ambito di applicazione del CRR).</w:t>
            </w:r>
          </w:p>
        </w:tc>
      </w:tr>
      <w:tr w:rsidR="0022315F" w:rsidRPr="00661595" w:rsidTr="00D731E3">
        <w:tc>
          <w:tcPr>
            <w:tcW w:w="1129" w:type="dxa"/>
          </w:tcPr>
          <w:p w:rsidR="0022315F"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620" w:type="dxa"/>
          </w:tcPr>
          <w:p w:rsidR="0022315F" w:rsidRPr="00661595" w:rsidRDefault="0022315F"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w:t>
            </w:r>
            <w:r w:rsidRPr="00821208">
              <w:rPr>
                <w:u w:val="single"/>
              </w:rPr>
              <w:tab/>
            </w:r>
            <w:r>
              <w:rPr>
                <w:rStyle w:val="InstructionsTabelleberschrift"/>
                <w:rFonts w:ascii="Times New Roman" w:hAnsi="Times New Roman"/>
                <w:sz w:val="24"/>
              </w:rPr>
              <w:t>CAPITALE DI CLASSE 2</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71 del CRR</w:t>
            </w:r>
          </w:p>
        </w:tc>
      </w:tr>
      <w:tr w:rsidR="0022315F" w:rsidRPr="00661595" w:rsidTr="00D731E3">
        <w:tc>
          <w:tcPr>
            <w:tcW w:w="1129" w:type="dxa"/>
          </w:tcPr>
          <w:p w:rsidR="0022315F"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620" w:type="dxa"/>
          </w:tcPr>
          <w:p w:rsidR="0022315F" w:rsidRPr="00661595" w:rsidRDefault="0022315F"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w:t>
            </w:r>
            <w:r w:rsidRPr="00821208">
              <w:rPr>
                <w:u w:val="single"/>
              </w:rPr>
              <w:tab/>
            </w:r>
            <w:r>
              <w:rPr>
                <w:rStyle w:val="InstructionsTabelleberschrift"/>
                <w:rFonts w:ascii="Times New Roman" w:hAnsi="Times New Roman"/>
                <w:sz w:val="24"/>
              </w:rPr>
              <w:t>Strumenti di capitale ammissibili come capitale di classe 2</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62, lettera a), articoli da 63 a 65, articolo 66, lettera a), e articolo 67 del CRR</w:t>
            </w:r>
          </w:p>
        </w:tc>
      </w:tr>
      <w:tr w:rsidR="0022315F" w:rsidRPr="00661595" w:rsidTr="00D731E3">
        <w:tc>
          <w:tcPr>
            <w:tcW w:w="1129" w:type="dxa"/>
          </w:tcPr>
          <w:p w:rsidR="0022315F"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0771</w:t>
            </w:r>
          </w:p>
        </w:tc>
        <w:tc>
          <w:tcPr>
            <w:tcW w:w="7620" w:type="dxa"/>
          </w:tcPr>
          <w:p w:rsidR="0022315F" w:rsidRPr="00661595" w:rsidRDefault="0022315F"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rsidRPr="00821208">
              <w:rPr>
                <w:u w:val="single"/>
              </w:rPr>
              <w:tab/>
            </w:r>
            <w:r>
              <w:rPr>
                <w:rStyle w:val="InstructionsTabelleberschrift"/>
                <w:rFonts w:ascii="Times New Roman" w:hAnsi="Times New Roman"/>
                <w:sz w:val="24"/>
              </w:rPr>
              <w:t>Strumenti di capitale interamente versati, emessi direttamente</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62, lettera a), e articoli 63 e 65 del CRR</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 xml:space="preserve">importo da segnalare non comprende il sovrapprezzo azioni relativo agli strumenti. </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Gli strumenti di capitale possono consistere in azioni o passività, compresi i prestiti subordinati che soddisfano i criteri di ammissibilità.</w:t>
            </w:r>
          </w:p>
        </w:tc>
      </w:tr>
      <w:tr w:rsidR="0022315F" w:rsidRPr="00661595" w:rsidTr="00D731E3">
        <w:tc>
          <w:tcPr>
            <w:tcW w:w="1129" w:type="dxa"/>
          </w:tcPr>
          <w:p w:rsidR="0022315F"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0780</w:t>
            </w:r>
          </w:p>
        </w:tc>
        <w:tc>
          <w:tcPr>
            <w:tcW w:w="7620" w:type="dxa"/>
          </w:tcPr>
          <w:p w:rsidR="0022315F" w:rsidRPr="00661595" w:rsidRDefault="0022315F"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1.2.1.2 (*)</w:t>
            </w:r>
            <w:r w:rsidRPr="00821208">
              <w:rPr>
                <w:u w:val="single"/>
              </w:rPr>
              <w:tab/>
            </w:r>
            <w:r>
              <w:rPr>
                <w:rStyle w:val="InstructionsTabelleberschrift"/>
                <w:rFonts w:ascii="Times New Roman" w:hAnsi="Times New Roman"/>
                <w:sz w:val="24"/>
              </w:rPr>
              <w:t>Voce per memoria: Strumenti di capitale non ammissibili</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63, lettere c), e) e f), e articolo 64 del CRR</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condizioni previste dalle lettere citate valgono per situazioni di capitale differenti, che sono reversibili; ne consegue che 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importo qui indicato può diventare ammissibile in periodi successivi.</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importo da segnalare non comprende il sovrapprezzo azioni relativo agli strumenti.</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Gli strumenti di capitale possono consistere in azioni o passività, compresi i prestiti subordinati.</w:t>
            </w:r>
          </w:p>
        </w:tc>
      </w:tr>
      <w:tr w:rsidR="0022315F" w:rsidRPr="00661595" w:rsidTr="00D731E3">
        <w:tc>
          <w:tcPr>
            <w:tcW w:w="1129" w:type="dxa"/>
          </w:tcPr>
          <w:p w:rsidR="0022315F"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0791</w:t>
            </w:r>
          </w:p>
        </w:tc>
        <w:tc>
          <w:tcPr>
            <w:tcW w:w="7620" w:type="dxa"/>
          </w:tcPr>
          <w:p w:rsidR="0022315F" w:rsidRPr="00661595" w:rsidRDefault="0022315F"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1.2.1.3</w:t>
            </w:r>
            <w:r w:rsidRPr="00821208">
              <w:rPr>
                <w:u w:val="single"/>
              </w:rPr>
              <w:tab/>
            </w:r>
            <w:r>
              <w:rPr>
                <w:rStyle w:val="InstructionsTabelleberschrift"/>
                <w:rFonts w:ascii="Times New Roman" w:hAnsi="Times New Roman"/>
                <w:sz w:val="24"/>
              </w:rPr>
              <w:t>Sovrapprezzo azioni</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62, lettera b), e articolo 65 del CRR</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Il </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sovrapprezzo azioni</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 xml:space="preserve"> ha lo stesso significato di cui al principio contabile applicabile. </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 xml:space="preserve">importo da segnalare in questa voce è la parte relativa agli </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strumenti di capitale interamente versati ed emessi direttamente</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w:t>
            </w:r>
          </w:p>
        </w:tc>
      </w:tr>
      <w:tr w:rsidR="0022315F" w:rsidRPr="00661595" w:rsidTr="00D731E3">
        <w:tc>
          <w:tcPr>
            <w:tcW w:w="1129" w:type="dxa"/>
          </w:tcPr>
          <w:p w:rsidR="0022315F"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0800</w:t>
            </w:r>
          </w:p>
        </w:tc>
        <w:tc>
          <w:tcPr>
            <w:tcW w:w="7620" w:type="dxa"/>
          </w:tcPr>
          <w:p w:rsidR="0022315F" w:rsidRPr="00661595" w:rsidRDefault="0022315F"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w:t>
            </w:r>
            <w:r w:rsidRPr="00821208">
              <w:rPr>
                <w:u w:val="single"/>
              </w:rPr>
              <w:tab/>
            </w:r>
            <w:r>
              <w:rPr>
                <w:rStyle w:val="InstructionsTabelleberschrift"/>
                <w:rFonts w:ascii="Times New Roman" w:hAnsi="Times New Roman"/>
                <w:sz w:val="24"/>
              </w:rPr>
              <w:t>(-) Strumenti propri di capitale di classe 2</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63, lettera b), punto i), articolo 66, lettera a), e articolo 67 del CRR</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Strumenti propri di capitale di classe 2 detenuti dall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ente o gruppo segnalante alla data di riferimento. Soggetti alle eccezioni di cui all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articolo 67 del CRR.</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Le partecipazioni azionarie incluse come </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strumenti di capitale non ammissibili</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 xml:space="preserve"> non sono segnalate in questa riga.</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importo da segnalare comprende il sovrapprezzo azioni relativo alle azioni proprie.</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Le voci da 1.2.1.4 a 1.2.1.4.3 non comprendono gli obblighi effettivi o potenziali di acquistare strumenti propri di classe 2. Gli obblighi effettivi o potenziali di acquistare strumenti propri di classe 2 sono segnalati separatamente nella voce 1.2.1.5.</w:t>
            </w:r>
          </w:p>
        </w:tc>
      </w:tr>
      <w:tr w:rsidR="0022315F" w:rsidRPr="00661595" w:rsidTr="00D731E3">
        <w:tc>
          <w:tcPr>
            <w:tcW w:w="1129" w:type="dxa"/>
          </w:tcPr>
          <w:p w:rsidR="0022315F"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0810</w:t>
            </w:r>
          </w:p>
        </w:tc>
        <w:tc>
          <w:tcPr>
            <w:tcW w:w="7620" w:type="dxa"/>
          </w:tcPr>
          <w:p w:rsidR="0022315F" w:rsidRPr="00661595" w:rsidRDefault="0022315F"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1.2.1.4.1</w:t>
            </w:r>
            <w:r w:rsidRPr="00821208">
              <w:rPr>
                <w:u w:val="single"/>
              </w:rPr>
              <w:tab/>
            </w:r>
            <w:r>
              <w:rPr>
                <w:rStyle w:val="InstructionsTabelleberschrift"/>
                <w:rFonts w:ascii="Times New Roman" w:hAnsi="Times New Roman"/>
                <w:sz w:val="24"/>
              </w:rPr>
              <w:t>(-) Strumenti di capitale di classe 2 detenuti direttamente</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63, lettera b), articolo 66, lettera a), e articolo 67 del CRR</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Strumenti di capitale di classe 2 compresi nella riga 1.2.1.1 detenuti dagli enti del gruppo consolidato. </w:t>
            </w:r>
          </w:p>
        </w:tc>
      </w:tr>
      <w:tr w:rsidR="0022315F" w:rsidRPr="00661595" w:rsidTr="00D731E3">
        <w:tc>
          <w:tcPr>
            <w:tcW w:w="1129" w:type="dxa"/>
          </w:tcPr>
          <w:p w:rsidR="0022315F"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0840</w:t>
            </w:r>
          </w:p>
        </w:tc>
        <w:tc>
          <w:tcPr>
            <w:tcW w:w="7620" w:type="dxa"/>
          </w:tcPr>
          <w:p w:rsidR="0022315F" w:rsidRPr="00661595" w:rsidRDefault="0022315F"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1.2.1.4.2</w:t>
            </w:r>
            <w:r w:rsidRPr="00821208">
              <w:rPr>
                <w:u w:val="single"/>
              </w:rPr>
              <w:tab/>
            </w:r>
            <w:r>
              <w:rPr>
                <w:rStyle w:val="InstructionsTabelleberschrift"/>
                <w:rFonts w:ascii="Times New Roman" w:hAnsi="Times New Roman"/>
                <w:sz w:val="24"/>
              </w:rPr>
              <w:t>(-) Strumenti di capitale di classe 2 detenuti indirettamente</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4, paragrafo 1, punto 114, articolo 63, l</w:t>
            </w:r>
            <w:r w:rsidR="00B02B23">
              <w:rPr>
                <w:rStyle w:val="FormatvorlageInstructionsTabelleText"/>
                <w:rFonts w:ascii="Times New Roman" w:hAnsi="Times New Roman"/>
                <w:sz w:val="24"/>
              </w:rPr>
              <w:t>ettera b), articolo 66, lettera </w:t>
            </w:r>
            <w:r>
              <w:rPr>
                <w:rStyle w:val="FormatvorlageInstructionsTabelleText"/>
                <w:rFonts w:ascii="Times New Roman" w:hAnsi="Times New Roman"/>
                <w:sz w:val="24"/>
              </w:rPr>
              <w:t>a), e articolo 67 del CRR</w:t>
            </w:r>
          </w:p>
        </w:tc>
      </w:tr>
      <w:tr w:rsidR="0022315F" w:rsidRPr="00661595" w:rsidTr="00D731E3">
        <w:tc>
          <w:tcPr>
            <w:tcW w:w="1129" w:type="dxa"/>
          </w:tcPr>
          <w:p w:rsidR="0022315F"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0841</w:t>
            </w:r>
          </w:p>
        </w:tc>
        <w:tc>
          <w:tcPr>
            <w:tcW w:w="7620" w:type="dxa"/>
          </w:tcPr>
          <w:p w:rsidR="0022315F" w:rsidRPr="00661595" w:rsidRDefault="0022315F"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1.2.1.4.3</w:t>
            </w:r>
            <w:r w:rsidRPr="00821208">
              <w:rPr>
                <w:u w:val="single"/>
              </w:rPr>
              <w:tab/>
            </w:r>
            <w:r>
              <w:rPr>
                <w:rStyle w:val="InstructionsTabelleberschrift"/>
                <w:rFonts w:ascii="Times New Roman" w:hAnsi="Times New Roman"/>
                <w:sz w:val="24"/>
              </w:rPr>
              <w:t>(-) Strumenti di capitale di classe 2 detenuti sinteticamente</w:t>
            </w:r>
          </w:p>
          <w:p w:rsidR="0022315F" w:rsidRPr="00661595" w:rsidRDefault="0022315F" w:rsidP="0011505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Articolo 4, paragrafo 1, punto 126, articolo 63, l</w:t>
            </w:r>
            <w:r w:rsidR="00B02B23">
              <w:rPr>
                <w:rStyle w:val="FormatvorlageInstructionsTabelleText"/>
                <w:rFonts w:ascii="Times New Roman" w:hAnsi="Times New Roman"/>
                <w:sz w:val="24"/>
              </w:rPr>
              <w:t>ettera b), articolo 66, lettera </w:t>
            </w:r>
            <w:r>
              <w:rPr>
                <w:rStyle w:val="FormatvorlageInstructionsTabelleText"/>
                <w:rFonts w:ascii="Times New Roman" w:hAnsi="Times New Roman"/>
                <w:sz w:val="24"/>
              </w:rPr>
              <w:t>a), e articolo 67 del CRR</w:t>
            </w:r>
          </w:p>
        </w:tc>
      </w:tr>
      <w:tr w:rsidR="0022315F" w:rsidRPr="00661595" w:rsidTr="00D731E3">
        <w:tc>
          <w:tcPr>
            <w:tcW w:w="1129" w:type="dxa"/>
          </w:tcPr>
          <w:p w:rsidR="0022315F"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0842</w:t>
            </w:r>
          </w:p>
        </w:tc>
        <w:tc>
          <w:tcPr>
            <w:tcW w:w="7620" w:type="dxa"/>
          </w:tcPr>
          <w:p w:rsidR="0022315F" w:rsidRPr="00661595" w:rsidRDefault="0022315F" w:rsidP="00115052">
            <w:pPr>
              <w:pStyle w:val="InstructionsText"/>
              <w:rPr>
                <w:rStyle w:val="InstructionsTabelleberschrift"/>
                <w:rFonts w:ascii="Times New Roman" w:hAnsi="Times New Roman"/>
                <w:b w:val="0"/>
                <w:sz w:val="24"/>
              </w:rPr>
            </w:pPr>
            <w:r>
              <w:rPr>
                <w:rStyle w:val="InstructionsTabelleberschrift"/>
                <w:rFonts w:ascii="Times New Roman" w:hAnsi="Times New Roman"/>
                <w:sz w:val="24"/>
              </w:rPr>
              <w:t>1.2.1.5</w:t>
            </w:r>
            <w:r w:rsidRPr="00821208">
              <w:rPr>
                <w:u w:val="single"/>
              </w:rPr>
              <w:tab/>
            </w:r>
            <w:r>
              <w:rPr>
                <w:rStyle w:val="InstructionsTabelleberschrift"/>
                <w:rFonts w:ascii="Times New Roman" w:hAnsi="Times New Roman"/>
                <w:sz w:val="24"/>
              </w:rPr>
              <w:t>(-) Obblighi esistenti o potenziali di acquistare strumenti propri di capitale di classe 2</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66, lettera a), e articolo 67 del CRR</w:t>
            </w:r>
          </w:p>
          <w:p w:rsidR="0022315F" w:rsidRPr="00661595" w:rsidRDefault="0022315F" w:rsidP="0011505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Ai sensi dell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articolo 66, lettera a), del CRR</w:t>
            </w:r>
            <w:r>
              <w:t xml:space="preserve"> sono dedotti gli strumenti propri di capitale di classe 2 </w:t>
            </w:r>
            <w:r w:rsidR="000878EC">
              <w:t>"</w:t>
            </w:r>
            <w:r>
              <w:t>che un ente potrebbe essere obbligato ad acquistare in virtù di obblighi contrattuali esistenti</w:t>
            </w:r>
            <w:r w:rsidR="000878EC">
              <w:t>"</w:t>
            </w:r>
            <w:r>
              <w:t>.</w:t>
            </w:r>
          </w:p>
        </w:tc>
      </w:tr>
      <w:tr w:rsidR="0022315F" w:rsidRPr="00661595" w:rsidTr="00D731E3">
        <w:tc>
          <w:tcPr>
            <w:tcW w:w="1129" w:type="dxa"/>
          </w:tcPr>
          <w:p w:rsidR="0022315F"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0880</w:t>
            </w:r>
          </w:p>
        </w:tc>
        <w:tc>
          <w:tcPr>
            <w:tcW w:w="7620" w:type="dxa"/>
          </w:tcPr>
          <w:p w:rsidR="0022315F" w:rsidRPr="00661595" w:rsidRDefault="0022315F"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1.2.2</w:t>
            </w:r>
            <w:r w:rsidRPr="00821208">
              <w:rPr>
                <w:u w:val="single"/>
              </w:rPr>
              <w:tab/>
            </w:r>
            <w:r>
              <w:rPr>
                <w:rStyle w:val="InstructionsTabelleberschrift"/>
                <w:rFonts w:ascii="Times New Roman" w:hAnsi="Times New Roman"/>
                <w:sz w:val="24"/>
              </w:rPr>
              <w:t xml:space="preserve">Aggiustamenti transitori dovuti a strumenti di capitale di classe 2 soggetti alla clausola grandfathering </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483, paragrafi 6 e 7, e articoli 484, 486, 488, 490 e 491 del CRR</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Importo degli strumenti di capitale assoggettati temporaneamente alla clausola grandfathering come capitale di classe 2. 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importo da segnalare si ricava direttamente dal modello CA5.</w:t>
            </w:r>
          </w:p>
        </w:tc>
      </w:tr>
      <w:tr w:rsidR="0022315F" w:rsidRPr="00661595" w:rsidTr="00D731E3">
        <w:tc>
          <w:tcPr>
            <w:tcW w:w="1129" w:type="dxa"/>
          </w:tcPr>
          <w:p w:rsidR="0022315F"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0890</w:t>
            </w:r>
          </w:p>
        </w:tc>
        <w:tc>
          <w:tcPr>
            <w:tcW w:w="7620" w:type="dxa"/>
          </w:tcPr>
          <w:p w:rsidR="0022315F" w:rsidRPr="00661595" w:rsidRDefault="0022315F"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1.2.3</w:t>
            </w:r>
            <w:r w:rsidRPr="00821208">
              <w:rPr>
                <w:u w:val="single"/>
              </w:rPr>
              <w:tab/>
            </w:r>
            <w:r>
              <w:rPr>
                <w:rStyle w:val="InstructionsTabelleberschrift"/>
                <w:rFonts w:ascii="Times New Roman" w:hAnsi="Times New Roman"/>
                <w:sz w:val="24"/>
              </w:rPr>
              <w:t>Strumenti emessi da filiazioni inclusi nel capitale di classe 2</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Articoli 83, 87 e 88 del CRR</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Somma di tutti gli importi dei fondi propri ammissibili delle filiazioni inclusi nel capitale di classe 2 consolidato.</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È incluso il capitale di classe 2 ammissibile emesso da società veicolo (articolo 83 del CRR).</w:t>
            </w:r>
          </w:p>
        </w:tc>
      </w:tr>
      <w:tr w:rsidR="0022315F" w:rsidRPr="00661595" w:rsidTr="00D731E3">
        <w:tc>
          <w:tcPr>
            <w:tcW w:w="1129" w:type="dxa"/>
          </w:tcPr>
          <w:p w:rsidR="0022315F"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0900</w:t>
            </w:r>
          </w:p>
        </w:tc>
        <w:tc>
          <w:tcPr>
            <w:tcW w:w="7620" w:type="dxa"/>
          </w:tcPr>
          <w:p w:rsidR="0022315F" w:rsidRPr="00661595" w:rsidRDefault="0022315F"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1.2.4</w:t>
            </w:r>
            <w:r w:rsidRPr="00821208">
              <w:rPr>
                <w:u w:val="single"/>
              </w:rPr>
              <w:tab/>
            </w:r>
            <w:r>
              <w:rPr>
                <w:rStyle w:val="InstructionsTabelleberschrift"/>
                <w:rFonts w:ascii="Times New Roman" w:hAnsi="Times New Roman"/>
                <w:sz w:val="24"/>
              </w:rPr>
              <w:t>Aggiustamenti transitori dovuti all</w:t>
            </w:r>
            <w:r w:rsidR="000878EC">
              <w:rPr>
                <w:rStyle w:val="InstructionsTabelleberschrift"/>
                <w:rFonts w:ascii="Times New Roman" w:hAnsi="Times New Roman"/>
                <w:sz w:val="24"/>
              </w:rPr>
              <w:t>'</w:t>
            </w:r>
            <w:r>
              <w:rPr>
                <w:rStyle w:val="InstructionsTabelleberschrift"/>
                <w:rFonts w:ascii="Times New Roman" w:hAnsi="Times New Roman"/>
                <w:sz w:val="24"/>
              </w:rPr>
              <w:t>inclusione aggiuntiva di strumenti emessi da filiazioni nel capitale di classe 2</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480 del CRR</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Aggiustamenti dei fondi propri ammissibili inclusi nel capitale di classe 2 consolidato dovuti a disposizioni transitorie. Questa voce si ricava direttamente dal modello CA5.</w:t>
            </w:r>
          </w:p>
        </w:tc>
      </w:tr>
      <w:tr w:rsidR="0022315F" w:rsidRPr="00661595" w:rsidTr="00D731E3">
        <w:tc>
          <w:tcPr>
            <w:tcW w:w="1129" w:type="dxa"/>
          </w:tcPr>
          <w:p w:rsidR="0022315F"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0910</w:t>
            </w:r>
          </w:p>
        </w:tc>
        <w:tc>
          <w:tcPr>
            <w:tcW w:w="7620" w:type="dxa"/>
          </w:tcPr>
          <w:p w:rsidR="0022315F" w:rsidRPr="00661595" w:rsidRDefault="0022315F"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1.2.5</w:t>
            </w:r>
            <w:r w:rsidRPr="00821208">
              <w:rPr>
                <w:u w:val="single"/>
              </w:rPr>
              <w:tab/>
            </w:r>
            <w:r>
              <w:rPr>
                <w:rStyle w:val="InstructionsTabelleberschrift"/>
                <w:rFonts w:ascii="Times New Roman" w:hAnsi="Times New Roman"/>
                <w:sz w:val="24"/>
              </w:rPr>
              <w:t>Eccesso di accantonamenti rispetto alle perdite attese ammissibili nell</w:t>
            </w:r>
            <w:r w:rsidR="000878EC">
              <w:rPr>
                <w:rStyle w:val="InstructionsTabelleberschrift"/>
                <w:rFonts w:ascii="Times New Roman" w:hAnsi="Times New Roman"/>
                <w:sz w:val="24"/>
              </w:rPr>
              <w:t>'</w:t>
            </w:r>
            <w:r>
              <w:rPr>
                <w:rStyle w:val="InstructionsTabelleberschrift"/>
                <w:rFonts w:ascii="Times New Roman" w:hAnsi="Times New Roman"/>
                <w:sz w:val="24"/>
              </w:rPr>
              <w:t>ambito del metodo IRB</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62, lettera d), del CRR</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Per gli enti che calcolano gli importi delle esposizioni ponderati per il rischio secondo il metodo IRB, questa riga contiene gli importi positivi risultanti dal confronto tra gli accantonamenti e le perdite attese ammissibili come capitale di classe 2.</w:t>
            </w:r>
          </w:p>
        </w:tc>
      </w:tr>
      <w:tr w:rsidR="0022315F" w:rsidRPr="00661595" w:rsidTr="00D731E3">
        <w:tc>
          <w:tcPr>
            <w:tcW w:w="1129" w:type="dxa"/>
          </w:tcPr>
          <w:p w:rsidR="0022315F"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0920</w:t>
            </w:r>
          </w:p>
        </w:tc>
        <w:tc>
          <w:tcPr>
            <w:tcW w:w="7620" w:type="dxa"/>
          </w:tcPr>
          <w:p w:rsidR="0022315F" w:rsidRPr="00661595" w:rsidRDefault="0022315F"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1.2.6</w:t>
            </w:r>
            <w:r w:rsidRPr="00821208">
              <w:rPr>
                <w:u w:val="single"/>
              </w:rPr>
              <w:tab/>
            </w:r>
            <w:r>
              <w:rPr>
                <w:rStyle w:val="InstructionsTabelleberschrift"/>
                <w:rFonts w:ascii="Times New Roman" w:hAnsi="Times New Roman"/>
                <w:sz w:val="24"/>
              </w:rPr>
              <w:t>Rettifiche di valore su crediti generiche in base al metodo standardizzato</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62, lettera c), del CRR</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Per gli enti che calcolano gli importi delle esposizioni ponderati per il rischio secondo il metodo standardizzato, questa voce contiene le rettifiche di valore su crediti generiche ammissibili come capitale di classe 2.</w:t>
            </w:r>
          </w:p>
        </w:tc>
      </w:tr>
      <w:tr w:rsidR="0022315F" w:rsidRPr="00661595" w:rsidTr="00D731E3">
        <w:tc>
          <w:tcPr>
            <w:tcW w:w="1129" w:type="dxa"/>
          </w:tcPr>
          <w:p w:rsidR="0022315F"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0930</w:t>
            </w:r>
          </w:p>
        </w:tc>
        <w:tc>
          <w:tcPr>
            <w:tcW w:w="7620" w:type="dxa"/>
          </w:tcPr>
          <w:p w:rsidR="0022315F" w:rsidRPr="00661595" w:rsidRDefault="0022315F"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1.2.7</w:t>
            </w:r>
            <w:r w:rsidRPr="00821208">
              <w:rPr>
                <w:u w:val="single"/>
              </w:rPr>
              <w:tab/>
            </w:r>
            <w:r>
              <w:rPr>
                <w:rStyle w:val="InstructionsTabelleberschrift"/>
                <w:rFonts w:ascii="Times New Roman" w:hAnsi="Times New Roman"/>
                <w:sz w:val="24"/>
              </w:rPr>
              <w:t>(-) Partecipazioni incrociate reciproche nel capitale di classe 2</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4, paragrafo 1, punto 122, articolo 66, lettera b), e articolo 68 del CRR</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Possesso di strumenti del capitale di classe 2 di soggetti del settore finanziario (così come definiti nell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articolo 4, paragrafo 1, punto 27, del CRR) laddove sussista una partecipazione incrociata reciproca che 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autorità competente ritiene essere stata concepita per aumentare artificialmente i fondi propri dell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ente.</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importo da segnalare è calcolato sulla base delle posizioni lunghe lorde e comprende gli elementi assicurativi dei fondi propri di classe 2 e 3.</w:t>
            </w:r>
          </w:p>
        </w:tc>
      </w:tr>
      <w:tr w:rsidR="0022315F" w:rsidRPr="00661595" w:rsidTr="00D731E3">
        <w:tc>
          <w:tcPr>
            <w:tcW w:w="1129" w:type="dxa"/>
          </w:tcPr>
          <w:p w:rsidR="0022315F" w:rsidRPr="00661595" w:rsidRDefault="00CF1093" w:rsidP="00821208">
            <w:pPr>
              <w:pStyle w:val="InstructionsText"/>
              <w:keepNext/>
              <w:keepLines/>
              <w:rPr>
                <w:rStyle w:val="FormatvorlageInstructionsTabelleText"/>
                <w:rFonts w:ascii="Times New Roman" w:hAnsi="Times New Roman"/>
                <w:sz w:val="24"/>
              </w:rPr>
            </w:pPr>
            <w:r>
              <w:rPr>
                <w:rStyle w:val="FormatvorlageInstructionsTabelleText"/>
                <w:rFonts w:ascii="Times New Roman" w:hAnsi="Times New Roman"/>
                <w:sz w:val="24"/>
              </w:rPr>
              <w:t>0940</w:t>
            </w:r>
          </w:p>
        </w:tc>
        <w:tc>
          <w:tcPr>
            <w:tcW w:w="7620" w:type="dxa"/>
          </w:tcPr>
          <w:p w:rsidR="0022315F" w:rsidRPr="00661595" w:rsidRDefault="0022315F" w:rsidP="00821208">
            <w:pPr>
              <w:pStyle w:val="InstructionsText"/>
              <w:keepNext/>
              <w:keepLines/>
              <w:rPr>
                <w:rStyle w:val="FormatvorlageInstructionsTabelleText"/>
                <w:rFonts w:ascii="Times New Roman" w:hAnsi="Times New Roman"/>
                <w:b/>
                <w:sz w:val="24"/>
                <w:u w:val="single"/>
              </w:rPr>
            </w:pPr>
            <w:r>
              <w:rPr>
                <w:rStyle w:val="InstructionsTabelleberschrift"/>
                <w:rFonts w:ascii="Times New Roman" w:hAnsi="Times New Roman"/>
                <w:sz w:val="24"/>
              </w:rPr>
              <w:t>1.2.8</w:t>
            </w:r>
            <w:r w:rsidRPr="00821208">
              <w:rPr>
                <w:u w:val="single"/>
              </w:rPr>
              <w:tab/>
            </w:r>
            <w:r>
              <w:rPr>
                <w:rStyle w:val="InstructionsTabelleberschrift"/>
                <w:rFonts w:ascii="Times New Roman" w:hAnsi="Times New Roman"/>
                <w:sz w:val="24"/>
              </w:rPr>
              <w:t>(-) Strumenti di capitale di classe 2 di soggetti del settore finanziario in cui l</w:t>
            </w:r>
            <w:r w:rsidR="000878EC">
              <w:rPr>
                <w:rStyle w:val="InstructionsTabelleberschrift"/>
                <w:rFonts w:ascii="Times New Roman" w:hAnsi="Times New Roman"/>
                <w:sz w:val="24"/>
              </w:rPr>
              <w:t>'</w:t>
            </w:r>
            <w:r>
              <w:rPr>
                <w:rStyle w:val="InstructionsTabelleberschrift"/>
                <w:rFonts w:ascii="Times New Roman" w:hAnsi="Times New Roman"/>
                <w:sz w:val="24"/>
              </w:rPr>
              <w:t>ente non ha un investimento significativo</w:t>
            </w:r>
          </w:p>
          <w:p w:rsidR="0022315F" w:rsidRPr="00661595" w:rsidRDefault="0022315F" w:rsidP="00821208">
            <w:pPr>
              <w:pStyle w:val="InstructionsText"/>
              <w:keepNext/>
              <w:keepLines/>
              <w:rPr>
                <w:rStyle w:val="FormatvorlageInstructionsTabelleText"/>
                <w:rFonts w:ascii="Times New Roman" w:hAnsi="Times New Roman"/>
                <w:sz w:val="24"/>
              </w:rPr>
            </w:pPr>
            <w:r>
              <w:rPr>
                <w:rStyle w:val="FormatvorlageInstructionsTabelleText"/>
                <w:rFonts w:ascii="Times New Roman" w:hAnsi="Times New Roman"/>
                <w:sz w:val="24"/>
              </w:rPr>
              <w:t>Articolo 4, paragrafo 1, punto 27, articolo 66, lettera c), articoli da 68 a 70 e articolo 79 del CRR</w:t>
            </w:r>
          </w:p>
          <w:p w:rsidR="0022315F" w:rsidRPr="00661595" w:rsidRDefault="0022315F" w:rsidP="00821208">
            <w:pPr>
              <w:pStyle w:val="InstructionsText"/>
              <w:keepNext/>
              <w:keepLines/>
              <w:rPr>
                <w:rStyle w:val="FormatvorlageInstructionsTabelleText"/>
                <w:rFonts w:ascii="Times New Roman" w:hAnsi="Times New Roman"/>
                <w:sz w:val="24"/>
              </w:rPr>
            </w:pPr>
            <w:r>
              <w:rPr>
                <w:rStyle w:val="FormatvorlageInstructionsTabelleText"/>
                <w:rFonts w:ascii="Times New Roman" w:hAnsi="Times New Roman"/>
                <w:sz w:val="24"/>
              </w:rPr>
              <w:t>Parte delle partecipazioni detenute dall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ente in strumenti di soggetti del settore finanziario (così come definiti nell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articolo 4, paragrafo 1, punto 27, del CRR) nei casi in cui 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ente non ha un investimento significativo che deve essere dedotta dal capitale di classe 2.</w:t>
            </w:r>
          </w:p>
        </w:tc>
      </w:tr>
      <w:tr w:rsidR="0022315F" w:rsidRPr="00661595" w:rsidTr="00D731E3">
        <w:tc>
          <w:tcPr>
            <w:tcW w:w="1129" w:type="dxa"/>
          </w:tcPr>
          <w:p w:rsidR="0022315F"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0950</w:t>
            </w:r>
          </w:p>
        </w:tc>
        <w:tc>
          <w:tcPr>
            <w:tcW w:w="7620" w:type="dxa"/>
          </w:tcPr>
          <w:p w:rsidR="0022315F" w:rsidRPr="00661595" w:rsidRDefault="0022315F"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1.2.9</w:t>
            </w:r>
            <w:r w:rsidRPr="00821208">
              <w:rPr>
                <w:u w:val="single"/>
              </w:rPr>
              <w:tab/>
            </w:r>
            <w:r>
              <w:rPr>
                <w:rStyle w:val="InstructionsTabelleberschrift"/>
                <w:rFonts w:ascii="Times New Roman" w:hAnsi="Times New Roman"/>
                <w:sz w:val="24"/>
              </w:rPr>
              <w:t>(-) Strumenti di capitale di classe 2 di soggetti del settore finanziario in cui l</w:t>
            </w:r>
            <w:r w:rsidR="000878EC">
              <w:rPr>
                <w:rStyle w:val="InstructionsTabelleberschrift"/>
                <w:rFonts w:ascii="Times New Roman" w:hAnsi="Times New Roman"/>
                <w:sz w:val="24"/>
              </w:rPr>
              <w:t>'</w:t>
            </w:r>
            <w:r>
              <w:rPr>
                <w:rStyle w:val="InstructionsTabelleberschrift"/>
                <w:rFonts w:ascii="Times New Roman" w:hAnsi="Times New Roman"/>
                <w:sz w:val="24"/>
              </w:rPr>
              <w:t>ente ha un investimento significativo</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4, paragrafo 1, punto 27, articolo 66, lettera d), e articoli 68, 69 e 79 del CRR</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Sono dedotte interamente le partecipazioni detenute dall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ente in strumenti di capitale di classe 2 di soggetti del settore finanziario (così come defi</w:t>
            </w:r>
            <w:r w:rsidR="009A0D39">
              <w:rPr>
                <w:rStyle w:val="FormatvorlageInstructionsTabelleText"/>
                <w:rFonts w:ascii="Times New Roman" w:hAnsi="Times New Roman"/>
                <w:sz w:val="24"/>
              </w:rPr>
              <w:t>niti nell</w:t>
            </w:r>
            <w:r w:rsidR="000878EC">
              <w:rPr>
                <w:rStyle w:val="FormatvorlageInstructionsTabelleText"/>
                <w:rFonts w:ascii="Times New Roman" w:hAnsi="Times New Roman"/>
                <w:sz w:val="24"/>
              </w:rPr>
              <w:t>'</w:t>
            </w:r>
            <w:r w:rsidR="009A0D39">
              <w:rPr>
                <w:rStyle w:val="FormatvorlageInstructionsTabelleText"/>
                <w:rFonts w:ascii="Times New Roman" w:hAnsi="Times New Roman"/>
                <w:sz w:val="24"/>
              </w:rPr>
              <w:t xml:space="preserve">articolo 4, paragrafo </w:t>
            </w:r>
            <w:r>
              <w:rPr>
                <w:rStyle w:val="FormatvorlageInstructionsTabelleText"/>
                <w:rFonts w:ascii="Times New Roman" w:hAnsi="Times New Roman"/>
                <w:sz w:val="24"/>
              </w:rPr>
              <w:t>1, punto 27, del CRR) in cui 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ente ha un investimento significativo.</w:t>
            </w:r>
          </w:p>
        </w:tc>
      </w:tr>
      <w:tr w:rsidR="0022315F" w:rsidRPr="00661595" w:rsidTr="00D731E3">
        <w:tc>
          <w:tcPr>
            <w:tcW w:w="1129" w:type="dxa"/>
          </w:tcPr>
          <w:p w:rsidR="0022315F"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0955</w:t>
            </w:r>
          </w:p>
        </w:tc>
        <w:tc>
          <w:tcPr>
            <w:tcW w:w="7620" w:type="dxa"/>
          </w:tcPr>
          <w:p w:rsidR="0022315F" w:rsidRPr="00661595" w:rsidRDefault="0022315F"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1.2.9A</w:t>
            </w:r>
            <w:r w:rsidRPr="00B02B23">
              <w:tab/>
            </w:r>
            <w:r>
              <w:rPr>
                <w:rStyle w:val="InstructionsTabelleberschrift"/>
                <w:rFonts w:ascii="Times New Roman" w:hAnsi="Times New Roman"/>
                <w:sz w:val="24"/>
              </w:rPr>
              <w:t>(-) Eccesso delle deduzioni dalle passività ammissibili rispetto alle passività ammissibili</w:t>
            </w:r>
          </w:p>
          <w:p w:rsidR="0022315F" w:rsidRPr="00661595" w:rsidRDefault="0022315F" w:rsidP="0011505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Articolo 66, lettera e), del CRR.</w:t>
            </w:r>
          </w:p>
        </w:tc>
      </w:tr>
      <w:tr w:rsidR="0022315F" w:rsidRPr="00661595" w:rsidTr="00D731E3">
        <w:tc>
          <w:tcPr>
            <w:tcW w:w="1129" w:type="dxa"/>
          </w:tcPr>
          <w:p w:rsidR="0022315F"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0960</w:t>
            </w:r>
          </w:p>
        </w:tc>
        <w:tc>
          <w:tcPr>
            <w:tcW w:w="7620" w:type="dxa"/>
          </w:tcPr>
          <w:p w:rsidR="0022315F" w:rsidRPr="00661595" w:rsidRDefault="0022315F"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1.2.10</w:t>
            </w:r>
            <w:r w:rsidRPr="00821208">
              <w:rPr>
                <w:u w:val="single"/>
              </w:rPr>
              <w:tab/>
            </w:r>
            <w:r>
              <w:rPr>
                <w:rStyle w:val="InstructionsTabelleberschrift"/>
                <w:rFonts w:ascii="Times New Roman" w:hAnsi="Times New Roman"/>
                <w:sz w:val="24"/>
              </w:rPr>
              <w:t>Altri aggiustamenti transitori del capitale di classe 2</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Articoli 472, 473 bis, 476, 477, 478 e 481 del CRR.</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Aggiustamenti dovuti a disposizioni transitorie. 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importo da segnalare si ricava direttamente dal modello CA5.</w:t>
            </w:r>
          </w:p>
        </w:tc>
      </w:tr>
      <w:tr w:rsidR="0022315F" w:rsidRPr="00661595" w:rsidTr="00D731E3">
        <w:tc>
          <w:tcPr>
            <w:tcW w:w="1129" w:type="dxa"/>
          </w:tcPr>
          <w:p w:rsidR="0022315F"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0970</w:t>
            </w:r>
          </w:p>
        </w:tc>
        <w:tc>
          <w:tcPr>
            <w:tcW w:w="7620" w:type="dxa"/>
          </w:tcPr>
          <w:p w:rsidR="0022315F" w:rsidRPr="00661595" w:rsidRDefault="0022315F"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1.2.11</w:t>
            </w:r>
            <w:r w:rsidRPr="00821208">
              <w:rPr>
                <w:u w:val="single"/>
              </w:rPr>
              <w:tab/>
            </w:r>
            <w:r>
              <w:rPr>
                <w:rStyle w:val="InstructionsTabelleberschrift"/>
                <w:rFonts w:ascii="Times New Roman" w:hAnsi="Times New Roman"/>
                <w:sz w:val="24"/>
              </w:rPr>
              <w:t>Eccesso di deduzione da elementi del capitale di classe 2 rispetto al capitale di classe 2 (dedotto dal capitale aggiuntivo di classe 1)</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56, lettera e), del CRR</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Il capitale di classe 2 non può essere negativo; è tuttavia possibile che le deduzioni siano superiori al capitale stesso, più il relativo sovrapprezzo azioni. In questi casi, il capitale di classe 2 deve essere uguale a zero e la parte in eccesso delle deduzioni che gli competono va dedotta dal capitale aggiuntivo di classe 1.</w:t>
            </w:r>
          </w:p>
          <w:p w:rsidR="0022315F" w:rsidRPr="00661595" w:rsidRDefault="0022315F"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Grazie a questa voce, la somma delle righe da 1.2.1 a 1.2.13 non è mai inferiore a zero. Se questa voce registra un importo positivo, alla voce 1.1.2.8 figurerà un pari importo di segno negativo.</w:t>
            </w:r>
          </w:p>
        </w:tc>
      </w:tr>
      <w:tr w:rsidR="0022315F" w:rsidRPr="00661595" w:rsidTr="00D731E3">
        <w:tc>
          <w:tcPr>
            <w:tcW w:w="1129" w:type="dxa"/>
          </w:tcPr>
          <w:p w:rsidR="0022315F" w:rsidRPr="00661595" w:rsidDel="00BD687C"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0974</w:t>
            </w:r>
          </w:p>
        </w:tc>
        <w:tc>
          <w:tcPr>
            <w:tcW w:w="7620" w:type="dxa"/>
          </w:tcPr>
          <w:p w:rsidR="0022315F" w:rsidRPr="00661595" w:rsidRDefault="0022315F"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1.2.12</w:t>
            </w:r>
            <w:r w:rsidRPr="00821208">
              <w:rPr>
                <w:u w:val="single"/>
              </w:rPr>
              <w:tab/>
            </w:r>
            <w:r>
              <w:rPr>
                <w:rStyle w:val="InstructionsTabelleberschrift"/>
                <w:rFonts w:ascii="Times New Roman" w:hAnsi="Times New Roman"/>
                <w:sz w:val="24"/>
              </w:rPr>
              <w:t>(-) Altre deduzioni del capitale di classe 2 dovute all</w:t>
            </w:r>
            <w:r w:rsidR="000878EC">
              <w:rPr>
                <w:rStyle w:val="InstructionsTabelleberschrift"/>
                <w:rFonts w:ascii="Times New Roman" w:hAnsi="Times New Roman"/>
                <w:sz w:val="24"/>
              </w:rPr>
              <w:t>'</w:t>
            </w:r>
            <w:r>
              <w:rPr>
                <w:rStyle w:val="InstructionsTabelleberschrift"/>
                <w:rFonts w:ascii="Times New Roman" w:hAnsi="Times New Roman"/>
                <w:sz w:val="24"/>
              </w:rPr>
              <w:t>articolo 3 del CRR</w:t>
            </w:r>
          </w:p>
          <w:p w:rsidR="0022315F" w:rsidRPr="00661595" w:rsidRDefault="0022315F" w:rsidP="0011505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3 del CRR</w:t>
            </w:r>
          </w:p>
        </w:tc>
      </w:tr>
      <w:tr w:rsidR="0022315F" w:rsidRPr="00661595" w:rsidTr="00D731E3">
        <w:tc>
          <w:tcPr>
            <w:tcW w:w="1129" w:type="dxa"/>
          </w:tcPr>
          <w:p w:rsidR="0022315F"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0978</w:t>
            </w:r>
          </w:p>
        </w:tc>
        <w:tc>
          <w:tcPr>
            <w:tcW w:w="7620" w:type="dxa"/>
          </w:tcPr>
          <w:p w:rsidR="0022315F" w:rsidRPr="00661595" w:rsidRDefault="0022315F"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1.2.13</w:t>
            </w:r>
            <w:r w:rsidRPr="00821208">
              <w:rPr>
                <w:u w:val="single"/>
              </w:rPr>
              <w:tab/>
            </w:r>
            <w:r>
              <w:rPr>
                <w:rStyle w:val="InstructionsTabelleberschrift"/>
                <w:rFonts w:ascii="Times New Roman" w:hAnsi="Times New Roman"/>
                <w:sz w:val="24"/>
              </w:rPr>
              <w:t xml:space="preserve">Elementi del capitale di classe 2 o deduzioni - altro </w:t>
            </w:r>
          </w:p>
          <w:p w:rsidR="0022315F" w:rsidRPr="00661595" w:rsidRDefault="0022315F" w:rsidP="0011505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Questa riga offre flessibilità a esclusivi fini di segnalazione. È utilizzata soltanto nei rari casi in cui manchi una decisione finale sulla segnalazione di specifici elementi di capitale/deduzioni nel modello CA1 corrente. Pertanto è compilata solo qualora sia impossibile attribuire un elemento del capitale di classe 2 o una deduzione da un elemento del capitale di classe 2 a una delle righe da 750 a 974. </w:t>
            </w:r>
          </w:p>
          <w:p w:rsidR="0022315F" w:rsidRPr="00661595" w:rsidRDefault="0022315F" w:rsidP="0011505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Questa riga non è usata per assegnare elementi di capitale/deduzioni non soggetti al CRR nel calcolo dei coefficienti di solvibilità (ad esempio 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assegnazione di elementi del capitale/deduzioni nazionali che esulano dall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ambito di applicazione del CRR).</w:t>
            </w:r>
          </w:p>
        </w:tc>
      </w:tr>
    </w:tbl>
    <w:p w:rsidR="001E6CD6" w:rsidRDefault="001E6CD6" w:rsidP="00115052">
      <w:pPr>
        <w:pStyle w:val="InstructionsText"/>
      </w:pPr>
    </w:p>
    <w:p w:rsidR="002648B0" w:rsidRPr="00661595" w:rsidRDefault="00125707" w:rsidP="001E6CD6">
      <w:pPr>
        <w:pStyle w:val="Instructionsberschrift2"/>
        <w:keepLines/>
        <w:numPr>
          <w:ilvl w:val="0"/>
          <w:numId w:val="0"/>
        </w:numPr>
        <w:ind w:left="357" w:hanging="357"/>
        <w:rPr>
          <w:rFonts w:ascii="Times New Roman" w:hAnsi="Times New Roman" w:cs="Times New Roman"/>
          <w:sz w:val="24"/>
        </w:rPr>
      </w:pPr>
      <w:bookmarkStart w:id="41" w:name="_Toc473560875"/>
      <w:bookmarkStart w:id="42" w:name="_Toc308175823"/>
      <w:bookmarkStart w:id="43" w:name="_Toc360188327"/>
      <w:bookmarkStart w:id="44" w:name="_Toc58915718"/>
      <w:r>
        <w:rPr>
          <w:rFonts w:ascii="Times New Roman" w:hAnsi="Times New Roman"/>
          <w:sz w:val="24"/>
          <w:u w:val="none"/>
        </w:rPr>
        <w:t>1.3.</w:t>
      </w:r>
      <w:r w:rsidRPr="00844D12">
        <w:rPr>
          <w:u w:val="none"/>
        </w:rPr>
        <w:tab/>
      </w:r>
      <w:r>
        <w:rPr>
          <w:rFonts w:ascii="Times New Roman" w:hAnsi="Times New Roman"/>
          <w:sz w:val="24"/>
        </w:rPr>
        <w:t>C 02.00 — REQUISITI DI FONDI PROPRI (CA2)</w:t>
      </w:r>
      <w:bookmarkEnd w:id="41"/>
      <w:bookmarkEnd w:id="44"/>
      <w:r>
        <w:rPr>
          <w:rFonts w:ascii="Times New Roman" w:hAnsi="Times New Roman"/>
          <w:sz w:val="24"/>
        </w:rPr>
        <w:t xml:space="preserve"> </w:t>
      </w:r>
      <w:bookmarkEnd w:id="42"/>
      <w:bookmarkEnd w:id="43"/>
    </w:p>
    <w:p w:rsidR="002648B0" w:rsidRPr="00661595" w:rsidRDefault="00125707" w:rsidP="001E6CD6">
      <w:pPr>
        <w:pStyle w:val="Instructionsberschrift2"/>
        <w:keepLines/>
        <w:numPr>
          <w:ilvl w:val="0"/>
          <w:numId w:val="0"/>
        </w:numPr>
        <w:ind w:left="357" w:hanging="357"/>
        <w:rPr>
          <w:rFonts w:ascii="Times New Roman" w:hAnsi="Times New Roman" w:cs="Times New Roman"/>
          <w:sz w:val="24"/>
        </w:rPr>
      </w:pPr>
      <w:bookmarkStart w:id="45" w:name="_Toc360188328"/>
      <w:bookmarkStart w:id="46" w:name="_Toc473560876"/>
      <w:bookmarkStart w:id="47" w:name="_Toc58915719"/>
      <w:r>
        <w:rPr>
          <w:rFonts w:ascii="Times New Roman" w:hAnsi="Times New Roman"/>
          <w:sz w:val="24"/>
          <w:u w:val="none"/>
        </w:rPr>
        <w:t>1.3.1.</w:t>
      </w:r>
      <w:r w:rsidRPr="00844D12">
        <w:rPr>
          <w:u w:val="none"/>
        </w:rPr>
        <w:tab/>
      </w:r>
      <w:bookmarkStart w:id="48" w:name="_Toc308175824"/>
      <w:r>
        <w:rPr>
          <w:rFonts w:ascii="Times New Roman" w:hAnsi="Times New Roman"/>
          <w:sz w:val="24"/>
        </w:rPr>
        <w:t>Istruzioni relative a posizioni specifiche</w:t>
      </w:r>
      <w:bookmarkEnd w:id="45"/>
      <w:bookmarkEnd w:id="46"/>
      <w:bookmarkEnd w:id="47"/>
      <w:bookmarkEnd w:id="48"/>
    </w:p>
    <w:p w:rsidR="002648B0" w:rsidRPr="00661595" w:rsidRDefault="002648B0" w:rsidP="00D946DB">
      <w:pPr>
        <w:spacing w:after="0"/>
        <w:rPr>
          <w:rFonts w:ascii="Times New Roman" w:hAnsi="Times New Roman"/>
          <w:b/>
          <w:sz w:val="24"/>
        </w:rPr>
      </w:pPr>
    </w:p>
    <w:tbl>
      <w:tblPr>
        <w:tblW w:w="8865"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1"/>
        <w:gridCol w:w="7274"/>
      </w:tblGrid>
      <w:tr w:rsidR="002648B0" w:rsidRPr="00661595" w:rsidTr="00672D2A">
        <w:tc>
          <w:tcPr>
            <w:tcW w:w="1591" w:type="dxa"/>
            <w:shd w:val="clear" w:color="auto" w:fill="D9D9D9"/>
          </w:tcPr>
          <w:p w:rsidR="002648B0" w:rsidRPr="00661595" w:rsidRDefault="002648B0" w:rsidP="00115052">
            <w:pPr>
              <w:pStyle w:val="InstructionsText"/>
            </w:pPr>
            <w:r>
              <w:t>Riga</w:t>
            </w:r>
          </w:p>
        </w:tc>
        <w:tc>
          <w:tcPr>
            <w:tcW w:w="7274" w:type="dxa"/>
            <w:shd w:val="clear" w:color="auto" w:fill="D9D9D9"/>
          </w:tcPr>
          <w:p w:rsidR="005643EA" w:rsidRPr="00661595" w:rsidRDefault="002648B0" w:rsidP="00115052">
            <w:pPr>
              <w:pStyle w:val="InstructionsText"/>
            </w:pPr>
            <w:r>
              <w:t>Riferimenti giuridici e istruzioni</w:t>
            </w:r>
          </w:p>
        </w:tc>
      </w:tr>
      <w:tr w:rsidR="002648B0" w:rsidRPr="00661595" w:rsidTr="00672D2A">
        <w:tc>
          <w:tcPr>
            <w:tcW w:w="1591" w:type="dxa"/>
          </w:tcPr>
          <w:p w:rsidR="002648B0" w:rsidRPr="00661595" w:rsidRDefault="00CF1093" w:rsidP="00115052">
            <w:pPr>
              <w:pStyle w:val="InstructionsText"/>
            </w:pPr>
            <w:r>
              <w:t>0010</w:t>
            </w:r>
          </w:p>
        </w:tc>
        <w:tc>
          <w:tcPr>
            <w:tcW w:w="7274" w:type="dxa"/>
          </w:tcPr>
          <w:p w:rsidR="005643EA" w:rsidRPr="00661595" w:rsidRDefault="00C66473" w:rsidP="00115052">
            <w:pPr>
              <w:pStyle w:val="InstructionsText"/>
            </w:pPr>
            <w:r>
              <w:rPr>
                <w:rStyle w:val="InstructionsTabelleberschrift"/>
                <w:rFonts w:ascii="Times New Roman" w:hAnsi="Times New Roman"/>
                <w:sz w:val="24"/>
              </w:rPr>
              <w:t>1.</w:t>
            </w:r>
            <w:r w:rsidRPr="00821208">
              <w:rPr>
                <w:u w:val="single"/>
              </w:rPr>
              <w:tab/>
            </w:r>
            <w:r>
              <w:rPr>
                <w:rStyle w:val="InstructionsTabelleberschrift"/>
                <w:rFonts w:ascii="Times New Roman" w:hAnsi="Times New Roman"/>
                <w:sz w:val="24"/>
              </w:rPr>
              <w:t>IMPORTO COMPLESSIVO DELL</w:t>
            </w:r>
            <w:r w:rsidR="000878EC">
              <w:rPr>
                <w:rStyle w:val="InstructionsTabelleberschrift"/>
                <w:rFonts w:ascii="Times New Roman" w:hAnsi="Times New Roman"/>
                <w:sz w:val="24"/>
              </w:rPr>
              <w:t>'</w:t>
            </w:r>
            <w:r>
              <w:rPr>
                <w:rStyle w:val="InstructionsTabelleberschrift"/>
                <w:rFonts w:ascii="Times New Roman" w:hAnsi="Times New Roman"/>
                <w:sz w:val="24"/>
              </w:rPr>
              <w:t>ESPOSIZIONE AL RISCHIO</w:t>
            </w:r>
          </w:p>
          <w:p w:rsidR="002648B0" w:rsidRPr="00661595" w:rsidRDefault="002648B0" w:rsidP="00115052">
            <w:pPr>
              <w:pStyle w:val="InstructionsText"/>
            </w:pPr>
            <w:r>
              <w:t>Articolo 92, paragrafo 3, e articoli 95, 96 e 98 del CRR</w:t>
            </w:r>
          </w:p>
        </w:tc>
      </w:tr>
      <w:tr w:rsidR="002648B0" w:rsidRPr="00661595" w:rsidTr="00672D2A">
        <w:tc>
          <w:tcPr>
            <w:tcW w:w="1591" w:type="dxa"/>
          </w:tcPr>
          <w:p w:rsidR="002648B0" w:rsidRPr="00661595" w:rsidRDefault="00CF1093" w:rsidP="00115052">
            <w:pPr>
              <w:pStyle w:val="InstructionsText"/>
            </w:pPr>
            <w:r>
              <w:t>0020</w:t>
            </w:r>
          </w:p>
        </w:tc>
        <w:tc>
          <w:tcPr>
            <w:tcW w:w="7274" w:type="dxa"/>
          </w:tcPr>
          <w:p w:rsidR="005643EA" w:rsidRPr="00661595" w:rsidRDefault="002648B0" w:rsidP="00115052">
            <w:pPr>
              <w:pStyle w:val="InstructionsText"/>
            </w:pPr>
            <w:r>
              <w:rPr>
                <w:rStyle w:val="InstructionsTabelleberschrift"/>
                <w:rFonts w:ascii="Times New Roman" w:hAnsi="Times New Roman"/>
                <w:sz w:val="24"/>
              </w:rPr>
              <w:t>1*</w:t>
            </w:r>
            <w:r w:rsidRPr="00821208">
              <w:rPr>
                <w:u w:val="single"/>
              </w:rPr>
              <w:tab/>
            </w:r>
            <w:r>
              <w:rPr>
                <w:rStyle w:val="InstructionsTabelleberschrift"/>
                <w:rFonts w:ascii="Times New Roman" w:hAnsi="Times New Roman"/>
                <w:sz w:val="24"/>
              </w:rPr>
              <w:t>di cui: Imprese di investimento ai sensi dell</w:t>
            </w:r>
            <w:r w:rsidR="000878EC">
              <w:rPr>
                <w:rStyle w:val="InstructionsTabelleberschrift"/>
                <w:rFonts w:ascii="Times New Roman" w:hAnsi="Times New Roman"/>
                <w:sz w:val="24"/>
              </w:rPr>
              <w:t>'</w:t>
            </w:r>
            <w:r>
              <w:rPr>
                <w:rStyle w:val="InstructionsTabelleberschrift"/>
                <w:rFonts w:ascii="Times New Roman" w:hAnsi="Times New Roman"/>
                <w:sz w:val="24"/>
              </w:rPr>
              <w:t>articolo 95, paragrafo 2, e dell</w:t>
            </w:r>
            <w:r w:rsidR="000878EC">
              <w:rPr>
                <w:rStyle w:val="InstructionsTabelleberschrift"/>
                <w:rFonts w:ascii="Times New Roman" w:hAnsi="Times New Roman"/>
                <w:sz w:val="24"/>
              </w:rPr>
              <w:t>'</w:t>
            </w:r>
            <w:r>
              <w:rPr>
                <w:rStyle w:val="InstructionsTabelleberschrift"/>
                <w:rFonts w:ascii="Times New Roman" w:hAnsi="Times New Roman"/>
                <w:sz w:val="24"/>
              </w:rPr>
              <w:t>articolo 98 del CRR</w:t>
            </w:r>
          </w:p>
          <w:p w:rsidR="005643EA" w:rsidRPr="00661595" w:rsidRDefault="002648B0" w:rsidP="00115052">
            <w:pPr>
              <w:pStyle w:val="InstructionsText"/>
            </w:pPr>
            <w:r>
              <w:t>Per le imprese di investimento di cui all</w:t>
            </w:r>
            <w:r w:rsidR="000878EC">
              <w:t>'</w:t>
            </w:r>
            <w:r>
              <w:t xml:space="preserve">articolo 95, paragrafo </w:t>
            </w:r>
            <w:r>
              <w:rPr>
                <w:rStyle w:val="FormatvorlageInstructionsTabelleText"/>
                <w:rFonts w:ascii="Times New Roman" w:hAnsi="Times New Roman"/>
                <w:sz w:val="24"/>
              </w:rPr>
              <w:t>2</w:t>
            </w:r>
            <w:r>
              <w:t>, e all</w:t>
            </w:r>
            <w:r w:rsidR="000878EC">
              <w:t>'</w:t>
            </w:r>
            <w:r>
              <w:t>articolo 98 del CRR</w:t>
            </w:r>
          </w:p>
        </w:tc>
      </w:tr>
      <w:tr w:rsidR="002648B0" w:rsidRPr="00661595" w:rsidTr="00672D2A">
        <w:tc>
          <w:tcPr>
            <w:tcW w:w="1591" w:type="dxa"/>
          </w:tcPr>
          <w:p w:rsidR="002648B0" w:rsidRPr="00661595" w:rsidRDefault="00CF1093" w:rsidP="00115052">
            <w:pPr>
              <w:pStyle w:val="InstructionsText"/>
            </w:pPr>
            <w:r>
              <w:t>0030</w:t>
            </w:r>
          </w:p>
        </w:tc>
        <w:tc>
          <w:tcPr>
            <w:tcW w:w="7274" w:type="dxa"/>
          </w:tcPr>
          <w:p w:rsidR="005643EA" w:rsidRPr="00661595" w:rsidRDefault="002648B0" w:rsidP="00115052">
            <w:pPr>
              <w:pStyle w:val="InstructionsText"/>
            </w:pPr>
            <w:r>
              <w:rPr>
                <w:rStyle w:val="InstructionsTabelleberschrift"/>
                <w:rFonts w:ascii="Times New Roman" w:hAnsi="Times New Roman"/>
                <w:sz w:val="24"/>
              </w:rPr>
              <w:t>1**</w:t>
            </w:r>
            <w:r w:rsidRPr="00821208">
              <w:rPr>
                <w:u w:val="single"/>
              </w:rPr>
              <w:tab/>
            </w:r>
            <w:r>
              <w:rPr>
                <w:rStyle w:val="InstructionsTabelleberschrift"/>
                <w:rFonts w:ascii="Times New Roman" w:hAnsi="Times New Roman"/>
                <w:sz w:val="24"/>
              </w:rPr>
              <w:t>di cui: Imprese di investimento ai sensi dell</w:t>
            </w:r>
            <w:r w:rsidR="000878EC">
              <w:rPr>
                <w:rStyle w:val="InstructionsTabelleberschrift"/>
                <w:rFonts w:ascii="Times New Roman" w:hAnsi="Times New Roman"/>
                <w:sz w:val="24"/>
              </w:rPr>
              <w:t>'</w:t>
            </w:r>
            <w:r>
              <w:rPr>
                <w:rStyle w:val="InstructionsTabelleberschrift"/>
                <w:rFonts w:ascii="Times New Roman" w:hAnsi="Times New Roman"/>
                <w:sz w:val="24"/>
              </w:rPr>
              <w:t>articolo 96, paragrafo 2, e dell</w:t>
            </w:r>
            <w:r w:rsidR="000878EC">
              <w:rPr>
                <w:rStyle w:val="InstructionsTabelleberschrift"/>
                <w:rFonts w:ascii="Times New Roman" w:hAnsi="Times New Roman"/>
                <w:sz w:val="24"/>
              </w:rPr>
              <w:t>'</w:t>
            </w:r>
            <w:r>
              <w:rPr>
                <w:rStyle w:val="InstructionsTabelleberschrift"/>
                <w:rFonts w:ascii="Times New Roman" w:hAnsi="Times New Roman"/>
                <w:sz w:val="24"/>
              </w:rPr>
              <w:t>articolo 97 del CRR</w:t>
            </w:r>
          </w:p>
          <w:p w:rsidR="005643EA" w:rsidRPr="00661595" w:rsidRDefault="002648B0" w:rsidP="00115052">
            <w:pPr>
              <w:pStyle w:val="InstructionsText"/>
            </w:pPr>
            <w:r>
              <w:t>Per le imprese di investimento di cui all</w:t>
            </w:r>
            <w:r w:rsidR="000878EC">
              <w:t>'</w:t>
            </w:r>
            <w:r>
              <w:t xml:space="preserve">articolo 96, paragrafo </w:t>
            </w:r>
            <w:r>
              <w:rPr>
                <w:rStyle w:val="FormatvorlageInstructionsTabelleText"/>
                <w:rFonts w:ascii="Times New Roman" w:hAnsi="Times New Roman"/>
                <w:sz w:val="24"/>
              </w:rPr>
              <w:t>2</w:t>
            </w:r>
            <w:r>
              <w:t>, e all</w:t>
            </w:r>
            <w:r w:rsidR="000878EC">
              <w:t>'</w:t>
            </w:r>
            <w:r>
              <w:t>articolo 97 del CRR</w:t>
            </w:r>
          </w:p>
        </w:tc>
      </w:tr>
      <w:tr w:rsidR="002648B0" w:rsidRPr="00661595" w:rsidTr="00672D2A">
        <w:tc>
          <w:tcPr>
            <w:tcW w:w="1591" w:type="dxa"/>
          </w:tcPr>
          <w:p w:rsidR="002648B0"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274" w:type="dxa"/>
          </w:tcPr>
          <w:p w:rsidR="005643EA" w:rsidRPr="00661595" w:rsidRDefault="002648B0"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w:t>
            </w:r>
            <w:r w:rsidRPr="00821208">
              <w:rPr>
                <w:u w:val="single"/>
              </w:rPr>
              <w:tab/>
            </w:r>
            <w:r>
              <w:rPr>
                <w:rStyle w:val="InstructionsTabelleberschrift"/>
                <w:rFonts w:ascii="Times New Roman" w:hAnsi="Times New Roman"/>
                <w:sz w:val="24"/>
              </w:rPr>
              <w:t>IMPORTI DELLE ESPOSIZIONI PONDERATI PER RISCHIO DI CREDITO, RISCHIO DI CONTROPARTE E RISCHIO DI DILUIZIONE E OPERAZIONI CON REGOLAMENTO NON CONTESTUALE</w:t>
            </w:r>
          </w:p>
          <w:p w:rsidR="005643EA" w:rsidRPr="00661595" w:rsidRDefault="002C66A4"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92, paragrafo 3, lettere a) e f), del CRR</w:t>
            </w:r>
          </w:p>
        </w:tc>
      </w:tr>
      <w:tr w:rsidR="002648B0" w:rsidRPr="00661595" w:rsidTr="00672D2A">
        <w:tc>
          <w:tcPr>
            <w:tcW w:w="1591" w:type="dxa"/>
          </w:tcPr>
          <w:p w:rsidR="002648B0"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274" w:type="dxa"/>
          </w:tcPr>
          <w:p w:rsidR="005643EA" w:rsidRPr="00661595" w:rsidRDefault="002648B0"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sidRPr="00821208">
              <w:rPr>
                <w:u w:val="single"/>
              </w:rPr>
              <w:tab/>
            </w:r>
            <w:r>
              <w:rPr>
                <w:rStyle w:val="InstructionsTabelleberschrift"/>
                <w:rFonts w:ascii="Times New Roman" w:hAnsi="Times New Roman"/>
                <w:sz w:val="24"/>
              </w:rPr>
              <w:t>Metodo standardizzato (SA)</w:t>
            </w:r>
          </w:p>
          <w:p w:rsidR="002648B0" w:rsidRPr="00661595" w:rsidRDefault="002648B0" w:rsidP="00115052">
            <w:pPr>
              <w:pStyle w:val="InstructionsText"/>
              <w:rPr>
                <w:rStyle w:val="FormatvorlageInstructionsTabelleText"/>
                <w:rFonts w:ascii="Times New Roman" w:hAnsi="Times New Roman"/>
                <w:sz w:val="24"/>
              </w:rPr>
            </w:pPr>
            <w:r>
              <w:rPr>
                <w:rStyle w:val="InstructionsTabelleberschrift"/>
                <w:rFonts w:ascii="Times New Roman" w:hAnsi="Times New Roman"/>
                <w:b w:val="0"/>
                <w:sz w:val="24"/>
                <w:u w:val="none"/>
              </w:rPr>
              <w:t>Modelli CR SA e SEC SA a livello di esposizioni totali.</w:t>
            </w:r>
          </w:p>
        </w:tc>
      </w:tr>
      <w:tr w:rsidR="00802958" w:rsidRPr="00661595" w:rsidTr="00672D2A">
        <w:tc>
          <w:tcPr>
            <w:tcW w:w="1591" w:type="dxa"/>
          </w:tcPr>
          <w:p w:rsidR="00802958"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0051</w:t>
            </w:r>
          </w:p>
        </w:tc>
        <w:tc>
          <w:tcPr>
            <w:tcW w:w="7274" w:type="dxa"/>
          </w:tcPr>
          <w:p w:rsidR="00802958" w:rsidRPr="00661595" w:rsidRDefault="00802958"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1.1.1*</w:t>
            </w:r>
            <w:r w:rsidRPr="00821208">
              <w:rPr>
                <w:u w:val="single"/>
              </w:rPr>
              <w:tab/>
            </w:r>
            <w:r>
              <w:rPr>
                <w:rStyle w:val="InstructionsTabelleberschrift"/>
                <w:rFonts w:ascii="Times New Roman" w:hAnsi="Times New Roman"/>
                <w:sz w:val="24"/>
              </w:rPr>
              <w:t>di cui: requisiti prudenziali aggiuntivi più rigorosi basati sull</w:t>
            </w:r>
            <w:r w:rsidR="000878EC">
              <w:rPr>
                <w:rStyle w:val="InstructionsTabelleberschrift"/>
                <w:rFonts w:ascii="Times New Roman" w:hAnsi="Times New Roman"/>
                <w:sz w:val="24"/>
              </w:rPr>
              <w:t>'</w:t>
            </w:r>
            <w:r>
              <w:rPr>
                <w:rStyle w:val="InstructionsTabelleberschrift"/>
                <w:rFonts w:ascii="Times New Roman" w:hAnsi="Times New Roman"/>
                <w:sz w:val="24"/>
              </w:rPr>
              <w:t>articolo 124 del CRR</w:t>
            </w:r>
          </w:p>
          <w:p w:rsidR="00802958" w:rsidRPr="00661595" w:rsidRDefault="004852B9" w:rsidP="00115052">
            <w:pPr>
              <w:pStyle w:val="InstructionsText"/>
              <w:rPr>
                <w:rStyle w:val="InstructionsTabelleberschrift"/>
                <w:rFonts w:ascii="Times New Roman" w:hAnsi="Times New Roman"/>
                <w:sz w:val="24"/>
              </w:rPr>
            </w:pPr>
            <w:r>
              <w:t>L</w:t>
            </w:r>
            <w:r w:rsidR="000878EC">
              <w:t>'</w:t>
            </w:r>
            <w:r>
              <w:t>ente segnala gli importi aggiuntivi dell</w:t>
            </w:r>
            <w:r w:rsidR="000878EC">
              <w:t>'</w:t>
            </w:r>
            <w:r>
              <w:t>esposizione al rischio necessari per adempiere ai requisiti prudenziali più rigorosi che gli sono stati comunicati previa consultazione con l</w:t>
            </w:r>
            <w:r w:rsidR="000878EC">
              <w:t>'</w:t>
            </w:r>
            <w:r>
              <w:t>ABE conformemente all</w:t>
            </w:r>
            <w:r w:rsidR="000878EC">
              <w:t>'</w:t>
            </w:r>
            <w:r>
              <w:t>articolo 124, paragrafi 2 e 5, del CRR.</w:t>
            </w:r>
          </w:p>
        </w:tc>
      </w:tr>
      <w:tr w:rsidR="002648B0" w:rsidRPr="00661595" w:rsidTr="00672D2A">
        <w:tc>
          <w:tcPr>
            <w:tcW w:w="1591" w:type="dxa"/>
          </w:tcPr>
          <w:p w:rsidR="002648B0"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274" w:type="dxa"/>
          </w:tcPr>
          <w:p w:rsidR="00C44421" w:rsidRPr="00661595" w:rsidRDefault="00C44421"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w:t>
            </w:r>
            <w:r w:rsidRPr="00821208">
              <w:rPr>
                <w:u w:val="single"/>
              </w:rPr>
              <w:tab/>
            </w:r>
            <w:r>
              <w:rPr>
                <w:rStyle w:val="InstructionsTabelleberschrift"/>
                <w:rFonts w:ascii="Times New Roman" w:hAnsi="Times New Roman"/>
                <w:sz w:val="24"/>
              </w:rPr>
              <w:t>Classi di esposizioni cui è applicato il metodo standardizzato escluse le posizioni verso la cartolarizzazione</w:t>
            </w:r>
          </w:p>
          <w:p w:rsidR="002648B0" w:rsidRPr="00661595" w:rsidRDefault="002648B0"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Modello CR SA a livello di esposizioni totali. Le classi di esposizioni cui è applicato il metodo standardizzato sono quelle</w:t>
            </w:r>
            <w:r>
              <w:t xml:space="preserve"> </w:t>
            </w:r>
            <w:r>
              <w:rPr>
                <w:rStyle w:val="FormatvorlageInstructionsTabelleText"/>
                <w:rFonts w:ascii="Times New Roman" w:hAnsi="Times New Roman"/>
                <w:sz w:val="24"/>
              </w:rPr>
              <w:t>citate nell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articolo 112 del CRR, escluse le posizioni verso la cartolarizzazione</w:t>
            </w:r>
            <w:r>
              <w:t>.</w:t>
            </w:r>
          </w:p>
        </w:tc>
      </w:tr>
      <w:tr w:rsidR="002648B0" w:rsidRPr="00661595" w:rsidTr="00672D2A">
        <w:tc>
          <w:tcPr>
            <w:tcW w:w="1591" w:type="dxa"/>
          </w:tcPr>
          <w:p w:rsidR="002648B0"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274" w:type="dxa"/>
          </w:tcPr>
          <w:p w:rsidR="005643EA" w:rsidRPr="00661595" w:rsidRDefault="002648B0"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1.1.1.1.01</w:t>
            </w:r>
            <w:r w:rsidRPr="00821208">
              <w:rPr>
                <w:u w:val="single"/>
              </w:rPr>
              <w:tab/>
            </w:r>
            <w:r>
              <w:rPr>
                <w:rStyle w:val="InstructionsTabelleberschrift"/>
                <w:rFonts w:ascii="Times New Roman" w:hAnsi="Times New Roman"/>
                <w:sz w:val="24"/>
              </w:rPr>
              <w:t>Amministrazioni centrali o banche centrali</w:t>
            </w:r>
          </w:p>
          <w:p w:rsidR="00496C53" w:rsidRPr="00661595" w:rsidRDefault="00D212FE" w:rsidP="0011505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Cfr. il modello CR SA.</w:t>
            </w:r>
          </w:p>
        </w:tc>
      </w:tr>
      <w:tr w:rsidR="002648B0" w:rsidRPr="00661595" w:rsidTr="00672D2A">
        <w:tc>
          <w:tcPr>
            <w:tcW w:w="1591" w:type="dxa"/>
          </w:tcPr>
          <w:p w:rsidR="00783881"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274" w:type="dxa"/>
          </w:tcPr>
          <w:p w:rsidR="00783881" w:rsidRPr="00661595" w:rsidRDefault="002648B0"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1.1.1.1.02</w:t>
            </w:r>
            <w:r w:rsidRPr="00821208">
              <w:rPr>
                <w:u w:val="single"/>
              </w:rPr>
              <w:tab/>
            </w:r>
            <w:r>
              <w:rPr>
                <w:rStyle w:val="InstructionsTabelleberschrift"/>
                <w:rFonts w:ascii="Times New Roman" w:hAnsi="Times New Roman"/>
                <w:sz w:val="24"/>
              </w:rPr>
              <w:t>Amministrazioni regionali o autorità locali</w:t>
            </w:r>
          </w:p>
          <w:p w:rsidR="002648B0" w:rsidRPr="00661595" w:rsidRDefault="00D212FE"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Cfr. il modello CR SA.</w:t>
            </w:r>
          </w:p>
        </w:tc>
      </w:tr>
      <w:tr w:rsidR="002648B0" w:rsidRPr="00661595" w:rsidTr="00672D2A">
        <w:tc>
          <w:tcPr>
            <w:tcW w:w="1591" w:type="dxa"/>
          </w:tcPr>
          <w:p w:rsidR="00783881"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274" w:type="dxa"/>
          </w:tcPr>
          <w:p w:rsidR="005643EA" w:rsidRPr="00661595" w:rsidRDefault="002648B0" w:rsidP="0011505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1.1.1.1.03</w:t>
            </w:r>
            <w:r w:rsidRPr="00821208">
              <w:rPr>
                <w:u w:val="single"/>
              </w:rPr>
              <w:tab/>
            </w:r>
            <w:r>
              <w:rPr>
                <w:rStyle w:val="InstructionsTabelleberschrift"/>
                <w:rFonts w:ascii="Times New Roman" w:hAnsi="Times New Roman"/>
                <w:sz w:val="24"/>
              </w:rPr>
              <w:t>Organismi del settore pubblico</w:t>
            </w:r>
          </w:p>
          <w:p w:rsidR="002648B0" w:rsidRPr="00661595" w:rsidRDefault="00D212FE"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Cfr. il modello CR SA.</w:t>
            </w:r>
          </w:p>
        </w:tc>
      </w:tr>
      <w:tr w:rsidR="002648B0" w:rsidRPr="00661595" w:rsidTr="00672D2A">
        <w:tc>
          <w:tcPr>
            <w:tcW w:w="1591" w:type="dxa"/>
          </w:tcPr>
          <w:p w:rsidR="00783881"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274" w:type="dxa"/>
          </w:tcPr>
          <w:p w:rsidR="002648B0" w:rsidRPr="00661595" w:rsidRDefault="002648B0"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1.1.1.1.04</w:t>
            </w:r>
            <w:r w:rsidRPr="00821208">
              <w:rPr>
                <w:u w:val="single"/>
              </w:rPr>
              <w:tab/>
            </w:r>
            <w:r>
              <w:rPr>
                <w:rStyle w:val="InstructionsTabelleberschrift"/>
                <w:rFonts w:ascii="Times New Roman" w:hAnsi="Times New Roman"/>
                <w:sz w:val="24"/>
              </w:rPr>
              <w:t>Banche multilaterali di sviluppo</w:t>
            </w:r>
          </w:p>
          <w:p w:rsidR="002648B0" w:rsidRPr="00661595" w:rsidRDefault="00D212FE"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Cfr. il modello CR SA. </w:t>
            </w:r>
          </w:p>
        </w:tc>
      </w:tr>
      <w:tr w:rsidR="002648B0" w:rsidRPr="009B627A" w:rsidTr="00672D2A">
        <w:tc>
          <w:tcPr>
            <w:tcW w:w="1591" w:type="dxa"/>
          </w:tcPr>
          <w:p w:rsidR="00783881"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274" w:type="dxa"/>
          </w:tcPr>
          <w:p w:rsidR="005643EA" w:rsidRPr="00661595" w:rsidRDefault="002648B0"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1.1.1.1.05</w:t>
            </w:r>
            <w:r w:rsidRPr="00821208">
              <w:rPr>
                <w:u w:val="single"/>
              </w:rPr>
              <w:tab/>
            </w:r>
            <w:r>
              <w:rPr>
                <w:rStyle w:val="InstructionsTabelleberschrift"/>
                <w:rFonts w:ascii="Times New Roman" w:hAnsi="Times New Roman"/>
                <w:sz w:val="24"/>
              </w:rPr>
              <w:t>Organizzazioni internazionali</w:t>
            </w:r>
          </w:p>
          <w:p w:rsidR="002648B0" w:rsidRPr="00661595" w:rsidRDefault="00783881"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Cfr. il modello CR SA.</w:t>
            </w:r>
          </w:p>
        </w:tc>
      </w:tr>
      <w:tr w:rsidR="002648B0" w:rsidRPr="009B627A" w:rsidTr="00672D2A">
        <w:tc>
          <w:tcPr>
            <w:tcW w:w="1591" w:type="dxa"/>
          </w:tcPr>
          <w:p w:rsidR="00783881" w:rsidRPr="00661595" w:rsidRDefault="00CF1093"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274" w:type="dxa"/>
          </w:tcPr>
          <w:p w:rsidR="005643EA" w:rsidRPr="00661595" w:rsidRDefault="00783881"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1.1.1.1.06</w:t>
            </w:r>
            <w:r w:rsidRPr="00821208">
              <w:rPr>
                <w:u w:val="single"/>
              </w:rPr>
              <w:tab/>
            </w:r>
            <w:r>
              <w:rPr>
                <w:rStyle w:val="InstructionsTabelleberschrift"/>
                <w:rFonts w:ascii="Times New Roman" w:hAnsi="Times New Roman"/>
                <w:sz w:val="24"/>
              </w:rPr>
              <w:t>Enti</w:t>
            </w:r>
          </w:p>
          <w:p w:rsidR="002648B0" w:rsidRPr="00661595" w:rsidRDefault="00783881"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Cfr. il modello CR SA.</w:t>
            </w:r>
          </w:p>
        </w:tc>
      </w:tr>
      <w:tr w:rsidR="002648B0" w:rsidRPr="00661595" w:rsidTr="00672D2A">
        <w:tc>
          <w:tcPr>
            <w:tcW w:w="1591" w:type="dxa"/>
          </w:tcPr>
          <w:p w:rsidR="00783881" w:rsidRPr="00661595" w:rsidRDefault="00B13F06"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274" w:type="dxa"/>
          </w:tcPr>
          <w:p w:rsidR="00783881" w:rsidRPr="00661595" w:rsidRDefault="002648B0"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1.1.1.1.07</w:t>
            </w:r>
            <w:r w:rsidRPr="00821208">
              <w:rPr>
                <w:u w:val="single"/>
              </w:rPr>
              <w:tab/>
            </w:r>
            <w:r>
              <w:rPr>
                <w:rStyle w:val="InstructionsTabelleberschrift"/>
                <w:rFonts w:ascii="Times New Roman" w:hAnsi="Times New Roman"/>
                <w:sz w:val="24"/>
              </w:rPr>
              <w:t>Imprese</w:t>
            </w:r>
          </w:p>
          <w:p w:rsidR="002648B0" w:rsidRPr="00661595" w:rsidRDefault="00D212FE"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Cfr. il modello CR SA.</w:t>
            </w:r>
          </w:p>
        </w:tc>
      </w:tr>
      <w:tr w:rsidR="002648B0" w:rsidRPr="00661595" w:rsidTr="00672D2A">
        <w:tc>
          <w:tcPr>
            <w:tcW w:w="1591" w:type="dxa"/>
          </w:tcPr>
          <w:p w:rsidR="00783881" w:rsidRPr="00661595" w:rsidRDefault="00B13F06"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274" w:type="dxa"/>
          </w:tcPr>
          <w:p w:rsidR="005643EA" w:rsidRPr="00661595" w:rsidRDefault="002648B0" w:rsidP="0011505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1.1.1.1.08</w:t>
            </w:r>
            <w:r w:rsidRPr="00821208">
              <w:rPr>
                <w:u w:val="single"/>
              </w:rPr>
              <w:tab/>
            </w:r>
            <w:r>
              <w:rPr>
                <w:rStyle w:val="InstructionsTabelleberschrift"/>
                <w:rFonts w:ascii="Times New Roman" w:hAnsi="Times New Roman"/>
                <w:sz w:val="24"/>
              </w:rPr>
              <w:t>Al dettaglio</w:t>
            </w:r>
          </w:p>
          <w:p w:rsidR="002648B0" w:rsidRPr="00661595" w:rsidRDefault="00D212FE"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Cfr. il modello CR SA.</w:t>
            </w:r>
          </w:p>
        </w:tc>
      </w:tr>
      <w:tr w:rsidR="002648B0" w:rsidRPr="00661595" w:rsidTr="00672D2A">
        <w:tc>
          <w:tcPr>
            <w:tcW w:w="1591" w:type="dxa"/>
          </w:tcPr>
          <w:p w:rsidR="002648B0" w:rsidRPr="00661595" w:rsidRDefault="00B13F06"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274" w:type="dxa"/>
          </w:tcPr>
          <w:p w:rsidR="005643EA" w:rsidRPr="00661595" w:rsidRDefault="002648B0" w:rsidP="0011505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1.1.1.1.09</w:t>
            </w:r>
            <w:r w:rsidRPr="00821208">
              <w:rPr>
                <w:u w:val="single"/>
              </w:rPr>
              <w:tab/>
            </w:r>
            <w:r>
              <w:rPr>
                <w:rStyle w:val="InstructionsTabelleberschrift"/>
                <w:rFonts w:ascii="Times New Roman" w:hAnsi="Times New Roman"/>
                <w:sz w:val="24"/>
              </w:rPr>
              <w:t>Garantite da ipoteche su beni immobili</w:t>
            </w:r>
          </w:p>
          <w:p w:rsidR="002648B0" w:rsidRPr="00661595" w:rsidRDefault="00D212FE"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Cfr. il modello CR SA.</w:t>
            </w:r>
          </w:p>
        </w:tc>
      </w:tr>
      <w:tr w:rsidR="002648B0" w:rsidRPr="00661595" w:rsidTr="00672D2A">
        <w:tc>
          <w:tcPr>
            <w:tcW w:w="1591" w:type="dxa"/>
          </w:tcPr>
          <w:p w:rsidR="002648B0" w:rsidRPr="00661595" w:rsidRDefault="00B13F06"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0160</w:t>
            </w:r>
          </w:p>
        </w:tc>
        <w:tc>
          <w:tcPr>
            <w:tcW w:w="7274" w:type="dxa"/>
          </w:tcPr>
          <w:p w:rsidR="005643EA" w:rsidRPr="00661595" w:rsidRDefault="002648B0" w:rsidP="0011505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1.1.1.1.10</w:t>
            </w:r>
            <w:r w:rsidRPr="00821208">
              <w:rPr>
                <w:u w:val="single"/>
              </w:rPr>
              <w:tab/>
            </w:r>
            <w:r>
              <w:rPr>
                <w:rStyle w:val="InstructionsTabelleberschrift"/>
                <w:rFonts w:ascii="Times New Roman" w:hAnsi="Times New Roman"/>
                <w:sz w:val="24"/>
              </w:rPr>
              <w:t>Esposizioni in stato di default</w:t>
            </w:r>
          </w:p>
          <w:p w:rsidR="002648B0" w:rsidRPr="00661595" w:rsidRDefault="00D212FE"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Cfr. il modello CR SA.</w:t>
            </w:r>
          </w:p>
        </w:tc>
      </w:tr>
      <w:tr w:rsidR="002648B0" w:rsidRPr="00661595" w:rsidTr="00672D2A">
        <w:tc>
          <w:tcPr>
            <w:tcW w:w="1591" w:type="dxa"/>
          </w:tcPr>
          <w:p w:rsidR="00783881" w:rsidRPr="00661595" w:rsidRDefault="00B13F06"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274" w:type="dxa"/>
          </w:tcPr>
          <w:p w:rsidR="00783881" w:rsidRPr="00661595" w:rsidRDefault="002648B0"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1.1.1.1.11</w:t>
            </w:r>
            <w:r w:rsidRPr="00821208">
              <w:rPr>
                <w:u w:val="single"/>
              </w:rPr>
              <w:tab/>
            </w:r>
            <w:r>
              <w:rPr>
                <w:rStyle w:val="InstructionsTabelleberschrift"/>
                <w:rFonts w:ascii="Times New Roman" w:hAnsi="Times New Roman"/>
                <w:sz w:val="24"/>
              </w:rPr>
              <w:t>Posizioni associate a un rischio particolarmente elevato</w:t>
            </w:r>
          </w:p>
          <w:p w:rsidR="002648B0" w:rsidRPr="00661595" w:rsidRDefault="00D212FE"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Cfr. il modello CR SA.</w:t>
            </w:r>
          </w:p>
        </w:tc>
      </w:tr>
      <w:tr w:rsidR="002648B0" w:rsidRPr="00661595" w:rsidTr="00672D2A">
        <w:tc>
          <w:tcPr>
            <w:tcW w:w="1591" w:type="dxa"/>
          </w:tcPr>
          <w:p w:rsidR="00783881" w:rsidRPr="00661595" w:rsidRDefault="00B13F06"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0180</w:t>
            </w:r>
          </w:p>
        </w:tc>
        <w:tc>
          <w:tcPr>
            <w:tcW w:w="7274" w:type="dxa"/>
          </w:tcPr>
          <w:p w:rsidR="005643EA" w:rsidRPr="00661595" w:rsidRDefault="002648B0" w:rsidP="0011505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1.1.1.1.12</w:t>
            </w:r>
            <w:r w:rsidRPr="00821208">
              <w:rPr>
                <w:u w:val="single"/>
              </w:rPr>
              <w:tab/>
            </w:r>
            <w:r>
              <w:rPr>
                <w:rStyle w:val="InstructionsTabelleberschrift"/>
                <w:rFonts w:ascii="Times New Roman" w:hAnsi="Times New Roman"/>
                <w:sz w:val="24"/>
              </w:rPr>
              <w:t>Obbligazioni garantite</w:t>
            </w:r>
          </w:p>
          <w:p w:rsidR="002648B0" w:rsidRPr="00661595" w:rsidRDefault="00D212FE"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Cfr. il modello CR SA.</w:t>
            </w:r>
          </w:p>
        </w:tc>
      </w:tr>
      <w:tr w:rsidR="002648B0" w:rsidRPr="00661595" w:rsidTr="00672D2A">
        <w:tc>
          <w:tcPr>
            <w:tcW w:w="1591" w:type="dxa"/>
          </w:tcPr>
          <w:p w:rsidR="002648B0" w:rsidRPr="00661595" w:rsidRDefault="00B13F06"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0190</w:t>
            </w:r>
          </w:p>
        </w:tc>
        <w:tc>
          <w:tcPr>
            <w:tcW w:w="7274" w:type="dxa"/>
          </w:tcPr>
          <w:p w:rsidR="005643EA" w:rsidRPr="00661595" w:rsidRDefault="002648B0" w:rsidP="0011505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1.1.1.1.13</w:t>
            </w:r>
            <w:r w:rsidRPr="00821208">
              <w:rPr>
                <w:u w:val="single"/>
              </w:rPr>
              <w:tab/>
            </w:r>
            <w:r>
              <w:rPr>
                <w:rStyle w:val="InstructionsTabelleberschrift"/>
                <w:rFonts w:ascii="Times New Roman" w:hAnsi="Times New Roman"/>
                <w:sz w:val="24"/>
              </w:rPr>
              <w:t>Crediti verso enti e imprese con una valutazione del merito di credito a breve termine</w:t>
            </w:r>
          </w:p>
          <w:p w:rsidR="002648B0" w:rsidRPr="00661595" w:rsidRDefault="00D212FE"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Cfr. il modello CR SA.</w:t>
            </w:r>
          </w:p>
        </w:tc>
      </w:tr>
      <w:tr w:rsidR="002648B0" w:rsidRPr="00661595" w:rsidTr="00672D2A">
        <w:tc>
          <w:tcPr>
            <w:tcW w:w="1591" w:type="dxa"/>
          </w:tcPr>
          <w:p w:rsidR="005643EA" w:rsidRPr="00661595" w:rsidRDefault="00B13F06" w:rsidP="0011505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0200</w:t>
            </w:r>
          </w:p>
        </w:tc>
        <w:tc>
          <w:tcPr>
            <w:tcW w:w="7274" w:type="dxa"/>
          </w:tcPr>
          <w:p w:rsidR="005643EA" w:rsidRPr="00661595" w:rsidRDefault="002648B0" w:rsidP="0011505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1.1.1.1.14</w:t>
            </w:r>
            <w:r w:rsidRPr="00821208">
              <w:rPr>
                <w:u w:val="single"/>
              </w:rPr>
              <w:tab/>
            </w:r>
            <w:r>
              <w:rPr>
                <w:rStyle w:val="InstructionsTabelleberschrift"/>
                <w:rFonts w:ascii="Times New Roman" w:hAnsi="Times New Roman"/>
                <w:sz w:val="24"/>
              </w:rPr>
              <w:t>Organismi di investimento collettivo (OIC)</w:t>
            </w:r>
          </w:p>
          <w:p w:rsidR="002648B0" w:rsidRPr="00661595" w:rsidRDefault="00D212FE"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Cfr. il modello CR SA.</w:t>
            </w:r>
          </w:p>
        </w:tc>
      </w:tr>
      <w:tr w:rsidR="002648B0" w:rsidRPr="00661595" w:rsidTr="00672D2A">
        <w:tc>
          <w:tcPr>
            <w:tcW w:w="1591" w:type="dxa"/>
          </w:tcPr>
          <w:p w:rsidR="002648B0" w:rsidRPr="00661595" w:rsidRDefault="00B13F06"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0210</w:t>
            </w:r>
          </w:p>
        </w:tc>
        <w:tc>
          <w:tcPr>
            <w:tcW w:w="7274" w:type="dxa"/>
          </w:tcPr>
          <w:p w:rsidR="005643EA" w:rsidRPr="00661595" w:rsidRDefault="002648B0" w:rsidP="0011505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1.1.1.1.15</w:t>
            </w:r>
            <w:r w:rsidRPr="00821208">
              <w:rPr>
                <w:u w:val="single"/>
              </w:rPr>
              <w:tab/>
            </w:r>
            <w:r>
              <w:rPr>
                <w:rStyle w:val="InstructionsTabelleberschrift"/>
                <w:rFonts w:ascii="Times New Roman" w:hAnsi="Times New Roman"/>
                <w:sz w:val="24"/>
              </w:rPr>
              <w:t>Strumenti di capitale</w:t>
            </w:r>
          </w:p>
          <w:p w:rsidR="002648B0" w:rsidRPr="00661595" w:rsidRDefault="00D212FE" w:rsidP="001E6CD6">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Cfr. il modello CR SA.</w:t>
            </w:r>
          </w:p>
        </w:tc>
      </w:tr>
      <w:tr w:rsidR="002648B0" w:rsidRPr="00661595" w:rsidTr="00672D2A">
        <w:tc>
          <w:tcPr>
            <w:tcW w:w="1591" w:type="dxa"/>
          </w:tcPr>
          <w:p w:rsidR="002648B0" w:rsidRPr="00661595" w:rsidRDefault="00B13F06"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0211</w:t>
            </w:r>
          </w:p>
        </w:tc>
        <w:tc>
          <w:tcPr>
            <w:tcW w:w="7274" w:type="dxa"/>
          </w:tcPr>
          <w:p w:rsidR="005643EA" w:rsidRPr="00661595" w:rsidRDefault="002648B0" w:rsidP="0011505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1.1.1.1.16</w:t>
            </w:r>
            <w:r w:rsidRPr="00821208">
              <w:rPr>
                <w:u w:val="single"/>
              </w:rPr>
              <w:tab/>
            </w:r>
            <w:r>
              <w:rPr>
                <w:rStyle w:val="InstructionsTabelleberschrift"/>
                <w:rFonts w:ascii="Times New Roman" w:hAnsi="Times New Roman"/>
                <w:sz w:val="24"/>
              </w:rPr>
              <w:t>Altre posizioni</w:t>
            </w:r>
          </w:p>
          <w:p w:rsidR="005643EA" w:rsidRPr="00661595" w:rsidRDefault="00D212FE" w:rsidP="00115052">
            <w:pPr>
              <w:pStyle w:val="InstructionsText"/>
              <w:rPr>
                <w:rStyle w:val="InstructionsTabelleberschrift"/>
                <w:rFonts w:ascii="Times New Roman" w:hAnsi="Times New Roman"/>
                <w:bCs w:val="0"/>
                <w:sz w:val="24"/>
              </w:rPr>
            </w:pPr>
            <w:r>
              <w:rPr>
                <w:rStyle w:val="FormatvorlageInstructionsTabelleText"/>
                <w:rFonts w:ascii="Times New Roman" w:hAnsi="Times New Roman"/>
                <w:sz w:val="24"/>
              </w:rPr>
              <w:t>Cfr. il modello CR SA.</w:t>
            </w:r>
          </w:p>
        </w:tc>
      </w:tr>
      <w:tr w:rsidR="002648B0" w:rsidRPr="00661595" w:rsidTr="00672D2A">
        <w:tc>
          <w:tcPr>
            <w:tcW w:w="1591" w:type="dxa"/>
          </w:tcPr>
          <w:p w:rsidR="002648B0" w:rsidRPr="00661595" w:rsidRDefault="00B13F06"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0240</w:t>
            </w:r>
          </w:p>
        </w:tc>
        <w:tc>
          <w:tcPr>
            <w:tcW w:w="7274" w:type="dxa"/>
          </w:tcPr>
          <w:p w:rsidR="005643EA" w:rsidRPr="00661595" w:rsidRDefault="002648B0" w:rsidP="00115052">
            <w:pPr>
              <w:pStyle w:val="InstructionsText"/>
              <w:rPr>
                <w:rStyle w:val="FormatvorlageInstructionsTabelleText"/>
                <w:rFonts w:ascii="Times New Roman" w:hAnsi="Times New Roman"/>
                <w:sz w:val="24"/>
              </w:rPr>
            </w:pPr>
            <w:r>
              <w:rPr>
                <w:rStyle w:val="InstructionsTabelleberschrift"/>
                <w:rFonts w:ascii="Times New Roman" w:hAnsi="Times New Roman"/>
                <w:sz w:val="24"/>
              </w:rPr>
              <w:t>1.1.2</w:t>
            </w:r>
            <w:r w:rsidRPr="00821208">
              <w:rPr>
                <w:u w:val="single"/>
              </w:rPr>
              <w:tab/>
            </w:r>
            <w:r>
              <w:rPr>
                <w:rStyle w:val="InstructionsTabelleberschrift"/>
                <w:rFonts w:ascii="Times New Roman" w:hAnsi="Times New Roman"/>
                <w:sz w:val="24"/>
              </w:rPr>
              <w:t xml:space="preserve">Metodo basato sui rating interni (IRB) </w:t>
            </w:r>
          </w:p>
        </w:tc>
      </w:tr>
      <w:tr w:rsidR="00802958" w:rsidRPr="00661595" w:rsidTr="00672D2A">
        <w:tc>
          <w:tcPr>
            <w:tcW w:w="1591" w:type="dxa"/>
          </w:tcPr>
          <w:p w:rsidR="00802958" w:rsidRPr="00661595" w:rsidRDefault="00B13F06"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0241</w:t>
            </w:r>
          </w:p>
        </w:tc>
        <w:tc>
          <w:tcPr>
            <w:tcW w:w="7274" w:type="dxa"/>
          </w:tcPr>
          <w:p w:rsidR="00802958" w:rsidRPr="00661595" w:rsidRDefault="00802958"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rsidRPr="00821208">
              <w:rPr>
                <w:u w:val="single"/>
              </w:rPr>
              <w:tab/>
            </w:r>
            <w:r>
              <w:rPr>
                <w:rStyle w:val="InstructionsTabelleberschrift"/>
                <w:rFonts w:ascii="Times New Roman" w:hAnsi="Times New Roman"/>
                <w:sz w:val="24"/>
              </w:rPr>
              <w:t>di cui: requisiti prudenziali aggiuntivi più rigorosi basati sull</w:t>
            </w:r>
            <w:r w:rsidR="000878EC">
              <w:rPr>
                <w:rStyle w:val="InstructionsTabelleberschrift"/>
                <w:rFonts w:ascii="Times New Roman" w:hAnsi="Times New Roman"/>
                <w:sz w:val="24"/>
              </w:rPr>
              <w:t>'</w:t>
            </w:r>
            <w:r>
              <w:rPr>
                <w:rStyle w:val="InstructionsTabelleberschrift"/>
                <w:rFonts w:ascii="Times New Roman" w:hAnsi="Times New Roman"/>
                <w:sz w:val="24"/>
              </w:rPr>
              <w:t>articolo 164 del CRR</w:t>
            </w:r>
          </w:p>
          <w:p w:rsidR="00802958" w:rsidRPr="00661595" w:rsidRDefault="004852B9" w:rsidP="00115052">
            <w:pPr>
              <w:pStyle w:val="InstructionsText"/>
              <w:rPr>
                <w:rStyle w:val="InstructionsTabelleberschrift"/>
                <w:rFonts w:ascii="Times New Roman" w:hAnsi="Times New Roman"/>
                <w:sz w:val="24"/>
              </w:rPr>
            </w:pPr>
            <w:r>
              <w:t>L</w:t>
            </w:r>
            <w:r w:rsidR="000878EC">
              <w:t>'</w:t>
            </w:r>
            <w:r>
              <w:t>ente segnala gli importi aggiuntivi dell</w:t>
            </w:r>
            <w:r w:rsidR="000878EC">
              <w:t>'</w:t>
            </w:r>
            <w:r>
              <w:t>esposizione al rischio necessari per adempiere ai requisiti prudenziali più rigorosi che gli sono stati comunicati previa notifica all</w:t>
            </w:r>
            <w:r w:rsidR="000878EC">
              <w:t>'</w:t>
            </w:r>
            <w:r>
              <w:t>ABE conformemente all</w:t>
            </w:r>
            <w:r w:rsidR="000878EC">
              <w:t>'</w:t>
            </w:r>
            <w:r>
              <w:t>articolo 164, paragrafi 5 e 7, del CRR.</w:t>
            </w:r>
          </w:p>
        </w:tc>
      </w:tr>
      <w:tr w:rsidR="00802958" w:rsidRPr="00661595" w:rsidTr="00672D2A">
        <w:tc>
          <w:tcPr>
            <w:tcW w:w="1591" w:type="dxa"/>
          </w:tcPr>
          <w:p w:rsidR="00802958" w:rsidRPr="00661595" w:rsidRDefault="00B13F06"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0242</w:t>
            </w:r>
          </w:p>
        </w:tc>
        <w:tc>
          <w:tcPr>
            <w:tcW w:w="7274" w:type="dxa"/>
          </w:tcPr>
          <w:p w:rsidR="00802958" w:rsidRPr="00661595" w:rsidRDefault="00802958"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1.1.2**</w:t>
            </w:r>
            <w:r w:rsidRPr="00821208">
              <w:rPr>
                <w:u w:val="single"/>
              </w:rPr>
              <w:tab/>
            </w:r>
            <w:r>
              <w:rPr>
                <w:rStyle w:val="InstructionsTabelleberschrift"/>
                <w:rFonts w:ascii="Times New Roman" w:hAnsi="Times New Roman"/>
                <w:sz w:val="24"/>
              </w:rPr>
              <w:t>di cui: requisiti prudenziali aggiuntivi più rigorosi basati sull</w:t>
            </w:r>
            <w:r w:rsidR="000878EC">
              <w:rPr>
                <w:rStyle w:val="InstructionsTabelleberschrift"/>
                <w:rFonts w:ascii="Times New Roman" w:hAnsi="Times New Roman"/>
                <w:sz w:val="24"/>
              </w:rPr>
              <w:t>'</w:t>
            </w:r>
            <w:r>
              <w:rPr>
                <w:rStyle w:val="InstructionsTabelleberschrift"/>
                <w:rFonts w:ascii="Times New Roman" w:hAnsi="Times New Roman"/>
                <w:sz w:val="24"/>
              </w:rPr>
              <w:t>articolo 124 del CRR</w:t>
            </w:r>
          </w:p>
          <w:p w:rsidR="00802958" w:rsidRPr="00661595" w:rsidRDefault="004852B9" w:rsidP="00115052">
            <w:pPr>
              <w:pStyle w:val="InstructionsText"/>
              <w:rPr>
                <w:rStyle w:val="InstructionsTabelleberschrift"/>
                <w:rFonts w:ascii="Times New Roman" w:hAnsi="Times New Roman"/>
                <w:sz w:val="24"/>
              </w:rPr>
            </w:pPr>
            <w:r>
              <w:t>L</w:t>
            </w:r>
            <w:r w:rsidR="000878EC">
              <w:t>'</w:t>
            </w:r>
            <w:r>
              <w:t>ente segnala gli importi aggiuntivi dell</w:t>
            </w:r>
            <w:r w:rsidR="000878EC">
              <w:t>'</w:t>
            </w:r>
            <w:r>
              <w:t>esposizione al rischio necessari per adempiere ai requisiti prudenziali più rigorosi fissati dalle autorità competenti previa consultazione con l</w:t>
            </w:r>
            <w:r w:rsidR="000878EC">
              <w:t>'</w:t>
            </w:r>
            <w:r w:rsidR="00046031">
              <w:t>ABE conformemente all</w:t>
            </w:r>
            <w:r w:rsidR="000878EC">
              <w:t>'</w:t>
            </w:r>
            <w:r w:rsidR="00046031">
              <w:t>articolo </w:t>
            </w:r>
            <w:r>
              <w:t>124, paragrafi 2 e 5, del CRR, che si ricollegano ai limiti del valore di mercato ammissibile delle garanzie reali di cui all</w:t>
            </w:r>
            <w:r w:rsidR="000878EC">
              <w:t>'</w:t>
            </w:r>
            <w:r>
              <w:t>articolo 125, paragrafo 2, lettera d), e all</w:t>
            </w:r>
            <w:r w:rsidR="000878EC">
              <w:t>'</w:t>
            </w:r>
            <w:r>
              <w:t>articolo 126, paragrafo 2, lettera d), del CRR.</w:t>
            </w:r>
          </w:p>
        </w:tc>
      </w:tr>
      <w:tr w:rsidR="00802958" w:rsidRPr="00661595" w:rsidTr="00672D2A">
        <w:tc>
          <w:tcPr>
            <w:tcW w:w="1591" w:type="dxa"/>
          </w:tcPr>
          <w:p w:rsidR="00802958" w:rsidRPr="00661595" w:rsidRDefault="00B13F06"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0250</w:t>
            </w:r>
          </w:p>
        </w:tc>
        <w:tc>
          <w:tcPr>
            <w:tcW w:w="7274" w:type="dxa"/>
          </w:tcPr>
          <w:p w:rsidR="00802958" w:rsidRPr="00661595" w:rsidRDefault="00802958"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w:t>
            </w:r>
            <w:r>
              <w:tab/>
            </w:r>
            <w:r>
              <w:rPr>
                <w:rStyle w:val="InstructionsTabelleberschrift"/>
                <w:rFonts w:ascii="Times New Roman" w:hAnsi="Times New Roman"/>
                <w:sz w:val="24"/>
              </w:rPr>
              <w:t>Metodi IRB quando non si utilizzano stime interne della LGD né dei fattori di conversione</w:t>
            </w:r>
          </w:p>
          <w:p w:rsidR="00802958" w:rsidRPr="00661595" w:rsidRDefault="00802958" w:rsidP="001E6CD6">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Modello CR IRB a livello di esposizioni totali (quando non si utilizzano stime interne della LGD né dei fattori di conversione del credito (CCF)).</w:t>
            </w:r>
          </w:p>
        </w:tc>
      </w:tr>
      <w:tr w:rsidR="00802958" w:rsidRPr="00661595" w:rsidTr="00672D2A">
        <w:tc>
          <w:tcPr>
            <w:tcW w:w="1591" w:type="dxa"/>
          </w:tcPr>
          <w:p w:rsidR="00802958" w:rsidRPr="00661595" w:rsidRDefault="00B13F06"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0260</w:t>
            </w:r>
          </w:p>
        </w:tc>
        <w:tc>
          <w:tcPr>
            <w:tcW w:w="7274" w:type="dxa"/>
          </w:tcPr>
          <w:p w:rsidR="00802958" w:rsidRPr="00661595" w:rsidRDefault="00802958"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1.1.2.1.01</w:t>
            </w:r>
            <w:r w:rsidRPr="00821208">
              <w:rPr>
                <w:u w:val="single"/>
              </w:rPr>
              <w:tab/>
            </w:r>
            <w:r>
              <w:rPr>
                <w:rStyle w:val="InstructionsTabelleberschrift"/>
                <w:rFonts w:ascii="Times New Roman" w:hAnsi="Times New Roman"/>
                <w:sz w:val="24"/>
              </w:rPr>
              <w:t>Amministrazioni centrali e banche centrali</w:t>
            </w:r>
          </w:p>
          <w:p w:rsidR="00802958" w:rsidRPr="00661595" w:rsidRDefault="00802958" w:rsidP="001E6CD6">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Cfr. il modello CR IRB.</w:t>
            </w:r>
          </w:p>
        </w:tc>
      </w:tr>
      <w:tr w:rsidR="00802958" w:rsidRPr="00661595" w:rsidTr="00672D2A">
        <w:tc>
          <w:tcPr>
            <w:tcW w:w="1591" w:type="dxa"/>
          </w:tcPr>
          <w:p w:rsidR="00802958" w:rsidRPr="00661595" w:rsidRDefault="00B13F06"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0270</w:t>
            </w:r>
          </w:p>
        </w:tc>
        <w:tc>
          <w:tcPr>
            <w:tcW w:w="7274" w:type="dxa"/>
          </w:tcPr>
          <w:p w:rsidR="00802958" w:rsidRPr="00661595" w:rsidRDefault="00802958" w:rsidP="0011505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1.1.2.1.02</w:t>
            </w:r>
            <w:r w:rsidRPr="00821208">
              <w:rPr>
                <w:u w:val="single"/>
              </w:rPr>
              <w:tab/>
            </w:r>
            <w:r>
              <w:rPr>
                <w:rStyle w:val="InstructionsTabelleberschrift"/>
                <w:rFonts w:ascii="Times New Roman" w:hAnsi="Times New Roman"/>
                <w:sz w:val="24"/>
              </w:rPr>
              <w:t>Enti</w:t>
            </w:r>
          </w:p>
          <w:p w:rsidR="00802958" w:rsidRPr="00661595" w:rsidRDefault="00802958" w:rsidP="001E6CD6">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Cfr. il modello CR IRB.</w:t>
            </w:r>
          </w:p>
        </w:tc>
      </w:tr>
      <w:tr w:rsidR="00802958" w:rsidRPr="00661595" w:rsidTr="00672D2A">
        <w:tc>
          <w:tcPr>
            <w:tcW w:w="1591" w:type="dxa"/>
          </w:tcPr>
          <w:p w:rsidR="00802958" w:rsidRPr="00661595" w:rsidRDefault="00B13F06"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0280</w:t>
            </w:r>
          </w:p>
        </w:tc>
        <w:tc>
          <w:tcPr>
            <w:tcW w:w="7274" w:type="dxa"/>
          </w:tcPr>
          <w:p w:rsidR="00802958" w:rsidRPr="00661595" w:rsidRDefault="00802958" w:rsidP="0011505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1.1.2.1.03</w:t>
            </w:r>
            <w:r w:rsidRPr="00821208">
              <w:rPr>
                <w:u w:val="single"/>
              </w:rPr>
              <w:tab/>
            </w:r>
            <w:r>
              <w:rPr>
                <w:rStyle w:val="InstructionsTabelleberschrift"/>
                <w:rFonts w:ascii="Times New Roman" w:hAnsi="Times New Roman"/>
                <w:sz w:val="24"/>
              </w:rPr>
              <w:t>Imprese — PMI</w:t>
            </w:r>
          </w:p>
          <w:p w:rsidR="00802958" w:rsidRPr="00661595" w:rsidRDefault="00802958" w:rsidP="001E6CD6">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Cfr. il modello CR IRB.</w:t>
            </w:r>
          </w:p>
        </w:tc>
      </w:tr>
      <w:tr w:rsidR="00802958" w:rsidRPr="00661595" w:rsidTr="00672D2A">
        <w:tc>
          <w:tcPr>
            <w:tcW w:w="1591" w:type="dxa"/>
          </w:tcPr>
          <w:p w:rsidR="00802958" w:rsidRPr="00661595" w:rsidRDefault="00B13F06"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0290</w:t>
            </w:r>
          </w:p>
        </w:tc>
        <w:tc>
          <w:tcPr>
            <w:tcW w:w="7274" w:type="dxa"/>
          </w:tcPr>
          <w:p w:rsidR="00802958" w:rsidRPr="00661595" w:rsidRDefault="00802958" w:rsidP="0011505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1.1.2.1.04</w:t>
            </w:r>
            <w:r w:rsidRPr="00821208">
              <w:rPr>
                <w:u w:val="single"/>
              </w:rPr>
              <w:tab/>
            </w:r>
            <w:r>
              <w:rPr>
                <w:rStyle w:val="InstructionsTabelleberschrift"/>
                <w:rFonts w:ascii="Times New Roman" w:hAnsi="Times New Roman"/>
                <w:sz w:val="24"/>
              </w:rPr>
              <w:t>Imprese — Finanziamenti specializzati</w:t>
            </w:r>
          </w:p>
          <w:p w:rsidR="00802958" w:rsidRPr="00661595" w:rsidRDefault="00802958" w:rsidP="001E6CD6">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 xml:space="preserve">Cfr. il modello CR IRB. </w:t>
            </w:r>
          </w:p>
        </w:tc>
      </w:tr>
      <w:tr w:rsidR="00802958" w:rsidRPr="00661595" w:rsidTr="00672D2A">
        <w:tc>
          <w:tcPr>
            <w:tcW w:w="1591" w:type="dxa"/>
          </w:tcPr>
          <w:p w:rsidR="00802958" w:rsidRPr="00661595" w:rsidRDefault="00B13F06"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0300</w:t>
            </w:r>
          </w:p>
        </w:tc>
        <w:tc>
          <w:tcPr>
            <w:tcW w:w="7274" w:type="dxa"/>
          </w:tcPr>
          <w:p w:rsidR="00802958" w:rsidRPr="00661595" w:rsidRDefault="00802958" w:rsidP="0011505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1.1.2.1.05</w:t>
            </w:r>
            <w:r w:rsidRPr="00821208">
              <w:rPr>
                <w:u w:val="single"/>
              </w:rPr>
              <w:tab/>
            </w:r>
            <w:r>
              <w:rPr>
                <w:rStyle w:val="InstructionsTabelleberschrift"/>
                <w:rFonts w:ascii="Times New Roman" w:hAnsi="Times New Roman"/>
                <w:sz w:val="24"/>
              </w:rPr>
              <w:t>Imprese — Altro</w:t>
            </w:r>
          </w:p>
          <w:p w:rsidR="00802958" w:rsidRPr="00661595" w:rsidRDefault="00802958" w:rsidP="001E6CD6">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Cfr. il modello CR IRB.</w:t>
            </w:r>
          </w:p>
        </w:tc>
      </w:tr>
      <w:tr w:rsidR="00802958" w:rsidRPr="00661595" w:rsidTr="00672D2A">
        <w:tc>
          <w:tcPr>
            <w:tcW w:w="1591" w:type="dxa"/>
          </w:tcPr>
          <w:p w:rsidR="00802958" w:rsidRPr="00661595" w:rsidRDefault="00B13F06"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0310</w:t>
            </w:r>
          </w:p>
        </w:tc>
        <w:tc>
          <w:tcPr>
            <w:tcW w:w="7274" w:type="dxa"/>
          </w:tcPr>
          <w:p w:rsidR="00802958" w:rsidRPr="00661595" w:rsidRDefault="00802958" w:rsidP="0011505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w:t>
            </w:r>
            <w:r w:rsidRPr="00821208">
              <w:rPr>
                <w:u w:val="single"/>
              </w:rPr>
              <w:tab/>
            </w:r>
            <w:r>
              <w:rPr>
                <w:rStyle w:val="InstructionsTabelleberschrift"/>
                <w:rFonts w:ascii="Times New Roman" w:hAnsi="Times New Roman"/>
                <w:sz w:val="24"/>
              </w:rPr>
              <w:t>Metodi IRB quando si utilizzano stime interne della LGD e/o dei fattori di conversione</w:t>
            </w:r>
          </w:p>
          <w:p w:rsidR="00802958" w:rsidRPr="00661595" w:rsidRDefault="00802958" w:rsidP="001E6CD6">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Modello CR IRB a livello di esposizioni totali (quando si utilizzano stime interne della LGD e/o dei fattori di conversione del credito).</w:t>
            </w:r>
          </w:p>
        </w:tc>
      </w:tr>
      <w:tr w:rsidR="00802958" w:rsidRPr="00661595" w:rsidTr="00672D2A">
        <w:tc>
          <w:tcPr>
            <w:tcW w:w="1591" w:type="dxa"/>
          </w:tcPr>
          <w:p w:rsidR="00802958" w:rsidRPr="00661595" w:rsidRDefault="00B13F06"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0320</w:t>
            </w:r>
          </w:p>
        </w:tc>
        <w:tc>
          <w:tcPr>
            <w:tcW w:w="7274" w:type="dxa"/>
          </w:tcPr>
          <w:p w:rsidR="00802958" w:rsidRPr="00661595" w:rsidRDefault="00802958"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1.1.2.2.01</w:t>
            </w:r>
            <w:r w:rsidRPr="00821208">
              <w:rPr>
                <w:u w:val="single"/>
              </w:rPr>
              <w:tab/>
            </w:r>
            <w:r>
              <w:rPr>
                <w:rStyle w:val="InstructionsTabelleberschrift"/>
                <w:rFonts w:ascii="Times New Roman" w:hAnsi="Times New Roman"/>
                <w:sz w:val="24"/>
              </w:rPr>
              <w:t>Amministrazioni centrali e banche centrali</w:t>
            </w:r>
          </w:p>
          <w:p w:rsidR="00802958" w:rsidRPr="00661595" w:rsidRDefault="00802958" w:rsidP="001E6CD6">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Cfr. il modello CR IRB.</w:t>
            </w:r>
          </w:p>
        </w:tc>
      </w:tr>
      <w:tr w:rsidR="00802958" w:rsidRPr="00661595" w:rsidTr="00672D2A">
        <w:tc>
          <w:tcPr>
            <w:tcW w:w="1591" w:type="dxa"/>
          </w:tcPr>
          <w:p w:rsidR="00802958" w:rsidRPr="00661595" w:rsidRDefault="00B13F06"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0330</w:t>
            </w:r>
          </w:p>
        </w:tc>
        <w:tc>
          <w:tcPr>
            <w:tcW w:w="7274" w:type="dxa"/>
          </w:tcPr>
          <w:p w:rsidR="00802958" w:rsidRPr="00661595" w:rsidRDefault="00802958" w:rsidP="0011505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1.1.2.2.02</w:t>
            </w:r>
            <w:r w:rsidRPr="00821208">
              <w:rPr>
                <w:u w:val="single"/>
              </w:rPr>
              <w:tab/>
            </w:r>
            <w:r>
              <w:rPr>
                <w:rStyle w:val="InstructionsTabelleberschrift"/>
                <w:rFonts w:ascii="Times New Roman" w:hAnsi="Times New Roman"/>
                <w:sz w:val="24"/>
              </w:rPr>
              <w:t>Enti</w:t>
            </w:r>
          </w:p>
          <w:p w:rsidR="00802958" w:rsidRPr="00661595" w:rsidRDefault="00802958" w:rsidP="001E6CD6">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 xml:space="preserve">Cfr. il modello CR IRB. </w:t>
            </w:r>
          </w:p>
        </w:tc>
      </w:tr>
      <w:tr w:rsidR="00802958" w:rsidRPr="00661595" w:rsidTr="00672D2A">
        <w:tc>
          <w:tcPr>
            <w:tcW w:w="1591" w:type="dxa"/>
          </w:tcPr>
          <w:p w:rsidR="00802958" w:rsidRPr="00661595" w:rsidRDefault="00B13F06"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0340</w:t>
            </w:r>
          </w:p>
        </w:tc>
        <w:tc>
          <w:tcPr>
            <w:tcW w:w="7274" w:type="dxa"/>
          </w:tcPr>
          <w:p w:rsidR="00802958" w:rsidRPr="00661595" w:rsidRDefault="00802958" w:rsidP="0011505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1.1.2.2.03</w:t>
            </w:r>
            <w:r w:rsidRPr="00821208">
              <w:rPr>
                <w:u w:val="single"/>
              </w:rPr>
              <w:tab/>
            </w:r>
            <w:r>
              <w:rPr>
                <w:rStyle w:val="InstructionsTabelleberschrift"/>
                <w:rFonts w:ascii="Times New Roman" w:hAnsi="Times New Roman"/>
                <w:sz w:val="24"/>
              </w:rPr>
              <w:t>Imprese — PMI</w:t>
            </w:r>
          </w:p>
          <w:p w:rsidR="00802958" w:rsidRPr="00661595" w:rsidRDefault="00802958" w:rsidP="001E6CD6">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Cfr. il modello CR IRB.</w:t>
            </w:r>
          </w:p>
        </w:tc>
      </w:tr>
      <w:tr w:rsidR="00802958" w:rsidRPr="00661595" w:rsidTr="00672D2A">
        <w:tc>
          <w:tcPr>
            <w:tcW w:w="1591" w:type="dxa"/>
          </w:tcPr>
          <w:p w:rsidR="00802958" w:rsidRPr="00661595" w:rsidRDefault="00B13F06" w:rsidP="00821208">
            <w:pPr>
              <w:pStyle w:val="InstructionsText"/>
              <w:keepNext/>
              <w:keepLines/>
              <w:rPr>
                <w:rStyle w:val="FormatvorlageInstructionsTabelleText"/>
                <w:rFonts w:ascii="Times New Roman" w:hAnsi="Times New Roman"/>
                <w:sz w:val="24"/>
              </w:rPr>
            </w:pPr>
            <w:r>
              <w:rPr>
                <w:rStyle w:val="FormatvorlageInstructionsTabelleText"/>
                <w:rFonts w:ascii="Times New Roman" w:hAnsi="Times New Roman"/>
                <w:sz w:val="24"/>
              </w:rPr>
              <w:t>0350</w:t>
            </w:r>
          </w:p>
        </w:tc>
        <w:tc>
          <w:tcPr>
            <w:tcW w:w="7274" w:type="dxa"/>
          </w:tcPr>
          <w:p w:rsidR="00802958" w:rsidRPr="00661595" w:rsidRDefault="00802958" w:rsidP="00821208">
            <w:pPr>
              <w:pStyle w:val="InstructionsText"/>
              <w:keepNext/>
              <w:keepLines/>
              <w:rPr>
                <w:rStyle w:val="InstructionsTabelleberschrift"/>
                <w:rFonts w:ascii="Times New Roman" w:hAnsi="Times New Roman"/>
                <w:bCs w:val="0"/>
                <w:sz w:val="24"/>
              </w:rPr>
            </w:pPr>
            <w:r>
              <w:rPr>
                <w:rStyle w:val="InstructionsTabelleberschrift"/>
                <w:rFonts w:ascii="Times New Roman" w:hAnsi="Times New Roman"/>
                <w:sz w:val="24"/>
              </w:rPr>
              <w:t>1.1.2.2.04</w:t>
            </w:r>
            <w:r w:rsidRPr="00821208">
              <w:rPr>
                <w:u w:val="single"/>
              </w:rPr>
              <w:tab/>
            </w:r>
            <w:r>
              <w:rPr>
                <w:rStyle w:val="InstructionsTabelleberschrift"/>
                <w:rFonts w:ascii="Times New Roman" w:hAnsi="Times New Roman"/>
                <w:sz w:val="24"/>
              </w:rPr>
              <w:t>Imprese — Finanziamenti specializzati</w:t>
            </w:r>
          </w:p>
          <w:p w:rsidR="00802958" w:rsidRPr="00661595" w:rsidRDefault="00802958" w:rsidP="00821208">
            <w:pPr>
              <w:keepNext/>
              <w:keepLines/>
              <w:suppressAutoHyphens/>
              <w:rPr>
                <w:rStyle w:val="FormatvorlageInstructionsTabelleText"/>
                <w:rFonts w:ascii="Times New Roman" w:hAnsi="Times New Roman"/>
                <w:sz w:val="24"/>
              </w:rPr>
            </w:pPr>
            <w:r>
              <w:rPr>
                <w:rStyle w:val="FormatvorlageInstructionsTabelleText"/>
                <w:rFonts w:ascii="Times New Roman" w:hAnsi="Times New Roman"/>
                <w:sz w:val="24"/>
              </w:rPr>
              <w:t>Cfr. il modello CR IRB.</w:t>
            </w:r>
          </w:p>
        </w:tc>
      </w:tr>
      <w:tr w:rsidR="00802958" w:rsidRPr="00661595" w:rsidTr="00672D2A">
        <w:tc>
          <w:tcPr>
            <w:tcW w:w="1591" w:type="dxa"/>
          </w:tcPr>
          <w:p w:rsidR="00802958" w:rsidRPr="00661595" w:rsidRDefault="00B13F06"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0360</w:t>
            </w:r>
          </w:p>
        </w:tc>
        <w:tc>
          <w:tcPr>
            <w:tcW w:w="7274" w:type="dxa"/>
          </w:tcPr>
          <w:p w:rsidR="00802958" w:rsidRPr="00661595" w:rsidRDefault="00802958" w:rsidP="0011505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1.1.2.2.05</w:t>
            </w:r>
            <w:r w:rsidRPr="00821208">
              <w:rPr>
                <w:u w:val="single"/>
              </w:rPr>
              <w:tab/>
            </w:r>
            <w:r>
              <w:rPr>
                <w:rStyle w:val="InstructionsTabelleberschrift"/>
                <w:rFonts w:ascii="Times New Roman" w:hAnsi="Times New Roman"/>
                <w:sz w:val="24"/>
              </w:rPr>
              <w:t>Imprese — Altro</w:t>
            </w:r>
          </w:p>
          <w:p w:rsidR="00802958" w:rsidRPr="00661595" w:rsidRDefault="00802958" w:rsidP="001E6CD6">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Cfr. il modello CR IRB.</w:t>
            </w:r>
          </w:p>
        </w:tc>
      </w:tr>
      <w:tr w:rsidR="00802958" w:rsidRPr="00661595" w:rsidTr="00672D2A">
        <w:tc>
          <w:tcPr>
            <w:tcW w:w="1591" w:type="dxa"/>
          </w:tcPr>
          <w:p w:rsidR="00802958" w:rsidRPr="00661595" w:rsidRDefault="00B13F06"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0370</w:t>
            </w:r>
          </w:p>
        </w:tc>
        <w:tc>
          <w:tcPr>
            <w:tcW w:w="7274" w:type="dxa"/>
          </w:tcPr>
          <w:p w:rsidR="00802958" w:rsidRPr="00661595" w:rsidRDefault="00802958" w:rsidP="0011505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1.1.2.2.06</w:t>
            </w:r>
            <w:r w:rsidRPr="00821208">
              <w:rPr>
                <w:u w:val="single"/>
              </w:rPr>
              <w:tab/>
            </w:r>
            <w:r>
              <w:rPr>
                <w:rStyle w:val="InstructionsTabelleberschrift"/>
                <w:rFonts w:ascii="Times New Roman" w:hAnsi="Times New Roman"/>
                <w:sz w:val="24"/>
              </w:rPr>
              <w:t>Al dettaglio — garantite da beni immobili PMI</w:t>
            </w:r>
          </w:p>
          <w:p w:rsidR="00802958" w:rsidRPr="00661595" w:rsidRDefault="00802958" w:rsidP="00771DAB">
            <w:pPr>
              <w:keepNext/>
              <w:keepLines/>
              <w:suppressAutoHyphens/>
              <w:rPr>
                <w:rStyle w:val="FormatvorlageInstructionsTabelleText"/>
                <w:rFonts w:ascii="Times New Roman" w:hAnsi="Times New Roman"/>
                <w:sz w:val="24"/>
              </w:rPr>
            </w:pPr>
            <w:r>
              <w:rPr>
                <w:rStyle w:val="FormatvorlageInstructionsTabelleText"/>
                <w:rFonts w:ascii="Times New Roman" w:hAnsi="Times New Roman"/>
                <w:sz w:val="24"/>
              </w:rPr>
              <w:t>Cfr. il modello CR IRB.</w:t>
            </w:r>
          </w:p>
        </w:tc>
      </w:tr>
      <w:tr w:rsidR="00802958" w:rsidRPr="00661595" w:rsidTr="00672D2A">
        <w:tc>
          <w:tcPr>
            <w:tcW w:w="1591" w:type="dxa"/>
          </w:tcPr>
          <w:p w:rsidR="00802958" w:rsidRPr="00661595" w:rsidRDefault="00B13F06"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0380</w:t>
            </w:r>
          </w:p>
        </w:tc>
        <w:tc>
          <w:tcPr>
            <w:tcW w:w="7274" w:type="dxa"/>
          </w:tcPr>
          <w:p w:rsidR="00802958" w:rsidRPr="00661595" w:rsidRDefault="00802958" w:rsidP="0011505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1.1.2.2.07</w:t>
            </w:r>
            <w:r w:rsidRPr="00821208">
              <w:rPr>
                <w:u w:val="single"/>
              </w:rPr>
              <w:tab/>
            </w:r>
            <w:r>
              <w:rPr>
                <w:rStyle w:val="InstructionsTabelleberschrift"/>
                <w:rFonts w:ascii="Times New Roman" w:hAnsi="Times New Roman"/>
                <w:sz w:val="24"/>
              </w:rPr>
              <w:t xml:space="preserve">Al dettaglio — garantite da beni immobili non PMI </w:t>
            </w:r>
          </w:p>
          <w:p w:rsidR="00802958" w:rsidRPr="00661595" w:rsidRDefault="00802958" w:rsidP="001E6CD6">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Cfr. il modello CR IRB.</w:t>
            </w:r>
          </w:p>
        </w:tc>
      </w:tr>
      <w:tr w:rsidR="00802958" w:rsidRPr="00661595" w:rsidTr="00672D2A">
        <w:tc>
          <w:tcPr>
            <w:tcW w:w="1591" w:type="dxa"/>
          </w:tcPr>
          <w:p w:rsidR="00802958" w:rsidRPr="00661595" w:rsidRDefault="00B13F06"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0390</w:t>
            </w:r>
          </w:p>
        </w:tc>
        <w:tc>
          <w:tcPr>
            <w:tcW w:w="7274" w:type="dxa"/>
          </w:tcPr>
          <w:p w:rsidR="00802958" w:rsidRPr="00661595" w:rsidRDefault="00802958" w:rsidP="0011505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1.1.2.2.08</w:t>
            </w:r>
            <w:r w:rsidRPr="00821208">
              <w:rPr>
                <w:u w:val="single"/>
              </w:rPr>
              <w:tab/>
            </w:r>
            <w:r>
              <w:rPr>
                <w:rStyle w:val="InstructionsTabelleberschrift"/>
                <w:rFonts w:ascii="Times New Roman" w:hAnsi="Times New Roman"/>
                <w:sz w:val="24"/>
              </w:rPr>
              <w:t>Al dettaglio — Rotative qualificate</w:t>
            </w:r>
          </w:p>
          <w:p w:rsidR="00802958" w:rsidRPr="00661595" w:rsidRDefault="00802958" w:rsidP="001E6CD6">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Cfr. il modello CR IRB.</w:t>
            </w:r>
          </w:p>
        </w:tc>
      </w:tr>
      <w:tr w:rsidR="00802958" w:rsidRPr="00661595" w:rsidTr="00672D2A">
        <w:tc>
          <w:tcPr>
            <w:tcW w:w="1591" w:type="dxa"/>
          </w:tcPr>
          <w:p w:rsidR="00802958" w:rsidRPr="00661595" w:rsidRDefault="00B13F06"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0400</w:t>
            </w:r>
          </w:p>
        </w:tc>
        <w:tc>
          <w:tcPr>
            <w:tcW w:w="7274" w:type="dxa"/>
          </w:tcPr>
          <w:p w:rsidR="00802958" w:rsidRPr="00661595" w:rsidRDefault="00802958" w:rsidP="0011505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1.1.2.2.09</w:t>
            </w:r>
            <w:r w:rsidRPr="00821208">
              <w:rPr>
                <w:u w:val="single"/>
              </w:rPr>
              <w:tab/>
            </w:r>
            <w:r>
              <w:rPr>
                <w:rStyle w:val="InstructionsTabelleberschrift"/>
                <w:rFonts w:ascii="Times New Roman" w:hAnsi="Times New Roman"/>
                <w:sz w:val="24"/>
              </w:rPr>
              <w:t>Al dettaglio — altre PMI</w:t>
            </w:r>
          </w:p>
          <w:p w:rsidR="00802958" w:rsidRPr="00661595" w:rsidRDefault="00802958" w:rsidP="001E6CD6">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Cfr. il modello CR IRB.</w:t>
            </w:r>
          </w:p>
        </w:tc>
      </w:tr>
      <w:tr w:rsidR="00802958" w:rsidRPr="00661595" w:rsidTr="00672D2A">
        <w:tc>
          <w:tcPr>
            <w:tcW w:w="1591" w:type="dxa"/>
          </w:tcPr>
          <w:p w:rsidR="00802958" w:rsidRPr="00661595" w:rsidRDefault="00B13F06"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0410</w:t>
            </w:r>
          </w:p>
        </w:tc>
        <w:tc>
          <w:tcPr>
            <w:tcW w:w="7274" w:type="dxa"/>
          </w:tcPr>
          <w:p w:rsidR="00802958" w:rsidRPr="00661595" w:rsidRDefault="00802958" w:rsidP="0011505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1.1.2.2.10</w:t>
            </w:r>
            <w:r w:rsidRPr="00821208">
              <w:rPr>
                <w:u w:val="single"/>
              </w:rPr>
              <w:tab/>
            </w:r>
            <w:r>
              <w:rPr>
                <w:rStyle w:val="InstructionsTabelleberschrift"/>
                <w:rFonts w:ascii="Times New Roman" w:hAnsi="Times New Roman"/>
                <w:sz w:val="24"/>
              </w:rPr>
              <w:t>Al dettaglio — Altre non PMI</w:t>
            </w:r>
          </w:p>
          <w:p w:rsidR="00802958" w:rsidRPr="00661595" w:rsidRDefault="00802958" w:rsidP="001E6CD6">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Cfr. il modello CR IRB.</w:t>
            </w:r>
          </w:p>
        </w:tc>
      </w:tr>
      <w:tr w:rsidR="00802958" w:rsidRPr="00661595" w:rsidTr="00672D2A">
        <w:tc>
          <w:tcPr>
            <w:tcW w:w="1591" w:type="dxa"/>
          </w:tcPr>
          <w:p w:rsidR="00802958" w:rsidRPr="00661595" w:rsidRDefault="00B13F06"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0420</w:t>
            </w:r>
          </w:p>
        </w:tc>
        <w:tc>
          <w:tcPr>
            <w:tcW w:w="7274" w:type="dxa"/>
          </w:tcPr>
          <w:p w:rsidR="00802958" w:rsidRPr="00661595" w:rsidRDefault="00802958" w:rsidP="0011505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1.1.2.3</w:t>
            </w:r>
            <w:r w:rsidRPr="00821208">
              <w:rPr>
                <w:u w:val="single"/>
              </w:rPr>
              <w:tab/>
            </w:r>
            <w:r>
              <w:rPr>
                <w:rStyle w:val="InstructionsTabelleberschrift"/>
                <w:rFonts w:ascii="Times New Roman" w:hAnsi="Times New Roman"/>
                <w:sz w:val="24"/>
              </w:rPr>
              <w:t>Strumenti di capitale in base al metodo IRB</w:t>
            </w:r>
          </w:p>
          <w:p w:rsidR="00802958" w:rsidRPr="00661595" w:rsidRDefault="00802958" w:rsidP="001E6CD6">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Cfr. il modello CR EQU IRB.</w:t>
            </w:r>
          </w:p>
        </w:tc>
      </w:tr>
      <w:tr w:rsidR="00802958" w:rsidRPr="00661595" w:rsidTr="00672D2A">
        <w:tc>
          <w:tcPr>
            <w:tcW w:w="1591" w:type="dxa"/>
          </w:tcPr>
          <w:p w:rsidR="00802958" w:rsidRPr="00661595" w:rsidRDefault="00B13F06"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0450</w:t>
            </w:r>
          </w:p>
        </w:tc>
        <w:tc>
          <w:tcPr>
            <w:tcW w:w="7274" w:type="dxa"/>
          </w:tcPr>
          <w:p w:rsidR="00802958" w:rsidRPr="00661595" w:rsidRDefault="00802958" w:rsidP="0011505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1.1.2.5</w:t>
            </w:r>
            <w:r w:rsidRPr="00771DAB">
              <w:tab/>
            </w:r>
            <w:r>
              <w:rPr>
                <w:rStyle w:val="InstructionsTabelleberschrift"/>
                <w:rFonts w:ascii="Times New Roman" w:hAnsi="Times New Roman"/>
                <w:sz w:val="24"/>
              </w:rPr>
              <w:t>Altre attività diverse da crediti</w:t>
            </w:r>
          </w:p>
          <w:p w:rsidR="00802958" w:rsidRPr="00661595" w:rsidRDefault="00802958" w:rsidP="001E6CD6">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importo da segnalare è 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importo delle esposizioni ponderato per il rischio, calcolato conformemente all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 xml:space="preserve">articolo 156 del CRR. </w:t>
            </w:r>
          </w:p>
        </w:tc>
      </w:tr>
      <w:tr w:rsidR="00802958" w:rsidRPr="00661595" w:rsidTr="00672D2A">
        <w:tc>
          <w:tcPr>
            <w:tcW w:w="1591" w:type="dxa"/>
          </w:tcPr>
          <w:p w:rsidR="00802958" w:rsidRPr="00661595" w:rsidRDefault="00B13F06"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0460</w:t>
            </w:r>
          </w:p>
        </w:tc>
        <w:tc>
          <w:tcPr>
            <w:tcW w:w="7274" w:type="dxa"/>
          </w:tcPr>
          <w:p w:rsidR="00802958" w:rsidRPr="00661595" w:rsidRDefault="00802958"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1.1.3</w:t>
            </w:r>
            <w:r w:rsidRPr="00821208">
              <w:rPr>
                <w:u w:val="single"/>
              </w:rPr>
              <w:tab/>
            </w:r>
            <w:r>
              <w:rPr>
                <w:rStyle w:val="InstructionsTabelleberschrift"/>
                <w:rFonts w:ascii="Times New Roman" w:hAnsi="Times New Roman"/>
                <w:sz w:val="24"/>
              </w:rPr>
              <w:t>Importo dell</w:t>
            </w:r>
            <w:r w:rsidR="000878EC">
              <w:rPr>
                <w:rStyle w:val="InstructionsTabelleberschrift"/>
                <w:rFonts w:ascii="Times New Roman" w:hAnsi="Times New Roman"/>
                <w:sz w:val="24"/>
              </w:rPr>
              <w:t>'</w:t>
            </w:r>
            <w:r>
              <w:rPr>
                <w:rStyle w:val="InstructionsTabelleberschrift"/>
                <w:rFonts w:ascii="Times New Roman" w:hAnsi="Times New Roman"/>
                <w:sz w:val="24"/>
              </w:rPr>
              <w:t>esposizione al rischio per i contributi al fondo di garanzia di una CCP</w:t>
            </w:r>
          </w:p>
          <w:p w:rsidR="00802958" w:rsidRPr="00661595" w:rsidRDefault="00802958" w:rsidP="001E6CD6">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Articoli 307, 308 e 309 del CRR</w:t>
            </w:r>
          </w:p>
        </w:tc>
      </w:tr>
      <w:tr w:rsidR="00802958" w:rsidRPr="00661595" w:rsidTr="00672D2A">
        <w:tc>
          <w:tcPr>
            <w:tcW w:w="1591" w:type="dxa"/>
          </w:tcPr>
          <w:p w:rsidR="00802958" w:rsidRPr="00661595" w:rsidRDefault="00B13F06"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0470</w:t>
            </w:r>
          </w:p>
        </w:tc>
        <w:tc>
          <w:tcPr>
            <w:tcW w:w="7274" w:type="dxa"/>
          </w:tcPr>
          <w:p w:rsidR="00802958" w:rsidRPr="00661595" w:rsidRDefault="00802958"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1.1.4 Posizioni verso la cartolarizzazione</w:t>
            </w:r>
          </w:p>
          <w:p w:rsidR="00802958" w:rsidRPr="00661595" w:rsidRDefault="00802958" w:rsidP="0011505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Cfr. il modello CR SEC.</w:t>
            </w:r>
          </w:p>
        </w:tc>
      </w:tr>
      <w:tr w:rsidR="00802958" w:rsidRPr="00661595" w:rsidTr="00672D2A">
        <w:tc>
          <w:tcPr>
            <w:tcW w:w="1591" w:type="dxa"/>
          </w:tcPr>
          <w:p w:rsidR="00802958" w:rsidRPr="00661595" w:rsidRDefault="00B13F06"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0490</w:t>
            </w:r>
          </w:p>
        </w:tc>
        <w:tc>
          <w:tcPr>
            <w:tcW w:w="7274" w:type="dxa"/>
          </w:tcPr>
          <w:p w:rsidR="00802958" w:rsidRPr="00661595" w:rsidRDefault="00802958" w:rsidP="00115052">
            <w:pPr>
              <w:pStyle w:val="InstructionsText"/>
              <w:rPr>
                <w:rStyle w:val="InstructionsTabelleberschrift"/>
                <w:rFonts w:ascii="Times New Roman" w:hAnsi="Times New Roman"/>
                <w:strike/>
                <w:sz w:val="24"/>
              </w:rPr>
            </w:pPr>
            <w:r>
              <w:rPr>
                <w:rStyle w:val="InstructionsTabelleberschrift"/>
                <w:rFonts w:ascii="Times New Roman" w:hAnsi="Times New Roman"/>
                <w:sz w:val="24"/>
              </w:rPr>
              <w:t>1.2</w:t>
            </w:r>
            <w:r w:rsidRPr="00821208">
              <w:rPr>
                <w:u w:val="single"/>
              </w:rPr>
              <w:tab/>
            </w:r>
            <w:r>
              <w:rPr>
                <w:rStyle w:val="InstructionsTabelleberschrift"/>
                <w:rFonts w:ascii="Times New Roman" w:hAnsi="Times New Roman"/>
                <w:sz w:val="24"/>
              </w:rPr>
              <w:t>IMPORTO COMPLESSIVO DELL</w:t>
            </w:r>
            <w:r w:rsidR="000878EC">
              <w:rPr>
                <w:rStyle w:val="InstructionsTabelleberschrift"/>
                <w:rFonts w:ascii="Times New Roman" w:hAnsi="Times New Roman"/>
                <w:sz w:val="24"/>
              </w:rPr>
              <w:t>'</w:t>
            </w:r>
            <w:r>
              <w:rPr>
                <w:rStyle w:val="InstructionsTabelleberschrift"/>
                <w:rFonts w:ascii="Times New Roman" w:hAnsi="Times New Roman"/>
                <w:sz w:val="24"/>
              </w:rPr>
              <w:t>ESPOSIZIONE AL RISCHIO DI REGOLAMENTO/CONSEGNA</w:t>
            </w:r>
          </w:p>
          <w:p w:rsidR="00802958" w:rsidRPr="00661595" w:rsidRDefault="006A6822" w:rsidP="001E6CD6">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Articolo 92, paragrafo 3, lettera c), punt</w:t>
            </w:r>
            <w:r w:rsidR="001E6CD6">
              <w:rPr>
                <w:rStyle w:val="FormatvorlageInstructionsTabelleText"/>
                <w:rFonts w:ascii="Times New Roman" w:hAnsi="Times New Roman"/>
                <w:sz w:val="24"/>
              </w:rPr>
              <w:t xml:space="preserve">o ii), e articolo 92, paragrafo </w:t>
            </w:r>
            <w:r>
              <w:rPr>
                <w:rStyle w:val="FormatvorlageInstructionsTabelleText"/>
                <w:rFonts w:ascii="Times New Roman" w:hAnsi="Times New Roman"/>
                <w:sz w:val="24"/>
              </w:rPr>
              <w:t>4, lettera b), del CRR</w:t>
            </w:r>
          </w:p>
        </w:tc>
      </w:tr>
      <w:tr w:rsidR="00802958" w:rsidRPr="00661595" w:rsidTr="00672D2A">
        <w:tc>
          <w:tcPr>
            <w:tcW w:w="1591" w:type="dxa"/>
          </w:tcPr>
          <w:p w:rsidR="00802958" w:rsidRPr="00661595" w:rsidRDefault="00B13F06"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0500</w:t>
            </w:r>
          </w:p>
        </w:tc>
        <w:tc>
          <w:tcPr>
            <w:tcW w:w="7274" w:type="dxa"/>
          </w:tcPr>
          <w:p w:rsidR="00802958" w:rsidRPr="00661595" w:rsidRDefault="00802958" w:rsidP="0011505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rsidRPr="00821208">
              <w:rPr>
                <w:u w:val="single"/>
              </w:rPr>
              <w:tab/>
            </w:r>
            <w:r>
              <w:rPr>
                <w:rStyle w:val="InstructionsTabelleberschrift"/>
                <w:rFonts w:ascii="Times New Roman" w:hAnsi="Times New Roman"/>
                <w:sz w:val="24"/>
              </w:rPr>
              <w:t>Rischio di regolamento/consegna esterno al portafoglio di negoziazione</w:t>
            </w:r>
          </w:p>
          <w:p w:rsidR="00802958" w:rsidRPr="00661595" w:rsidRDefault="00802958" w:rsidP="001E6CD6">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Cfr. il modello CR SETT.</w:t>
            </w:r>
          </w:p>
        </w:tc>
      </w:tr>
      <w:tr w:rsidR="00802958" w:rsidRPr="00661595" w:rsidTr="00672D2A">
        <w:tc>
          <w:tcPr>
            <w:tcW w:w="1591" w:type="dxa"/>
          </w:tcPr>
          <w:p w:rsidR="00802958" w:rsidRPr="00661595" w:rsidRDefault="00B13F06"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0510</w:t>
            </w:r>
          </w:p>
        </w:tc>
        <w:tc>
          <w:tcPr>
            <w:tcW w:w="7274" w:type="dxa"/>
          </w:tcPr>
          <w:p w:rsidR="00802958" w:rsidRPr="00661595" w:rsidRDefault="00802958" w:rsidP="0011505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1.2.2</w:t>
            </w:r>
            <w:r w:rsidRPr="00821208">
              <w:rPr>
                <w:u w:val="single"/>
              </w:rPr>
              <w:tab/>
            </w:r>
            <w:r>
              <w:rPr>
                <w:rStyle w:val="InstructionsTabelleberschrift"/>
                <w:rFonts w:ascii="Times New Roman" w:hAnsi="Times New Roman"/>
                <w:sz w:val="24"/>
              </w:rPr>
              <w:t>Rischio di regolamento/consegna interno al portafoglio di negoziazione</w:t>
            </w:r>
          </w:p>
          <w:p w:rsidR="00802958" w:rsidRPr="00661595" w:rsidRDefault="00802958" w:rsidP="001E6CD6">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Cfr. il modello CR SETT.</w:t>
            </w:r>
          </w:p>
        </w:tc>
      </w:tr>
      <w:tr w:rsidR="00802958" w:rsidRPr="00661595" w:rsidTr="00672D2A">
        <w:tc>
          <w:tcPr>
            <w:tcW w:w="1591" w:type="dxa"/>
          </w:tcPr>
          <w:p w:rsidR="00802958" w:rsidRPr="00661595" w:rsidRDefault="00B13F06" w:rsidP="00821208">
            <w:pPr>
              <w:pStyle w:val="InstructionsText"/>
              <w:keepNext/>
              <w:keepLines/>
              <w:rPr>
                <w:rStyle w:val="FormatvorlageInstructionsTabelleText"/>
                <w:rFonts w:ascii="Times New Roman" w:hAnsi="Times New Roman"/>
                <w:sz w:val="24"/>
              </w:rPr>
            </w:pPr>
            <w:r>
              <w:rPr>
                <w:rStyle w:val="FormatvorlageInstructionsTabelleText"/>
                <w:rFonts w:ascii="Times New Roman" w:hAnsi="Times New Roman"/>
                <w:sz w:val="24"/>
              </w:rPr>
              <w:t>0520</w:t>
            </w:r>
          </w:p>
        </w:tc>
        <w:tc>
          <w:tcPr>
            <w:tcW w:w="7274" w:type="dxa"/>
          </w:tcPr>
          <w:p w:rsidR="00802958" w:rsidRPr="00661595" w:rsidRDefault="00802958" w:rsidP="00821208">
            <w:pPr>
              <w:pStyle w:val="InstructionsText"/>
              <w:keepNext/>
              <w:keepLines/>
              <w:rPr>
                <w:rStyle w:val="InstructionsTabelleberschrift"/>
                <w:rFonts w:ascii="Times New Roman" w:hAnsi="Times New Roman"/>
                <w:bCs w:val="0"/>
                <w:sz w:val="24"/>
              </w:rPr>
            </w:pPr>
            <w:r>
              <w:rPr>
                <w:rStyle w:val="InstructionsTabelleberschrift"/>
                <w:rFonts w:ascii="Times New Roman" w:hAnsi="Times New Roman"/>
                <w:sz w:val="24"/>
              </w:rPr>
              <w:t>1.3</w:t>
            </w:r>
            <w:r w:rsidRPr="00821208">
              <w:rPr>
                <w:u w:val="single"/>
              </w:rPr>
              <w:tab/>
            </w:r>
            <w:r>
              <w:rPr>
                <w:rStyle w:val="InstructionsTabelleberschrift"/>
                <w:rFonts w:ascii="Times New Roman" w:hAnsi="Times New Roman"/>
                <w:sz w:val="24"/>
              </w:rPr>
              <w:t>IMPORTO COMPLESSIVO DELL</w:t>
            </w:r>
            <w:r w:rsidR="000878EC">
              <w:rPr>
                <w:rStyle w:val="InstructionsTabelleberschrift"/>
                <w:rFonts w:ascii="Times New Roman" w:hAnsi="Times New Roman"/>
                <w:sz w:val="24"/>
              </w:rPr>
              <w:t>'</w:t>
            </w:r>
            <w:r>
              <w:rPr>
                <w:rStyle w:val="InstructionsTabelleberschrift"/>
                <w:rFonts w:ascii="Times New Roman" w:hAnsi="Times New Roman"/>
                <w:sz w:val="24"/>
              </w:rPr>
              <w:t xml:space="preserve">ESPOSIZIONE AI RISCHI DI POSIZIONE, DI CAMBIO E DI POSIZIONE IN MERCI </w:t>
            </w:r>
          </w:p>
          <w:p w:rsidR="00802958" w:rsidRPr="00661595" w:rsidRDefault="006A6822" w:rsidP="00821208">
            <w:pPr>
              <w:pStyle w:val="InstructionsText"/>
              <w:keepNext/>
              <w:keepLines/>
              <w:rPr>
                <w:rStyle w:val="FormatvorlageInstructionsTabelleText"/>
                <w:rFonts w:ascii="Times New Roman" w:hAnsi="Times New Roman"/>
                <w:bCs w:val="0"/>
                <w:sz w:val="24"/>
              </w:rPr>
            </w:pPr>
            <w:r>
              <w:rPr>
                <w:rStyle w:val="FormatvorlageInstructionsTabelleText"/>
                <w:rFonts w:ascii="Times New Roman" w:hAnsi="Times New Roman"/>
                <w:sz w:val="24"/>
              </w:rPr>
              <w:t>Articolo 92, paragrafo 3, lettera b), punto i), e lettera c), punti i) e iii), e articolo 92, paragrafo 4, lettera b), del CRR</w:t>
            </w:r>
          </w:p>
        </w:tc>
      </w:tr>
      <w:tr w:rsidR="00802958" w:rsidRPr="00661595" w:rsidTr="00672D2A">
        <w:tc>
          <w:tcPr>
            <w:tcW w:w="1591" w:type="dxa"/>
          </w:tcPr>
          <w:p w:rsidR="00802958" w:rsidRPr="00661595" w:rsidRDefault="00B13F06"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0530</w:t>
            </w:r>
          </w:p>
        </w:tc>
        <w:tc>
          <w:tcPr>
            <w:tcW w:w="7274" w:type="dxa"/>
          </w:tcPr>
          <w:p w:rsidR="00802958" w:rsidRPr="00661595" w:rsidRDefault="00802958"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1.3.1</w:t>
            </w:r>
            <w:r w:rsidRPr="00821208">
              <w:rPr>
                <w:u w:val="single"/>
              </w:rPr>
              <w:tab/>
            </w:r>
            <w:r>
              <w:rPr>
                <w:rStyle w:val="InstructionsTabelleberschrift"/>
                <w:rFonts w:ascii="Times New Roman" w:hAnsi="Times New Roman"/>
                <w:sz w:val="24"/>
              </w:rPr>
              <w:t>Importo dell</w:t>
            </w:r>
            <w:r w:rsidR="000878EC">
              <w:rPr>
                <w:rStyle w:val="InstructionsTabelleberschrift"/>
                <w:rFonts w:ascii="Times New Roman" w:hAnsi="Times New Roman"/>
                <w:sz w:val="24"/>
              </w:rPr>
              <w:t>'</w:t>
            </w:r>
            <w:r>
              <w:rPr>
                <w:rStyle w:val="InstructionsTabelleberschrift"/>
                <w:rFonts w:ascii="Times New Roman" w:hAnsi="Times New Roman"/>
                <w:sz w:val="24"/>
              </w:rPr>
              <w:t>esposizione ai rischi di posizione, di cambio e di posizione in merci in base a metodi standardizzati (SA)</w:t>
            </w:r>
          </w:p>
        </w:tc>
      </w:tr>
      <w:tr w:rsidR="00802958" w:rsidRPr="00661595" w:rsidTr="00672D2A">
        <w:tc>
          <w:tcPr>
            <w:tcW w:w="1591" w:type="dxa"/>
          </w:tcPr>
          <w:p w:rsidR="00802958" w:rsidRPr="00661595" w:rsidRDefault="00B13F06"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0540</w:t>
            </w:r>
          </w:p>
        </w:tc>
        <w:tc>
          <w:tcPr>
            <w:tcW w:w="7274" w:type="dxa"/>
          </w:tcPr>
          <w:p w:rsidR="00802958" w:rsidRPr="00661595" w:rsidRDefault="00802958" w:rsidP="0011505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1.3.1.1</w:t>
            </w:r>
            <w:r w:rsidRPr="00821208">
              <w:rPr>
                <w:u w:val="single"/>
              </w:rPr>
              <w:tab/>
            </w:r>
            <w:r>
              <w:rPr>
                <w:rStyle w:val="InstructionsTabelleberschrift"/>
                <w:rFonts w:ascii="Times New Roman" w:hAnsi="Times New Roman"/>
                <w:sz w:val="24"/>
              </w:rPr>
              <w:t>Strumenti di debito negoziati</w:t>
            </w:r>
          </w:p>
          <w:p w:rsidR="00802958" w:rsidRPr="00661595" w:rsidRDefault="00802958" w:rsidP="00115052">
            <w:pPr>
              <w:pStyle w:val="InstructionsText"/>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Modello MKR SA TDI a livello di valute totali.</w:t>
            </w:r>
          </w:p>
        </w:tc>
      </w:tr>
      <w:tr w:rsidR="00802958" w:rsidRPr="00661595" w:rsidTr="00672D2A">
        <w:tc>
          <w:tcPr>
            <w:tcW w:w="1591" w:type="dxa"/>
          </w:tcPr>
          <w:p w:rsidR="00802958" w:rsidRPr="00661595" w:rsidRDefault="00B13F06"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0550</w:t>
            </w:r>
          </w:p>
        </w:tc>
        <w:tc>
          <w:tcPr>
            <w:tcW w:w="7274" w:type="dxa"/>
          </w:tcPr>
          <w:p w:rsidR="00802958" w:rsidRPr="00661595" w:rsidRDefault="00802958" w:rsidP="0011505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1.3.1.2</w:t>
            </w:r>
            <w:r w:rsidRPr="00821208">
              <w:rPr>
                <w:u w:val="single"/>
              </w:rPr>
              <w:tab/>
            </w:r>
            <w:r>
              <w:rPr>
                <w:rStyle w:val="InstructionsTabelleberschrift"/>
                <w:rFonts w:ascii="Times New Roman" w:hAnsi="Times New Roman"/>
                <w:sz w:val="24"/>
              </w:rPr>
              <w:t>Strumenti di capitale</w:t>
            </w:r>
          </w:p>
          <w:p w:rsidR="00802958" w:rsidRPr="00661595" w:rsidRDefault="00802958" w:rsidP="001E6CD6">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 xml:space="preserve">Modello MKR SA EQU a livello di mercati nazionali totali. </w:t>
            </w:r>
          </w:p>
        </w:tc>
      </w:tr>
      <w:tr w:rsidR="00802958" w:rsidRPr="00661595" w:rsidTr="00672D2A">
        <w:tc>
          <w:tcPr>
            <w:tcW w:w="1591" w:type="dxa"/>
          </w:tcPr>
          <w:p w:rsidR="00802958" w:rsidRPr="00661595" w:rsidRDefault="00B13F06"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0555</w:t>
            </w:r>
          </w:p>
        </w:tc>
        <w:tc>
          <w:tcPr>
            <w:tcW w:w="7274" w:type="dxa"/>
          </w:tcPr>
          <w:p w:rsidR="00802958" w:rsidRPr="00661595" w:rsidRDefault="00802958"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sidRPr="00821208">
              <w:rPr>
                <w:u w:val="single"/>
              </w:rPr>
              <w:tab/>
            </w:r>
            <w:r>
              <w:rPr>
                <w:rStyle w:val="InstructionsTabelleberschrift"/>
                <w:rFonts w:ascii="Times New Roman" w:hAnsi="Times New Roman"/>
                <w:sz w:val="24"/>
              </w:rPr>
              <w:t>Metodo particolare per il rischio di posizione in OIC</w:t>
            </w:r>
          </w:p>
          <w:p w:rsidR="00802958" w:rsidRPr="00661595" w:rsidRDefault="00802958" w:rsidP="001E6CD6">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Articolo 348, paragrafo 1, articolo 350, para</w:t>
            </w:r>
            <w:r w:rsidR="00046031">
              <w:rPr>
                <w:rStyle w:val="FormatvorlageInstructionsTabelleText"/>
                <w:rFonts w:ascii="Times New Roman" w:hAnsi="Times New Roman"/>
                <w:sz w:val="24"/>
              </w:rPr>
              <w:t>grafo 3, lettera c), e articolo </w:t>
            </w:r>
            <w:r>
              <w:rPr>
                <w:rStyle w:val="FormatvorlageInstructionsTabelleText"/>
                <w:rFonts w:ascii="Times New Roman" w:hAnsi="Times New Roman"/>
                <w:sz w:val="24"/>
              </w:rPr>
              <w:t>364, paragrafo 2, lettera a), del CRR</w:t>
            </w:r>
          </w:p>
          <w:p w:rsidR="00802958" w:rsidRPr="00661595" w:rsidRDefault="00802958" w:rsidP="001E6CD6">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Importo complessivo dell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esposizione al rischio per posizioni in OIC se i requisiti patrimoniali sono calcolati conformemente all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articolo 348, paragrafo 1, del CRR o immediatamente o per effetto del massimale previsto all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articolo 350, paragrafo 3, lettera c), del CRR. Il CRR non classifica queste posizioni esplicitamente né nel rischio di tasso di interesse né nel rischio di strumenti di capitale.</w:t>
            </w:r>
          </w:p>
          <w:p w:rsidR="00802958" w:rsidRPr="00661595" w:rsidRDefault="00FF2818" w:rsidP="001E6CD6">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Nei casi di applicazione del metodo particolare previsto all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articolo 348, paragrafo 1, prima frase, del CRR, 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importo da segnalare è il 32 % della posizione netta dell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 xml:space="preserve">esposizione verso OIC in questione moltiplicato per 12,5. </w:t>
            </w:r>
          </w:p>
          <w:p w:rsidR="00802958" w:rsidRPr="00661595" w:rsidRDefault="00FF2818" w:rsidP="001E6CD6">
            <w:pPr>
              <w:suppressAutoHyphens/>
              <w:rPr>
                <w:rStyle w:val="InstructionsTabelleberschrift"/>
                <w:rFonts w:ascii="Times New Roman" w:hAnsi="Times New Roman"/>
                <w:sz w:val="24"/>
              </w:rPr>
            </w:pPr>
            <w:r>
              <w:rPr>
                <w:rStyle w:val="FormatvorlageInstructionsTabelleText"/>
                <w:rFonts w:ascii="Times New Roman" w:hAnsi="Times New Roman"/>
                <w:sz w:val="24"/>
              </w:rPr>
              <w:t>Nei casi di applicazione del metodo particolare previsto all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articolo 348, paragrafo 1, seconda frase, del CRR, 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importo da segnalare è il valore più basso tra il 32 % della posizione netta della pertinente esposizione verso OIC e la differenza tra il 40 % di questa posizione netta e i requisiti di fondi propri che derivano dal rischio di cambio associato a questa esposizione verso OIC, moltiplicato per 12,5.</w:t>
            </w:r>
          </w:p>
        </w:tc>
      </w:tr>
      <w:tr w:rsidR="00802958" w:rsidRPr="00661595" w:rsidTr="00672D2A">
        <w:tc>
          <w:tcPr>
            <w:tcW w:w="1591" w:type="dxa"/>
          </w:tcPr>
          <w:p w:rsidR="00802958" w:rsidRPr="00661595" w:rsidRDefault="00B13F06"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0556</w:t>
            </w:r>
          </w:p>
        </w:tc>
        <w:tc>
          <w:tcPr>
            <w:tcW w:w="7274" w:type="dxa"/>
          </w:tcPr>
          <w:p w:rsidR="00802958" w:rsidRPr="00661595" w:rsidRDefault="00802958"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sidRPr="00821208">
              <w:rPr>
                <w:u w:val="single"/>
              </w:rPr>
              <w:tab/>
            </w:r>
            <w:r>
              <w:rPr>
                <w:rStyle w:val="InstructionsTabelleberschrift"/>
                <w:rFonts w:ascii="Times New Roman" w:hAnsi="Times New Roman"/>
                <w:sz w:val="24"/>
              </w:rPr>
              <w:t>Voce per memoria: OIC investiti esclusivamente in strumenti di debito negoziati</w:t>
            </w:r>
          </w:p>
          <w:p w:rsidR="00802958" w:rsidRPr="00661595" w:rsidRDefault="00802958" w:rsidP="001E6CD6">
            <w:pPr>
              <w:suppressAutoHyphens/>
              <w:rPr>
                <w:rStyle w:val="InstructionsTabelleberschrift"/>
                <w:rFonts w:ascii="Times New Roman" w:hAnsi="Times New Roman"/>
                <w:sz w:val="24"/>
              </w:rPr>
            </w:pPr>
            <w:r>
              <w:rPr>
                <w:rStyle w:val="FormatvorlageInstructionsTabelleText"/>
                <w:rFonts w:ascii="Times New Roman" w:hAnsi="Times New Roman"/>
                <w:sz w:val="24"/>
              </w:rPr>
              <w:t>Importo complessivo dell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esposizione al rischio per posizioni in OIC se 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OIC è investito esclusivamente in strumenti soggetti al rischio di tasso di interesse.</w:t>
            </w:r>
          </w:p>
        </w:tc>
      </w:tr>
      <w:tr w:rsidR="00802958" w:rsidRPr="00661595" w:rsidTr="00672D2A">
        <w:tc>
          <w:tcPr>
            <w:tcW w:w="1591" w:type="dxa"/>
          </w:tcPr>
          <w:p w:rsidR="00802958" w:rsidRPr="00661595" w:rsidRDefault="00B13F06"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0557</w:t>
            </w:r>
          </w:p>
        </w:tc>
        <w:tc>
          <w:tcPr>
            <w:tcW w:w="7274" w:type="dxa"/>
          </w:tcPr>
          <w:p w:rsidR="00802958" w:rsidRPr="00661595" w:rsidRDefault="00802958"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1.3.1.3.**</w:t>
            </w:r>
            <w:r w:rsidRPr="00821208">
              <w:rPr>
                <w:u w:val="single"/>
              </w:rPr>
              <w:tab/>
            </w:r>
            <w:r>
              <w:rPr>
                <w:rStyle w:val="InstructionsTabelleberschrift"/>
                <w:rFonts w:ascii="Times New Roman" w:hAnsi="Times New Roman"/>
                <w:sz w:val="24"/>
              </w:rPr>
              <w:t>OIC investiti esclusivamente in strumenti di capitale o in strumenti misti</w:t>
            </w:r>
          </w:p>
          <w:p w:rsidR="00802958" w:rsidRPr="00661595" w:rsidRDefault="00802958" w:rsidP="001E6CD6">
            <w:pPr>
              <w:suppressAutoHyphens/>
              <w:rPr>
                <w:rStyle w:val="InstructionsTabelleberschrift"/>
                <w:rFonts w:ascii="Times New Roman" w:hAnsi="Times New Roman"/>
                <w:sz w:val="24"/>
              </w:rPr>
            </w:pPr>
            <w:r>
              <w:rPr>
                <w:rStyle w:val="FormatvorlageInstructionsTabelleText"/>
                <w:rFonts w:ascii="Times New Roman" w:hAnsi="Times New Roman"/>
                <w:sz w:val="24"/>
              </w:rPr>
              <w:t>Importo complessivo dell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esposizione al rischio per le posizioni in OIC se 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OIC è investito esclusivamente in strumenti soggetti al rischio di strumenti di capitale o in strumenti misti o se le componenti dell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OIC non sono note.</w:t>
            </w:r>
          </w:p>
        </w:tc>
      </w:tr>
      <w:tr w:rsidR="00802958" w:rsidRPr="00661595" w:rsidTr="00672D2A">
        <w:tc>
          <w:tcPr>
            <w:tcW w:w="1591" w:type="dxa"/>
          </w:tcPr>
          <w:p w:rsidR="00802958" w:rsidRPr="00661595" w:rsidRDefault="00B13F06"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0560</w:t>
            </w:r>
          </w:p>
        </w:tc>
        <w:tc>
          <w:tcPr>
            <w:tcW w:w="7274" w:type="dxa"/>
          </w:tcPr>
          <w:p w:rsidR="00802958" w:rsidRPr="00661595" w:rsidRDefault="00802958" w:rsidP="0011505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1.3.1.4</w:t>
            </w:r>
            <w:r w:rsidRPr="00821208">
              <w:rPr>
                <w:u w:val="single"/>
              </w:rPr>
              <w:tab/>
            </w:r>
            <w:r>
              <w:rPr>
                <w:rStyle w:val="InstructionsTabelleberschrift"/>
                <w:rFonts w:ascii="Times New Roman" w:hAnsi="Times New Roman"/>
                <w:sz w:val="24"/>
              </w:rPr>
              <w:t>Cambio</w:t>
            </w:r>
          </w:p>
          <w:p w:rsidR="00802958" w:rsidRPr="00661595" w:rsidRDefault="00802958" w:rsidP="001E6CD6">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Cfr. il modello MKR SA FX.</w:t>
            </w:r>
          </w:p>
        </w:tc>
      </w:tr>
      <w:tr w:rsidR="00802958" w:rsidRPr="00661595" w:rsidTr="00672D2A">
        <w:tc>
          <w:tcPr>
            <w:tcW w:w="1591" w:type="dxa"/>
          </w:tcPr>
          <w:p w:rsidR="00802958" w:rsidRPr="00661595" w:rsidRDefault="00B13F06"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0570</w:t>
            </w:r>
          </w:p>
        </w:tc>
        <w:tc>
          <w:tcPr>
            <w:tcW w:w="7274" w:type="dxa"/>
          </w:tcPr>
          <w:p w:rsidR="00802958" w:rsidRPr="00661595" w:rsidRDefault="00802958" w:rsidP="0011505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1.3.1.5</w:t>
            </w:r>
            <w:r w:rsidRPr="00821208">
              <w:rPr>
                <w:u w:val="single"/>
              </w:rPr>
              <w:tab/>
            </w:r>
            <w:r>
              <w:rPr>
                <w:rStyle w:val="InstructionsTabelleberschrift"/>
                <w:rFonts w:ascii="Times New Roman" w:hAnsi="Times New Roman"/>
                <w:sz w:val="24"/>
              </w:rPr>
              <w:t>Merci</w:t>
            </w:r>
          </w:p>
          <w:p w:rsidR="00802958" w:rsidRPr="00661595" w:rsidRDefault="00802958" w:rsidP="001E6CD6">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Cfr. il modello MKR SA COM.</w:t>
            </w:r>
          </w:p>
        </w:tc>
      </w:tr>
      <w:tr w:rsidR="00802958" w:rsidRPr="00661595" w:rsidTr="00672D2A">
        <w:tc>
          <w:tcPr>
            <w:tcW w:w="1591" w:type="dxa"/>
          </w:tcPr>
          <w:p w:rsidR="00802958" w:rsidRPr="00661595" w:rsidRDefault="00B13F06" w:rsidP="0011505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0580</w:t>
            </w:r>
          </w:p>
        </w:tc>
        <w:tc>
          <w:tcPr>
            <w:tcW w:w="7274" w:type="dxa"/>
          </w:tcPr>
          <w:p w:rsidR="00802958" w:rsidRPr="00661595" w:rsidRDefault="00802958" w:rsidP="0011505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1.3.2</w:t>
            </w:r>
            <w:r w:rsidRPr="00821208">
              <w:rPr>
                <w:u w:val="single"/>
              </w:rPr>
              <w:tab/>
            </w:r>
            <w:r>
              <w:rPr>
                <w:rStyle w:val="InstructionsTabelleberschrift"/>
                <w:rFonts w:ascii="Times New Roman" w:hAnsi="Times New Roman"/>
                <w:sz w:val="24"/>
              </w:rPr>
              <w:t>Importo dell</w:t>
            </w:r>
            <w:r w:rsidR="000878EC">
              <w:rPr>
                <w:rStyle w:val="InstructionsTabelleberschrift"/>
                <w:rFonts w:ascii="Times New Roman" w:hAnsi="Times New Roman"/>
                <w:sz w:val="24"/>
              </w:rPr>
              <w:t>'</w:t>
            </w:r>
            <w:r>
              <w:rPr>
                <w:rStyle w:val="InstructionsTabelleberschrift"/>
                <w:rFonts w:ascii="Times New Roman" w:hAnsi="Times New Roman"/>
                <w:sz w:val="24"/>
              </w:rPr>
              <w:t>esposizione ai rischi di posizione, di cambio e di posizione in merci in base a modelli interni (IM)</w:t>
            </w:r>
          </w:p>
          <w:p w:rsidR="00802958" w:rsidRPr="00661595" w:rsidRDefault="00802958" w:rsidP="001E6CD6">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Cfr. il modello MKR IM.</w:t>
            </w:r>
          </w:p>
        </w:tc>
      </w:tr>
      <w:tr w:rsidR="00802958" w:rsidRPr="00661595" w:rsidTr="00672D2A">
        <w:tc>
          <w:tcPr>
            <w:tcW w:w="1591" w:type="dxa"/>
          </w:tcPr>
          <w:p w:rsidR="00802958" w:rsidRPr="00661595" w:rsidRDefault="00B13F06"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0590</w:t>
            </w:r>
          </w:p>
        </w:tc>
        <w:tc>
          <w:tcPr>
            <w:tcW w:w="7274" w:type="dxa"/>
          </w:tcPr>
          <w:p w:rsidR="00802958" w:rsidRPr="00661595" w:rsidRDefault="00802958" w:rsidP="0011505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w:t>
            </w:r>
            <w:r w:rsidRPr="00821208">
              <w:rPr>
                <w:u w:val="single"/>
              </w:rPr>
              <w:tab/>
            </w:r>
            <w:r>
              <w:rPr>
                <w:rStyle w:val="InstructionsTabelleberschrift"/>
                <w:rFonts w:ascii="Times New Roman" w:hAnsi="Times New Roman"/>
                <w:sz w:val="24"/>
              </w:rPr>
              <w:t>IMPORTO COMPLESSIVO DELL</w:t>
            </w:r>
            <w:r w:rsidR="000878EC">
              <w:rPr>
                <w:rStyle w:val="InstructionsTabelleberschrift"/>
                <w:rFonts w:ascii="Times New Roman" w:hAnsi="Times New Roman"/>
                <w:sz w:val="24"/>
              </w:rPr>
              <w:t>'</w:t>
            </w:r>
            <w:r>
              <w:rPr>
                <w:rStyle w:val="InstructionsTabelleberschrift"/>
                <w:rFonts w:ascii="Times New Roman" w:hAnsi="Times New Roman"/>
                <w:sz w:val="24"/>
              </w:rPr>
              <w:t>ESPOSIZIONE AL RISCHIO OPERATIVO (OpR)</w:t>
            </w:r>
          </w:p>
          <w:p w:rsidR="00802958" w:rsidRPr="00661595" w:rsidRDefault="006A6822" w:rsidP="0011505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Articolo 92, paragrafo 3, lettera e), e articolo 92, paragrafo 4, lettera b), del CRR</w:t>
            </w:r>
          </w:p>
          <w:p w:rsidR="00802958" w:rsidRPr="00661595" w:rsidRDefault="00802958" w:rsidP="001E6CD6">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Per le imprese di investimento di cui all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articolo 95, paragrafo 2, all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articolo 96, paragrafo 2, e all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articolo 98 del CRR, questo elemento è pari a zero.</w:t>
            </w:r>
          </w:p>
        </w:tc>
      </w:tr>
      <w:tr w:rsidR="00802958" w:rsidRPr="00661595" w:rsidTr="00672D2A">
        <w:tc>
          <w:tcPr>
            <w:tcW w:w="1591" w:type="dxa"/>
          </w:tcPr>
          <w:p w:rsidR="00802958" w:rsidRPr="00661595" w:rsidRDefault="00B13F06" w:rsidP="0011505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0600</w:t>
            </w:r>
          </w:p>
        </w:tc>
        <w:tc>
          <w:tcPr>
            <w:tcW w:w="7274" w:type="dxa"/>
          </w:tcPr>
          <w:p w:rsidR="00802958" w:rsidRPr="00661595" w:rsidRDefault="00802958" w:rsidP="00115052">
            <w:pPr>
              <w:pStyle w:val="InstructionsText"/>
              <w:rPr>
                <w:rStyle w:val="FormatvorlageInstructionsTabelleText"/>
                <w:rFonts w:ascii="Times New Roman" w:hAnsi="Times New Roman"/>
                <w:bCs w:val="0"/>
                <w:sz w:val="24"/>
              </w:rPr>
            </w:pPr>
            <w:r>
              <w:rPr>
                <w:rStyle w:val="InstructionsTabelleberschrift"/>
                <w:rFonts w:ascii="Times New Roman" w:hAnsi="Times New Roman"/>
                <w:sz w:val="24"/>
              </w:rPr>
              <w:t>1.4.1</w:t>
            </w:r>
            <w:r w:rsidRPr="00821208">
              <w:rPr>
                <w:u w:val="single"/>
              </w:rPr>
              <w:tab/>
            </w:r>
            <w:r>
              <w:rPr>
                <w:rStyle w:val="InstructionsTabelleberschrift"/>
                <w:rFonts w:ascii="Times New Roman" w:hAnsi="Times New Roman"/>
                <w:sz w:val="24"/>
              </w:rPr>
              <w:t>Metodo base per il rischio operativo (BIA)</w:t>
            </w:r>
          </w:p>
          <w:p w:rsidR="00802958" w:rsidRPr="00661595" w:rsidRDefault="00802958" w:rsidP="001E6CD6">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Cfr. il modello OPR.</w:t>
            </w:r>
          </w:p>
        </w:tc>
      </w:tr>
      <w:tr w:rsidR="00802958" w:rsidRPr="00661595" w:rsidTr="00672D2A">
        <w:tc>
          <w:tcPr>
            <w:tcW w:w="1591" w:type="dxa"/>
          </w:tcPr>
          <w:p w:rsidR="00802958" w:rsidRPr="00661595" w:rsidRDefault="00B13F06"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0610</w:t>
            </w:r>
          </w:p>
        </w:tc>
        <w:tc>
          <w:tcPr>
            <w:tcW w:w="7274" w:type="dxa"/>
          </w:tcPr>
          <w:p w:rsidR="00802958" w:rsidRPr="00661595" w:rsidRDefault="00802958" w:rsidP="0011505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1.4.2</w:t>
            </w:r>
            <w:r w:rsidRPr="00821208">
              <w:rPr>
                <w:u w:val="single"/>
              </w:rPr>
              <w:tab/>
            </w:r>
            <w:r>
              <w:rPr>
                <w:rStyle w:val="InstructionsTabelleberschrift"/>
                <w:rFonts w:ascii="Times New Roman" w:hAnsi="Times New Roman"/>
                <w:sz w:val="24"/>
              </w:rPr>
              <w:t>Metodi standardizzati (TSA) / metodi standardizzati alternativi (ASA) per il rischio operativo</w:t>
            </w:r>
          </w:p>
          <w:p w:rsidR="00802958" w:rsidRPr="00661595" w:rsidRDefault="00802958" w:rsidP="001E6CD6">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Cfr. il modello OPR.</w:t>
            </w:r>
          </w:p>
        </w:tc>
      </w:tr>
      <w:tr w:rsidR="00802958" w:rsidRPr="00661595" w:rsidTr="00672D2A">
        <w:tc>
          <w:tcPr>
            <w:tcW w:w="1591" w:type="dxa"/>
          </w:tcPr>
          <w:p w:rsidR="00802958" w:rsidRPr="00661595" w:rsidRDefault="00B13F06"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0620</w:t>
            </w:r>
          </w:p>
        </w:tc>
        <w:tc>
          <w:tcPr>
            <w:tcW w:w="7274" w:type="dxa"/>
          </w:tcPr>
          <w:p w:rsidR="00802958" w:rsidRPr="00661595" w:rsidRDefault="00802958" w:rsidP="0011505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1.4.3</w:t>
            </w:r>
            <w:r w:rsidRPr="00821208">
              <w:rPr>
                <w:u w:val="single"/>
              </w:rPr>
              <w:tab/>
            </w:r>
            <w:r>
              <w:rPr>
                <w:rStyle w:val="InstructionsTabelleberschrift"/>
                <w:rFonts w:ascii="Times New Roman" w:hAnsi="Times New Roman"/>
                <w:sz w:val="24"/>
              </w:rPr>
              <w:t>Metodi avanzati di misurazione (AMA) per il rischio operativo</w:t>
            </w:r>
          </w:p>
          <w:p w:rsidR="00802958" w:rsidRPr="00661595" w:rsidRDefault="00802958" w:rsidP="001E6CD6">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Cfr. il modello OPR.</w:t>
            </w:r>
          </w:p>
        </w:tc>
      </w:tr>
      <w:tr w:rsidR="00802958" w:rsidRPr="00661595" w:rsidTr="00672D2A">
        <w:tc>
          <w:tcPr>
            <w:tcW w:w="1591" w:type="dxa"/>
          </w:tcPr>
          <w:p w:rsidR="00802958" w:rsidRPr="00661595" w:rsidRDefault="00B13F06"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0630</w:t>
            </w:r>
          </w:p>
        </w:tc>
        <w:tc>
          <w:tcPr>
            <w:tcW w:w="7274" w:type="dxa"/>
          </w:tcPr>
          <w:p w:rsidR="00802958" w:rsidRPr="00661595" w:rsidRDefault="00802958" w:rsidP="0011505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1.5</w:t>
            </w:r>
            <w:r w:rsidRPr="00821208">
              <w:rPr>
                <w:u w:val="single"/>
              </w:rPr>
              <w:tab/>
            </w:r>
            <w:r>
              <w:rPr>
                <w:rStyle w:val="InstructionsTabelleberschrift"/>
                <w:rFonts w:ascii="Times New Roman" w:hAnsi="Times New Roman"/>
                <w:sz w:val="24"/>
              </w:rPr>
              <w:t>IMPORTO AGGIUNTIVO DELL</w:t>
            </w:r>
            <w:r w:rsidR="000878EC">
              <w:rPr>
                <w:rStyle w:val="InstructionsTabelleberschrift"/>
                <w:rFonts w:ascii="Times New Roman" w:hAnsi="Times New Roman"/>
                <w:sz w:val="24"/>
              </w:rPr>
              <w:t>'</w:t>
            </w:r>
            <w:r>
              <w:rPr>
                <w:rStyle w:val="InstructionsTabelleberschrift"/>
                <w:rFonts w:ascii="Times New Roman" w:hAnsi="Times New Roman"/>
                <w:sz w:val="24"/>
              </w:rPr>
              <w:t>ESPOSIZIONE AL RISCHIO DOVUTO ALLE SPESE FISSE GENERALI</w:t>
            </w:r>
          </w:p>
          <w:p w:rsidR="00802958" w:rsidRPr="00661595" w:rsidRDefault="00802958" w:rsidP="001E6CD6">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Articolo 95, paragrafo 2, articolo 96, paragrafo 2, articolo 97 e articolo 98, paragrafo 1, lettera a), del CRR</w:t>
            </w:r>
          </w:p>
          <w:p w:rsidR="00802958" w:rsidRPr="00661595" w:rsidRDefault="00802958" w:rsidP="001E6CD6">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Solo per le imprese di investimento di cui all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articolo 95, paragrafo 2, all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articolo 96, paragrafo 2, e all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articolo 98</w:t>
            </w:r>
            <w:r w:rsidR="00046031">
              <w:rPr>
                <w:rStyle w:val="FormatvorlageInstructionsTabelleText"/>
                <w:rFonts w:ascii="Times New Roman" w:hAnsi="Times New Roman"/>
                <w:sz w:val="24"/>
              </w:rPr>
              <w:t xml:space="preserve"> del CRR. Cfr. anche l</w:t>
            </w:r>
            <w:r w:rsidR="000878EC">
              <w:rPr>
                <w:rStyle w:val="FormatvorlageInstructionsTabelleText"/>
                <w:rFonts w:ascii="Times New Roman" w:hAnsi="Times New Roman"/>
                <w:sz w:val="24"/>
              </w:rPr>
              <w:t>'</w:t>
            </w:r>
            <w:r w:rsidR="00046031">
              <w:rPr>
                <w:rStyle w:val="FormatvorlageInstructionsTabelleText"/>
                <w:rFonts w:ascii="Times New Roman" w:hAnsi="Times New Roman"/>
                <w:sz w:val="24"/>
              </w:rPr>
              <w:t>articolo </w:t>
            </w:r>
            <w:r>
              <w:rPr>
                <w:rStyle w:val="FormatvorlageInstructionsTabelleText"/>
                <w:rFonts w:ascii="Times New Roman" w:hAnsi="Times New Roman"/>
                <w:sz w:val="24"/>
              </w:rPr>
              <w:t xml:space="preserve">97 del CRR. </w:t>
            </w:r>
          </w:p>
          <w:p w:rsidR="00802958" w:rsidRPr="00661595" w:rsidRDefault="00802958" w:rsidP="001E6CD6">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Le imprese di investimento di cui all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articolo 96 del CRR segnalano 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importo indicato nell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articolo 97 moltiplicato per 12,5.</w:t>
            </w:r>
          </w:p>
          <w:p w:rsidR="00802958" w:rsidRPr="00661595" w:rsidRDefault="00802958" w:rsidP="001E6CD6">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Le imprese di investimento di cui all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articolo 95 del CRR segnalano secondo le seguenti modalità:</w:t>
            </w:r>
          </w:p>
          <w:p w:rsidR="00802958" w:rsidRPr="00661595" w:rsidRDefault="00802958" w:rsidP="00115052">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un importo pari a zero nei casi in cui 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 xml:space="preserve">importo indicato </w:t>
            </w:r>
            <w:r w:rsidR="00046031">
              <w:rPr>
                <w:rStyle w:val="FormatvorlageInstructionsTabelleText"/>
                <w:rFonts w:ascii="Times New Roman" w:hAnsi="Times New Roman"/>
                <w:sz w:val="24"/>
              </w:rPr>
              <w:t>nell</w:t>
            </w:r>
            <w:r w:rsidR="000878EC">
              <w:rPr>
                <w:rStyle w:val="FormatvorlageInstructionsTabelleText"/>
                <w:rFonts w:ascii="Times New Roman" w:hAnsi="Times New Roman"/>
                <w:sz w:val="24"/>
              </w:rPr>
              <w:t>'</w:t>
            </w:r>
            <w:r w:rsidR="00046031">
              <w:rPr>
                <w:rStyle w:val="FormatvorlageInstructionsTabelleText"/>
                <w:rFonts w:ascii="Times New Roman" w:hAnsi="Times New Roman"/>
                <w:sz w:val="24"/>
              </w:rPr>
              <w:t>articolo </w:t>
            </w:r>
            <w:r>
              <w:rPr>
                <w:rStyle w:val="FormatvorlageInstructionsTabelleText"/>
                <w:rFonts w:ascii="Times New Roman" w:hAnsi="Times New Roman"/>
                <w:sz w:val="24"/>
              </w:rPr>
              <w:t>95, paragrafo 2, lettera a), del CRR è superiore all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importo indicato nell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articolo 95, paragrafo 2, lettera b), del CRR;</w:t>
            </w:r>
          </w:p>
          <w:p w:rsidR="00802958" w:rsidRPr="00661595" w:rsidRDefault="00802958" w:rsidP="00115052">
            <w:pPr>
              <w:pStyle w:val="InstructionsText"/>
              <w:rPr>
                <w:rStyle w:val="FormatvorlageInstructionsTabelleText"/>
                <w:rFonts w:ascii="Times New Roman" w:hAnsi="Times New Roman"/>
                <w:sz w:val="24"/>
              </w:rPr>
            </w:pPr>
            <w:r>
              <w:rPr>
                <w:rStyle w:val="FormatvorlageInstructionsTabelleText"/>
                <w:rFonts w:ascii="Arial" w:hAnsi="Arial"/>
                <w:sz w:val="24"/>
              </w:rPr>
              <w:t>-</w:t>
            </w:r>
            <w:r>
              <w:tab/>
            </w:r>
            <w:r>
              <w:rPr>
                <w:rStyle w:val="FormatvorlageInstructionsTabelleText"/>
                <w:rFonts w:ascii="Times New Roman" w:hAnsi="Times New Roman"/>
                <w:sz w:val="24"/>
              </w:rPr>
              <w:t>il risultato della sottrazione dell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importo indicato nell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articolo 95, paragrafo 2, lettera a), del CRR dall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importo indicato nell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 xml:space="preserve">articolo 95, paragrafo 2, lettera b), del CRR nei casi in cui questo secondo importo è maggiore del primo. </w:t>
            </w:r>
          </w:p>
        </w:tc>
      </w:tr>
      <w:tr w:rsidR="00802958" w:rsidRPr="00661595" w:rsidTr="00672D2A">
        <w:tc>
          <w:tcPr>
            <w:tcW w:w="1591" w:type="dxa"/>
          </w:tcPr>
          <w:p w:rsidR="00802958" w:rsidRPr="00661595" w:rsidRDefault="00B13F06" w:rsidP="00821208">
            <w:pPr>
              <w:pStyle w:val="InstructionsText"/>
              <w:keepNext/>
              <w:keepLines/>
              <w:rPr>
                <w:rStyle w:val="FormatvorlageInstructionsTabelleText"/>
                <w:rFonts w:ascii="Times New Roman" w:hAnsi="Times New Roman"/>
                <w:sz w:val="24"/>
              </w:rPr>
            </w:pPr>
            <w:r>
              <w:rPr>
                <w:rStyle w:val="FormatvorlageInstructionsTabelleText"/>
                <w:rFonts w:ascii="Times New Roman" w:hAnsi="Times New Roman"/>
                <w:sz w:val="24"/>
              </w:rPr>
              <w:t>0640</w:t>
            </w:r>
          </w:p>
        </w:tc>
        <w:tc>
          <w:tcPr>
            <w:tcW w:w="7274" w:type="dxa"/>
          </w:tcPr>
          <w:p w:rsidR="00802958" w:rsidRPr="00661595" w:rsidRDefault="00802958" w:rsidP="00821208">
            <w:pPr>
              <w:pStyle w:val="InstructionsText"/>
              <w:keepNext/>
              <w:keepLines/>
              <w:rPr>
                <w:rStyle w:val="InstructionsTabelleberschrift"/>
                <w:rFonts w:ascii="Times New Roman" w:hAnsi="Times New Roman"/>
                <w:bCs w:val="0"/>
                <w:sz w:val="24"/>
              </w:rPr>
            </w:pPr>
            <w:r>
              <w:rPr>
                <w:rStyle w:val="InstructionsTabelleberschrift"/>
                <w:rFonts w:ascii="Times New Roman" w:hAnsi="Times New Roman"/>
                <w:sz w:val="24"/>
              </w:rPr>
              <w:t>1.6</w:t>
            </w:r>
            <w:r w:rsidRPr="00821208">
              <w:rPr>
                <w:u w:val="single"/>
              </w:rPr>
              <w:tab/>
            </w:r>
            <w:r>
              <w:rPr>
                <w:rStyle w:val="InstructionsTabelleberschrift"/>
                <w:rFonts w:ascii="Times New Roman" w:hAnsi="Times New Roman"/>
                <w:sz w:val="24"/>
              </w:rPr>
              <w:t>IMPORTO COMPLESSIVO DELL</w:t>
            </w:r>
            <w:r w:rsidR="000878EC">
              <w:rPr>
                <w:rStyle w:val="InstructionsTabelleberschrift"/>
                <w:rFonts w:ascii="Times New Roman" w:hAnsi="Times New Roman"/>
                <w:sz w:val="24"/>
              </w:rPr>
              <w:t>'</w:t>
            </w:r>
            <w:r>
              <w:rPr>
                <w:rStyle w:val="InstructionsTabelleberschrift"/>
                <w:rFonts w:ascii="Times New Roman" w:hAnsi="Times New Roman"/>
                <w:sz w:val="24"/>
              </w:rPr>
              <w:t>ESPOSIZIONE AL RISCHIO DI AGGIUSTAMENTO DELLA VALUTAZIONE DEL CREDITO (CVA)</w:t>
            </w:r>
          </w:p>
          <w:p w:rsidR="00E3279F" w:rsidRPr="00661595" w:rsidRDefault="006A6822" w:rsidP="00821208">
            <w:pPr>
              <w:pStyle w:val="InstructionsText"/>
              <w:keepNext/>
              <w:keepLine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92, paragrafo 3, lettera d), del CRR</w:t>
            </w:r>
          </w:p>
          <w:p w:rsidR="00802958" w:rsidRPr="00661595" w:rsidRDefault="00802958" w:rsidP="00821208">
            <w:pPr>
              <w:pStyle w:val="InstructionsText"/>
              <w:keepNext/>
              <w:keepLines/>
              <w:rPr>
                <w:rStyle w:val="FormatvorlageInstructionsTabelleText"/>
                <w:rFonts w:ascii="Times New Roman" w:hAnsi="Times New Roman"/>
                <w:bCs w:val="0"/>
                <w:sz w:val="24"/>
              </w:rPr>
            </w:pPr>
            <w:r>
              <w:rPr>
                <w:rStyle w:val="InstructionsTabelleberschrift"/>
                <w:rFonts w:ascii="Times New Roman" w:hAnsi="Times New Roman"/>
                <w:b w:val="0"/>
                <w:sz w:val="24"/>
                <w:u w:val="none"/>
              </w:rPr>
              <w:t>Cfr. il modello CVA.</w:t>
            </w:r>
            <w:r>
              <w:rPr>
                <w:rStyle w:val="FormatvorlageInstructionsTabelleText"/>
                <w:rFonts w:ascii="Times New Roman" w:hAnsi="Times New Roman"/>
                <w:sz w:val="24"/>
              </w:rPr>
              <w:t xml:space="preserve"> </w:t>
            </w:r>
          </w:p>
        </w:tc>
      </w:tr>
      <w:tr w:rsidR="00802958" w:rsidRPr="00661595" w:rsidTr="00672D2A">
        <w:tc>
          <w:tcPr>
            <w:tcW w:w="1591" w:type="dxa"/>
          </w:tcPr>
          <w:p w:rsidR="00802958" w:rsidRPr="00661595" w:rsidRDefault="00B13F06"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0650</w:t>
            </w:r>
          </w:p>
        </w:tc>
        <w:tc>
          <w:tcPr>
            <w:tcW w:w="7274" w:type="dxa"/>
          </w:tcPr>
          <w:p w:rsidR="00802958" w:rsidRPr="00661595" w:rsidRDefault="00802958"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1.6.1</w:t>
            </w:r>
            <w:r w:rsidRPr="00821208">
              <w:rPr>
                <w:u w:val="single"/>
              </w:rPr>
              <w:tab/>
            </w:r>
            <w:r>
              <w:rPr>
                <w:rStyle w:val="InstructionsTabelleberschrift"/>
                <w:rFonts w:ascii="Times New Roman" w:hAnsi="Times New Roman"/>
                <w:sz w:val="24"/>
              </w:rPr>
              <w:t>Metodo avanzato</w:t>
            </w:r>
          </w:p>
          <w:p w:rsidR="001E3EF1" w:rsidRPr="00661595" w:rsidRDefault="00802958" w:rsidP="000C1E5D">
            <w:pPr>
              <w:keepNext/>
              <w:keepLines/>
              <w:suppressAutoHyphens/>
              <w:rPr>
                <w:rStyle w:val="FormatvorlageInstructionsTabelleText"/>
                <w:rFonts w:ascii="Times New Roman" w:hAnsi="Times New Roman"/>
                <w:sz w:val="24"/>
              </w:rPr>
            </w:pPr>
            <w:r>
              <w:rPr>
                <w:rStyle w:val="FormatvorlageInstructionsTabelleText"/>
                <w:rFonts w:ascii="Times New Roman" w:hAnsi="Times New Roman"/>
                <w:sz w:val="24"/>
              </w:rPr>
              <w:t>Requisiti di fondi propri per il rischio di aggiustamento della valutazione del credito (CVA) conformemente all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articolo 383 del CRR.</w:t>
            </w:r>
          </w:p>
          <w:p w:rsidR="00802958" w:rsidRPr="00661595" w:rsidRDefault="00802958" w:rsidP="000C1E5D">
            <w:pPr>
              <w:keepNext/>
              <w:keepLines/>
              <w:suppressAutoHyphens/>
              <w:rPr>
                <w:rStyle w:val="FormatvorlageInstructionsTabelleText"/>
                <w:rFonts w:ascii="Times New Roman" w:hAnsi="Times New Roman"/>
                <w:sz w:val="24"/>
              </w:rPr>
            </w:pPr>
            <w:r>
              <w:rPr>
                <w:rStyle w:val="FormatvorlageInstructionsTabelleText"/>
                <w:rFonts w:ascii="Times New Roman" w:hAnsi="Times New Roman"/>
                <w:sz w:val="24"/>
              </w:rPr>
              <w:t>Cfr. il modello CVA.</w:t>
            </w:r>
          </w:p>
        </w:tc>
      </w:tr>
      <w:tr w:rsidR="00802958" w:rsidRPr="00661595" w:rsidTr="00672D2A">
        <w:tc>
          <w:tcPr>
            <w:tcW w:w="1591" w:type="dxa"/>
          </w:tcPr>
          <w:p w:rsidR="00802958" w:rsidRPr="00661595" w:rsidRDefault="00B13F06"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0660</w:t>
            </w:r>
          </w:p>
        </w:tc>
        <w:tc>
          <w:tcPr>
            <w:tcW w:w="7274" w:type="dxa"/>
          </w:tcPr>
          <w:p w:rsidR="00802958" w:rsidRPr="00661595" w:rsidRDefault="00802958"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1.6.2</w:t>
            </w:r>
            <w:r w:rsidRPr="00821208">
              <w:rPr>
                <w:u w:val="single"/>
              </w:rPr>
              <w:tab/>
            </w:r>
            <w:r>
              <w:rPr>
                <w:rStyle w:val="InstructionsTabelleberschrift"/>
                <w:rFonts w:ascii="Times New Roman" w:hAnsi="Times New Roman"/>
                <w:sz w:val="24"/>
              </w:rPr>
              <w:t>Metodo standardizzato</w:t>
            </w:r>
          </w:p>
          <w:p w:rsidR="001E3EF1" w:rsidRPr="00661595" w:rsidRDefault="00802958" w:rsidP="001E6CD6">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Requisiti di fondi propri per il rischio di aggiustamento della valutazione del credito (CVA) conformemente all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 xml:space="preserve">articolo 384 del CRR. </w:t>
            </w:r>
          </w:p>
          <w:p w:rsidR="00802958" w:rsidRPr="00661595" w:rsidRDefault="00802958" w:rsidP="001E6CD6">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Cfr. il modello CVA.</w:t>
            </w:r>
          </w:p>
        </w:tc>
      </w:tr>
      <w:tr w:rsidR="00802958" w:rsidRPr="00661595" w:rsidTr="00672D2A">
        <w:tc>
          <w:tcPr>
            <w:tcW w:w="1591" w:type="dxa"/>
          </w:tcPr>
          <w:p w:rsidR="00802958" w:rsidRPr="00661595" w:rsidRDefault="00B13F06"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0670</w:t>
            </w:r>
          </w:p>
        </w:tc>
        <w:tc>
          <w:tcPr>
            <w:tcW w:w="7274" w:type="dxa"/>
          </w:tcPr>
          <w:p w:rsidR="00802958" w:rsidRPr="00661595" w:rsidRDefault="00802958" w:rsidP="0011505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1.6.3</w:t>
            </w:r>
            <w:r w:rsidRPr="00821208">
              <w:rPr>
                <w:u w:val="single"/>
              </w:rPr>
              <w:tab/>
            </w:r>
            <w:r>
              <w:rPr>
                <w:rStyle w:val="InstructionsTabelleberschrift"/>
                <w:rFonts w:ascii="Times New Roman" w:hAnsi="Times New Roman"/>
                <w:sz w:val="24"/>
              </w:rPr>
              <w:t>In base al metodo dell</w:t>
            </w:r>
            <w:r w:rsidR="000878EC">
              <w:rPr>
                <w:rStyle w:val="InstructionsTabelleberschrift"/>
                <w:rFonts w:ascii="Times New Roman" w:hAnsi="Times New Roman"/>
                <w:sz w:val="24"/>
              </w:rPr>
              <w:t>'</w:t>
            </w:r>
            <w:r>
              <w:rPr>
                <w:rStyle w:val="InstructionsTabelleberschrift"/>
                <w:rFonts w:ascii="Times New Roman" w:hAnsi="Times New Roman"/>
                <w:sz w:val="24"/>
              </w:rPr>
              <w:t>esposizione originaria (OEM)</w:t>
            </w:r>
          </w:p>
          <w:p w:rsidR="001E3EF1" w:rsidRPr="00661595" w:rsidRDefault="00802958"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Requisiti di fondi propri per il rischio di aggiustamento della valutazione del credito (CVA) conformemente all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 xml:space="preserve">articolo 385 del CRR. </w:t>
            </w:r>
          </w:p>
          <w:p w:rsidR="00802958" w:rsidRPr="00661595" w:rsidRDefault="00802958" w:rsidP="00115052">
            <w:pPr>
              <w:pStyle w:val="InstructionsText"/>
              <w:rPr>
                <w:rStyle w:val="InstructionsTabelleberschrift"/>
                <w:rFonts w:ascii="Times New Roman" w:hAnsi="Times New Roman"/>
                <w:b w:val="0"/>
                <w:bCs w:val="0"/>
                <w:sz w:val="24"/>
                <w:u w:val="none"/>
              </w:rPr>
            </w:pPr>
            <w:r>
              <w:rPr>
                <w:rStyle w:val="FormatvorlageInstructionsTabelleText"/>
                <w:rFonts w:ascii="Times New Roman" w:hAnsi="Times New Roman"/>
                <w:sz w:val="24"/>
              </w:rPr>
              <w:t>Cfr. il modello CVA.</w:t>
            </w:r>
          </w:p>
        </w:tc>
      </w:tr>
      <w:tr w:rsidR="00802958" w:rsidRPr="00661595" w:rsidTr="00672D2A">
        <w:tc>
          <w:tcPr>
            <w:tcW w:w="1591" w:type="dxa"/>
          </w:tcPr>
          <w:p w:rsidR="00802958" w:rsidRPr="00661595" w:rsidRDefault="00B13F06" w:rsidP="0011505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0680</w:t>
            </w:r>
          </w:p>
        </w:tc>
        <w:tc>
          <w:tcPr>
            <w:tcW w:w="7274" w:type="dxa"/>
          </w:tcPr>
          <w:p w:rsidR="00802958" w:rsidRPr="00661595" w:rsidRDefault="00802958" w:rsidP="00115052">
            <w:pPr>
              <w:pStyle w:val="InstructionsText"/>
              <w:rPr>
                <w:rStyle w:val="FormatvorlageInstructionsTabelleText"/>
                <w:rFonts w:ascii="Times New Roman" w:hAnsi="Times New Roman"/>
                <w:b/>
                <w:bCs w:val="0"/>
                <w:sz w:val="24"/>
                <w:u w:val="single"/>
              </w:rPr>
            </w:pPr>
            <w:r>
              <w:rPr>
                <w:rStyle w:val="InstructionsTabelleberschrift"/>
                <w:rFonts w:ascii="Times New Roman" w:hAnsi="Times New Roman"/>
                <w:sz w:val="24"/>
              </w:rPr>
              <w:t>1.7</w:t>
            </w:r>
            <w:r w:rsidRPr="00821208">
              <w:rPr>
                <w:u w:val="single"/>
              </w:rPr>
              <w:tab/>
            </w:r>
            <w:r>
              <w:rPr>
                <w:rStyle w:val="InstructionsTabelleberschrift"/>
                <w:rFonts w:ascii="Times New Roman" w:hAnsi="Times New Roman"/>
                <w:sz w:val="24"/>
              </w:rPr>
              <w:t>IMPORTO COMPLESSIVO DELL</w:t>
            </w:r>
            <w:r w:rsidR="000878EC">
              <w:rPr>
                <w:rStyle w:val="InstructionsTabelleberschrift"/>
                <w:rFonts w:ascii="Times New Roman" w:hAnsi="Times New Roman"/>
                <w:sz w:val="24"/>
              </w:rPr>
              <w:t>'</w:t>
            </w:r>
            <w:r>
              <w:rPr>
                <w:rStyle w:val="InstructionsTabelleberschrift"/>
                <w:rFonts w:ascii="Times New Roman" w:hAnsi="Times New Roman"/>
                <w:sz w:val="24"/>
              </w:rPr>
              <w:t>ESPOSIZIONE AL RISCHIO RELATIVO ALLE GRANDI ESPOSIZIONI INTERNE AL PORTAFOGLIO DI NEGOZIAZIONE</w:t>
            </w:r>
          </w:p>
          <w:p w:rsidR="00802958" w:rsidRPr="00661595" w:rsidRDefault="006A6822" w:rsidP="00115052">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Articolo 92, paragrafo 3, lettera b), punto ii), e articoli da 395 a 401 del CRR</w:t>
            </w:r>
          </w:p>
        </w:tc>
      </w:tr>
      <w:tr w:rsidR="00802958" w:rsidRPr="00661595" w:rsidTr="00672D2A">
        <w:tc>
          <w:tcPr>
            <w:tcW w:w="1591" w:type="dxa"/>
          </w:tcPr>
          <w:p w:rsidR="00802958" w:rsidRPr="00661595" w:rsidRDefault="00B13F06"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0690</w:t>
            </w:r>
          </w:p>
        </w:tc>
        <w:tc>
          <w:tcPr>
            <w:tcW w:w="7274" w:type="dxa"/>
          </w:tcPr>
          <w:p w:rsidR="00802958" w:rsidRPr="00661595" w:rsidRDefault="00802958"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1.8</w:t>
            </w:r>
            <w:r w:rsidRPr="00821208">
              <w:rPr>
                <w:u w:val="single"/>
              </w:rPr>
              <w:tab/>
            </w:r>
            <w:r>
              <w:rPr>
                <w:rStyle w:val="InstructionsTabelleberschrift"/>
                <w:rFonts w:ascii="Times New Roman" w:hAnsi="Times New Roman"/>
                <w:sz w:val="24"/>
              </w:rPr>
              <w:t>IMPORTI DELL</w:t>
            </w:r>
            <w:r w:rsidR="000878EC">
              <w:rPr>
                <w:rStyle w:val="InstructionsTabelleberschrift"/>
                <w:rFonts w:ascii="Times New Roman" w:hAnsi="Times New Roman"/>
                <w:sz w:val="24"/>
              </w:rPr>
              <w:t>'</w:t>
            </w:r>
            <w:r>
              <w:rPr>
                <w:rStyle w:val="InstructionsTabelleberschrift"/>
                <w:rFonts w:ascii="Times New Roman" w:hAnsi="Times New Roman"/>
                <w:sz w:val="24"/>
              </w:rPr>
              <w:t>ESPOSIZIONE AD ALTRI RISCHI</w:t>
            </w:r>
          </w:p>
          <w:p w:rsidR="00802958" w:rsidRPr="00661595" w:rsidRDefault="00802958" w:rsidP="0011505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Articoli 3, 458 e 459 del CRR e importi delle esposizioni a rischi che non possono essere inseriti in una delle voci da 1.1 a 1.7. </w:t>
            </w:r>
          </w:p>
          <w:p w:rsidR="00802958" w:rsidRPr="00661595" w:rsidRDefault="00802958" w:rsidP="0011505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Gli enti segnalano gli importi necessari per ottemperare a quanto segue:</w:t>
            </w:r>
          </w:p>
          <w:p w:rsidR="00802958" w:rsidRPr="00661595" w:rsidRDefault="00802958" w:rsidP="0011505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 xml:space="preserve">i requisiti prudenziali più rigorosi imposti dalla Commissione conformemente agli articoli 458 e 459 del CRR; </w:t>
            </w:r>
          </w:p>
          <w:p w:rsidR="00802958" w:rsidRPr="00661595" w:rsidRDefault="00802958" w:rsidP="0011505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gli importi aggiuntivi delle esposizioni al rischio dovuti all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articolo 3 del CRR.</w:t>
            </w:r>
          </w:p>
          <w:p w:rsidR="00802958" w:rsidRPr="00661595" w:rsidRDefault="00802958" w:rsidP="00115052">
            <w:pPr>
              <w:pStyle w:val="InstructionsText"/>
              <w:rPr>
                <w:rStyle w:val="InstructionsTabelleberschrift"/>
                <w:rFonts w:ascii="Times New Roman" w:hAnsi="Times New Roman"/>
                <w:bCs w:val="0"/>
                <w:sz w:val="24"/>
                <w:u w:val="none"/>
              </w:rPr>
            </w:pPr>
            <w:r>
              <w:rPr>
                <w:rStyle w:val="InstructionsTabelleberschrift"/>
                <w:rFonts w:ascii="Times New Roman" w:hAnsi="Times New Roman"/>
                <w:b w:val="0"/>
                <w:sz w:val="24"/>
                <w:u w:val="none"/>
              </w:rPr>
              <w:t xml:space="preserve">Questa voce non ha collegamento a un modello di dettagli. </w:t>
            </w:r>
          </w:p>
        </w:tc>
      </w:tr>
      <w:tr w:rsidR="00802958" w:rsidRPr="00661595" w:rsidTr="00672D2A">
        <w:tc>
          <w:tcPr>
            <w:tcW w:w="1591" w:type="dxa"/>
          </w:tcPr>
          <w:p w:rsidR="00802958" w:rsidRPr="00661595" w:rsidRDefault="00B13F06"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0710</w:t>
            </w:r>
          </w:p>
        </w:tc>
        <w:tc>
          <w:tcPr>
            <w:tcW w:w="7274" w:type="dxa"/>
          </w:tcPr>
          <w:p w:rsidR="00802958" w:rsidRPr="00661595" w:rsidRDefault="00802958"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1.8.2</w:t>
            </w:r>
            <w:r w:rsidRPr="00821208">
              <w:rPr>
                <w:b/>
                <w:u w:val="single"/>
              </w:rPr>
              <w:tab/>
            </w:r>
            <w:r>
              <w:rPr>
                <w:rStyle w:val="InstructionsTabelleberschrift"/>
                <w:rFonts w:ascii="Times New Roman" w:hAnsi="Times New Roman"/>
                <w:sz w:val="24"/>
              </w:rPr>
              <w:t>di cui: requisiti prudenziali aggiuntivi più rigorosi basati sull</w:t>
            </w:r>
            <w:r w:rsidR="000878EC">
              <w:rPr>
                <w:rStyle w:val="InstructionsTabelleberschrift"/>
                <w:rFonts w:ascii="Times New Roman" w:hAnsi="Times New Roman"/>
                <w:sz w:val="24"/>
              </w:rPr>
              <w:t>'</w:t>
            </w:r>
            <w:r>
              <w:rPr>
                <w:rStyle w:val="InstructionsTabelleberschrift"/>
                <w:rFonts w:ascii="Times New Roman" w:hAnsi="Times New Roman"/>
                <w:sz w:val="24"/>
              </w:rPr>
              <w:t>articolo 458 del CRR</w:t>
            </w:r>
          </w:p>
          <w:p w:rsidR="00802958" w:rsidRPr="00661595" w:rsidRDefault="00802958" w:rsidP="00115052">
            <w:pPr>
              <w:pStyle w:val="InstructionsText"/>
              <w:rPr>
                <w:rStyle w:val="InstructionsTabelleberschrift"/>
                <w:rFonts w:ascii="Times New Roman" w:hAnsi="Times New Roman"/>
                <w:b w:val="0"/>
                <w:sz w:val="24"/>
                <w:u w:val="none"/>
              </w:rPr>
            </w:pPr>
            <w:r>
              <w:rPr>
                <w:rStyle w:val="FormatvorlageInstructionsTabelleText"/>
                <w:rFonts w:ascii="Times New Roman" w:hAnsi="Times New Roman"/>
                <w:sz w:val="24"/>
              </w:rPr>
              <w:t>Articolo 458 del CRR</w:t>
            </w:r>
          </w:p>
        </w:tc>
      </w:tr>
      <w:tr w:rsidR="00802958" w:rsidRPr="00661595" w:rsidTr="00672D2A">
        <w:tc>
          <w:tcPr>
            <w:tcW w:w="1591" w:type="dxa"/>
          </w:tcPr>
          <w:p w:rsidR="00802958" w:rsidRPr="00661595" w:rsidRDefault="00B13F06"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0720</w:t>
            </w:r>
          </w:p>
        </w:tc>
        <w:tc>
          <w:tcPr>
            <w:tcW w:w="7274" w:type="dxa"/>
          </w:tcPr>
          <w:p w:rsidR="00802958" w:rsidRPr="00661595" w:rsidRDefault="00802958" w:rsidP="00115052">
            <w:pPr>
              <w:pStyle w:val="InstructionsText"/>
            </w:pPr>
            <w:r>
              <w:rPr>
                <w:rStyle w:val="InstructionsTabelleberschrift"/>
                <w:rFonts w:ascii="Times New Roman" w:hAnsi="Times New Roman"/>
                <w:sz w:val="24"/>
              </w:rPr>
              <w:t>1.8.2*</w:t>
            </w:r>
            <w:r w:rsidRPr="00821208">
              <w:rPr>
                <w:b/>
                <w:u w:val="single"/>
              </w:rPr>
              <w:tab/>
            </w:r>
            <w:r>
              <w:rPr>
                <w:rStyle w:val="InstructionsTabelleberschrift"/>
                <w:rFonts w:ascii="Times New Roman" w:hAnsi="Times New Roman"/>
                <w:sz w:val="24"/>
              </w:rPr>
              <w:t>di cui: requisiti per le grandi esposizioni</w:t>
            </w:r>
          </w:p>
          <w:p w:rsidR="00802958" w:rsidRPr="00661595" w:rsidRDefault="00802958" w:rsidP="00115052">
            <w:pPr>
              <w:pStyle w:val="InstructionsText"/>
              <w:rPr>
                <w:rStyle w:val="InstructionsTabelleberschrift"/>
                <w:rFonts w:ascii="Times New Roman" w:hAnsi="Times New Roman"/>
                <w:sz w:val="24"/>
              </w:rPr>
            </w:pPr>
            <w:r>
              <w:t>Articolo 458 del CRR</w:t>
            </w:r>
          </w:p>
        </w:tc>
      </w:tr>
      <w:tr w:rsidR="00802958" w:rsidRPr="00661595" w:rsidTr="00672D2A">
        <w:tc>
          <w:tcPr>
            <w:tcW w:w="1591" w:type="dxa"/>
          </w:tcPr>
          <w:p w:rsidR="00802958" w:rsidRPr="00661595" w:rsidRDefault="00B13F06" w:rsidP="009843BA">
            <w:pPr>
              <w:pStyle w:val="InstructionsText"/>
              <w:keepNext/>
              <w:keepLines/>
              <w:rPr>
                <w:rStyle w:val="FormatvorlageInstructionsTabelleText"/>
                <w:rFonts w:ascii="Times New Roman" w:hAnsi="Times New Roman"/>
                <w:sz w:val="24"/>
              </w:rPr>
            </w:pPr>
            <w:r>
              <w:rPr>
                <w:rStyle w:val="FormatvorlageInstructionsTabelleText"/>
                <w:rFonts w:ascii="Times New Roman" w:hAnsi="Times New Roman"/>
                <w:sz w:val="24"/>
              </w:rPr>
              <w:t>0730</w:t>
            </w:r>
          </w:p>
        </w:tc>
        <w:tc>
          <w:tcPr>
            <w:tcW w:w="7274" w:type="dxa"/>
          </w:tcPr>
          <w:p w:rsidR="00802958" w:rsidRPr="00661595" w:rsidRDefault="00802958" w:rsidP="009843BA">
            <w:pPr>
              <w:pStyle w:val="InstructionsText"/>
              <w:keepNext/>
              <w:keepLines/>
            </w:pPr>
            <w:r>
              <w:rPr>
                <w:rStyle w:val="InstructionsTabelleberschrift"/>
                <w:rFonts w:ascii="Times New Roman" w:hAnsi="Times New Roman"/>
                <w:sz w:val="24"/>
              </w:rPr>
              <w:t>1.8.2**</w:t>
            </w:r>
            <w:r w:rsidRPr="00821208">
              <w:rPr>
                <w:b/>
                <w:u w:val="single"/>
              </w:rPr>
              <w:tab/>
            </w:r>
            <w:r>
              <w:rPr>
                <w:rStyle w:val="InstructionsTabelleberschrift"/>
                <w:rFonts w:ascii="Times New Roman" w:hAnsi="Times New Roman"/>
                <w:sz w:val="24"/>
              </w:rPr>
              <w:t>di cui: dovuti a variazioni delle ponderazioni del rischio per far fronte alle bolle speculative nel settore degli immobili residenziali e non residenziali</w:t>
            </w:r>
          </w:p>
          <w:p w:rsidR="00802958" w:rsidRPr="00661595" w:rsidRDefault="00802958" w:rsidP="009843BA">
            <w:pPr>
              <w:pStyle w:val="InstructionsText"/>
              <w:keepNext/>
              <w:keepLines/>
              <w:rPr>
                <w:rStyle w:val="InstructionsTabelleberschrift"/>
                <w:rFonts w:ascii="Times New Roman" w:hAnsi="Times New Roman"/>
                <w:sz w:val="24"/>
              </w:rPr>
            </w:pPr>
            <w:r>
              <w:t>Articolo 458 del CRR</w:t>
            </w:r>
          </w:p>
        </w:tc>
      </w:tr>
      <w:tr w:rsidR="00802958" w:rsidRPr="00661595" w:rsidTr="00672D2A">
        <w:tc>
          <w:tcPr>
            <w:tcW w:w="1591" w:type="dxa"/>
          </w:tcPr>
          <w:p w:rsidR="00802958" w:rsidRPr="00661595" w:rsidRDefault="00B13F06"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0740</w:t>
            </w:r>
          </w:p>
        </w:tc>
        <w:tc>
          <w:tcPr>
            <w:tcW w:w="7274" w:type="dxa"/>
          </w:tcPr>
          <w:p w:rsidR="00802958" w:rsidRPr="00661595" w:rsidRDefault="00802958" w:rsidP="00115052">
            <w:pPr>
              <w:pStyle w:val="InstructionsText"/>
            </w:pPr>
            <w:r>
              <w:rPr>
                <w:rStyle w:val="InstructionsTabelleberschrift"/>
                <w:rFonts w:ascii="Times New Roman" w:hAnsi="Times New Roman"/>
                <w:sz w:val="24"/>
              </w:rPr>
              <w:t>1.8.2***</w:t>
            </w:r>
            <w:r w:rsidRPr="000C1E5D">
              <w:tab/>
            </w:r>
            <w:r>
              <w:rPr>
                <w:rStyle w:val="InstructionsTabelleberschrift"/>
                <w:rFonts w:ascii="Times New Roman" w:hAnsi="Times New Roman"/>
                <w:sz w:val="24"/>
              </w:rPr>
              <w:t>di cui: dovuti a esposizioni all</w:t>
            </w:r>
            <w:r w:rsidR="000878EC">
              <w:rPr>
                <w:rStyle w:val="InstructionsTabelleberschrift"/>
                <w:rFonts w:ascii="Times New Roman" w:hAnsi="Times New Roman"/>
                <w:sz w:val="24"/>
              </w:rPr>
              <w:t>'</w:t>
            </w:r>
            <w:r>
              <w:rPr>
                <w:rStyle w:val="InstructionsTabelleberschrift"/>
                <w:rFonts w:ascii="Times New Roman" w:hAnsi="Times New Roman"/>
                <w:sz w:val="24"/>
              </w:rPr>
              <w:t>interno del settore finanziario</w:t>
            </w:r>
          </w:p>
          <w:p w:rsidR="00802958" w:rsidRPr="00661595" w:rsidRDefault="00802958" w:rsidP="00115052">
            <w:pPr>
              <w:pStyle w:val="InstructionsText"/>
              <w:rPr>
                <w:rStyle w:val="InstructionsTabelleberschrift"/>
                <w:rFonts w:ascii="Times New Roman" w:hAnsi="Times New Roman"/>
                <w:sz w:val="24"/>
              </w:rPr>
            </w:pPr>
            <w:r>
              <w:t>Articolo 458 del CRR</w:t>
            </w:r>
          </w:p>
        </w:tc>
      </w:tr>
      <w:tr w:rsidR="00802958" w:rsidRPr="00661595" w:rsidTr="00672D2A">
        <w:tc>
          <w:tcPr>
            <w:tcW w:w="1591" w:type="dxa"/>
          </w:tcPr>
          <w:p w:rsidR="00802958" w:rsidRPr="00661595" w:rsidRDefault="00B13F06"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0750</w:t>
            </w:r>
          </w:p>
        </w:tc>
        <w:tc>
          <w:tcPr>
            <w:tcW w:w="7274" w:type="dxa"/>
          </w:tcPr>
          <w:p w:rsidR="00802958" w:rsidRPr="00661595" w:rsidRDefault="00802958"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1.8.3</w:t>
            </w:r>
            <w:r w:rsidRPr="000C1E5D">
              <w:tab/>
            </w:r>
            <w:r>
              <w:rPr>
                <w:rStyle w:val="InstructionsTabelleberschrift"/>
                <w:rFonts w:ascii="Times New Roman" w:hAnsi="Times New Roman"/>
                <w:sz w:val="24"/>
              </w:rPr>
              <w:t>di cui: requisiti prudenziali aggiuntivi più rigorosi basati sull</w:t>
            </w:r>
            <w:r w:rsidR="000878EC">
              <w:rPr>
                <w:rStyle w:val="InstructionsTabelleberschrift"/>
                <w:rFonts w:ascii="Times New Roman" w:hAnsi="Times New Roman"/>
                <w:sz w:val="24"/>
              </w:rPr>
              <w:t>'</w:t>
            </w:r>
            <w:r>
              <w:rPr>
                <w:rStyle w:val="InstructionsTabelleberschrift"/>
                <w:rFonts w:ascii="Times New Roman" w:hAnsi="Times New Roman"/>
                <w:sz w:val="24"/>
              </w:rPr>
              <w:t>articolo 459 del CRR</w:t>
            </w:r>
          </w:p>
          <w:p w:rsidR="00802958" w:rsidRPr="00661595" w:rsidRDefault="00802958" w:rsidP="00115052">
            <w:pPr>
              <w:pStyle w:val="InstructionsText"/>
              <w:rPr>
                <w:rStyle w:val="InstructionsTabelleberschrift"/>
                <w:rFonts w:ascii="Times New Roman" w:hAnsi="Times New Roman"/>
                <w:sz w:val="24"/>
              </w:rPr>
            </w:pPr>
            <w:r>
              <w:rPr>
                <w:rStyle w:val="FormatvorlageInstructionsTabelleText"/>
                <w:rFonts w:ascii="Times New Roman" w:hAnsi="Times New Roman"/>
                <w:sz w:val="24"/>
              </w:rPr>
              <w:t>Articolo 459 del CRR</w:t>
            </w:r>
          </w:p>
        </w:tc>
      </w:tr>
      <w:tr w:rsidR="00802958" w:rsidRPr="00661595" w:rsidTr="00672D2A">
        <w:tc>
          <w:tcPr>
            <w:tcW w:w="1591" w:type="dxa"/>
            <w:shd w:val="clear" w:color="auto" w:fill="auto"/>
          </w:tcPr>
          <w:p w:rsidR="00802958" w:rsidRPr="00661595" w:rsidRDefault="00B13F06"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0760</w:t>
            </w:r>
          </w:p>
        </w:tc>
        <w:tc>
          <w:tcPr>
            <w:tcW w:w="7274" w:type="dxa"/>
          </w:tcPr>
          <w:p w:rsidR="00802958" w:rsidRPr="00661595" w:rsidRDefault="00802958"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1.8.4</w:t>
            </w:r>
            <w:r w:rsidRPr="000C1E5D">
              <w:tab/>
            </w:r>
            <w:r>
              <w:rPr>
                <w:rStyle w:val="InstructionsTabelleberschrift"/>
                <w:rFonts w:ascii="Times New Roman" w:hAnsi="Times New Roman"/>
                <w:sz w:val="24"/>
              </w:rPr>
              <w:t>di cui: importo aggiuntivo dell</w:t>
            </w:r>
            <w:r w:rsidR="000878EC">
              <w:rPr>
                <w:rStyle w:val="InstructionsTabelleberschrift"/>
                <w:rFonts w:ascii="Times New Roman" w:hAnsi="Times New Roman"/>
                <w:sz w:val="24"/>
              </w:rPr>
              <w:t>'</w:t>
            </w:r>
            <w:r>
              <w:rPr>
                <w:rStyle w:val="InstructionsTabelleberschrift"/>
                <w:rFonts w:ascii="Times New Roman" w:hAnsi="Times New Roman"/>
                <w:sz w:val="24"/>
              </w:rPr>
              <w:t>esposizione al rischio dovuto all</w:t>
            </w:r>
            <w:r w:rsidR="000878EC">
              <w:rPr>
                <w:rStyle w:val="InstructionsTabelleberschrift"/>
                <w:rFonts w:ascii="Times New Roman" w:hAnsi="Times New Roman"/>
                <w:sz w:val="24"/>
              </w:rPr>
              <w:t>'</w:t>
            </w:r>
            <w:r>
              <w:rPr>
                <w:rStyle w:val="InstructionsTabelleberschrift"/>
                <w:rFonts w:ascii="Times New Roman" w:hAnsi="Times New Roman"/>
                <w:sz w:val="24"/>
              </w:rPr>
              <w:t>articolo 3 del CRR</w:t>
            </w:r>
          </w:p>
          <w:p w:rsidR="00802958" w:rsidRPr="00661595" w:rsidRDefault="00802958" w:rsidP="0011505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Articolo 3 del CRR</w:t>
            </w:r>
          </w:p>
          <w:p w:rsidR="00802958" w:rsidRPr="00661595" w:rsidRDefault="00802958" w:rsidP="0011505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Va segnalato 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importo aggiuntivo dell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esposizione al rischio. 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importo comprende soltanto gli importi aggiuntivi (se, ad esempio, un</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esposizione pari a 100 ha un fattore di ponderazione del rischio del 20 % e 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applica un fattore di ponderazione del rischio del 50 % conformemente all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articolo 3 del CRR, 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importo da segnalare è 30). </w:t>
            </w:r>
          </w:p>
        </w:tc>
      </w:tr>
    </w:tbl>
    <w:p w:rsidR="002648B0" w:rsidRPr="00661595" w:rsidRDefault="00936DD1" w:rsidP="0023700C">
      <w:pPr>
        <w:pStyle w:val="Instructionsberschrift2"/>
        <w:numPr>
          <w:ilvl w:val="0"/>
          <w:numId w:val="0"/>
        </w:numPr>
        <w:ind w:left="357" w:hanging="357"/>
        <w:rPr>
          <w:rFonts w:ascii="Times New Roman" w:hAnsi="Times New Roman" w:cs="Times New Roman"/>
          <w:sz w:val="24"/>
          <w:u w:val="none"/>
        </w:rPr>
      </w:pPr>
      <w:bookmarkStart w:id="49" w:name="_Toc473560877"/>
      <w:bookmarkStart w:id="50" w:name="_Toc308175826"/>
      <w:bookmarkStart w:id="51" w:name="_Toc360188329"/>
      <w:bookmarkStart w:id="52" w:name="_Toc58915720"/>
      <w:r>
        <w:rPr>
          <w:rFonts w:ascii="Times New Roman" w:hAnsi="Times New Roman"/>
          <w:sz w:val="24"/>
          <w:u w:val="none"/>
        </w:rPr>
        <w:t>1.4</w:t>
      </w:r>
      <w:r w:rsidRPr="008E1776">
        <w:rPr>
          <w:u w:val="none"/>
        </w:rPr>
        <w:tab/>
      </w:r>
      <w:r>
        <w:rPr>
          <w:rFonts w:ascii="Times New Roman" w:hAnsi="Times New Roman"/>
          <w:sz w:val="24"/>
          <w:u w:val="none"/>
        </w:rPr>
        <w:t>C 03.00 — COEFFICIENTI DI CAPITALE E LIVELLI DI CAPITALE (CA3)</w:t>
      </w:r>
      <w:bookmarkEnd w:id="49"/>
      <w:bookmarkEnd w:id="52"/>
      <w:r>
        <w:rPr>
          <w:rFonts w:ascii="Times New Roman" w:hAnsi="Times New Roman"/>
          <w:sz w:val="24"/>
          <w:u w:val="none"/>
        </w:rPr>
        <w:t xml:space="preserve"> </w:t>
      </w:r>
      <w:bookmarkEnd w:id="50"/>
      <w:bookmarkEnd w:id="51"/>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53" w:name="_Toc360188330"/>
      <w:bookmarkStart w:id="54" w:name="_Toc473560878"/>
      <w:bookmarkStart w:id="55" w:name="_Toc58915721"/>
      <w:r>
        <w:rPr>
          <w:rFonts w:ascii="Times New Roman" w:hAnsi="Times New Roman"/>
          <w:sz w:val="24"/>
          <w:u w:val="none"/>
        </w:rPr>
        <w:t>1.4.1.</w:t>
      </w:r>
      <w:r w:rsidRPr="008E1776">
        <w:rPr>
          <w:u w:val="none"/>
        </w:rPr>
        <w:tab/>
      </w:r>
      <w:bookmarkStart w:id="56" w:name="_Toc308175827"/>
      <w:r>
        <w:rPr>
          <w:rFonts w:ascii="Times New Roman" w:hAnsi="Times New Roman"/>
          <w:sz w:val="24"/>
        </w:rPr>
        <w:t>Istruzioni relative a posizioni specifiche</w:t>
      </w:r>
      <w:bookmarkEnd w:id="53"/>
      <w:bookmarkEnd w:id="54"/>
      <w:bookmarkEnd w:id="55"/>
      <w:bookmarkEnd w:id="56"/>
    </w:p>
    <w:tbl>
      <w:tblPr>
        <w:tblW w:w="8783"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3"/>
        <w:gridCol w:w="7620"/>
      </w:tblGrid>
      <w:tr w:rsidR="002648B0" w:rsidRPr="00661595" w:rsidTr="00672D2A">
        <w:tc>
          <w:tcPr>
            <w:tcW w:w="8783" w:type="dxa"/>
            <w:gridSpan w:val="2"/>
            <w:shd w:val="clear" w:color="auto" w:fill="D9D9D9"/>
          </w:tcPr>
          <w:p w:rsidR="005643EA" w:rsidRPr="00661595" w:rsidRDefault="002648B0" w:rsidP="00115052">
            <w:pPr>
              <w:pStyle w:val="InstructionsText"/>
            </w:pPr>
            <w:r>
              <w:t>Righe</w:t>
            </w:r>
          </w:p>
        </w:tc>
      </w:tr>
      <w:tr w:rsidR="002648B0" w:rsidRPr="00661595" w:rsidTr="003E47C5">
        <w:tc>
          <w:tcPr>
            <w:tcW w:w="1163" w:type="dxa"/>
          </w:tcPr>
          <w:p w:rsidR="002648B0" w:rsidRPr="00661595" w:rsidRDefault="00B13F06" w:rsidP="00115052">
            <w:pPr>
              <w:pStyle w:val="InstructionsText"/>
            </w:pPr>
            <w:r>
              <w:t>0010</w:t>
            </w:r>
          </w:p>
        </w:tc>
        <w:tc>
          <w:tcPr>
            <w:tcW w:w="7620" w:type="dxa"/>
          </w:tcPr>
          <w:p w:rsidR="005643EA" w:rsidRPr="00661595" w:rsidRDefault="002648B0" w:rsidP="00115052">
            <w:pPr>
              <w:pStyle w:val="InstructionsText"/>
            </w:pPr>
            <w:r>
              <w:rPr>
                <w:rStyle w:val="InstructionsTabelleberschrift"/>
                <w:rFonts w:ascii="Times New Roman" w:hAnsi="Times New Roman"/>
                <w:sz w:val="24"/>
              </w:rPr>
              <w:t>1</w:t>
            </w:r>
            <w:r w:rsidRPr="00BD1A14">
              <w:rPr>
                <w:b/>
                <w:u w:val="single"/>
              </w:rPr>
              <w:tab/>
            </w:r>
            <w:r>
              <w:rPr>
                <w:rStyle w:val="InstructionsTabelleberschrift"/>
                <w:rFonts w:ascii="Times New Roman" w:hAnsi="Times New Roman"/>
                <w:sz w:val="24"/>
              </w:rPr>
              <w:t>Coefficiente di capitale primario di classe 1</w:t>
            </w:r>
          </w:p>
          <w:p w:rsidR="005643EA" w:rsidRPr="00661595" w:rsidRDefault="00705025" w:rsidP="00115052">
            <w:pPr>
              <w:pStyle w:val="InstructionsText"/>
            </w:pPr>
            <w:r>
              <w:t>Articolo 92, paragrafo 2, lettera a), del CRR</w:t>
            </w:r>
          </w:p>
          <w:p w:rsidR="005643EA" w:rsidRPr="00661595" w:rsidRDefault="002648B0" w:rsidP="00115052">
            <w:pPr>
              <w:pStyle w:val="InstructionsText"/>
            </w:pPr>
            <w:r>
              <w:t>Il coefficiente di capitale primario di classe 1 è il capitale primario di classe 1 dell</w:t>
            </w:r>
            <w:r w:rsidR="000878EC">
              <w:t>'</w:t>
            </w:r>
            <w:r>
              <w:t>ente espresso in percentuale dell</w:t>
            </w:r>
            <w:r w:rsidR="000878EC">
              <w:t>'</w:t>
            </w:r>
            <w:r>
              <w:t>importo complessivo dell</w:t>
            </w:r>
            <w:r w:rsidR="000878EC">
              <w:t>'</w:t>
            </w:r>
            <w:r>
              <w:t>esposizione al rischio.</w:t>
            </w:r>
          </w:p>
        </w:tc>
      </w:tr>
      <w:tr w:rsidR="002648B0" w:rsidRPr="00661595" w:rsidTr="003E47C5">
        <w:tc>
          <w:tcPr>
            <w:tcW w:w="1163" w:type="dxa"/>
          </w:tcPr>
          <w:p w:rsidR="002648B0" w:rsidRPr="00661595" w:rsidRDefault="00B13F06" w:rsidP="00115052">
            <w:pPr>
              <w:pStyle w:val="InstructionsText"/>
            </w:pPr>
            <w:r>
              <w:t>0020</w:t>
            </w:r>
          </w:p>
        </w:tc>
        <w:tc>
          <w:tcPr>
            <w:tcW w:w="7620" w:type="dxa"/>
          </w:tcPr>
          <w:p w:rsidR="005643EA" w:rsidRPr="00661595" w:rsidRDefault="002648B0"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2</w:t>
            </w:r>
            <w:r w:rsidRPr="00BD1A14">
              <w:rPr>
                <w:b/>
                <w:u w:val="single"/>
              </w:rPr>
              <w:tab/>
            </w:r>
            <w:r>
              <w:rPr>
                <w:rStyle w:val="InstructionsTabelleberschrift"/>
                <w:rFonts w:ascii="Times New Roman" w:hAnsi="Times New Roman"/>
                <w:sz w:val="24"/>
              </w:rPr>
              <w:t>Eccedenza(+)/Carenza(-) di capitale primario di classe 1</w:t>
            </w:r>
          </w:p>
          <w:p w:rsidR="005643EA" w:rsidRPr="00661595" w:rsidRDefault="002648B0" w:rsidP="00115052">
            <w:pPr>
              <w:pStyle w:val="InstructionsText"/>
            </w:pPr>
            <w:r>
              <w:t>Questa voce indica, in cifre assolute, l</w:t>
            </w:r>
            <w:r w:rsidR="000878EC">
              <w:t>'</w:t>
            </w:r>
            <w:r>
              <w:t>importo dell</w:t>
            </w:r>
            <w:r w:rsidR="000878EC">
              <w:t>'</w:t>
            </w:r>
            <w:r>
              <w:t>eccedenza o della carenza di capitale primario di classe 1 rispetto al requisito di cui all</w:t>
            </w:r>
            <w:r w:rsidR="000878EC">
              <w:t>'</w:t>
            </w:r>
            <w:r>
              <w:t>articolo 92, paragrafo 1, lettera a), del CRR (4,5 %), cioè senza tener conto delle riserve di capitale e delle disposizioni transitorie in materia di coefficienti.</w:t>
            </w:r>
          </w:p>
        </w:tc>
      </w:tr>
      <w:tr w:rsidR="002648B0" w:rsidRPr="00661595" w:rsidTr="003E47C5">
        <w:tc>
          <w:tcPr>
            <w:tcW w:w="1163" w:type="dxa"/>
          </w:tcPr>
          <w:p w:rsidR="002648B0" w:rsidRPr="00661595" w:rsidRDefault="00B13F06" w:rsidP="00115052">
            <w:pPr>
              <w:pStyle w:val="InstructionsText"/>
            </w:pPr>
            <w:r>
              <w:t>0030</w:t>
            </w:r>
          </w:p>
        </w:tc>
        <w:tc>
          <w:tcPr>
            <w:tcW w:w="7620" w:type="dxa"/>
          </w:tcPr>
          <w:p w:rsidR="005643EA" w:rsidRPr="00661595" w:rsidRDefault="002648B0" w:rsidP="00115052">
            <w:pPr>
              <w:pStyle w:val="InstructionsText"/>
            </w:pPr>
            <w:r>
              <w:rPr>
                <w:rStyle w:val="InstructionsTabelleberschrift"/>
                <w:rFonts w:ascii="Times New Roman" w:hAnsi="Times New Roman"/>
                <w:sz w:val="24"/>
              </w:rPr>
              <w:t>3</w:t>
            </w:r>
            <w:r w:rsidRPr="00BD1A14">
              <w:rPr>
                <w:b/>
                <w:u w:val="single"/>
              </w:rPr>
              <w:tab/>
            </w:r>
            <w:r>
              <w:rPr>
                <w:rStyle w:val="InstructionsTabelleberschrift"/>
                <w:rFonts w:ascii="Times New Roman" w:hAnsi="Times New Roman"/>
                <w:sz w:val="24"/>
              </w:rPr>
              <w:t>Coefficiente di capitale di classe 1</w:t>
            </w:r>
          </w:p>
          <w:p w:rsidR="005643EA" w:rsidRPr="00661595" w:rsidRDefault="00705025" w:rsidP="00115052">
            <w:pPr>
              <w:pStyle w:val="InstructionsText"/>
            </w:pPr>
            <w:r>
              <w:t>Articolo 92, paragrafo 2, lettera b), del CRR</w:t>
            </w:r>
          </w:p>
          <w:p w:rsidR="005643EA" w:rsidRPr="00661595" w:rsidRDefault="002648B0" w:rsidP="00115052">
            <w:pPr>
              <w:pStyle w:val="InstructionsText"/>
            </w:pPr>
            <w:r>
              <w:t>Il coefficiente di capitale di classe 1 è il capitale di classe 1 dell</w:t>
            </w:r>
            <w:r w:rsidR="000878EC">
              <w:t>'</w:t>
            </w:r>
            <w:r>
              <w:t>ente espresso in percentuale dell</w:t>
            </w:r>
            <w:r w:rsidR="000878EC">
              <w:t>'</w:t>
            </w:r>
            <w:r>
              <w:t>importo complessivo dell</w:t>
            </w:r>
            <w:r w:rsidR="000878EC">
              <w:t>'</w:t>
            </w:r>
            <w:r>
              <w:t>esposizione al rischio.</w:t>
            </w:r>
          </w:p>
        </w:tc>
      </w:tr>
      <w:tr w:rsidR="002648B0" w:rsidRPr="00661595" w:rsidTr="003E47C5">
        <w:tc>
          <w:tcPr>
            <w:tcW w:w="1163" w:type="dxa"/>
          </w:tcPr>
          <w:p w:rsidR="002648B0" w:rsidRPr="00661595" w:rsidRDefault="00B13F06" w:rsidP="00115052">
            <w:pPr>
              <w:pStyle w:val="InstructionsText"/>
            </w:pPr>
            <w:r>
              <w:t>0040</w:t>
            </w:r>
          </w:p>
        </w:tc>
        <w:tc>
          <w:tcPr>
            <w:tcW w:w="7620" w:type="dxa"/>
          </w:tcPr>
          <w:p w:rsidR="005643EA" w:rsidRPr="00661595" w:rsidRDefault="002648B0" w:rsidP="00115052">
            <w:pPr>
              <w:pStyle w:val="InstructionsText"/>
            </w:pPr>
            <w:r>
              <w:rPr>
                <w:rStyle w:val="InstructionsTabelleberschrift"/>
                <w:rFonts w:ascii="Times New Roman" w:hAnsi="Times New Roman"/>
                <w:sz w:val="24"/>
              </w:rPr>
              <w:t>4</w:t>
            </w:r>
            <w:r w:rsidRPr="00BD1A14">
              <w:rPr>
                <w:b/>
                <w:u w:val="single"/>
              </w:rPr>
              <w:tab/>
            </w:r>
            <w:r>
              <w:rPr>
                <w:rStyle w:val="InstructionsTabelleberschrift"/>
                <w:rFonts w:ascii="Times New Roman" w:hAnsi="Times New Roman"/>
                <w:sz w:val="24"/>
              </w:rPr>
              <w:t>Eccedenza(+)/Carenza(-) di capitale di classe 1</w:t>
            </w:r>
          </w:p>
          <w:p w:rsidR="005643EA" w:rsidRPr="00661595" w:rsidRDefault="002648B0" w:rsidP="00115052">
            <w:pPr>
              <w:pStyle w:val="InstructionsText"/>
            </w:pPr>
            <w:r>
              <w:t>Questa voce indica, in cifre assolute, l</w:t>
            </w:r>
            <w:r w:rsidR="000878EC">
              <w:t>'</w:t>
            </w:r>
            <w:r>
              <w:t>importo dell</w:t>
            </w:r>
            <w:r w:rsidR="000878EC">
              <w:t>'</w:t>
            </w:r>
            <w:r>
              <w:t>eccedenza o della carenza di capitale di classe 1 rispetto al requisito di cui all</w:t>
            </w:r>
            <w:r w:rsidR="000878EC">
              <w:t>'</w:t>
            </w:r>
            <w:r>
              <w:t>articolo 92, paragrafo 1, lettera b), del CRR (6 %), cioè senza tener conto delle riserve di capitale e delle disposizioni transitorie in materia di coefficienti.</w:t>
            </w:r>
          </w:p>
        </w:tc>
      </w:tr>
      <w:tr w:rsidR="002648B0" w:rsidRPr="00661595" w:rsidTr="003E47C5">
        <w:tc>
          <w:tcPr>
            <w:tcW w:w="1163" w:type="dxa"/>
          </w:tcPr>
          <w:p w:rsidR="002648B0" w:rsidRPr="00661595" w:rsidRDefault="00B13F06" w:rsidP="00115052">
            <w:pPr>
              <w:pStyle w:val="InstructionsText"/>
            </w:pPr>
            <w:r>
              <w:t>0050</w:t>
            </w:r>
          </w:p>
        </w:tc>
        <w:tc>
          <w:tcPr>
            <w:tcW w:w="7620" w:type="dxa"/>
          </w:tcPr>
          <w:p w:rsidR="005643EA" w:rsidRPr="00661595" w:rsidRDefault="002648B0" w:rsidP="00115052">
            <w:pPr>
              <w:pStyle w:val="InstructionsText"/>
            </w:pPr>
            <w:r>
              <w:rPr>
                <w:rStyle w:val="InstructionsTabelleberschrift"/>
                <w:rFonts w:ascii="Times New Roman" w:hAnsi="Times New Roman"/>
                <w:sz w:val="24"/>
              </w:rPr>
              <w:t>5</w:t>
            </w:r>
            <w:r w:rsidRPr="00BD1A14">
              <w:rPr>
                <w:u w:val="single"/>
              </w:rPr>
              <w:tab/>
            </w:r>
            <w:r>
              <w:rPr>
                <w:rStyle w:val="InstructionsTabelleberschrift"/>
                <w:rFonts w:ascii="Times New Roman" w:hAnsi="Times New Roman"/>
                <w:sz w:val="24"/>
              </w:rPr>
              <w:t>Coefficiente di capitale totale</w:t>
            </w:r>
          </w:p>
          <w:p w:rsidR="005643EA" w:rsidRPr="00661595" w:rsidRDefault="00705025" w:rsidP="00115052">
            <w:pPr>
              <w:pStyle w:val="InstructionsText"/>
            </w:pPr>
            <w:r>
              <w:t>Articolo 92, paragrafo 2, lettera c), del CRR</w:t>
            </w:r>
          </w:p>
          <w:p w:rsidR="005643EA" w:rsidRPr="00661595" w:rsidRDefault="002648B0" w:rsidP="00115052">
            <w:pPr>
              <w:pStyle w:val="InstructionsText"/>
            </w:pPr>
            <w:r>
              <w:t>Il coefficiente di capitale totale sono i fondi propri dell</w:t>
            </w:r>
            <w:r w:rsidR="000878EC">
              <w:t>'</w:t>
            </w:r>
            <w:r>
              <w:t>ente espressi in percentuale dell</w:t>
            </w:r>
            <w:r w:rsidR="000878EC">
              <w:t>'</w:t>
            </w:r>
            <w:r>
              <w:t>importo complessivo dell</w:t>
            </w:r>
            <w:r w:rsidR="000878EC">
              <w:t>'</w:t>
            </w:r>
            <w:r>
              <w:t>esposizione al rischio.</w:t>
            </w:r>
          </w:p>
        </w:tc>
      </w:tr>
      <w:tr w:rsidR="002648B0" w:rsidRPr="00661595" w:rsidTr="003E47C5">
        <w:tc>
          <w:tcPr>
            <w:tcW w:w="1163" w:type="dxa"/>
          </w:tcPr>
          <w:p w:rsidR="002648B0" w:rsidRPr="00661595" w:rsidRDefault="00B13F06" w:rsidP="00115052">
            <w:pPr>
              <w:pStyle w:val="InstructionsText"/>
            </w:pPr>
            <w:r>
              <w:t>0060</w:t>
            </w:r>
          </w:p>
        </w:tc>
        <w:tc>
          <w:tcPr>
            <w:tcW w:w="7620" w:type="dxa"/>
          </w:tcPr>
          <w:p w:rsidR="005643EA" w:rsidRPr="00661595" w:rsidRDefault="002648B0" w:rsidP="00115052">
            <w:pPr>
              <w:pStyle w:val="InstructionsText"/>
            </w:pPr>
            <w:r>
              <w:rPr>
                <w:rStyle w:val="InstructionsTabelleberschrift"/>
                <w:rFonts w:ascii="Times New Roman" w:hAnsi="Times New Roman"/>
                <w:sz w:val="24"/>
              </w:rPr>
              <w:t>6</w:t>
            </w:r>
            <w:r w:rsidRPr="00BD1A14">
              <w:rPr>
                <w:u w:val="single"/>
              </w:rPr>
              <w:tab/>
            </w:r>
            <w:r>
              <w:rPr>
                <w:rStyle w:val="InstructionsTabelleberschrift"/>
                <w:rFonts w:ascii="Times New Roman" w:hAnsi="Times New Roman"/>
                <w:sz w:val="24"/>
              </w:rPr>
              <w:t>Eccedenza(+)/Carenza(-) di capitale totale</w:t>
            </w:r>
          </w:p>
          <w:p w:rsidR="005643EA" w:rsidRPr="00661595" w:rsidRDefault="002648B0" w:rsidP="00115052">
            <w:pPr>
              <w:pStyle w:val="InstructionsText"/>
            </w:pPr>
            <w:r>
              <w:t>Questa voce indica, in cifre assolute, l</w:t>
            </w:r>
            <w:r w:rsidR="000878EC">
              <w:t>'</w:t>
            </w:r>
            <w:r>
              <w:t>importo dell</w:t>
            </w:r>
            <w:r w:rsidR="000878EC">
              <w:t>'</w:t>
            </w:r>
            <w:r>
              <w:t>eccedenza o della carenza di fondi propri rispetto al requisito di cui all</w:t>
            </w:r>
            <w:r w:rsidR="000878EC">
              <w:t>'</w:t>
            </w:r>
            <w:r>
              <w:t>articolo</w:t>
            </w:r>
            <w:r w:rsidR="00EB183C">
              <w:t xml:space="preserve"> 92, paragrafo 1, lettera </w:t>
            </w:r>
            <w:r>
              <w:t>c), del CRR (8 %), cioè senza tener conto delle riserve di capitale e delle disposizioni transitorie in materia di coefficienti.</w:t>
            </w:r>
          </w:p>
        </w:tc>
      </w:tr>
      <w:tr w:rsidR="009C083D" w:rsidRPr="00661595" w:rsidTr="003E47C5">
        <w:tc>
          <w:tcPr>
            <w:tcW w:w="1163" w:type="dxa"/>
          </w:tcPr>
          <w:p w:rsidR="009C083D" w:rsidRPr="00661595" w:rsidRDefault="00B13F06" w:rsidP="00115052">
            <w:pPr>
              <w:pStyle w:val="InstructionsText"/>
            </w:pPr>
            <w:r>
              <w:t>0130</w:t>
            </w:r>
          </w:p>
        </w:tc>
        <w:tc>
          <w:tcPr>
            <w:tcW w:w="7620" w:type="dxa"/>
          </w:tcPr>
          <w:p w:rsidR="009C083D" w:rsidRPr="00661595" w:rsidRDefault="009C083D" w:rsidP="0011505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13</w:t>
            </w:r>
            <w:r w:rsidRPr="00BD1A14">
              <w:rPr>
                <w:u w:val="single"/>
              </w:rPr>
              <w:tab/>
            </w:r>
            <w:r>
              <w:rPr>
                <w:rStyle w:val="InstructionsTabelleberschrift"/>
                <w:rFonts w:ascii="Times New Roman" w:hAnsi="Times New Roman"/>
                <w:sz w:val="24"/>
              </w:rPr>
              <w:t>Coefficiente del requisito patrimoniale SREP totale (TSCR)</w:t>
            </w:r>
          </w:p>
          <w:p w:rsidR="009C083D" w:rsidRPr="00661595" w:rsidRDefault="009C083D" w:rsidP="00115052">
            <w:pPr>
              <w:pStyle w:val="InstructionsText"/>
            </w:pPr>
            <w:r>
              <w:t>La somma di i) e ii) come segue:</w:t>
            </w:r>
          </w:p>
          <w:p w:rsidR="009C083D" w:rsidRPr="00661595" w:rsidRDefault="009C083D" w:rsidP="00115052">
            <w:pPr>
              <w:pStyle w:val="InstructionsText"/>
              <w:numPr>
                <w:ilvl w:val="0"/>
                <w:numId w:val="20"/>
              </w:numPr>
            </w:pPr>
            <w:r>
              <w:t>il coefficiente di capitale totale (8 %) di cui all</w:t>
            </w:r>
            <w:r w:rsidR="000878EC">
              <w:t>'</w:t>
            </w:r>
            <w:r>
              <w:t xml:space="preserve">articolo 92, paragrafo 1, lettera c), del CRR; </w:t>
            </w:r>
          </w:p>
          <w:p w:rsidR="009C083D" w:rsidRPr="00661595" w:rsidRDefault="009C083D" w:rsidP="00115052">
            <w:pPr>
              <w:pStyle w:val="InstructionsText"/>
              <w:numPr>
                <w:ilvl w:val="0"/>
                <w:numId w:val="20"/>
              </w:numPr>
            </w:pPr>
            <w:r>
              <w:t xml:space="preserve">i requisiti aggiuntivi di fondi propri (requisiti del pilastro 2 – P2R) di </w:t>
            </w:r>
            <w:r w:rsidR="00DC54AF">
              <w:t>cui all</w:t>
            </w:r>
            <w:r w:rsidR="000878EC">
              <w:t>'</w:t>
            </w:r>
            <w:r w:rsidR="00DC54AF">
              <w:t xml:space="preserve">articolo 104, paragrafo </w:t>
            </w:r>
            <w:r>
              <w:t>1, lettera a), della CRD, presentati come coefficiente. Sono determinati conformemente ai criteri specificati negli orientamenti dell</w:t>
            </w:r>
            <w:r w:rsidR="000878EC">
              <w:t>'</w:t>
            </w:r>
            <w:r>
              <w:t xml:space="preserve">ABE sulle procedure e sulle metodologie comuni per il processo di revisione e valutazione prudenziale e le prove di stress a fini di vigilanza </w:t>
            </w:r>
            <w:r>
              <w:rPr>
                <w:i/>
              </w:rPr>
              <w:t>(EBA Guidelines on common procedures and methodologies for the supervisory review and evaluation process and supervisory stress testing (EBA SREP GL))</w:t>
            </w:r>
            <w:r>
              <w:t>.</w:t>
            </w:r>
          </w:p>
          <w:p w:rsidR="009C083D" w:rsidRPr="00661595" w:rsidRDefault="009C083D" w:rsidP="00115052">
            <w:pPr>
              <w:pStyle w:val="InstructionsText"/>
            </w:pPr>
            <w:r>
              <w:t>Questa voce riflette il coefficiente del requisito patrimoniale SREP totale (TSCR) comunicato all</w:t>
            </w:r>
            <w:r w:rsidR="000878EC">
              <w:t>'</w:t>
            </w:r>
            <w:r>
              <w:t>ente dall</w:t>
            </w:r>
            <w:r w:rsidR="000878EC">
              <w:t>'</w:t>
            </w:r>
            <w:r>
              <w:t>autorità competente. Il TSCR è definito nelle sezioni 7.4 e 7.5 degli orientamenti EBA SREP GL.</w:t>
            </w:r>
          </w:p>
          <w:p w:rsidR="00C9673B" w:rsidRPr="00661595" w:rsidRDefault="00FF2818" w:rsidP="00115052">
            <w:pPr>
              <w:pStyle w:val="InstructionsText"/>
              <w:rPr>
                <w:rStyle w:val="InstructionsTabelleberschrift"/>
                <w:rFonts w:ascii="Times New Roman" w:hAnsi="Times New Roman"/>
                <w:b w:val="0"/>
                <w:bCs w:val="0"/>
                <w:sz w:val="24"/>
                <w:u w:val="none"/>
              </w:rPr>
            </w:pPr>
            <w:r>
              <w:t>Nei casi in cui l</w:t>
            </w:r>
            <w:r w:rsidR="000878EC">
              <w:t>'</w:t>
            </w:r>
            <w:r>
              <w:t>autorità competente non ha comunicato requisiti aggiuntivi di fondi propri, deve essere segnalato solo l</w:t>
            </w:r>
            <w:r w:rsidR="000878EC">
              <w:t>'</w:t>
            </w:r>
            <w:r>
              <w:t xml:space="preserve">elemento di cui al punto i). </w:t>
            </w:r>
          </w:p>
        </w:tc>
      </w:tr>
      <w:tr w:rsidR="009C083D" w:rsidRPr="00661595" w:rsidTr="003E47C5">
        <w:tc>
          <w:tcPr>
            <w:tcW w:w="1163" w:type="dxa"/>
          </w:tcPr>
          <w:p w:rsidR="009C083D" w:rsidRPr="00661595" w:rsidRDefault="00B13F06" w:rsidP="00115052">
            <w:pPr>
              <w:pStyle w:val="InstructionsText"/>
            </w:pPr>
            <w:r>
              <w:t>0140</w:t>
            </w:r>
          </w:p>
        </w:tc>
        <w:tc>
          <w:tcPr>
            <w:tcW w:w="7620" w:type="dxa"/>
          </w:tcPr>
          <w:p w:rsidR="009C083D" w:rsidRPr="00661595" w:rsidRDefault="009C083D"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sidRPr="00BD1A14">
              <w:rPr>
                <w:u w:val="single"/>
              </w:rPr>
              <w:tab/>
            </w:r>
            <w:r>
              <w:rPr>
                <w:rStyle w:val="InstructionsTabelleberschrift"/>
                <w:rFonts w:ascii="Times New Roman" w:hAnsi="Times New Roman"/>
                <w:sz w:val="24"/>
              </w:rPr>
              <w:t xml:space="preserve">TSCR: costituito da capitale primario di classe 1 </w:t>
            </w:r>
          </w:p>
          <w:p w:rsidR="009C083D" w:rsidRPr="00661595" w:rsidRDefault="009C083D" w:rsidP="00115052">
            <w:pPr>
              <w:pStyle w:val="InstructionsText"/>
            </w:pPr>
            <w:r>
              <w:t>La somma di i) e ii) come segue:</w:t>
            </w:r>
          </w:p>
          <w:p w:rsidR="009C083D" w:rsidRPr="00661595" w:rsidRDefault="009C083D" w:rsidP="00115052">
            <w:pPr>
              <w:pStyle w:val="InstructionsText"/>
              <w:numPr>
                <w:ilvl w:val="0"/>
                <w:numId w:val="21"/>
              </w:numPr>
            </w:pPr>
            <w:r>
              <w:t>il coefficiente di capitale primario di classe 1 (4,5 %) di cui all</w:t>
            </w:r>
            <w:r w:rsidR="000878EC">
              <w:t>'</w:t>
            </w:r>
            <w:r>
              <w:t>articolo 92, paragrafo 1, lettera a), del CRR;</w:t>
            </w:r>
          </w:p>
          <w:p w:rsidR="0002157C" w:rsidRPr="00661595" w:rsidRDefault="009C083D" w:rsidP="00115052">
            <w:pPr>
              <w:pStyle w:val="InstructionsText"/>
              <w:numPr>
                <w:ilvl w:val="0"/>
                <w:numId w:val="21"/>
              </w:numPr>
              <w:rPr>
                <w:b/>
                <w:bCs/>
                <w:u w:val="single"/>
              </w:rPr>
            </w:pPr>
            <w:r>
              <w:t>la parte del coefficiente P2R di cui al punto ii) della riga 0130 che l</w:t>
            </w:r>
            <w:r w:rsidR="000878EC">
              <w:t>'</w:t>
            </w:r>
            <w:r>
              <w:t>autorità competente impone di detenere in forma di capitale primario di classe 1.</w:t>
            </w:r>
          </w:p>
          <w:p w:rsidR="009C083D" w:rsidRPr="00661595" w:rsidRDefault="00FF2818" w:rsidP="00115052">
            <w:pPr>
              <w:pStyle w:val="InstructionsText"/>
              <w:rPr>
                <w:rStyle w:val="InstructionsTabelleberschrift"/>
                <w:rFonts w:ascii="Times New Roman" w:hAnsi="Times New Roman"/>
                <w:sz w:val="24"/>
              </w:rPr>
            </w:pPr>
            <w:r>
              <w:t>Nei casi in cui l</w:t>
            </w:r>
            <w:r w:rsidR="000878EC">
              <w:t>'</w:t>
            </w:r>
            <w:r>
              <w:t>autorità competente non ha comunicato requisiti aggiuntivi di fondi propri da detenere sotto forma di capitale primario di classe 1, deve essere segnalato solo l</w:t>
            </w:r>
            <w:r w:rsidR="000878EC">
              <w:t>'</w:t>
            </w:r>
            <w:r>
              <w:t>elemento di cui al punto i).</w:t>
            </w:r>
            <w:r>
              <w:rPr>
                <w:rStyle w:val="InstructionsTabelleberschrift"/>
                <w:rFonts w:ascii="Times New Roman" w:hAnsi="Times New Roman"/>
                <w:b w:val="0"/>
                <w:sz w:val="24"/>
              </w:rPr>
              <w:t xml:space="preserve"> </w:t>
            </w:r>
          </w:p>
        </w:tc>
      </w:tr>
      <w:tr w:rsidR="009C083D" w:rsidRPr="00661595" w:rsidTr="003E47C5">
        <w:tc>
          <w:tcPr>
            <w:tcW w:w="1163" w:type="dxa"/>
          </w:tcPr>
          <w:p w:rsidR="009C083D" w:rsidRPr="00661595" w:rsidRDefault="00B13F06" w:rsidP="00115052">
            <w:pPr>
              <w:pStyle w:val="InstructionsText"/>
            </w:pPr>
            <w:r>
              <w:t>0150</w:t>
            </w:r>
          </w:p>
        </w:tc>
        <w:tc>
          <w:tcPr>
            <w:tcW w:w="7620" w:type="dxa"/>
          </w:tcPr>
          <w:p w:rsidR="009C083D" w:rsidRPr="00661595" w:rsidRDefault="009C083D"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sidRPr="00BD1A14">
              <w:rPr>
                <w:u w:val="single"/>
              </w:rPr>
              <w:tab/>
            </w:r>
            <w:r>
              <w:rPr>
                <w:rStyle w:val="InstructionsTabelleberschrift"/>
                <w:rFonts w:ascii="Times New Roman" w:hAnsi="Times New Roman"/>
                <w:sz w:val="24"/>
              </w:rPr>
              <w:t>TSCR: costituito da capitale di classe 1</w:t>
            </w:r>
          </w:p>
          <w:p w:rsidR="009C083D" w:rsidRPr="00661595" w:rsidRDefault="009C083D" w:rsidP="00115052">
            <w:pPr>
              <w:pStyle w:val="InstructionsText"/>
            </w:pPr>
            <w:r>
              <w:t>La somma di i) e ii) come segue:</w:t>
            </w:r>
          </w:p>
          <w:p w:rsidR="009C083D" w:rsidRPr="00661595" w:rsidRDefault="009C083D" w:rsidP="00115052">
            <w:pPr>
              <w:pStyle w:val="InstructionsText"/>
              <w:numPr>
                <w:ilvl w:val="0"/>
                <w:numId w:val="22"/>
              </w:numPr>
            </w:pPr>
            <w:r>
              <w:t>il coefficiente di capitale di classe 1 (6 %) di cui all</w:t>
            </w:r>
            <w:r w:rsidR="000878EC">
              <w:t>'</w:t>
            </w:r>
            <w:r>
              <w:t>articolo 92, paragrafo 1, lettera b), del CRR;</w:t>
            </w:r>
          </w:p>
          <w:p w:rsidR="009C083D" w:rsidRPr="00661595" w:rsidRDefault="009C083D" w:rsidP="00115052">
            <w:pPr>
              <w:pStyle w:val="InstructionsText"/>
              <w:numPr>
                <w:ilvl w:val="0"/>
                <w:numId w:val="22"/>
              </w:numPr>
              <w:rPr>
                <w:bCs/>
                <w:u w:val="single"/>
              </w:rPr>
            </w:pPr>
            <w:r>
              <w:t>la parte del coefficiente P2R di cui al punto ii) della riga 0130 che l</w:t>
            </w:r>
            <w:r w:rsidR="000878EC">
              <w:t>'</w:t>
            </w:r>
            <w:r>
              <w:t>autorità competente impone di detenere in forma di capitale di classe 1.</w:t>
            </w:r>
          </w:p>
          <w:p w:rsidR="00DA6CB8" w:rsidRPr="00661595" w:rsidRDefault="00FF2818" w:rsidP="00115052">
            <w:pPr>
              <w:pStyle w:val="InstructionsText"/>
              <w:rPr>
                <w:rStyle w:val="InstructionsTabelleberschrift"/>
                <w:rFonts w:ascii="Times New Roman" w:hAnsi="Times New Roman"/>
                <w:b w:val="0"/>
                <w:sz w:val="24"/>
              </w:rPr>
            </w:pPr>
            <w:r>
              <w:t>Nei casi in cui l</w:t>
            </w:r>
            <w:r w:rsidR="000878EC">
              <w:t>'</w:t>
            </w:r>
            <w:r>
              <w:t>autorità competente non ha comunicato requisiti aggiuntivi di fondi propri da detenere sotto forma di capitale di classe 1, deve essere segnalato solo l</w:t>
            </w:r>
            <w:r w:rsidR="000878EC">
              <w:t>'</w:t>
            </w:r>
            <w:r>
              <w:t>elemento di cui al punto i).</w:t>
            </w:r>
          </w:p>
        </w:tc>
      </w:tr>
      <w:tr w:rsidR="009C083D" w:rsidRPr="00661595" w:rsidTr="003E47C5">
        <w:tc>
          <w:tcPr>
            <w:tcW w:w="1163" w:type="dxa"/>
          </w:tcPr>
          <w:p w:rsidR="009C083D" w:rsidRPr="00661595" w:rsidRDefault="00B13F06" w:rsidP="00115052">
            <w:pPr>
              <w:pStyle w:val="InstructionsText"/>
            </w:pPr>
            <w:r>
              <w:t>0160</w:t>
            </w:r>
          </w:p>
        </w:tc>
        <w:tc>
          <w:tcPr>
            <w:tcW w:w="7620" w:type="dxa"/>
          </w:tcPr>
          <w:p w:rsidR="009C083D" w:rsidRPr="00661595" w:rsidRDefault="009C083D"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sidRPr="00BD1A14">
              <w:rPr>
                <w:u w:val="single"/>
              </w:rPr>
              <w:tab/>
            </w:r>
            <w:r>
              <w:rPr>
                <w:rStyle w:val="InstructionsTabelleberschrift"/>
                <w:rFonts w:ascii="Times New Roman" w:hAnsi="Times New Roman"/>
                <w:sz w:val="24"/>
              </w:rPr>
              <w:t>Coefficiente del requisito patrimoniale complessivo (OCR)</w:t>
            </w:r>
          </w:p>
          <w:p w:rsidR="009C083D" w:rsidRPr="00661595" w:rsidRDefault="009C083D" w:rsidP="00115052">
            <w:pPr>
              <w:pStyle w:val="InstructionsText"/>
            </w:pPr>
            <w:r>
              <w:t>La somma di i) e ii) come segue:</w:t>
            </w:r>
          </w:p>
          <w:p w:rsidR="009C083D" w:rsidRPr="00661595" w:rsidRDefault="009C083D" w:rsidP="00115052">
            <w:pPr>
              <w:pStyle w:val="InstructionsText"/>
              <w:numPr>
                <w:ilvl w:val="0"/>
                <w:numId w:val="23"/>
              </w:numPr>
            </w:pPr>
            <w:r>
              <w:t>il coefficiente TSCR di cui alla riga 0130;</w:t>
            </w:r>
          </w:p>
          <w:p w:rsidR="009C083D" w:rsidRPr="00661595" w:rsidRDefault="009C083D" w:rsidP="00115052">
            <w:pPr>
              <w:pStyle w:val="InstructionsText"/>
              <w:numPr>
                <w:ilvl w:val="0"/>
                <w:numId w:val="23"/>
              </w:numPr>
            </w:pPr>
            <w:r>
              <w:t>in funzione della sua applicabilità legale, il requisito combinato di riserva di capitale di cui all</w:t>
            </w:r>
            <w:r w:rsidR="000878EC">
              <w:t>'</w:t>
            </w:r>
            <w:r>
              <w:t>articolo 128, punto 6, della CRD.</w:t>
            </w:r>
          </w:p>
          <w:p w:rsidR="005B54BB" w:rsidRPr="00661595" w:rsidRDefault="009C083D" w:rsidP="00115052">
            <w:pPr>
              <w:pStyle w:val="InstructionsText"/>
            </w:pPr>
            <w:r>
              <w:t>Questa voce riflette il coefficiente del requisito patrimoniale complessivo (OCR) ai sensi della sezione 7.5 degli orientamenti EBA SREP GL.</w:t>
            </w:r>
          </w:p>
          <w:p w:rsidR="00645573" w:rsidRPr="00661595" w:rsidRDefault="00FF2818" w:rsidP="00115052">
            <w:pPr>
              <w:pStyle w:val="InstructionsText"/>
              <w:rPr>
                <w:rStyle w:val="InstructionsTabelleberschrift"/>
                <w:rFonts w:ascii="Times New Roman" w:hAnsi="Times New Roman"/>
                <w:sz w:val="24"/>
              </w:rPr>
            </w:pPr>
            <w:r>
              <w:t>Se non si applica alcun requisito di riserva di capitale, occorre segnalare solo il punto i).</w:t>
            </w:r>
          </w:p>
        </w:tc>
      </w:tr>
      <w:tr w:rsidR="009C083D" w:rsidRPr="00661595" w:rsidTr="003E47C5">
        <w:tc>
          <w:tcPr>
            <w:tcW w:w="1163" w:type="dxa"/>
          </w:tcPr>
          <w:p w:rsidR="009C083D" w:rsidRPr="00661595" w:rsidRDefault="00B13F06" w:rsidP="00115052">
            <w:pPr>
              <w:pStyle w:val="InstructionsText"/>
            </w:pPr>
            <w:r>
              <w:t>0170</w:t>
            </w:r>
          </w:p>
        </w:tc>
        <w:tc>
          <w:tcPr>
            <w:tcW w:w="7620" w:type="dxa"/>
          </w:tcPr>
          <w:p w:rsidR="009C083D" w:rsidRPr="00661595" w:rsidRDefault="009C083D"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sidRPr="00BD1A14">
              <w:rPr>
                <w:u w:val="single"/>
              </w:rPr>
              <w:tab/>
            </w:r>
            <w:r>
              <w:rPr>
                <w:rStyle w:val="InstructionsTabelleberschrift"/>
                <w:rFonts w:ascii="Times New Roman" w:hAnsi="Times New Roman"/>
                <w:sz w:val="24"/>
              </w:rPr>
              <w:t xml:space="preserve">OCR: costituito da capitale primario di classe 1 </w:t>
            </w:r>
          </w:p>
          <w:p w:rsidR="009C083D" w:rsidRPr="00661595" w:rsidRDefault="009C083D" w:rsidP="00115052">
            <w:pPr>
              <w:pStyle w:val="InstructionsText"/>
            </w:pPr>
            <w:r>
              <w:t>La somma di i) e ii) come segue:</w:t>
            </w:r>
          </w:p>
          <w:p w:rsidR="009C083D" w:rsidRPr="00661595" w:rsidRDefault="009C083D" w:rsidP="00115052">
            <w:pPr>
              <w:pStyle w:val="InstructionsText"/>
              <w:numPr>
                <w:ilvl w:val="0"/>
                <w:numId w:val="24"/>
              </w:numPr>
            </w:pPr>
            <w:r>
              <w:t>il coefficiente TSCR costituito da capitale primario di classe 1 di cui alla riga 0140;</w:t>
            </w:r>
          </w:p>
          <w:p w:rsidR="009C083D" w:rsidRPr="00661595" w:rsidRDefault="009C083D" w:rsidP="00115052">
            <w:pPr>
              <w:pStyle w:val="InstructionsText"/>
              <w:numPr>
                <w:ilvl w:val="0"/>
                <w:numId w:val="24"/>
              </w:numPr>
              <w:rPr>
                <w:bCs/>
                <w:u w:val="single"/>
              </w:rPr>
            </w:pPr>
            <w:r>
              <w:t>in funzione della sua applicabilità legale, il requisito combinato di riserva di capitale di cui all</w:t>
            </w:r>
            <w:r w:rsidR="000878EC">
              <w:t>'</w:t>
            </w:r>
            <w:r>
              <w:t>articolo 128, punto 6, della CRD.</w:t>
            </w:r>
          </w:p>
          <w:p w:rsidR="00BA325A" w:rsidRPr="00661595" w:rsidRDefault="00FF2818" w:rsidP="00115052">
            <w:pPr>
              <w:pStyle w:val="InstructionsText"/>
              <w:rPr>
                <w:rStyle w:val="InstructionsTabelleberschrift"/>
                <w:rFonts w:ascii="Times New Roman" w:hAnsi="Times New Roman"/>
                <w:b w:val="0"/>
                <w:sz w:val="24"/>
              </w:rPr>
            </w:pPr>
            <w:r>
              <w:t>Se non si applica alcun requisito di riserva di capitale, occorre segnalare solo il punto i).</w:t>
            </w:r>
          </w:p>
        </w:tc>
      </w:tr>
      <w:tr w:rsidR="009C083D" w:rsidRPr="00661595" w:rsidTr="003E47C5">
        <w:tc>
          <w:tcPr>
            <w:tcW w:w="1163" w:type="dxa"/>
          </w:tcPr>
          <w:p w:rsidR="009C083D" w:rsidRPr="00661595" w:rsidRDefault="00B13F06" w:rsidP="00115052">
            <w:pPr>
              <w:pStyle w:val="InstructionsText"/>
            </w:pPr>
            <w:r>
              <w:t>0180</w:t>
            </w:r>
          </w:p>
        </w:tc>
        <w:tc>
          <w:tcPr>
            <w:tcW w:w="7620" w:type="dxa"/>
          </w:tcPr>
          <w:p w:rsidR="009C083D" w:rsidRPr="00661595" w:rsidRDefault="009C083D"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14**</w:t>
            </w:r>
            <w:r w:rsidRPr="00BD1A14">
              <w:rPr>
                <w:u w:val="single"/>
              </w:rPr>
              <w:tab/>
            </w:r>
            <w:r>
              <w:rPr>
                <w:rStyle w:val="InstructionsTabelleberschrift"/>
                <w:rFonts w:ascii="Times New Roman" w:hAnsi="Times New Roman"/>
                <w:sz w:val="24"/>
              </w:rPr>
              <w:t>OCR: costituito da capitale di classe 1</w:t>
            </w:r>
          </w:p>
          <w:p w:rsidR="009C083D" w:rsidRPr="00661595" w:rsidRDefault="009C083D" w:rsidP="00115052">
            <w:pPr>
              <w:pStyle w:val="InstructionsText"/>
            </w:pPr>
            <w:r>
              <w:t>La somma di i) e ii) come segue:</w:t>
            </w:r>
          </w:p>
          <w:p w:rsidR="009C083D" w:rsidRPr="00661595" w:rsidRDefault="009C083D" w:rsidP="00115052">
            <w:pPr>
              <w:pStyle w:val="InstructionsText"/>
              <w:numPr>
                <w:ilvl w:val="0"/>
                <w:numId w:val="25"/>
              </w:numPr>
            </w:pPr>
            <w:r>
              <w:t>il coefficiente TSCR costituito da capitale di classe 1 di cui alla riga 0150;</w:t>
            </w:r>
          </w:p>
          <w:p w:rsidR="009C083D" w:rsidRPr="00661595" w:rsidRDefault="009C083D" w:rsidP="00115052">
            <w:pPr>
              <w:pStyle w:val="InstructionsText"/>
              <w:numPr>
                <w:ilvl w:val="0"/>
                <w:numId w:val="25"/>
              </w:numPr>
              <w:rPr>
                <w:bCs/>
                <w:u w:val="single"/>
              </w:rPr>
            </w:pPr>
            <w:r>
              <w:t>in funzione della sua applicabilità legale, il requisito combinato di riserva di capitale di cui all</w:t>
            </w:r>
            <w:r w:rsidR="000878EC">
              <w:t>'</w:t>
            </w:r>
            <w:r>
              <w:t>articolo 128, punto 6, della CRD.</w:t>
            </w:r>
          </w:p>
          <w:p w:rsidR="00BA325A" w:rsidRPr="00661595" w:rsidRDefault="00FF2818" w:rsidP="00115052">
            <w:pPr>
              <w:pStyle w:val="InstructionsText"/>
              <w:rPr>
                <w:rStyle w:val="InstructionsTabelleberschrift"/>
                <w:rFonts w:ascii="Times New Roman" w:hAnsi="Times New Roman"/>
                <w:b w:val="0"/>
                <w:sz w:val="24"/>
              </w:rPr>
            </w:pPr>
            <w:r>
              <w:t>Se non si applica alcun requisito di riserva di capitale, occorre segnalare solo il punto i).</w:t>
            </w:r>
          </w:p>
        </w:tc>
      </w:tr>
      <w:tr w:rsidR="009C083D" w:rsidRPr="00661595" w:rsidTr="003E47C5">
        <w:tc>
          <w:tcPr>
            <w:tcW w:w="1163" w:type="dxa"/>
          </w:tcPr>
          <w:p w:rsidR="009C083D" w:rsidRPr="00661595" w:rsidRDefault="00B13F06" w:rsidP="00115052">
            <w:pPr>
              <w:pStyle w:val="InstructionsText"/>
            </w:pPr>
            <w:r>
              <w:t>0190</w:t>
            </w:r>
          </w:p>
        </w:tc>
        <w:tc>
          <w:tcPr>
            <w:tcW w:w="7620" w:type="dxa"/>
          </w:tcPr>
          <w:p w:rsidR="009C083D" w:rsidRPr="00661595" w:rsidRDefault="009C083D"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sidRPr="00BD1A14">
              <w:rPr>
                <w:u w:val="single"/>
              </w:rPr>
              <w:tab/>
            </w:r>
            <w:r>
              <w:rPr>
                <w:rStyle w:val="InstructionsTabelleberschrift"/>
                <w:rFonts w:ascii="Times New Roman" w:hAnsi="Times New Roman"/>
                <w:sz w:val="24"/>
              </w:rPr>
              <w:t>Coefficiente del requisito patrimoniale complessivo (OCR) e livello degli orientamenti nell</w:t>
            </w:r>
            <w:r w:rsidR="000878EC">
              <w:rPr>
                <w:rStyle w:val="InstructionsTabelleberschrift"/>
                <w:rFonts w:ascii="Times New Roman" w:hAnsi="Times New Roman"/>
                <w:sz w:val="24"/>
              </w:rPr>
              <w:t>'</w:t>
            </w:r>
            <w:r>
              <w:rPr>
                <w:rStyle w:val="InstructionsTabelleberschrift"/>
                <w:rFonts w:ascii="Times New Roman" w:hAnsi="Times New Roman"/>
                <w:sz w:val="24"/>
              </w:rPr>
              <w:t>ambito del secondo pilastro (Pillar 2 Guidance o P2G)</w:t>
            </w:r>
          </w:p>
          <w:p w:rsidR="009C083D" w:rsidRPr="00661595" w:rsidRDefault="009C083D" w:rsidP="00115052">
            <w:pPr>
              <w:pStyle w:val="InstructionsText"/>
            </w:pPr>
            <w:r>
              <w:t>La somma di i) e ii) come segue:</w:t>
            </w:r>
          </w:p>
          <w:p w:rsidR="009C083D" w:rsidRPr="00661595" w:rsidRDefault="009C083D" w:rsidP="00115052">
            <w:pPr>
              <w:pStyle w:val="InstructionsText"/>
              <w:numPr>
                <w:ilvl w:val="0"/>
                <w:numId w:val="26"/>
              </w:numPr>
            </w:pPr>
            <w:r>
              <w:t>il coefficiente OCR di cui alla riga 160;</w:t>
            </w:r>
          </w:p>
          <w:p w:rsidR="009C083D" w:rsidRPr="00661595" w:rsidRDefault="009C083D" w:rsidP="00115052">
            <w:pPr>
              <w:pStyle w:val="InstructionsText"/>
              <w:numPr>
                <w:ilvl w:val="0"/>
                <w:numId w:val="26"/>
              </w:numPr>
              <w:rPr>
                <w:bCs/>
                <w:u w:val="single"/>
              </w:rPr>
            </w:pPr>
            <w:r>
              <w:t>se del caso, gli orientamenti sui fondi propri aggiuntivi comunicati dall</w:t>
            </w:r>
            <w:r w:rsidR="000878EC">
              <w:t>'</w:t>
            </w:r>
            <w:r>
              <w:t xml:space="preserve">autorità competente (orientamenti del pilastro 2 — P2G) di cui </w:t>
            </w:r>
            <w:r w:rsidR="00DC54AF">
              <w:t>all</w:t>
            </w:r>
            <w:r w:rsidR="000878EC">
              <w:t>'</w:t>
            </w:r>
            <w:r w:rsidR="00DC54AF">
              <w:t xml:space="preserve">articolo 104 ter, paragrafo </w:t>
            </w:r>
            <w:r>
              <w:t>3, della CRD, presentati come coefficiente. Sono definiti conformemente alla sezione 7.7.1 degli EBA SREP GL. Il P2G è incluso solo se comunicato all</w:t>
            </w:r>
            <w:r w:rsidR="000878EC">
              <w:t>'</w:t>
            </w:r>
            <w:r>
              <w:t>ente dall</w:t>
            </w:r>
            <w:r w:rsidR="000878EC">
              <w:t>'</w:t>
            </w:r>
            <w:r>
              <w:t>autorità competente.</w:t>
            </w:r>
          </w:p>
          <w:p w:rsidR="0047693D" w:rsidRPr="00661595" w:rsidRDefault="00FF2818" w:rsidP="00115052">
            <w:pPr>
              <w:pStyle w:val="InstructionsText"/>
              <w:rPr>
                <w:rStyle w:val="InstructionsTabelleberschrift"/>
                <w:rFonts w:ascii="Times New Roman" w:hAnsi="Times New Roman"/>
                <w:b w:val="0"/>
                <w:sz w:val="24"/>
              </w:rPr>
            </w:pPr>
            <w:r>
              <w:t>Se l</w:t>
            </w:r>
            <w:r w:rsidR="000878EC">
              <w:t>'</w:t>
            </w:r>
            <w:r>
              <w:t>autorità competente non ha comunicato il P2G, occorre segnalare solo il punto i).</w:t>
            </w:r>
            <w:r w:rsidR="000878EC">
              <w:t xml:space="preserve"> </w:t>
            </w:r>
          </w:p>
        </w:tc>
      </w:tr>
      <w:tr w:rsidR="009C083D" w:rsidRPr="00661595" w:rsidTr="003E47C5">
        <w:tc>
          <w:tcPr>
            <w:tcW w:w="1163" w:type="dxa"/>
          </w:tcPr>
          <w:p w:rsidR="009C083D" w:rsidRPr="00661595" w:rsidRDefault="00B13F06" w:rsidP="00115052">
            <w:pPr>
              <w:pStyle w:val="InstructionsText"/>
            </w:pPr>
            <w:r>
              <w:t>0200</w:t>
            </w:r>
          </w:p>
        </w:tc>
        <w:tc>
          <w:tcPr>
            <w:tcW w:w="7620" w:type="dxa"/>
          </w:tcPr>
          <w:p w:rsidR="009C083D" w:rsidRPr="00661595" w:rsidRDefault="009C083D"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sidRPr="00BD1A14">
              <w:rPr>
                <w:u w:val="single"/>
              </w:rPr>
              <w:tab/>
            </w:r>
            <w:r>
              <w:rPr>
                <w:rStyle w:val="InstructionsTabelleberschrift"/>
                <w:rFonts w:ascii="Times New Roman" w:hAnsi="Times New Roman"/>
                <w:sz w:val="24"/>
              </w:rPr>
              <w:t xml:space="preserve">OCR e P2G: costituito da capitale primario di classe 1 </w:t>
            </w:r>
          </w:p>
          <w:p w:rsidR="009C083D" w:rsidRPr="00661595" w:rsidRDefault="009C083D" w:rsidP="00115052">
            <w:pPr>
              <w:pStyle w:val="InstructionsText"/>
            </w:pPr>
            <w:r>
              <w:t>La somma di i) e ii) come segue:</w:t>
            </w:r>
          </w:p>
          <w:p w:rsidR="009C083D" w:rsidRPr="00661595" w:rsidRDefault="009C083D" w:rsidP="00115052">
            <w:pPr>
              <w:pStyle w:val="InstructionsText"/>
              <w:numPr>
                <w:ilvl w:val="0"/>
                <w:numId w:val="27"/>
              </w:numPr>
            </w:pPr>
            <w:r>
              <w:t>il coefficiente OCR costituito da capitale primario di classe 1 di cui alla riga 0170;</w:t>
            </w:r>
          </w:p>
          <w:p w:rsidR="009C083D" w:rsidRPr="00661595" w:rsidRDefault="009C083D" w:rsidP="00115052">
            <w:pPr>
              <w:pStyle w:val="InstructionsText"/>
              <w:numPr>
                <w:ilvl w:val="0"/>
                <w:numId w:val="27"/>
              </w:numPr>
              <w:rPr>
                <w:bCs/>
                <w:u w:val="single"/>
              </w:rPr>
            </w:pPr>
            <w:r>
              <w:t>ove applicabile, la parte del P2G di cui al punto ii) della riga 0190 che l</w:t>
            </w:r>
            <w:r w:rsidR="000878EC">
              <w:t>'</w:t>
            </w:r>
            <w:r>
              <w:t>autorità competente impone di detenere in forma di capitale primario di classe 1. Il P2G è incluso solo se comunicato all</w:t>
            </w:r>
            <w:r w:rsidR="000878EC">
              <w:t>'</w:t>
            </w:r>
            <w:r>
              <w:t>ente dall</w:t>
            </w:r>
            <w:r w:rsidR="000878EC">
              <w:t>'</w:t>
            </w:r>
            <w:r>
              <w:t>autorità competente.</w:t>
            </w:r>
          </w:p>
          <w:p w:rsidR="0047693D" w:rsidRPr="00661595" w:rsidRDefault="00FF2818" w:rsidP="00115052">
            <w:pPr>
              <w:pStyle w:val="InstructionsText"/>
              <w:rPr>
                <w:rStyle w:val="InstructionsTabelleberschrift"/>
                <w:rFonts w:ascii="Times New Roman" w:hAnsi="Times New Roman"/>
                <w:b w:val="0"/>
                <w:sz w:val="24"/>
              </w:rPr>
            </w:pPr>
            <w:r>
              <w:t>Se l</w:t>
            </w:r>
            <w:r w:rsidR="000878EC">
              <w:t>'</w:t>
            </w:r>
            <w:r>
              <w:t>autorità competente non ha comunicato il P2G, occorre segnalare solo il punto i).</w:t>
            </w:r>
          </w:p>
        </w:tc>
      </w:tr>
      <w:tr w:rsidR="009C083D" w:rsidRPr="00661595" w:rsidTr="003E47C5">
        <w:tc>
          <w:tcPr>
            <w:tcW w:w="1163" w:type="dxa"/>
          </w:tcPr>
          <w:p w:rsidR="009C083D" w:rsidRPr="00661595" w:rsidRDefault="00B13F06" w:rsidP="00115052">
            <w:pPr>
              <w:pStyle w:val="InstructionsText"/>
            </w:pPr>
            <w:r>
              <w:t>0210</w:t>
            </w:r>
          </w:p>
        </w:tc>
        <w:tc>
          <w:tcPr>
            <w:tcW w:w="7620" w:type="dxa"/>
          </w:tcPr>
          <w:p w:rsidR="009C083D" w:rsidRPr="00661595" w:rsidRDefault="009C083D"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15**</w:t>
            </w:r>
            <w:r w:rsidRPr="00BD1A14">
              <w:rPr>
                <w:u w:val="single"/>
              </w:rPr>
              <w:tab/>
            </w:r>
            <w:r>
              <w:rPr>
                <w:rStyle w:val="InstructionsTabelleberschrift"/>
                <w:rFonts w:ascii="Times New Roman" w:hAnsi="Times New Roman"/>
                <w:sz w:val="24"/>
              </w:rPr>
              <w:t xml:space="preserve">OCR e P2G: costituito da capitale di classe 1 </w:t>
            </w:r>
          </w:p>
          <w:p w:rsidR="009C083D" w:rsidRPr="00661595" w:rsidRDefault="009C083D" w:rsidP="00115052">
            <w:pPr>
              <w:pStyle w:val="InstructionsText"/>
            </w:pPr>
            <w:r>
              <w:t>La somma di i) e ii) come segue:</w:t>
            </w:r>
          </w:p>
          <w:p w:rsidR="009C083D" w:rsidRPr="00661595" w:rsidRDefault="009C083D" w:rsidP="00115052">
            <w:pPr>
              <w:pStyle w:val="InstructionsText"/>
              <w:numPr>
                <w:ilvl w:val="0"/>
                <w:numId w:val="28"/>
              </w:numPr>
            </w:pPr>
            <w:r>
              <w:t>il coefficiente OCR costituito da capitale di classe 1 di cui alla riga 0180;</w:t>
            </w:r>
          </w:p>
          <w:p w:rsidR="009C083D" w:rsidRPr="00661595" w:rsidRDefault="009C083D" w:rsidP="00115052">
            <w:pPr>
              <w:pStyle w:val="InstructionsText"/>
              <w:numPr>
                <w:ilvl w:val="0"/>
                <w:numId w:val="28"/>
              </w:numPr>
            </w:pPr>
            <w:r>
              <w:t>ove applicabile, la parte del P2G di cui al punto ii) della riga 0190 che l</w:t>
            </w:r>
            <w:r w:rsidR="000878EC">
              <w:t>'</w:t>
            </w:r>
            <w:r>
              <w:t>autorità competente impone di detenere</w:t>
            </w:r>
            <w:r w:rsidR="00DC54AF">
              <w:t xml:space="preserve"> in forma di capitale di classe </w:t>
            </w:r>
            <w:r>
              <w:t>1. Il P2G è incluso solo se comunicato all</w:t>
            </w:r>
            <w:r w:rsidR="000878EC">
              <w:t>'</w:t>
            </w:r>
            <w:r>
              <w:t>ente dall</w:t>
            </w:r>
            <w:r w:rsidR="000878EC">
              <w:t>'</w:t>
            </w:r>
            <w:r>
              <w:t>autorità competente.</w:t>
            </w:r>
          </w:p>
          <w:p w:rsidR="0047693D" w:rsidRPr="00661595" w:rsidRDefault="00FF2818" w:rsidP="00115052">
            <w:pPr>
              <w:pStyle w:val="InstructionsText"/>
              <w:rPr>
                <w:rStyle w:val="InstructionsTabelleberschrift"/>
                <w:rFonts w:ascii="Times New Roman" w:hAnsi="Times New Roman"/>
                <w:b w:val="0"/>
                <w:bCs w:val="0"/>
                <w:sz w:val="24"/>
                <w:u w:val="none"/>
              </w:rPr>
            </w:pPr>
            <w:r>
              <w:t>Se l</w:t>
            </w:r>
            <w:r w:rsidR="000878EC">
              <w:t>'</w:t>
            </w:r>
            <w:r>
              <w:t>autorità competente non ha comunicato il P2G, occorre segnalare solo il punto i).</w:t>
            </w:r>
            <w:r>
              <w:rPr>
                <w:rStyle w:val="InstructionsTabelleberschrift"/>
                <w:rFonts w:ascii="Times New Roman" w:hAnsi="Times New Roman"/>
                <w:b w:val="0"/>
                <w:sz w:val="24"/>
              </w:rPr>
              <w:t xml:space="preserve"> </w:t>
            </w:r>
          </w:p>
        </w:tc>
      </w:tr>
      <w:tr w:rsidR="00477C45" w:rsidRPr="00661595" w:rsidTr="003E47C5">
        <w:tc>
          <w:tcPr>
            <w:tcW w:w="1163" w:type="dxa"/>
          </w:tcPr>
          <w:p w:rsidR="00477C45" w:rsidRPr="00661595" w:rsidRDefault="00B13F06" w:rsidP="00115052">
            <w:pPr>
              <w:pStyle w:val="InstructionsText"/>
            </w:pPr>
            <w:r>
              <w:t>0220</w:t>
            </w:r>
          </w:p>
        </w:tc>
        <w:tc>
          <w:tcPr>
            <w:tcW w:w="7620" w:type="dxa"/>
          </w:tcPr>
          <w:p w:rsidR="00477C45" w:rsidRPr="00661595" w:rsidRDefault="00477C45"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Eccedenza (+)/Carenza (−) di capitale primario di classe 1 in considerazione dei requisiti dell</w:t>
            </w:r>
            <w:r w:rsidR="000878EC">
              <w:rPr>
                <w:rStyle w:val="InstructionsTabelleberschrift"/>
                <w:rFonts w:ascii="Times New Roman" w:hAnsi="Times New Roman"/>
                <w:sz w:val="24"/>
              </w:rPr>
              <w:t>'</w:t>
            </w:r>
            <w:r>
              <w:rPr>
                <w:rStyle w:val="InstructionsTabelleberschrift"/>
                <w:rFonts w:ascii="Times New Roman" w:hAnsi="Times New Roman"/>
                <w:sz w:val="24"/>
              </w:rPr>
              <w:t>articolo 92 del CRR e dell</w:t>
            </w:r>
            <w:r w:rsidR="000878EC">
              <w:rPr>
                <w:rStyle w:val="InstructionsTabelleberschrift"/>
                <w:rFonts w:ascii="Times New Roman" w:hAnsi="Times New Roman"/>
                <w:sz w:val="24"/>
              </w:rPr>
              <w:t>'</w:t>
            </w:r>
            <w:r>
              <w:rPr>
                <w:rStyle w:val="InstructionsTabelleberschrift"/>
                <w:rFonts w:ascii="Times New Roman" w:hAnsi="Times New Roman"/>
                <w:sz w:val="24"/>
              </w:rPr>
              <w:t>articolo 104 bis della CRD</w:t>
            </w:r>
          </w:p>
          <w:p w:rsidR="00477C45" w:rsidRPr="00661595" w:rsidRDefault="00477C45" w:rsidP="00115052">
            <w:pPr>
              <w:pStyle w:val="InstructionsText"/>
            </w:pPr>
            <w:r>
              <w:t>Questa voce indica, in cifre assolute, l</w:t>
            </w:r>
            <w:r w:rsidR="000878EC">
              <w:t>'</w:t>
            </w:r>
            <w:r>
              <w:t>importo dell</w:t>
            </w:r>
            <w:r w:rsidR="000878EC">
              <w:t>'</w:t>
            </w:r>
            <w:r>
              <w:t>eccedenza o carenza di capitale primario di classe 1 in relazione ai requisiti di cui</w:t>
            </w:r>
            <w:r w:rsidR="00DC54AF">
              <w:t xml:space="preserve"> all</w:t>
            </w:r>
            <w:r w:rsidR="000878EC">
              <w:t>'</w:t>
            </w:r>
            <w:r w:rsidR="00DC54AF">
              <w:t xml:space="preserve">articolo </w:t>
            </w:r>
            <w:r>
              <w:t>92, paragrafo 1, lettera a),</w:t>
            </w:r>
            <w:r w:rsidR="00DC54AF">
              <w:t xml:space="preserve"> del CRR (4,5 %) e all</w:t>
            </w:r>
            <w:r w:rsidR="000878EC">
              <w:t>'</w:t>
            </w:r>
            <w:r w:rsidR="00DC54AF">
              <w:t xml:space="preserve">articolo 104 </w:t>
            </w:r>
            <w:r>
              <w:t>bis della CRD, nella misura in cui i</w:t>
            </w:r>
            <w:r w:rsidR="00DC54AF">
              <w:t>l requisito di cui all</w:t>
            </w:r>
            <w:r w:rsidR="000878EC">
              <w:t>'</w:t>
            </w:r>
            <w:r w:rsidR="00DC54AF">
              <w:t xml:space="preserve">articolo 104 </w:t>
            </w:r>
            <w:r>
              <w:t>bis della CRD deve essere soddisfatto con capitale primario di classe 1. Se un ente deve utilizzare il proprio capitale primario di classe 1 per soddisfare i requisiti di</w:t>
            </w:r>
            <w:r w:rsidR="00DC54AF">
              <w:t xml:space="preserve"> cui all</w:t>
            </w:r>
            <w:r w:rsidR="000878EC">
              <w:t>'</w:t>
            </w:r>
            <w:r w:rsidR="00DC54AF">
              <w:t xml:space="preserve">articolo 92, paragrafo </w:t>
            </w:r>
            <w:r>
              <w:t>1, lettere b) e/o c</w:t>
            </w:r>
            <w:r w:rsidR="00DC54AF">
              <w:t>), del CRR e/o all</w:t>
            </w:r>
            <w:r w:rsidR="000878EC">
              <w:t>'</w:t>
            </w:r>
            <w:r w:rsidR="00DC54AF">
              <w:t xml:space="preserve">articolo 104 </w:t>
            </w:r>
            <w:r>
              <w:t>bis della CRD oltre la misura in cui il secondo deve essere soddisfatto con capitale primario di classe 1, l</w:t>
            </w:r>
            <w:r w:rsidR="000878EC">
              <w:t>'</w:t>
            </w:r>
            <w:r>
              <w:t>eccedenza o la carenza segnalata ne tiene conto.</w:t>
            </w:r>
          </w:p>
          <w:p w:rsidR="00477C45" w:rsidRPr="00661595" w:rsidRDefault="00477C45" w:rsidP="00115052">
            <w:pPr>
              <w:pStyle w:val="InstructionsText"/>
              <w:rPr>
                <w:rStyle w:val="InstructionsTabelleberschrift"/>
                <w:rFonts w:ascii="Times New Roman" w:hAnsi="Times New Roman"/>
                <w:sz w:val="24"/>
              </w:rPr>
            </w:pPr>
            <w:r>
              <w:t>Questo importo riflette il capitale primario di classe 1 disponibile per soddisfare il requisito combinato di riserva di capitale e altri requisiti.</w:t>
            </w:r>
          </w:p>
        </w:tc>
      </w:tr>
      <w:tr w:rsidR="00845551" w:rsidRPr="00661595" w:rsidTr="003E47C5">
        <w:tc>
          <w:tcPr>
            <w:tcW w:w="1163" w:type="dxa"/>
          </w:tcPr>
          <w:p w:rsidR="00845551" w:rsidRPr="00661595" w:rsidRDefault="00845551" w:rsidP="00BD1A14">
            <w:pPr>
              <w:pStyle w:val="InstructionsText"/>
              <w:keepNext/>
              <w:keepLines/>
            </w:pPr>
            <w:r>
              <w:t>0300</w:t>
            </w:r>
          </w:p>
        </w:tc>
        <w:tc>
          <w:tcPr>
            <w:tcW w:w="7620" w:type="dxa"/>
          </w:tcPr>
          <w:p w:rsidR="00845551" w:rsidRPr="00BD1A14" w:rsidRDefault="00845551" w:rsidP="00BD1A14">
            <w:pPr>
              <w:pStyle w:val="InstructionsText"/>
              <w:keepNext/>
              <w:keepLines/>
              <w:rPr>
                <w:b/>
              </w:rPr>
            </w:pPr>
            <w:r w:rsidRPr="00BD1A14">
              <w:rPr>
                <w:b/>
              </w:rPr>
              <w:t>Coefficiente di capitale primario di classe 1 senza applicazione delle disposizioni transitorie sull</w:t>
            </w:r>
            <w:r w:rsidR="000878EC" w:rsidRPr="00BD1A14">
              <w:rPr>
                <w:b/>
              </w:rPr>
              <w:t>'</w:t>
            </w:r>
            <w:r w:rsidRPr="00BD1A14">
              <w:rPr>
                <w:b/>
              </w:rPr>
              <w:t>IFRS 9</w:t>
            </w:r>
          </w:p>
          <w:p w:rsidR="00845551" w:rsidRPr="00661595" w:rsidRDefault="00845551" w:rsidP="00BD1A14">
            <w:pPr>
              <w:pStyle w:val="InstructionsText"/>
              <w:keepNext/>
              <w:keepLines/>
              <w:rPr>
                <w:rStyle w:val="InstructionsTabelleberschrift"/>
                <w:rFonts w:ascii="Times New Roman" w:hAnsi="Times New Roman"/>
                <w:sz w:val="24"/>
              </w:rPr>
            </w:pPr>
            <w:r>
              <w:t xml:space="preserve">Articolo 92, paragrafo 2, lettera a), </w:t>
            </w:r>
            <w:r>
              <w:rPr>
                <w:rStyle w:val="InstructionsTabelleberschrift"/>
                <w:rFonts w:ascii="Times New Roman" w:hAnsi="Times New Roman"/>
                <w:b w:val="0"/>
                <w:sz w:val="24"/>
              </w:rPr>
              <w:t>articolo 473 bis, paragrafo 8, del CRR</w:t>
            </w:r>
          </w:p>
        </w:tc>
      </w:tr>
      <w:tr w:rsidR="00845551" w:rsidRPr="00661595" w:rsidTr="003E47C5">
        <w:tc>
          <w:tcPr>
            <w:tcW w:w="1163" w:type="dxa"/>
          </w:tcPr>
          <w:p w:rsidR="00845551" w:rsidRPr="00661595" w:rsidRDefault="00845551" w:rsidP="00115052">
            <w:pPr>
              <w:pStyle w:val="InstructionsText"/>
            </w:pPr>
            <w:r>
              <w:t>0310</w:t>
            </w:r>
          </w:p>
        </w:tc>
        <w:tc>
          <w:tcPr>
            <w:tcW w:w="7620" w:type="dxa"/>
          </w:tcPr>
          <w:p w:rsidR="00845551" w:rsidRPr="00BD1A14" w:rsidRDefault="00845551" w:rsidP="00115052">
            <w:pPr>
              <w:pStyle w:val="InstructionsText"/>
              <w:rPr>
                <w:b/>
              </w:rPr>
            </w:pPr>
            <w:r w:rsidRPr="00BD1A14">
              <w:rPr>
                <w:b/>
              </w:rPr>
              <w:t>Coefficiente di capitale di classe 1 senza applicazione delle disposizioni transitorie sull</w:t>
            </w:r>
            <w:r w:rsidR="000878EC" w:rsidRPr="00BD1A14">
              <w:rPr>
                <w:b/>
              </w:rPr>
              <w:t>'</w:t>
            </w:r>
            <w:r w:rsidRPr="00BD1A14">
              <w:rPr>
                <w:b/>
              </w:rPr>
              <w:t>IFRS 9</w:t>
            </w:r>
          </w:p>
          <w:p w:rsidR="00845551" w:rsidRPr="00661595" w:rsidRDefault="00845551" w:rsidP="00115052">
            <w:pPr>
              <w:pStyle w:val="InstructionsText"/>
              <w:rPr>
                <w:rStyle w:val="InstructionsTabelleberschrift"/>
                <w:rFonts w:ascii="Times New Roman" w:hAnsi="Times New Roman"/>
                <w:sz w:val="24"/>
              </w:rPr>
            </w:pPr>
            <w:r>
              <w:t xml:space="preserve">Articolo 92, paragrafo 2, lettera b), </w:t>
            </w:r>
            <w:r>
              <w:rPr>
                <w:rStyle w:val="InstructionsTabelleberschrift"/>
                <w:rFonts w:ascii="Times New Roman" w:hAnsi="Times New Roman"/>
                <w:b w:val="0"/>
                <w:sz w:val="24"/>
              </w:rPr>
              <w:t>articolo 473 bis, paragrafo 8, del CRR</w:t>
            </w:r>
          </w:p>
        </w:tc>
      </w:tr>
      <w:tr w:rsidR="00845551" w:rsidRPr="00661595" w:rsidTr="003E47C5">
        <w:tc>
          <w:tcPr>
            <w:tcW w:w="1163" w:type="dxa"/>
          </w:tcPr>
          <w:p w:rsidR="00845551" w:rsidRPr="00661595" w:rsidRDefault="00845551" w:rsidP="00115052">
            <w:pPr>
              <w:pStyle w:val="InstructionsText"/>
            </w:pPr>
            <w:r>
              <w:t>0320</w:t>
            </w:r>
          </w:p>
        </w:tc>
        <w:tc>
          <w:tcPr>
            <w:tcW w:w="7620" w:type="dxa"/>
          </w:tcPr>
          <w:p w:rsidR="00845551" w:rsidRPr="00BD1A14" w:rsidRDefault="00845551" w:rsidP="00115052">
            <w:pPr>
              <w:pStyle w:val="InstructionsText"/>
              <w:rPr>
                <w:b/>
              </w:rPr>
            </w:pPr>
            <w:r w:rsidRPr="00BD1A14">
              <w:rPr>
                <w:b/>
              </w:rPr>
              <w:t>Coefficiente di capitale totale senza applicazione delle disposizioni transitorie sull</w:t>
            </w:r>
            <w:r w:rsidR="000878EC" w:rsidRPr="00BD1A14">
              <w:rPr>
                <w:b/>
              </w:rPr>
              <w:t>'</w:t>
            </w:r>
            <w:r w:rsidRPr="00BD1A14">
              <w:rPr>
                <w:b/>
              </w:rPr>
              <w:t>IFRS 9</w:t>
            </w:r>
          </w:p>
          <w:p w:rsidR="00845551" w:rsidRPr="00661595" w:rsidRDefault="00845551" w:rsidP="00115052">
            <w:pPr>
              <w:pStyle w:val="InstructionsText"/>
              <w:rPr>
                <w:rStyle w:val="InstructionsTabelleberschrift"/>
                <w:rFonts w:ascii="Times New Roman" w:hAnsi="Times New Roman"/>
                <w:sz w:val="24"/>
              </w:rPr>
            </w:pPr>
            <w:r>
              <w:t xml:space="preserve">Articolo 92, paragrafo 2, lettera c), </w:t>
            </w:r>
            <w:r>
              <w:rPr>
                <w:rStyle w:val="InstructionsTabelleberschrift"/>
                <w:rFonts w:ascii="Times New Roman" w:hAnsi="Times New Roman"/>
                <w:b w:val="0"/>
                <w:sz w:val="24"/>
              </w:rPr>
              <w:t>articolo 473 bis, paragrafo 8, del CRR</w:t>
            </w:r>
          </w:p>
        </w:tc>
      </w:tr>
    </w:tbl>
    <w:p w:rsidR="005643EA" w:rsidRPr="00661595" w:rsidRDefault="005643EA" w:rsidP="00115052">
      <w:pPr>
        <w:pStyle w:val="InstructionsText"/>
      </w:pPr>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57" w:name="_Toc473560879"/>
      <w:bookmarkStart w:id="58" w:name="_Toc308175830"/>
      <w:bookmarkStart w:id="59" w:name="_Toc360188331"/>
      <w:bookmarkStart w:id="60" w:name="_Toc58915722"/>
      <w:r>
        <w:rPr>
          <w:rFonts w:ascii="Times New Roman" w:hAnsi="Times New Roman"/>
          <w:sz w:val="24"/>
          <w:u w:val="none"/>
        </w:rPr>
        <w:t>1.5.</w:t>
      </w:r>
      <w:r w:rsidRPr="001A6A3C">
        <w:rPr>
          <w:u w:val="none"/>
        </w:rPr>
        <w:tab/>
      </w:r>
      <w:r>
        <w:rPr>
          <w:rFonts w:ascii="Times New Roman" w:hAnsi="Times New Roman"/>
          <w:sz w:val="24"/>
        </w:rPr>
        <w:t>C 04.00 — VOCI PER MEMORIA (CA4)</w:t>
      </w:r>
      <w:bookmarkEnd w:id="57"/>
      <w:bookmarkEnd w:id="60"/>
      <w:r>
        <w:rPr>
          <w:rFonts w:ascii="Times New Roman" w:hAnsi="Times New Roman"/>
          <w:sz w:val="24"/>
        </w:rPr>
        <w:t xml:space="preserve"> </w:t>
      </w:r>
      <w:bookmarkEnd w:id="58"/>
      <w:bookmarkEnd w:id="59"/>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61" w:name="_Toc360188332"/>
      <w:bookmarkStart w:id="62" w:name="_Toc473560880"/>
      <w:bookmarkStart w:id="63" w:name="_Toc58915723"/>
      <w:r>
        <w:rPr>
          <w:rFonts w:ascii="Times New Roman" w:hAnsi="Times New Roman"/>
          <w:sz w:val="24"/>
          <w:u w:val="none"/>
        </w:rPr>
        <w:t>1.5.1.</w:t>
      </w:r>
      <w:r w:rsidRPr="001A6A3C">
        <w:rPr>
          <w:u w:val="none"/>
        </w:rPr>
        <w:tab/>
      </w:r>
      <w:bookmarkStart w:id="64" w:name="_Toc308175831"/>
      <w:r>
        <w:rPr>
          <w:rFonts w:ascii="Times New Roman" w:hAnsi="Times New Roman"/>
          <w:sz w:val="24"/>
        </w:rPr>
        <w:t>Istruzioni relative a posizioni specifiche</w:t>
      </w:r>
      <w:bookmarkEnd w:id="61"/>
      <w:bookmarkEnd w:id="62"/>
      <w:bookmarkEnd w:id="63"/>
      <w:bookmarkEnd w:id="64"/>
    </w:p>
    <w:p w:rsidR="002648B0" w:rsidRPr="00661595" w:rsidRDefault="002648B0" w:rsidP="00115052">
      <w:pPr>
        <w:pStyle w:val="InstructionsText"/>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74"/>
        <w:gridCol w:w="7049"/>
      </w:tblGrid>
      <w:tr w:rsidR="002648B0" w:rsidRPr="00661595" w:rsidTr="00674BF5">
        <w:tc>
          <w:tcPr>
            <w:tcW w:w="8523" w:type="dxa"/>
            <w:gridSpan w:val="2"/>
            <w:shd w:val="clear" w:color="auto" w:fill="D9D9D9"/>
          </w:tcPr>
          <w:p w:rsidR="005643EA" w:rsidRPr="00661595" w:rsidRDefault="002648B0" w:rsidP="00115052">
            <w:pPr>
              <w:pStyle w:val="InstructionsText"/>
            </w:pPr>
            <w:r>
              <w:t>Righe</w:t>
            </w:r>
          </w:p>
        </w:tc>
      </w:tr>
      <w:tr w:rsidR="002648B0" w:rsidRPr="00661595" w:rsidTr="00674BF5">
        <w:tc>
          <w:tcPr>
            <w:tcW w:w="1474" w:type="dxa"/>
          </w:tcPr>
          <w:p w:rsidR="002648B0" w:rsidRPr="00661595" w:rsidRDefault="00B13F06" w:rsidP="00115052">
            <w:pPr>
              <w:pStyle w:val="InstructionsText"/>
            </w:pPr>
            <w:r>
              <w:t>0010</w:t>
            </w:r>
          </w:p>
        </w:tc>
        <w:tc>
          <w:tcPr>
            <w:tcW w:w="7049" w:type="dxa"/>
          </w:tcPr>
          <w:p w:rsidR="005643EA" w:rsidRPr="00661595" w:rsidRDefault="00C66473" w:rsidP="00115052">
            <w:pPr>
              <w:pStyle w:val="InstructionsText"/>
            </w:pPr>
            <w:r>
              <w:rPr>
                <w:rStyle w:val="InstructionsTabelleberschrift"/>
                <w:rFonts w:ascii="Times New Roman" w:hAnsi="Times New Roman"/>
                <w:sz w:val="24"/>
              </w:rPr>
              <w:t>1.</w:t>
            </w:r>
            <w:r w:rsidRPr="00BD1A14">
              <w:rPr>
                <w:u w:val="single"/>
              </w:rPr>
              <w:tab/>
            </w:r>
            <w:r>
              <w:rPr>
                <w:rStyle w:val="InstructionsTabelleberschrift"/>
                <w:rFonts w:ascii="Times New Roman" w:hAnsi="Times New Roman"/>
                <w:sz w:val="24"/>
              </w:rPr>
              <w:t>Totale delle attività fiscali differite</w:t>
            </w:r>
          </w:p>
          <w:p w:rsidR="005643EA" w:rsidRPr="00661595" w:rsidRDefault="002648B0" w:rsidP="00115052">
            <w:pPr>
              <w:pStyle w:val="InstructionsText"/>
            </w:pPr>
            <w:r>
              <w:t>L</w:t>
            </w:r>
            <w:r w:rsidR="000878EC">
              <w:t>'</w:t>
            </w:r>
            <w:r>
              <w:t>importo segnalato in questa voce è uguale all</w:t>
            </w:r>
            <w:r w:rsidR="000878EC">
              <w:t>'</w:t>
            </w:r>
            <w:r>
              <w:t>importo rilevato nel più recente bilancio contabile verificato/sottoposto a revisione.</w:t>
            </w:r>
          </w:p>
        </w:tc>
      </w:tr>
      <w:tr w:rsidR="002648B0" w:rsidRPr="00661595" w:rsidTr="00674BF5">
        <w:tc>
          <w:tcPr>
            <w:tcW w:w="1474" w:type="dxa"/>
          </w:tcPr>
          <w:p w:rsidR="002648B0" w:rsidRPr="00661595" w:rsidRDefault="00B13F06" w:rsidP="00115052">
            <w:pPr>
              <w:pStyle w:val="InstructionsText"/>
            </w:pPr>
            <w:r>
              <w:t>0020</w:t>
            </w:r>
          </w:p>
        </w:tc>
        <w:tc>
          <w:tcPr>
            <w:tcW w:w="7049" w:type="dxa"/>
          </w:tcPr>
          <w:p w:rsidR="005643EA" w:rsidRPr="00661595" w:rsidRDefault="002648B0" w:rsidP="00115052">
            <w:pPr>
              <w:pStyle w:val="InstructionsText"/>
            </w:pPr>
            <w:r>
              <w:rPr>
                <w:rStyle w:val="InstructionsTabelleberschrift"/>
                <w:rFonts w:ascii="Times New Roman" w:hAnsi="Times New Roman"/>
                <w:sz w:val="24"/>
              </w:rPr>
              <w:t>1.1</w:t>
            </w:r>
            <w:r w:rsidRPr="00BD1A14">
              <w:rPr>
                <w:u w:val="single"/>
              </w:rPr>
              <w:tab/>
            </w:r>
            <w:r>
              <w:rPr>
                <w:rStyle w:val="InstructionsTabelleberschrift"/>
                <w:rFonts w:ascii="Times New Roman" w:hAnsi="Times New Roman"/>
                <w:sz w:val="24"/>
              </w:rPr>
              <w:t>Attività fiscali differite che non si basano sulla redditività futura</w:t>
            </w:r>
          </w:p>
          <w:p w:rsidR="005643EA" w:rsidRPr="00661595" w:rsidRDefault="002648B0" w:rsidP="00115052">
            <w:pPr>
              <w:pStyle w:val="InstructionsText"/>
            </w:pPr>
            <w:r>
              <w:t>Articolo 39, paragrafo 2, del CRR</w:t>
            </w:r>
          </w:p>
          <w:p w:rsidR="005643EA" w:rsidRPr="00661595" w:rsidRDefault="002648B0" w:rsidP="00115052">
            <w:pPr>
              <w:pStyle w:val="InstructionsText"/>
            </w:pPr>
            <w:r>
              <w:t>Attività fiscali differite create prima del 23 novembre 2016 che non si basano sulla redditività futura e sono pertanto soggette all</w:t>
            </w:r>
            <w:r w:rsidR="000878EC">
              <w:t>'</w:t>
            </w:r>
            <w:r>
              <w:t>applicazione di un fattore di ponderazione del rischio.</w:t>
            </w:r>
          </w:p>
        </w:tc>
      </w:tr>
      <w:tr w:rsidR="002648B0" w:rsidRPr="00661595" w:rsidTr="00674BF5">
        <w:tc>
          <w:tcPr>
            <w:tcW w:w="1474" w:type="dxa"/>
          </w:tcPr>
          <w:p w:rsidR="002648B0" w:rsidRPr="00661595" w:rsidRDefault="00B13F06" w:rsidP="00115052">
            <w:pPr>
              <w:pStyle w:val="InstructionsText"/>
            </w:pPr>
            <w:r>
              <w:t>0030</w:t>
            </w:r>
          </w:p>
        </w:tc>
        <w:tc>
          <w:tcPr>
            <w:tcW w:w="7049" w:type="dxa"/>
          </w:tcPr>
          <w:p w:rsidR="005643EA" w:rsidRPr="00661595" w:rsidRDefault="002648B0" w:rsidP="00115052">
            <w:pPr>
              <w:pStyle w:val="InstructionsText"/>
            </w:pPr>
            <w:r>
              <w:rPr>
                <w:rStyle w:val="InstructionsTabelleberschrift"/>
                <w:rFonts w:ascii="Times New Roman" w:hAnsi="Times New Roman"/>
                <w:sz w:val="24"/>
              </w:rPr>
              <w:t>1.2</w:t>
            </w:r>
            <w:r w:rsidRPr="00BD1A14">
              <w:rPr>
                <w:u w:val="single"/>
              </w:rPr>
              <w:tab/>
            </w:r>
            <w:r>
              <w:rPr>
                <w:rStyle w:val="InstructionsTabelleberschrift"/>
                <w:rFonts w:ascii="Times New Roman" w:hAnsi="Times New Roman"/>
                <w:sz w:val="24"/>
              </w:rPr>
              <w:t>Attività fiscali differite che si basano sulla redditività futura e non derivano da differenze temporanee</w:t>
            </w:r>
          </w:p>
          <w:p w:rsidR="005643EA" w:rsidRPr="00661595" w:rsidRDefault="0014657C" w:rsidP="00115052">
            <w:pPr>
              <w:pStyle w:val="InstructionsText"/>
            </w:pPr>
            <w:r>
              <w:t>Articolo 36, paragrafo 1, lettera c), e articolo 38 del CRR</w:t>
            </w:r>
          </w:p>
          <w:p w:rsidR="005643EA" w:rsidRPr="00661595" w:rsidRDefault="002648B0" w:rsidP="00115052">
            <w:pPr>
              <w:pStyle w:val="InstructionsText"/>
            </w:pPr>
            <w:r>
              <w:t>Attività fiscali differite che si basano sulla redditività futura ma non derivano da differenze temporanee e quindi non sono soggette a soglie (cioè sono dedotte integralmente dal capitale primario di classe 1).</w:t>
            </w:r>
          </w:p>
        </w:tc>
      </w:tr>
      <w:tr w:rsidR="002648B0" w:rsidRPr="00661595" w:rsidTr="00674BF5">
        <w:tc>
          <w:tcPr>
            <w:tcW w:w="1474" w:type="dxa"/>
          </w:tcPr>
          <w:p w:rsidR="002648B0" w:rsidRPr="00661595" w:rsidRDefault="00B13F06" w:rsidP="00115052">
            <w:pPr>
              <w:pStyle w:val="InstructionsText"/>
            </w:pPr>
            <w:r>
              <w:t>0040</w:t>
            </w:r>
          </w:p>
        </w:tc>
        <w:tc>
          <w:tcPr>
            <w:tcW w:w="7049" w:type="dxa"/>
          </w:tcPr>
          <w:p w:rsidR="005643EA" w:rsidRPr="00661595" w:rsidRDefault="002648B0" w:rsidP="00115052">
            <w:pPr>
              <w:pStyle w:val="InstructionsText"/>
            </w:pPr>
            <w:r>
              <w:rPr>
                <w:rStyle w:val="InstructionsTabelleberschrift"/>
                <w:rFonts w:ascii="Times New Roman" w:hAnsi="Times New Roman"/>
                <w:sz w:val="24"/>
              </w:rPr>
              <w:t>1.3</w:t>
            </w:r>
            <w:r w:rsidRPr="00BD1A14">
              <w:rPr>
                <w:u w:val="single"/>
              </w:rPr>
              <w:tab/>
            </w:r>
            <w:r>
              <w:rPr>
                <w:rStyle w:val="InstructionsTabelleberschrift"/>
                <w:rFonts w:ascii="Times New Roman" w:hAnsi="Times New Roman"/>
                <w:sz w:val="24"/>
              </w:rPr>
              <w:t>Attività fiscali differite che si basano sulla redditività futura e derivano da differenze temporanee</w:t>
            </w:r>
          </w:p>
          <w:p w:rsidR="005643EA" w:rsidRPr="00661595" w:rsidRDefault="0014657C" w:rsidP="00115052">
            <w:pPr>
              <w:pStyle w:val="InstructionsText"/>
            </w:pPr>
            <w:r>
              <w:t>Articolo 36, paragrafo 1, lettera c), Artic</w:t>
            </w:r>
            <w:r w:rsidR="004F71E5">
              <w:t>olo 38 e articolo 48, paragrafo </w:t>
            </w:r>
            <w:r>
              <w:t>1, lettera a), del CRR</w:t>
            </w:r>
          </w:p>
          <w:p w:rsidR="005643EA" w:rsidRPr="00661595" w:rsidRDefault="002648B0" w:rsidP="00115052">
            <w:pPr>
              <w:pStyle w:val="InstructionsText"/>
            </w:pPr>
            <w:r>
              <w:t>Attività fiscali differite che si basano sulla redditività futura e derivano da differenze temporanee. Pertanto alla loro deduzione dal capitale primario di classe 1 si applicano le soglie del 10 % e del 17,65 % di cui all</w:t>
            </w:r>
            <w:r w:rsidR="000878EC">
              <w:t>'</w:t>
            </w:r>
            <w:r>
              <w:t>articolo 48 del CRR.</w:t>
            </w:r>
          </w:p>
        </w:tc>
      </w:tr>
      <w:tr w:rsidR="002648B0" w:rsidRPr="00661595" w:rsidTr="00674BF5">
        <w:tc>
          <w:tcPr>
            <w:tcW w:w="1474" w:type="dxa"/>
          </w:tcPr>
          <w:p w:rsidR="002648B0" w:rsidRPr="00661595" w:rsidRDefault="00B13F06" w:rsidP="00BD1A14">
            <w:pPr>
              <w:pStyle w:val="InstructionsText"/>
              <w:keepNext/>
              <w:keepLines/>
            </w:pPr>
            <w:r>
              <w:t>0050</w:t>
            </w:r>
          </w:p>
        </w:tc>
        <w:tc>
          <w:tcPr>
            <w:tcW w:w="7049" w:type="dxa"/>
          </w:tcPr>
          <w:p w:rsidR="005643EA" w:rsidRPr="00661595" w:rsidRDefault="002648B0" w:rsidP="00BD1A14">
            <w:pPr>
              <w:pStyle w:val="InstructionsText"/>
              <w:keepNext/>
              <w:keepLines/>
            </w:pPr>
            <w:r>
              <w:rPr>
                <w:rStyle w:val="InstructionsTabelleberschrift"/>
                <w:rFonts w:ascii="Times New Roman" w:hAnsi="Times New Roman"/>
                <w:sz w:val="24"/>
              </w:rPr>
              <w:t>2 Totale delle passività fiscali differite</w:t>
            </w:r>
          </w:p>
          <w:p w:rsidR="005643EA" w:rsidRPr="00661595" w:rsidRDefault="002648B0" w:rsidP="00BD1A14">
            <w:pPr>
              <w:pStyle w:val="InstructionsText"/>
              <w:keepNext/>
              <w:keepLines/>
            </w:pPr>
            <w:r>
              <w:t>L</w:t>
            </w:r>
            <w:r w:rsidR="000878EC">
              <w:t>'</w:t>
            </w:r>
            <w:r>
              <w:t>importo segnalato in questa voce è uguale all</w:t>
            </w:r>
            <w:r w:rsidR="000878EC">
              <w:t>'</w:t>
            </w:r>
            <w:r>
              <w:t>importo rilevato nel più recente bilancio contabile verificato/sottoposto a revisione.</w:t>
            </w:r>
          </w:p>
        </w:tc>
      </w:tr>
      <w:tr w:rsidR="002648B0" w:rsidRPr="00661595" w:rsidTr="00674BF5">
        <w:tc>
          <w:tcPr>
            <w:tcW w:w="1474" w:type="dxa"/>
          </w:tcPr>
          <w:p w:rsidR="002648B0" w:rsidRPr="00661595" w:rsidRDefault="00B13F06" w:rsidP="00115052">
            <w:pPr>
              <w:pStyle w:val="InstructionsText"/>
            </w:pPr>
            <w:r>
              <w:t>0060</w:t>
            </w:r>
          </w:p>
        </w:tc>
        <w:tc>
          <w:tcPr>
            <w:tcW w:w="7049" w:type="dxa"/>
          </w:tcPr>
          <w:p w:rsidR="005643EA" w:rsidRPr="00661595" w:rsidRDefault="002648B0" w:rsidP="00115052">
            <w:pPr>
              <w:pStyle w:val="InstructionsText"/>
            </w:pPr>
            <w:r>
              <w:rPr>
                <w:rStyle w:val="InstructionsTabelleberschrift"/>
                <w:rFonts w:ascii="Times New Roman" w:hAnsi="Times New Roman"/>
                <w:sz w:val="24"/>
              </w:rPr>
              <w:t>2.1</w:t>
            </w:r>
            <w:r w:rsidRPr="00BD1A14">
              <w:rPr>
                <w:u w:val="single"/>
              </w:rPr>
              <w:tab/>
            </w:r>
            <w:r>
              <w:rPr>
                <w:rStyle w:val="InstructionsTabelleberschrift"/>
                <w:rFonts w:ascii="Times New Roman" w:hAnsi="Times New Roman"/>
                <w:sz w:val="24"/>
              </w:rPr>
              <w:t>Passività fiscali differite non deducibili dalle attività fiscali differite che si basano sulla redditività futura</w:t>
            </w:r>
          </w:p>
          <w:p w:rsidR="005643EA" w:rsidRPr="00661595" w:rsidRDefault="00167619" w:rsidP="00115052">
            <w:pPr>
              <w:pStyle w:val="InstructionsText"/>
            </w:pPr>
            <w:r>
              <w:t>Articolo 38, paragrafi 3 e 4, del CRR</w:t>
            </w:r>
          </w:p>
          <w:p w:rsidR="005643EA" w:rsidRPr="00661595" w:rsidRDefault="002648B0" w:rsidP="00115052">
            <w:pPr>
              <w:pStyle w:val="InstructionsText"/>
            </w:pPr>
            <w:r>
              <w:t>Passività fiscali differite che non soddisfano le condizioni di cui all</w:t>
            </w:r>
            <w:r w:rsidR="000878EC">
              <w:t>'</w:t>
            </w:r>
            <w:r>
              <w:t>articolo 38, paragrafi 3 e 4, del CRR. Questa voce comprende pertanto le passività fiscali differite che riducono l</w:t>
            </w:r>
            <w:r w:rsidR="000878EC">
              <w:t>'</w:t>
            </w:r>
            <w:r>
              <w:t>importo dell</w:t>
            </w:r>
            <w:r w:rsidR="000878EC">
              <w:t>'</w:t>
            </w:r>
            <w:r>
              <w:t>avviamento, altre attività immateriali o attività dei fondi pensione a prestazioni definite da dedurre che sono segnalate, rispettivamente, alle voci 1.1.1.10.3, 1.1.1.11.2 e 1.1.1.14.2 del modello CA1.</w:t>
            </w:r>
          </w:p>
        </w:tc>
      </w:tr>
      <w:tr w:rsidR="002648B0" w:rsidRPr="00661595" w:rsidTr="00674BF5">
        <w:tc>
          <w:tcPr>
            <w:tcW w:w="1474" w:type="dxa"/>
          </w:tcPr>
          <w:p w:rsidR="002648B0" w:rsidRPr="00661595" w:rsidRDefault="00B13F06" w:rsidP="00115052">
            <w:pPr>
              <w:pStyle w:val="InstructionsText"/>
            </w:pPr>
            <w:r>
              <w:t>0070</w:t>
            </w:r>
          </w:p>
        </w:tc>
        <w:tc>
          <w:tcPr>
            <w:tcW w:w="7049" w:type="dxa"/>
          </w:tcPr>
          <w:p w:rsidR="005643EA" w:rsidRPr="00661595" w:rsidRDefault="002648B0" w:rsidP="00115052">
            <w:pPr>
              <w:pStyle w:val="InstructionsText"/>
            </w:pPr>
            <w:r>
              <w:rPr>
                <w:rStyle w:val="InstructionsTabelleberschrift"/>
                <w:rFonts w:ascii="Times New Roman" w:hAnsi="Times New Roman"/>
                <w:sz w:val="24"/>
              </w:rPr>
              <w:t>2.2</w:t>
            </w:r>
            <w:r w:rsidRPr="00BD1A14">
              <w:rPr>
                <w:u w:val="single"/>
              </w:rPr>
              <w:tab/>
            </w:r>
            <w:r>
              <w:rPr>
                <w:rStyle w:val="InstructionsTabelleberschrift"/>
                <w:rFonts w:ascii="Times New Roman" w:hAnsi="Times New Roman"/>
                <w:sz w:val="24"/>
              </w:rPr>
              <w:t>Passività fiscali differite deducibili dalle attività fiscali differite che si basano sulla redditività futura</w:t>
            </w:r>
          </w:p>
          <w:p w:rsidR="005643EA" w:rsidRPr="00661595" w:rsidRDefault="002648B0" w:rsidP="00115052">
            <w:pPr>
              <w:pStyle w:val="InstructionsText"/>
            </w:pPr>
            <w:r>
              <w:t>Articolo 38 del CRR</w:t>
            </w:r>
          </w:p>
        </w:tc>
      </w:tr>
      <w:tr w:rsidR="002648B0" w:rsidRPr="00661595" w:rsidTr="00674BF5">
        <w:tc>
          <w:tcPr>
            <w:tcW w:w="1474" w:type="dxa"/>
          </w:tcPr>
          <w:p w:rsidR="002648B0" w:rsidRPr="00661595" w:rsidRDefault="00B13F06" w:rsidP="00115052">
            <w:pPr>
              <w:pStyle w:val="InstructionsText"/>
            </w:pPr>
            <w:r>
              <w:t>0080</w:t>
            </w:r>
          </w:p>
        </w:tc>
        <w:tc>
          <w:tcPr>
            <w:tcW w:w="7049" w:type="dxa"/>
          </w:tcPr>
          <w:p w:rsidR="005643EA" w:rsidRPr="00661595" w:rsidRDefault="002648B0" w:rsidP="00115052">
            <w:pPr>
              <w:pStyle w:val="InstructionsText"/>
            </w:pPr>
            <w:r>
              <w:rPr>
                <w:rStyle w:val="InstructionsTabelleberschrift"/>
                <w:rFonts w:ascii="Times New Roman" w:hAnsi="Times New Roman"/>
                <w:sz w:val="24"/>
              </w:rPr>
              <w:t>2.2.1</w:t>
            </w:r>
            <w:r w:rsidRPr="00BD1A14">
              <w:rPr>
                <w:u w:val="single"/>
              </w:rPr>
              <w:tab/>
            </w:r>
            <w:r>
              <w:rPr>
                <w:rStyle w:val="InstructionsTabelleberschrift"/>
                <w:rFonts w:ascii="Times New Roman" w:hAnsi="Times New Roman"/>
                <w:sz w:val="24"/>
              </w:rPr>
              <w:t>Passività fiscali differite deducibili associate ad attività fiscali differite che si basano sulla redditività futura e non derivano da differenze temporanee</w:t>
            </w:r>
          </w:p>
          <w:p w:rsidR="005643EA" w:rsidRPr="00661595" w:rsidRDefault="00167619" w:rsidP="00115052">
            <w:pPr>
              <w:pStyle w:val="InstructionsText"/>
            </w:pPr>
            <w:r>
              <w:t>Articolo 38, paragrafi 3, 4 e 5, del CRR</w:t>
            </w:r>
          </w:p>
          <w:p w:rsidR="005643EA" w:rsidRPr="00661595" w:rsidRDefault="002648B0" w:rsidP="00115052">
            <w:pPr>
              <w:pStyle w:val="InstructionsText"/>
            </w:pPr>
            <w:r>
              <w:t>Passività fiscali differite che possono ridurre l</w:t>
            </w:r>
            <w:r w:rsidR="000878EC">
              <w:t>'</w:t>
            </w:r>
            <w:r>
              <w:t>importo delle attività fiscali differite che si basano sulla redditività futura conformemente all</w:t>
            </w:r>
            <w:r w:rsidR="000878EC">
              <w:t>'</w:t>
            </w:r>
            <w:r>
              <w:t>articolo 38, paragrafi 3 e 4, del CRR, e non sono assegnate ad attività fiscali differite che si basano sulla redditività futura e derivano da differenze temporanee, ai sensi dell</w:t>
            </w:r>
            <w:r w:rsidR="000878EC">
              <w:t>'</w:t>
            </w:r>
            <w:r>
              <w:t>articolo 38, paragrafo 5, del CRR.</w:t>
            </w:r>
          </w:p>
        </w:tc>
      </w:tr>
      <w:tr w:rsidR="002648B0" w:rsidRPr="00661595" w:rsidTr="00674BF5">
        <w:tc>
          <w:tcPr>
            <w:tcW w:w="1474" w:type="dxa"/>
          </w:tcPr>
          <w:p w:rsidR="002648B0" w:rsidRPr="00661595" w:rsidRDefault="00B13F06" w:rsidP="00115052">
            <w:pPr>
              <w:pStyle w:val="InstructionsText"/>
            </w:pPr>
            <w:r>
              <w:t>0090</w:t>
            </w:r>
          </w:p>
        </w:tc>
        <w:tc>
          <w:tcPr>
            <w:tcW w:w="7049" w:type="dxa"/>
          </w:tcPr>
          <w:p w:rsidR="005643EA" w:rsidRPr="00661595" w:rsidRDefault="002648B0" w:rsidP="00115052">
            <w:pPr>
              <w:pStyle w:val="InstructionsText"/>
            </w:pPr>
            <w:r>
              <w:rPr>
                <w:rStyle w:val="InstructionsTabelleberschrift"/>
                <w:rFonts w:ascii="Times New Roman" w:hAnsi="Times New Roman"/>
                <w:sz w:val="24"/>
              </w:rPr>
              <w:t>2.2.2</w:t>
            </w:r>
            <w:r w:rsidRPr="00BD1A14">
              <w:rPr>
                <w:u w:val="single"/>
              </w:rPr>
              <w:tab/>
            </w:r>
            <w:r>
              <w:rPr>
                <w:rStyle w:val="InstructionsTabelleberschrift"/>
                <w:rFonts w:ascii="Times New Roman" w:hAnsi="Times New Roman"/>
                <w:sz w:val="24"/>
              </w:rPr>
              <w:t>Passività fiscali differite deducibili associate ad attività fiscali differite che si basano sulla redditività futura e derivano da differenze temporanee</w:t>
            </w:r>
          </w:p>
          <w:p w:rsidR="005643EA" w:rsidRPr="00661595" w:rsidRDefault="00167619" w:rsidP="00115052">
            <w:pPr>
              <w:pStyle w:val="InstructionsText"/>
            </w:pPr>
            <w:r>
              <w:t>Articolo 38, paragrafi 3, 4 e 5, del CRR</w:t>
            </w:r>
          </w:p>
          <w:p w:rsidR="005643EA" w:rsidRPr="00661595" w:rsidRDefault="002648B0" w:rsidP="00115052">
            <w:pPr>
              <w:pStyle w:val="InstructionsText"/>
            </w:pPr>
            <w:r>
              <w:t>Passività fiscali differite che possono ridurre l</w:t>
            </w:r>
            <w:r w:rsidR="000878EC">
              <w:t>'</w:t>
            </w:r>
            <w:r>
              <w:t>importo delle attività fiscali differite che si basano sulla redditività futura conformemente all</w:t>
            </w:r>
            <w:r w:rsidR="000878EC">
              <w:t>'</w:t>
            </w:r>
            <w:r>
              <w:t>articolo 38, paragrafi 3 e 4, del CRR, e sono assegnate ad attività fiscali differite che si basano sulla redditività futura e derivano da differenze temporanee, ai sensi dell</w:t>
            </w:r>
            <w:r w:rsidR="000878EC">
              <w:t>'</w:t>
            </w:r>
            <w:r>
              <w:t>articolo 38, paragrafo 5, del CRR.</w:t>
            </w:r>
          </w:p>
        </w:tc>
      </w:tr>
      <w:tr w:rsidR="00550113" w:rsidRPr="00661595" w:rsidTr="00674BF5">
        <w:tc>
          <w:tcPr>
            <w:tcW w:w="1474" w:type="dxa"/>
          </w:tcPr>
          <w:p w:rsidR="00550113" w:rsidRPr="00661595" w:rsidRDefault="00B13F06" w:rsidP="00115052">
            <w:pPr>
              <w:pStyle w:val="InstructionsText"/>
            </w:pPr>
            <w:r>
              <w:t>0093</w:t>
            </w:r>
          </w:p>
        </w:tc>
        <w:tc>
          <w:tcPr>
            <w:tcW w:w="7049" w:type="dxa"/>
          </w:tcPr>
          <w:p w:rsidR="00550113" w:rsidRPr="00661595" w:rsidRDefault="00550113" w:rsidP="00115052">
            <w:pPr>
              <w:pStyle w:val="InstructionsText"/>
            </w:pPr>
            <w:r>
              <w:rPr>
                <w:rStyle w:val="InstructionsTabelleberschrift"/>
                <w:rFonts w:ascii="Times New Roman" w:hAnsi="Times New Roman"/>
                <w:sz w:val="24"/>
              </w:rPr>
              <w:t>2A</w:t>
            </w:r>
            <w:r w:rsidRPr="00BD1A14">
              <w:rPr>
                <w:u w:val="single"/>
              </w:rPr>
              <w:tab/>
            </w:r>
            <w:r>
              <w:rPr>
                <w:rStyle w:val="InstructionsTabelleberschrift"/>
                <w:rFonts w:ascii="Times New Roman" w:hAnsi="Times New Roman"/>
                <w:sz w:val="24"/>
              </w:rPr>
              <w:t>Pagamenti in eccesso di imposte e riporti di perdite fiscali</w:t>
            </w:r>
          </w:p>
          <w:p w:rsidR="00550113" w:rsidRPr="00661595" w:rsidRDefault="00201704" w:rsidP="00115052">
            <w:pPr>
              <w:pStyle w:val="InstructionsText"/>
            </w:pPr>
            <w:r>
              <w:t>Articolo 39, paragrafo 1, del CRR</w:t>
            </w:r>
          </w:p>
          <w:p w:rsidR="00550113" w:rsidRPr="00661595" w:rsidRDefault="00550113" w:rsidP="00115052">
            <w:pPr>
              <w:pStyle w:val="InstructionsText"/>
              <w:rPr>
                <w:rStyle w:val="InstructionsTabelleberschrift"/>
                <w:rFonts w:ascii="Times New Roman" w:hAnsi="Times New Roman"/>
                <w:b w:val="0"/>
                <w:bCs w:val="0"/>
                <w:sz w:val="24"/>
                <w:u w:val="none"/>
              </w:rPr>
            </w:pPr>
            <w:r>
              <w:t>L</w:t>
            </w:r>
            <w:r w:rsidR="000878EC">
              <w:t>'</w:t>
            </w:r>
            <w:r>
              <w:t>importo dei pagamenti in eccesso di imposte e dei riporti di perdite fiscali che non è dedotto dai fondi propri conformemente all</w:t>
            </w:r>
            <w:r w:rsidR="000878EC">
              <w:t>'</w:t>
            </w:r>
            <w:r>
              <w:t>articolo 39, paragrafo 1, del CRR; l</w:t>
            </w:r>
            <w:r w:rsidR="000878EC">
              <w:t>'</w:t>
            </w:r>
            <w:r>
              <w:t>importo indicato è quello precedente all</w:t>
            </w:r>
            <w:r w:rsidR="000878EC">
              <w:t>'</w:t>
            </w:r>
            <w:r>
              <w:t>applicazione dei fattori di ponderazione del rischio.</w:t>
            </w:r>
          </w:p>
        </w:tc>
      </w:tr>
      <w:tr w:rsidR="00DF65DF" w:rsidRPr="00661595" w:rsidTr="00674BF5">
        <w:tc>
          <w:tcPr>
            <w:tcW w:w="1474" w:type="dxa"/>
          </w:tcPr>
          <w:p w:rsidR="00DF65DF" w:rsidRPr="00661595" w:rsidRDefault="00B13F06" w:rsidP="00BD1A14">
            <w:pPr>
              <w:pStyle w:val="InstructionsText"/>
              <w:keepNext/>
              <w:keepLines/>
            </w:pPr>
            <w:r>
              <w:t>0096</w:t>
            </w:r>
          </w:p>
        </w:tc>
        <w:tc>
          <w:tcPr>
            <w:tcW w:w="7049" w:type="dxa"/>
          </w:tcPr>
          <w:p w:rsidR="00DF65DF" w:rsidRPr="00661595" w:rsidRDefault="00550113" w:rsidP="00BD1A14">
            <w:pPr>
              <w:pStyle w:val="InstructionsText"/>
              <w:keepNext/>
              <w:keepLines/>
            </w:pPr>
            <w:r>
              <w:rPr>
                <w:rStyle w:val="InstructionsTabelleberschrift"/>
                <w:rFonts w:ascii="Times New Roman" w:hAnsi="Times New Roman"/>
                <w:sz w:val="24"/>
              </w:rPr>
              <w:t>2B</w:t>
            </w:r>
            <w:r w:rsidRPr="00BD1A14">
              <w:rPr>
                <w:u w:val="single"/>
              </w:rPr>
              <w:tab/>
            </w:r>
            <w:r>
              <w:rPr>
                <w:rStyle w:val="InstructionsTabelleberschrift"/>
                <w:rFonts w:ascii="Times New Roman" w:hAnsi="Times New Roman"/>
                <w:sz w:val="24"/>
              </w:rPr>
              <w:t>Attività fiscali differite soggette a un fattore di ponderazione del rischio del 250 %</w:t>
            </w:r>
          </w:p>
          <w:p w:rsidR="00DF65DF" w:rsidRPr="00661595" w:rsidRDefault="00201704" w:rsidP="00BD1A14">
            <w:pPr>
              <w:pStyle w:val="InstructionsText"/>
              <w:keepNext/>
              <w:keepLines/>
            </w:pPr>
            <w:r>
              <w:t>Articolo 48, paragrafo 4, del CRR</w:t>
            </w:r>
          </w:p>
          <w:p w:rsidR="00DF65DF" w:rsidRPr="00661595" w:rsidRDefault="00DF65DF" w:rsidP="00BD1A14">
            <w:pPr>
              <w:pStyle w:val="InstructionsText"/>
              <w:keepNext/>
              <w:keepLines/>
              <w:rPr>
                <w:rStyle w:val="InstructionsTabelleberschrift"/>
                <w:rFonts w:ascii="Times New Roman" w:hAnsi="Times New Roman"/>
                <w:b w:val="0"/>
                <w:bCs w:val="0"/>
                <w:sz w:val="24"/>
                <w:u w:val="none"/>
              </w:rPr>
            </w:pPr>
            <w:r>
              <w:t>L</w:t>
            </w:r>
            <w:r w:rsidR="000878EC">
              <w:t>'</w:t>
            </w:r>
            <w:r>
              <w:t>importo delle attività fiscali differite che dipendono dalla redditività futura e derivano da differenze temporanee che non sono dedotte conformemente all</w:t>
            </w:r>
            <w:r w:rsidR="000878EC">
              <w:t>'</w:t>
            </w:r>
            <w:r>
              <w:t>articolo 48, paragrafo 1, del CRR, ma sono soggette a un fattore di ponderazione del rischio del 250 % conformemente all</w:t>
            </w:r>
            <w:r w:rsidR="000878EC">
              <w:t>'</w:t>
            </w:r>
            <w:r>
              <w:t>articolo 48, paragrafo 4, del CRR, tenendo conto dell</w:t>
            </w:r>
            <w:r w:rsidR="000878EC">
              <w:t>'</w:t>
            </w:r>
            <w:r>
              <w:t>effetto dell</w:t>
            </w:r>
            <w:r w:rsidR="000878EC">
              <w:t>'</w:t>
            </w:r>
            <w:r>
              <w:t>articolo 470, dell</w:t>
            </w:r>
            <w:r w:rsidR="000878EC">
              <w:t>'</w:t>
            </w:r>
            <w:r>
              <w:t>articolo 478, paragrafo 2, e dell</w:t>
            </w:r>
            <w:r w:rsidR="000878EC">
              <w:t>'</w:t>
            </w:r>
            <w:r>
              <w:t>articolo 473 bis, paragrafo 7, lettera a), del CRR. L</w:t>
            </w:r>
            <w:r w:rsidR="000878EC">
              <w:t>'</w:t>
            </w:r>
            <w:r>
              <w:t>importo indicato è quello delle attività fiscali differite precedente all</w:t>
            </w:r>
            <w:r w:rsidR="000878EC">
              <w:t>'</w:t>
            </w:r>
            <w:r>
              <w:t>applicazione del fattore di ponderazione del rischio.</w:t>
            </w:r>
          </w:p>
        </w:tc>
      </w:tr>
      <w:tr w:rsidR="00DF65DF" w:rsidRPr="00661595" w:rsidTr="00674BF5">
        <w:tc>
          <w:tcPr>
            <w:tcW w:w="1474" w:type="dxa"/>
          </w:tcPr>
          <w:p w:rsidR="00DF65DF" w:rsidRPr="00661595" w:rsidRDefault="00B13F06" w:rsidP="00115052">
            <w:pPr>
              <w:pStyle w:val="InstructionsText"/>
            </w:pPr>
            <w:r>
              <w:t>0097</w:t>
            </w:r>
          </w:p>
        </w:tc>
        <w:tc>
          <w:tcPr>
            <w:tcW w:w="7049" w:type="dxa"/>
          </w:tcPr>
          <w:p w:rsidR="00DF65DF" w:rsidRPr="00661595" w:rsidRDefault="00550113" w:rsidP="00115052">
            <w:pPr>
              <w:pStyle w:val="InstructionsText"/>
            </w:pPr>
            <w:r>
              <w:rPr>
                <w:rStyle w:val="InstructionsTabelleberschrift"/>
                <w:rFonts w:ascii="Times New Roman" w:hAnsi="Times New Roman"/>
                <w:sz w:val="24"/>
              </w:rPr>
              <w:t>2C</w:t>
            </w:r>
            <w:r w:rsidRPr="00BD1A14">
              <w:rPr>
                <w:u w:val="single"/>
              </w:rPr>
              <w:tab/>
            </w:r>
            <w:r>
              <w:rPr>
                <w:rStyle w:val="InstructionsTabelleberschrift"/>
                <w:rFonts w:ascii="Times New Roman" w:hAnsi="Times New Roman"/>
                <w:sz w:val="24"/>
              </w:rPr>
              <w:t>Attività fiscali differite soggette a un fattore di ponderazione del rischio dello 0 %</w:t>
            </w:r>
          </w:p>
          <w:p w:rsidR="00DF65DF" w:rsidRPr="00661595" w:rsidRDefault="0014657C" w:rsidP="00115052">
            <w:pPr>
              <w:pStyle w:val="InstructionsText"/>
            </w:pPr>
            <w:r>
              <w:t>Articolo 469, paragrafo 1, lettera d), articolo 470, articolo 472, paragrafo 5, e articolo 478 del CRR</w:t>
            </w:r>
          </w:p>
          <w:p w:rsidR="00DF65DF" w:rsidRPr="00661595" w:rsidRDefault="00DF65DF" w:rsidP="00115052">
            <w:pPr>
              <w:pStyle w:val="InstructionsText"/>
              <w:rPr>
                <w:rStyle w:val="InstructionsTabelleberschrift"/>
                <w:rFonts w:ascii="Times New Roman" w:hAnsi="Times New Roman"/>
                <w:b w:val="0"/>
                <w:bCs w:val="0"/>
                <w:sz w:val="24"/>
                <w:u w:val="none"/>
              </w:rPr>
            </w:pPr>
            <w:r>
              <w:t>L</w:t>
            </w:r>
            <w:r w:rsidR="000878EC">
              <w:t>'</w:t>
            </w:r>
            <w:r>
              <w:t>importo delle attività fiscali differite che dipendono dalla redditività futura e derivano da differenze temporanee che non sono dedotte conformemente all</w:t>
            </w:r>
            <w:r w:rsidR="000878EC">
              <w:t>'</w:t>
            </w:r>
            <w:r>
              <w:t>articolo 469, paragrafo 1, lettera d), all</w:t>
            </w:r>
            <w:r w:rsidR="000878EC">
              <w:t>'</w:t>
            </w:r>
            <w:r>
              <w:t>articolo 470, all</w:t>
            </w:r>
            <w:r w:rsidR="000878EC">
              <w:t>'</w:t>
            </w:r>
            <w:r>
              <w:t>articolo 478, paragrafo 2, e all</w:t>
            </w:r>
            <w:r w:rsidR="000878EC">
              <w:t>'</w:t>
            </w:r>
            <w:r>
              <w:t>articol</w:t>
            </w:r>
            <w:r w:rsidR="004F71E5">
              <w:t>o 473 bis, paragrafo 7, lettera </w:t>
            </w:r>
            <w:r>
              <w:t>a), del CRR, ma sono soggette a un fattore di ponderazione del rischio dello 0 % conformemente all</w:t>
            </w:r>
            <w:r w:rsidR="000878EC">
              <w:t>'</w:t>
            </w:r>
            <w:r>
              <w:t>articolo 472, paragrafo 5, del CRR. L</w:t>
            </w:r>
            <w:r w:rsidR="000878EC">
              <w:t>'</w:t>
            </w:r>
            <w:r>
              <w:t>importo indicato è quello delle attività fiscali differite precedente all</w:t>
            </w:r>
            <w:r w:rsidR="000878EC">
              <w:t>'</w:t>
            </w:r>
            <w:r>
              <w:t>applicazione del fattore di ponderazione del rischio.</w:t>
            </w:r>
          </w:p>
        </w:tc>
      </w:tr>
      <w:tr w:rsidR="00674BF5" w:rsidRPr="00661595" w:rsidTr="00674BF5">
        <w:tc>
          <w:tcPr>
            <w:tcW w:w="1474" w:type="dxa"/>
          </w:tcPr>
          <w:p w:rsidR="00674BF5" w:rsidRPr="00661595" w:rsidRDefault="004F1DDB" w:rsidP="00115052">
            <w:pPr>
              <w:pStyle w:val="InstructionsText"/>
            </w:pPr>
            <w:r>
              <w:t>0901</w:t>
            </w:r>
          </w:p>
        </w:tc>
        <w:tc>
          <w:tcPr>
            <w:tcW w:w="7049" w:type="dxa"/>
          </w:tcPr>
          <w:p w:rsidR="00674BF5" w:rsidRPr="00661595" w:rsidRDefault="00674BF5"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2W Eccezione alla deduzione delle attività immateriali dal capitale primario di classe 1</w:t>
            </w:r>
          </w:p>
          <w:p w:rsidR="00674BF5" w:rsidRPr="00661595" w:rsidRDefault="004F1DDB" w:rsidP="00115052">
            <w:pPr>
              <w:pStyle w:val="InstructionsText"/>
            </w:pPr>
            <w:r>
              <w:t>Articolo 36, paragrafo 1, lettera b), del CRR</w:t>
            </w:r>
          </w:p>
          <w:p w:rsidR="00674BF5" w:rsidRPr="00661595" w:rsidRDefault="00674BF5" w:rsidP="00115052">
            <w:pPr>
              <w:pStyle w:val="InstructionsText"/>
              <w:rPr>
                <w:rStyle w:val="InstructionsTabelleberschrift"/>
                <w:rFonts w:ascii="Times New Roman" w:hAnsi="Times New Roman"/>
                <w:sz w:val="24"/>
              </w:rPr>
            </w:pPr>
            <w:r>
              <w:t>Gli enti segnalano l</w:t>
            </w:r>
            <w:r w:rsidR="000878EC">
              <w:t>'</w:t>
            </w:r>
            <w:r>
              <w:t>importo delle attività sotto forma di software valutate prudentemente esentate dalla deduzione.</w:t>
            </w:r>
          </w:p>
        </w:tc>
      </w:tr>
      <w:tr w:rsidR="00674BF5" w:rsidRPr="00661595" w:rsidTr="00674BF5">
        <w:tc>
          <w:tcPr>
            <w:tcW w:w="1474" w:type="dxa"/>
          </w:tcPr>
          <w:p w:rsidR="00674BF5" w:rsidRPr="00661595" w:rsidRDefault="004F1DDB" w:rsidP="00115052">
            <w:pPr>
              <w:pStyle w:val="InstructionsText"/>
            </w:pPr>
            <w:r>
              <w:t>0905</w:t>
            </w:r>
          </w:p>
        </w:tc>
        <w:tc>
          <w:tcPr>
            <w:tcW w:w="7049" w:type="dxa"/>
          </w:tcPr>
          <w:p w:rsidR="00674BF5" w:rsidRPr="00661595" w:rsidRDefault="00674BF5"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2Y Strumenti di capitale aggiuntivo di classe 1 e relativi sovrapprezzi di emissione classificati come patrimonio netto secondo i principi contabili applicabili</w:t>
            </w:r>
          </w:p>
          <w:p w:rsidR="00674BF5" w:rsidRPr="00661595" w:rsidRDefault="00674BF5" w:rsidP="00115052">
            <w:pPr>
              <w:pStyle w:val="InstructionsText"/>
              <w:rPr>
                <w:rStyle w:val="InstructionsTabelleberschrift"/>
                <w:rFonts w:ascii="Times New Roman" w:hAnsi="Times New Roman"/>
                <w:sz w:val="24"/>
              </w:rPr>
            </w:pPr>
            <w:r>
              <w:t>L</w:t>
            </w:r>
            <w:r w:rsidR="000878EC">
              <w:t>'</w:t>
            </w:r>
            <w:r>
              <w:t>importo degli strumenti di capitale aggiuntivo di classe 1, inclusi i relativi sovrapprezzi di emissione, classificati come patrimonio netto in base al principio contabile applicabile.</w:t>
            </w:r>
          </w:p>
        </w:tc>
      </w:tr>
      <w:tr w:rsidR="00674BF5" w:rsidRPr="00661595" w:rsidTr="00674BF5">
        <w:tc>
          <w:tcPr>
            <w:tcW w:w="1474" w:type="dxa"/>
          </w:tcPr>
          <w:p w:rsidR="00674BF5" w:rsidRPr="00661595" w:rsidRDefault="004F1DDB" w:rsidP="00115052">
            <w:pPr>
              <w:pStyle w:val="InstructionsText"/>
            </w:pPr>
            <w:r>
              <w:t>0906</w:t>
            </w:r>
          </w:p>
        </w:tc>
        <w:tc>
          <w:tcPr>
            <w:tcW w:w="7049" w:type="dxa"/>
          </w:tcPr>
          <w:p w:rsidR="00674BF5" w:rsidRPr="00661595" w:rsidRDefault="00674BF5"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2Z Strumenti di capitale aggiuntivo di classe 1 e relativi sovrapprezzi di emissione classificati come passività in base ai principi contabili applicabili</w:t>
            </w:r>
          </w:p>
          <w:p w:rsidR="00674BF5" w:rsidRPr="00661595" w:rsidRDefault="00674BF5" w:rsidP="00115052">
            <w:pPr>
              <w:pStyle w:val="InstructionsText"/>
              <w:rPr>
                <w:rStyle w:val="InstructionsTabelleberschrift"/>
                <w:rFonts w:ascii="Times New Roman" w:hAnsi="Times New Roman"/>
                <w:sz w:val="24"/>
              </w:rPr>
            </w:pPr>
            <w:r>
              <w:t>L</w:t>
            </w:r>
            <w:r w:rsidR="000878EC">
              <w:t>'</w:t>
            </w:r>
            <w:r>
              <w:t>importo degli strumenti di capitale aggiuntivo di classe 1, inclusi i relativi sovrapprezzi di emissione, classificati come passività in base al principio contabile applicabile.</w:t>
            </w:r>
          </w:p>
        </w:tc>
      </w:tr>
      <w:tr w:rsidR="00674BF5" w:rsidRPr="00661595" w:rsidTr="00674BF5">
        <w:tc>
          <w:tcPr>
            <w:tcW w:w="1474" w:type="dxa"/>
          </w:tcPr>
          <w:p w:rsidR="00674BF5" w:rsidRPr="00661595" w:rsidRDefault="004F1DDB" w:rsidP="00BD1A14">
            <w:pPr>
              <w:pStyle w:val="InstructionsText"/>
              <w:keepNext/>
              <w:keepLines/>
            </w:pPr>
            <w:r>
              <w:t>0100</w:t>
            </w:r>
          </w:p>
        </w:tc>
        <w:tc>
          <w:tcPr>
            <w:tcW w:w="7049" w:type="dxa"/>
          </w:tcPr>
          <w:p w:rsidR="00674BF5" w:rsidRPr="00661595" w:rsidRDefault="00674BF5" w:rsidP="00BD1A14">
            <w:pPr>
              <w:pStyle w:val="InstructionsText"/>
              <w:keepNext/>
              <w:keepLines/>
              <w:rPr>
                <w:rStyle w:val="InstructionsTabelleberschrift"/>
                <w:rFonts w:ascii="Times New Roman" w:hAnsi="Times New Roman"/>
                <w:sz w:val="24"/>
              </w:rPr>
            </w:pPr>
            <w:r>
              <w:rPr>
                <w:rStyle w:val="InstructionsTabelleberschrift"/>
                <w:rFonts w:ascii="Times New Roman" w:hAnsi="Times New Roman"/>
                <w:sz w:val="24"/>
              </w:rPr>
              <w:t>3</w:t>
            </w:r>
            <w:r w:rsidRPr="00BD1A14">
              <w:rPr>
                <w:u w:val="single"/>
              </w:rPr>
              <w:tab/>
            </w:r>
            <w:r>
              <w:rPr>
                <w:rStyle w:val="InstructionsTabelleberschrift"/>
                <w:rFonts w:ascii="Times New Roman" w:hAnsi="Times New Roman"/>
                <w:sz w:val="24"/>
              </w:rPr>
              <w:t>Eccesso (+) o carenza (-) di rettifiche di valore su crediti, rettifiche di valore supplementari e altre riduzioni dei fondi propri in base al metodo IRB rispetto alle perdite attese per le esposizioni non in stato di default</w:t>
            </w:r>
          </w:p>
          <w:p w:rsidR="00674BF5" w:rsidRPr="00661595" w:rsidRDefault="00674BF5" w:rsidP="00BD1A14">
            <w:pPr>
              <w:pStyle w:val="InstructionsText"/>
              <w:keepNext/>
              <w:keepLines/>
            </w:pPr>
            <w:r>
              <w:t>Articolo 36, paragrafo 1, lettera d), articolo 62, lettera d), articoli 158 e 159 del CRR</w:t>
            </w:r>
          </w:p>
          <w:p w:rsidR="00674BF5" w:rsidRPr="00661595" w:rsidRDefault="00674BF5" w:rsidP="00BD1A14">
            <w:pPr>
              <w:pStyle w:val="InstructionsText"/>
              <w:keepNext/>
              <w:keepLines/>
            </w:pPr>
            <w:r>
              <w:t>Questa riga è compilata soltanto dagli enti che applicano il metodo IRB.</w:t>
            </w:r>
          </w:p>
        </w:tc>
      </w:tr>
      <w:tr w:rsidR="00674BF5" w:rsidRPr="00661595" w:rsidTr="00674BF5">
        <w:tc>
          <w:tcPr>
            <w:tcW w:w="1474" w:type="dxa"/>
          </w:tcPr>
          <w:p w:rsidR="00674BF5" w:rsidRPr="00661595" w:rsidRDefault="004F1DDB" w:rsidP="00115052">
            <w:pPr>
              <w:pStyle w:val="InstructionsText"/>
            </w:pPr>
            <w:r>
              <w:t>0110</w:t>
            </w:r>
          </w:p>
        </w:tc>
        <w:tc>
          <w:tcPr>
            <w:tcW w:w="7049" w:type="dxa"/>
          </w:tcPr>
          <w:p w:rsidR="00674BF5" w:rsidRPr="00661595" w:rsidRDefault="00674BF5" w:rsidP="00115052">
            <w:pPr>
              <w:pStyle w:val="InstructionsText"/>
            </w:pPr>
            <w:r>
              <w:rPr>
                <w:rStyle w:val="InstructionsTabelleberschrift"/>
                <w:rFonts w:ascii="Times New Roman" w:hAnsi="Times New Roman"/>
                <w:sz w:val="24"/>
              </w:rPr>
              <w:t>3.1</w:t>
            </w:r>
            <w:r w:rsidRPr="00BD1A14">
              <w:rPr>
                <w:u w:val="single"/>
              </w:rPr>
              <w:tab/>
            </w:r>
            <w:r>
              <w:rPr>
                <w:rStyle w:val="InstructionsTabelleberschrift"/>
                <w:rFonts w:ascii="Times New Roman" w:hAnsi="Times New Roman"/>
                <w:sz w:val="24"/>
              </w:rPr>
              <w:t>Totale delle rettifiche di valore su crediti, rettifiche di valore supplementari e altre riduzioni dei fondi propri ammissibili all</w:t>
            </w:r>
            <w:r w:rsidR="000878EC">
              <w:rPr>
                <w:rStyle w:val="InstructionsTabelleberschrift"/>
                <w:rFonts w:ascii="Times New Roman" w:hAnsi="Times New Roman"/>
                <w:sz w:val="24"/>
              </w:rPr>
              <w:t>'</w:t>
            </w:r>
            <w:r>
              <w:rPr>
                <w:rStyle w:val="InstructionsTabelleberschrift"/>
                <w:rFonts w:ascii="Times New Roman" w:hAnsi="Times New Roman"/>
                <w:sz w:val="24"/>
              </w:rPr>
              <w:t>inclusione nel calcolo dell</w:t>
            </w:r>
            <w:r w:rsidR="000878EC">
              <w:rPr>
                <w:rStyle w:val="InstructionsTabelleberschrift"/>
                <w:rFonts w:ascii="Times New Roman" w:hAnsi="Times New Roman"/>
                <w:sz w:val="24"/>
              </w:rPr>
              <w:t>'</w:t>
            </w:r>
            <w:r>
              <w:rPr>
                <w:rStyle w:val="InstructionsTabelleberschrift"/>
                <w:rFonts w:ascii="Times New Roman" w:hAnsi="Times New Roman"/>
                <w:sz w:val="24"/>
              </w:rPr>
              <w:t>importo delle perdite attese</w:t>
            </w:r>
          </w:p>
          <w:p w:rsidR="00674BF5" w:rsidRPr="00661595" w:rsidRDefault="00674BF5" w:rsidP="00115052">
            <w:pPr>
              <w:pStyle w:val="InstructionsText"/>
            </w:pPr>
            <w:r>
              <w:t>Articolo 159 del CRR</w:t>
            </w:r>
          </w:p>
          <w:p w:rsidR="00674BF5" w:rsidRPr="00661595" w:rsidRDefault="00674BF5" w:rsidP="00115052">
            <w:pPr>
              <w:pStyle w:val="InstructionsText"/>
            </w:pPr>
            <w:r>
              <w:t>Questa riga è compilata soltanto dagli enti che applicano il metodo IRB.</w:t>
            </w:r>
          </w:p>
        </w:tc>
      </w:tr>
      <w:tr w:rsidR="00674BF5" w:rsidRPr="00661595" w:rsidTr="00674BF5">
        <w:tc>
          <w:tcPr>
            <w:tcW w:w="1474" w:type="dxa"/>
          </w:tcPr>
          <w:p w:rsidR="00674BF5" w:rsidRPr="00661595" w:rsidRDefault="004F1DDB" w:rsidP="00115052">
            <w:pPr>
              <w:pStyle w:val="InstructionsText"/>
            </w:pPr>
            <w:r>
              <w:t>0120</w:t>
            </w:r>
          </w:p>
        </w:tc>
        <w:tc>
          <w:tcPr>
            <w:tcW w:w="7049" w:type="dxa"/>
          </w:tcPr>
          <w:p w:rsidR="00674BF5" w:rsidRPr="00661595" w:rsidRDefault="00674BF5" w:rsidP="00115052">
            <w:pPr>
              <w:pStyle w:val="InstructionsText"/>
            </w:pPr>
            <w:r>
              <w:rPr>
                <w:rStyle w:val="InstructionsTabelleberschrift"/>
                <w:rFonts w:ascii="Times New Roman" w:hAnsi="Times New Roman"/>
                <w:sz w:val="24"/>
              </w:rPr>
              <w:t>3.1.1</w:t>
            </w:r>
            <w:r w:rsidRPr="00BD1A14">
              <w:rPr>
                <w:u w:val="single"/>
              </w:rPr>
              <w:tab/>
            </w:r>
            <w:r>
              <w:rPr>
                <w:rStyle w:val="InstructionsTabelleberschrift"/>
                <w:rFonts w:ascii="Times New Roman" w:hAnsi="Times New Roman"/>
                <w:sz w:val="24"/>
              </w:rPr>
              <w:t>Rettifiche di valore su crediti generiche</w:t>
            </w:r>
          </w:p>
          <w:p w:rsidR="00674BF5" w:rsidRPr="00661595" w:rsidRDefault="00674BF5" w:rsidP="00115052">
            <w:pPr>
              <w:pStyle w:val="InstructionsText"/>
            </w:pPr>
            <w:r>
              <w:t>Articolo 159 del CRR</w:t>
            </w:r>
          </w:p>
          <w:p w:rsidR="00674BF5" w:rsidRPr="00661595" w:rsidRDefault="00674BF5" w:rsidP="00115052">
            <w:pPr>
              <w:pStyle w:val="InstructionsText"/>
            </w:pPr>
            <w:r>
              <w:t>Questa riga è compilata soltanto dagli enti che applicano il metodo IRB.</w:t>
            </w:r>
          </w:p>
        </w:tc>
      </w:tr>
      <w:tr w:rsidR="00674BF5" w:rsidRPr="00661595" w:rsidTr="00674BF5">
        <w:tc>
          <w:tcPr>
            <w:tcW w:w="1474" w:type="dxa"/>
          </w:tcPr>
          <w:p w:rsidR="00674BF5" w:rsidRPr="00661595" w:rsidRDefault="004F1DDB" w:rsidP="00115052">
            <w:pPr>
              <w:pStyle w:val="InstructionsText"/>
            </w:pPr>
            <w:r>
              <w:t>0130</w:t>
            </w:r>
          </w:p>
        </w:tc>
        <w:tc>
          <w:tcPr>
            <w:tcW w:w="7049" w:type="dxa"/>
          </w:tcPr>
          <w:p w:rsidR="00674BF5" w:rsidRPr="00661595" w:rsidRDefault="00674BF5" w:rsidP="00115052">
            <w:pPr>
              <w:pStyle w:val="InstructionsText"/>
            </w:pPr>
            <w:r>
              <w:rPr>
                <w:rStyle w:val="InstructionsTabelleberschrift"/>
                <w:rFonts w:ascii="Times New Roman" w:hAnsi="Times New Roman"/>
                <w:sz w:val="24"/>
              </w:rPr>
              <w:t>3.1.2</w:t>
            </w:r>
            <w:r w:rsidRPr="00BD1A14">
              <w:rPr>
                <w:u w:val="single"/>
              </w:rPr>
              <w:tab/>
            </w:r>
            <w:r>
              <w:rPr>
                <w:rStyle w:val="InstructionsTabelleberschrift"/>
                <w:rFonts w:ascii="Times New Roman" w:hAnsi="Times New Roman"/>
                <w:sz w:val="24"/>
              </w:rPr>
              <w:t>Rettifiche di valore su crediti specifiche</w:t>
            </w:r>
          </w:p>
          <w:p w:rsidR="00674BF5" w:rsidRPr="00661595" w:rsidRDefault="00674BF5" w:rsidP="00115052">
            <w:pPr>
              <w:pStyle w:val="InstructionsText"/>
            </w:pPr>
            <w:r>
              <w:t>Articolo 159 del CRR</w:t>
            </w:r>
          </w:p>
          <w:p w:rsidR="00674BF5" w:rsidRPr="00661595" w:rsidRDefault="00674BF5" w:rsidP="00115052">
            <w:pPr>
              <w:pStyle w:val="InstructionsText"/>
            </w:pPr>
            <w:r>
              <w:t>Questa riga è compilata soltanto dagli enti che applicano il metodo IRB.</w:t>
            </w:r>
          </w:p>
        </w:tc>
      </w:tr>
      <w:tr w:rsidR="00674BF5" w:rsidRPr="00661595" w:rsidTr="00674BF5">
        <w:tc>
          <w:tcPr>
            <w:tcW w:w="1474" w:type="dxa"/>
          </w:tcPr>
          <w:p w:rsidR="00674BF5" w:rsidRPr="00661595" w:rsidRDefault="004F1DDB" w:rsidP="00115052">
            <w:pPr>
              <w:pStyle w:val="InstructionsText"/>
            </w:pPr>
            <w:r>
              <w:t>0131</w:t>
            </w:r>
          </w:p>
        </w:tc>
        <w:tc>
          <w:tcPr>
            <w:tcW w:w="7049" w:type="dxa"/>
          </w:tcPr>
          <w:p w:rsidR="00674BF5" w:rsidRPr="00661595" w:rsidRDefault="00674BF5"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3.1.3</w:t>
            </w:r>
            <w:r w:rsidRPr="00BD1A14">
              <w:rPr>
                <w:u w:val="single"/>
              </w:rPr>
              <w:tab/>
            </w:r>
            <w:r>
              <w:rPr>
                <w:rStyle w:val="InstructionsTabelleberschrift"/>
                <w:rFonts w:ascii="Times New Roman" w:hAnsi="Times New Roman"/>
                <w:sz w:val="24"/>
              </w:rPr>
              <w:t>Rettifiche di valore supplementari e altre riduzioni dei fondi propri</w:t>
            </w:r>
          </w:p>
          <w:p w:rsidR="00674BF5" w:rsidRPr="00661595" w:rsidRDefault="00674BF5" w:rsidP="0011505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Articoli 34, 110 e 159 del CRR</w:t>
            </w:r>
          </w:p>
          <w:p w:rsidR="00674BF5" w:rsidRPr="00661595" w:rsidRDefault="00674BF5" w:rsidP="00115052">
            <w:pPr>
              <w:pStyle w:val="InstructionsText"/>
              <w:rPr>
                <w:rStyle w:val="InstructionsTabelleberschrift"/>
                <w:rFonts w:ascii="Times New Roman" w:hAnsi="Times New Roman"/>
                <w:b w:val="0"/>
                <w:bCs w:val="0"/>
                <w:sz w:val="24"/>
                <w:u w:val="none"/>
              </w:rPr>
            </w:pPr>
            <w:r>
              <w:t>Questa riga è compilata soltanto dagli enti che applicano il metodo IRB.</w:t>
            </w:r>
          </w:p>
        </w:tc>
      </w:tr>
      <w:tr w:rsidR="00674BF5" w:rsidRPr="00661595" w:rsidTr="00674BF5">
        <w:tc>
          <w:tcPr>
            <w:tcW w:w="1474" w:type="dxa"/>
          </w:tcPr>
          <w:p w:rsidR="00674BF5" w:rsidRPr="00661595" w:rsidRDefault="004F1DDB" w:rsidP="00115052">
            <w:pPr>
              <w:pStyle w:val="InstructionsText"/>
            </w:pPr>
            <w:r>
              <w:t>0140</w:t>
            </w:r>
          </w:p>
        </w:tc>
        <w:tc>
          <w:tcPr>
            <w:tcW w:w="7049" w:type="dxa"/>
          </w:tcPr>
          <w:p w:rsidR="00674BF5" w:rsidRPr="00661595" w:rsidRDefault="00674BF5" w:rsidP="00115052">
            <w:pPr>
              <w:pStyle w:val="InstructionsText"/>
            </w:pPr>
            <w:r>
              <w:rPr>
                <w:rStyle w:val="InstructionsTabelleberschrift"/>
                <w:rFonts w:ascii="Times New Roman" w:hAnsi="Times New Roman"/>
                <w:sz w:val="24"/>
              </w:rPr>
              <w:t>3.2</w:t>
            </w:r>
            <w:r w:rsidRPr="00BD1A14">
              <w:rPr>
                <w:u w:val="single"/>
              </w:rPr>
              <w:tab/>
            </w:r>
            <w:r>
              <w:rPr>
                <w:rStyle w:val="InstructionsTabelleberschrift"/>
                <w:rFonts w:ascii="Times New Roman" w:hAnsi="Times New Roman"/>
                <w:sz w:val="24"/>
              </w:rPr>
              <w:t xml:space="preserve">Perdite attese totali ammissibili </w:t>
            </w:r>
          </w:p>
          <w:p w:rsidR="00674BF5" w:rsidRPr="00661595" w:rsidRDefault="00674BF5" w:rsidP="00115052">
            <w:pPr>
              <w:pStyle w:val="InstructionsText"/>
            </w:pPr>
            <w:r>
              <w:t>Articolo 158, paragrafi 5, 6 e 10, e articolo 159 del CRR</w:t>
            </w:r>
          </w:p>
          <w:p w:rsidR="00674BF5" w:rsidRPr="00661595" w:rsidRDefault="00674BF5" w:rsidP="00115052">
            <w:pPr>
              <w:pStyle w:val="InstructionsText"/>
            </w:pPr>
            <w:r>
              <w:t>Questa riga è compilata soltanto dagli enti che applicano il metodo IRB. Sono segnalate solo le perdite attese relative alle esposizioni non in stato di default.</w:t>
            </w:r>
          </w:p>
        </w:tc>
      </w:tr>
      <w:tr w:rsidR="00674BF5" w:rsidRPr="00661595" w:rsidTr="00674BF5">
        <w:tc>
          <w:tcPr>
            <w:tcW w:w="1474" w:type="dxa"/>
          </w:tcPr>
          <w:p w:rsidR="00674BF5" w:rsidRPr="00661595" w:rsidRDefault="004F1DDB" w:rsidP="00115052">
            <w:pPr>
              <w:pStyle w:val="InstructionsText"/>
            </w:pPr>
            <w:r>
              <w:t>0145</w:t>
            </w:r>
          </w:p>
        </w:tc>
        <w:tc>
          <w:tcPr>
            <w:tcW w:w="7049" w:type="dxa"/>
          </w:tcPr>
          <w:p w:rsidR="00674BF5" w:rsidRPr="00661595" w:rsidRDefault="00674BF5"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4 Eccesso (+) o carenza (-) di rettifiche di valore su crediti specifiche rispetto alle perdite attese per le esposizioni in stato di default in base al metodo IRB</w:t>
            </w:r>
          </w:p>
          <w:p w:rsidR="00674BF5" w:rsidRPr="00661595" w:rsidRDefault="00674BF5" w:rsidP="00115052">
            <w:pPr>
              <w:pStyle w:val="InstructionsText"/>
            </w:pPr>
            <w:r>
              <w:t>Articolo 36, paragrafo 1, lettera d), articolo 62, lettera d), articoli 158 e 159 del CRR</w:t>
            </w:r>
          </w:p>
          <w:p w:rsidR="00674BF5" w:rsidRPr="00661595" w:rsidRDefault="00674BF5" w:rsidP="00115052">
            <w:pPr>
              <w:pStyle w:val="InstructionsText"/>
              <w:rPr>
                <w:rStyle w:val="InstructionsTabelleberschrift"/>
                <w:rFonts w:ascii="Times New Roman" w:hAnsi="Times New Roman"/>
                <w:b w:val="0"/>
                <w:bCs w:val="0"/>
                <w:sz w:val="24"/>
                <w:u w:val="none"/>
              </w:rPr>
            </w:pPr>
            <w:r>
              <w:t>Questa riga è compilata soltanto dagli enti che applicano il metodo IRB.</w:t>
            </w:r>
          </w:p>
        </w:tc>
      </w:tr>
      <w:tr w:rsidR="00674BF5" w:rsidRPr="00661595" w:rsidTr="00674BF5">
        <w:tc>
          <w:tcPr>
            <w:tcW w:w="1474" w:type="dxa"/>
          </w:tcPr>
          <w:p w:rsidR="00674BF5" w:rsidRPr="00661595" w:rsidRDefault="004F1DDB" w:rsidP="00115052">
            <w:pPr>
              <w:pStyle w:val="InstructionsText"/>
            </w:pPr>
            <w:r>
              <w:t>0150</w:t>
            </w:r>
          </w:p>
        </w:tc>
        <w:tc>
          <w:tcPr>
            <w:tcW w:w="7049" w:type="dxa"/>
          </w:tcPr>
          <w:p w:rsidR="00674BF5" w:rsidRPr="00661595" w:rsidRDefault="00674BF5"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4.1</w:t>
            </w:r>
            <w:r w:rsidRPr="00BD1A14">
              <w:rPr>
                <w:u w:val="single"/>
              </w:rPr>
              <w:tab/>
            </w:r>
            <w:r>
              <w:rPr>
                <w:rStyle w:val="InstructionsTabelleberschrift"/>
                <w:rFonts w:ascii="Times New Roman" w:hAnsi="Times New Roman"/>
                <w:sz w:val="24"/>
              </w:rPr>
              <w:t>Rettifiche di valore su crediti specifiche e posizioni trattate in maniera analoga</w:t>
            </w:r>
          </w:p>
          <w:p w:rsidR="00674BF5" w:rsidRPr="00661595" w:rsidRDefault="00674BF5" w:rsidP="00115052">
            <w:pPr>
              <w:pStyle w:val="InstructionsText"/>
            </w:pPr>
            <w:r>
              <w:t>Articolo 159 del CRR</w:t>
            </w:r>
          </w:p>
          <w:p w:rsidR="00674BF5" w:rsidRPr="00661595" w:rsidRDefault="00674BF5" w:rsidP="00115052">
            <w:pPr>
              <w:pStyle w:val="InstructionsText"/>
              <w:rPr>
                <w:rStyle w:val="InstructionsTabelleberschrift"/>
                <w:rFonts w:ascii="Times New Roman" w:hAnsi="Times New Roman"/>
                <w:b w:val="0"/>
                <w:bCs w:val="0"/>
                <w:sz w:val="24"/>
                <w:u w:val="none"/>
              </w:rPr>
            </w:pPr>
            <w:r>
              <w:t>Questa riga è compilata soltanto dagli enti che applicano il metodo IRB.</w:t>
            </w:r>
          </w:p>
        </w:tc>
      </w:tr>
      <w:tr w:rsidR="00674BF5" w:rsidRPr="00661595" w:rsidTr="00674BF5">
        <w:tc>
          <w:tcPr>
            <w:tcW w:w="1474" w:type="dxa"/>
          </w:tcPr>
          <w:p w:rsidR="00674BF5" w:rsidRPr="00661595" w:rsidRDefault="004F1DDB" w:rsidP="00BD1A14">
            <w:pPr>
              <w:pStyle w:val="InstructionsText"/>
              <w:keepNext/>
              <w:keepLines/>
            </w:pPr>
            <w:r>
              <w:t>0155</w:t>
            </w:r>
          </w:p>
        </w:tc>
        <w:tc>
          <w:tcPr>
            <w:tcW w:w="7049" w:type="dxa"/>
          </w:tcPr>
          <w:p w:rsidR="00674BF5" w:rsidRPr="00661595" w:rsidRDefault="00674BF5" w:rsidP="00BD1A14">
            <w:pPr>
              <w:pStyle w:val="InstructionsText"/>
              <w:keepNext/>
              <w:keepLines/>
              <w:rPr>
                <w:rStyle w:val="InstructionsTabelleberschrift"/>
                <w:rFonts w:ascii="Times New Roman" w:hAnsi="Times New Roman"/>
                <w:sz w:val="24"/>
              </w:rPr>
            </w:pPr>
            <w:r>
              <w:rPr>
                <w:rStyle w:val="InstructionsTabelleberschrift"/>
                <w:rFonts w:ascii="Times New Roman" w:hAnsi="Times New Roman"/>
                <w:sz w:val="24"/>
              </w:rPr>
              <w:t>4.2</w:t>
            </w:r>
            <w:r w:rsidRPr="00BD1A14">
              <w:rPr>
                <w:u w:val="single"/>
              </w:rPr>
              <w:tab/>
            </w:r>
            <w:r>
              <w:rPr>
                <w:rStyle w:val="InstructionsTabelleberschrift"/>
                <w:rFonts w:ascii="Times New Roman" w:hAnsi="Times New Roman"/>
                <w:sz w:val="24"/>
              </w:rPr>
              <w:t>Perdite attese totali ammissibili</w:t>
            </w:r>
          </w:p>
          <w:p w:rsidR="00674BF5" w:rsidRPr="00661595" w:rsidRDefault="00674BF5" w:rsidP="00BD1A14">
            <w:pPr>
              <w:pStyle w:val="InstructionsText"/>
              <w:keepNext/>
              <w:keepLines/>
              <w:rPr>
                <w:rStyle w:val="InstructionsTabelleberschrift"/>
                <w:rFonts w:ascii="Times New Roman" w:hAnsi="Times New Roman"/>
                <w:sz w:val="24"/>
              </w:rPr>
            </w:pPr>
            <w:r>
              <w:t>Articolo 158, paragrafi 5, 6 e 10, e articolo 159 del CRR</w:t>
            </w:r>
          </w:p>
          <w:p w:rsidR="00674BF5" w:rsidRPr="00661595" w:rsidRDefault="00674BF5" w:rsidP="00BD1A14">
            <w:pPr>
              <w:pStyle w:val="InstructionsText"/>
              <w:keepNext/>
              <w:keepLines/>
              <w:rPr>
                <w:rStyle w:val="InstructionsTabelleberschrift"/>
                <w:rFonts w:ascii="Times New Roman" w:hAnsi="Times New Roman"/>
                <w:b w:val="0"/>
                <w:bCs w:val="0"/>
                <w:sz w:val="24"/>
                <w:u w:val="none"/>
              </w:rPr>
            </w:pPr>
            <w:r>
              <w:t>Questa riga è compilata soltanto dagli enti che applicano il metodo IRB. Sono segnalate soltanto le perdite attese relative alle esposizioni in stato di default.</w:t>
            </w:r>
          </w:p>
        </w:tc>
      </w:tr>
      <w:tr w:rsidR="00674BF5" w:rsidRPr="00661595" w:rsidTr="00674BF5">
        <w:tc>
          <w:tcPr>
            <w:tcW w:w="1474" w:type="dxa"/>
          </w:tcPr>
          <w:p w:rsidR="00674BF5" w:rsidRPr="00661595" w:rsidRDefault="004F1DDB" w:rsidP="00115052">
            <w:pPr>
              <w:pStyle w:val="InstructionsText"/>
            </w:pPr>
            <w:r>
              <w:t>0160</w:t>
            </w:r>
          </w:p>
        </w:tc>
        <w:tc>
          <w:tcPr>
            <w:tcW w:w="7049" w:type="dxa"/>
          </w:tcPr>
          <w:p w:rsidR="00674BF5" w:rsidRPr="00661595" w:rsidRDefault="00674BF5" w:rsidP="00115052">
            <w:pPr>
              <w:pStyle w:val="InstructionsText"/>
            </w:pPr>
            <w:r>
              <w:rPr>
                <w:rStyle w:val="InstructionsTabelleberschrift"/>
                <w:rFonts w:ascii="Times New Roman" w:hAnsi="Times New Roman"/>
                <w:sz w:val="24"/>
              </w:rPr>
              <w:t>5</w:t>
            </w:r>
            <w:r w:rsidRPr="00BD1A14">
              <w:rPr>
                <w:u w:val="single"/>
              </w:rPr>
              <w:tab/>
            </w:r>
            <w:r>
              <w:rPr>
                <w:rStyle w:val="InstructionsTabelleberschrift"/>
                <w:rFonts w:ascii="Times New Roman" w:hAnsi="Times New Roman"/>
                <w:sz w:val="24"/>
              </w:rPr>
              <w:t>Importi delle esposizioni ponderati per il rischio per calcolare il massimale dell</w:t>
            </w:r>
            <w:r w:rsidR="000878EC">
              <w:rPr>
                <w:rStyle w:val="InstructionsTabelleberschrift"/>
                <w:rFonts w:ascii="Times New Roman" w:hAnsi="Times New Roman"/>
                <w:sz w:val="24"/>
              </w:rPr>
              <w:t>'</w:t>
            </w:r>
            <w:r>
              <w:rPr>
                <w:rStyle w:val="InstructionsTabelleberschrift"/>
                <w:rFonts w:ascii="Times New Roman" w:hAnsi="Times New Roman"/>
                <w:sz w:val="24"/>
              </w:rPr>
              <w:t>eccesso di accantonamento ammissibile come capitale di classe 2</w:t>
            </w:r>
          </w:p>
          <w:p w:rsidR="00674BF5" w:rsidRPr="00661595" w:rsidRDefault="00674BF5" w:rsidP="00115052">
            <w:pPr>
              <w:pStyle w:val="InstructionsText"/>
            </w:pPr>
            <w:r>
              <w:t>Articolo 62, lettera d), del CRR</w:t>
            </w:r>
          </w:p>
          <w:p w:rsidR="00674BF5" w:rsidRPr="00661595" w:rsidRDefault="00674BF5" w:rsidP="00115052">
            <w:pPr>
              <w:pStyle w:val="InstructionsText"/>
            </w:pPr>
            <w:r>
              <w:t>Conformemente all</w:t>
            </w:r>
            <w:r w:rsidR="000878EC">
              <w:t>'</w:t>
            </w:r>
            <w:r>
              <w:t>articolo 62, lettera d), del CRR, per gli enti che applicano il metodo IRB l</w:t>
            </w:r>
            <w:r w:rsidR="000878EC">
              <w:t>'</w:t>
            </w:r>
            <w:r>
              <w:t>importo dell</w:t>
            </w:r>
            <w:r w:rsidR="000878EC">
              <w:t>'</w:t>
            </w:r>
            <w:r>
              <w:t>eccesso di accantonamento (rispetto alle perdite attese) che può essere</w:t>
            </w:r>
            <w:r w:rsidR="004F71E5">
              <w:t xml:space="preserve"> incluso nel capitale di classe </w:t>
            </w:r>
            <w:r>
              <w:t>2 può ammontare al massimo allo 0,6 % degli importi delle esposizioni ponderati per il rischio calcolati secondo il metodo IRB.</w:t>
            </w:r>
          </w:p>
          <w:p w:rsidR="00674BF5" w:rsidRPr="00661595" w:rsidRDefault="00674BF5" w:rsidP="00115052">
            <w:pPr>
              <w:pStyle w:val="InstructionsText"/>
            </w:pPr>
            <w:r>
              <w:t>L</w:t>
            </w:r>
            <w:r w:rsidR="000878EC">
              <w:t>'</w:t>
            </w:r>
            <w:r>
              <w:t>importo da segnalare in questa riga sono gli importi delle esposizioni ponderati per il rischio (cioè non moltiplicati per 0,6 %) che costituiscono la base per il calcolo del massimale.</w:t>
            </w:r>
          </w:p>
        </w:tc>
      </w:tr>
      <w:tr w:rsidR="00674BF5" w:rsidRPr="00661595" w:rsidTr="00674BF5">
        <w:tc>
          <w:tcPr>
            <w:tcW w:w="1474" w:type="dxa"/>
          </w:tcPr>
          <w:p w:rsidR="00674BF5" w:rsidRPr="00661595" w:rsidRDefault="004F1DDB" w:rsidP="00115052">
            <w:pPr>
              <w:pStyle w:val="InstructionsText"/>
            </w:pPr>
            <w:r>
              <w:t>0170</w:t>
            </w:r>
          </w:p>
        </w:tc>
        <w:tc>
          <w:tcPr>
            <w:tcW w:w="7049" w:type="dxa"/>
          </w:tcPr>
          <w:p w:rsidR="00674BF5" w:rsidRPr="00661595" w:rsidRDefault="00674BF5" w:rsidP="00115052">
            <w:pPr>
              <w:pStyle w:val="InstructionsText"/>
            </w:pPr>
            <w:r>
              <w:rPr>
                <w:rStyle w:val="InstructionsTabelleberschrift"/>
                <w:rFonts w:ascii="Times New Roman" w:hAnsi="Times New Roman"/>
                <w:sz w:val="24"/>
              </w:rPr>
              <w:t>6</w:t>
            </w:r>
            <w:r w:rsidRPr="00BD1A14">
              <w:rPr>
                <w:u w:val="single"/>
              </w:rPr>
              <w:tab/>
            </w:r>
            <w:r>
              <w:rPr>
                <w:rStyle w:val="InstructionsTabelleberschrift"/>
                <w:rFonts w:ascii="Times New Roman" w:hAnsi="Times New Roman"/>
                <w:sz w:val="24"/>
              </w:rPr>
              <w:t>Accantonamenti lordi totali ammissibili all</w:t>
            </w:r>
            <w:r w:rsidR="000878EC">
              <w:rPr>
                <w:rStyle w:val="InstructionsTabelleberschrift"/>
                <w:rFonts w:ascii="Times New Roman" w:hAnsi="Times New Roman"/>
                <w:sz w:val="24"/>
              </w:rPr>
              <w:t>'</w:t>
            </w:r>
            <w:r>
              <w:rPr>
                <w:rStyle w:val="InstructionsTabelleberschrift"/>
                <w:rFonts w:ascii="Times New Roman" w:hAnsi="Times New Roman"/>
                <w:sz w:val="24"/>
              </w:rPr>
              <w:t>inclusione nel capitale di classe 2</w:t>
            </w:r>
          </w:p>
          <w:p w:rsidR="00674BF5" w:rsidRPr="00661595" w:rsidRDefault="00674BF5" w:rsidP="00115052">
            <w:pPr>
              <w:pStyle w:val="InstructionsText"/>
            </w:pPr>
            <w:r>
              <w:t>Articolo 62, lettera c), del CRR</w:t>
            </w:r>
          </w:p>
          <w:p w:rsidR="00674BF5" w:rsidRPr="00661595" w:rsidRDefault="00674BF5" w:rsidP="00115052">
            <w:pPr>
              <w:pStyle w:val="InstructionsText"/>
            </w:pPr>
            <w:r>
              <w:t>Questa riga comprende le rettifiche di valore su crediti generiche che possono essere incluse nel capitale di classe 2, prima dell</w:t>
            </w:r>
            <w:r w:rsidR="000878EC">
              <w:t>'</w:t>
            </w:r>
            <w:r>
              <w:t>applicazione del massimale.</w:t>
            </w:r>
          </w:p>
          <w:p w:rsidR="00674BF5" w:rsidRPr="00661595" w:rsidRDefault="00674BF5" w:rsidP="00115052">
            <w:pPr>
              <w:pStyle w:val="InstructionsText"/>
            </w:pPr>
            <w:r>
              <w:t>L</w:t>
            </w:r>
            <w:r w:rsidR="000878EC">
              <w:t>'</w:t>
            </w:r>
            <w:r>
              <w:t>importo da segnalare è al lordo degli effetti fiscali.</w:t>
            </w:r>
          </w:p>
        </w:tc>
      </w:tr>
      <w:tr w:rsidR="00674BF5" w:rsidRPr="00661595" w:rsidTr="00674BF5">
        <w:tc>
          <w:tcPr>
            <w:tcW w:w="1474" w:type="dxa"/>
          </w:tcPr>
          <w:p w:rsidR="00674BF5" w:rsidRPr="00661595" w:rsidRDefault="004F1DDB" w:rsidP="00115052">
            <w:pPr>
              <w:pStyle w:val="InstructionsText"/>
            </w:pPr>
            <w:r>
              <w:t>0180</w:t>
            </w:r>
          </w:p>
        </w:tc>
        <w:tc>
          <w:tcPr>
            <w:tcW w:w="7049" w:type="dxa"/>
          </w:tcPr>
          <w:p w:rsidR="00674BF5" w:rsidRPr="00661595" w:rsidRDefault="00674BF5" w:rsidP="00115052">
            <w:pPr>
              <w:pStyle w:val="InstructionsText"/>
            </w:pPr>
            <w:r>
              <w:rPr>
                <w:rStyle w:val="InstructionsTabelleberschrift"/>
                <w:rFonts w:ascii="Times New Roman" w:hAnsi="Times New Roman"/>
                <w:sz w:val="24"/>
              </w:rPr>
              <w:t>7</w:t>
            </w:r>
            <w:r w:rsidRPr="00BD1A14">
              <w:rPr>
                <w:u w:val="single"/>
              </w:rPr>
              <w:tab/>
            </w:r>
            <w:r>
              <w:rPr>
                <w:rStyle w:val="InstructionsTabelleberschrift"/>
                <w:rFonts w:ascii="Times New Roman" w:hAnsi="Times New Roman"/>
                <w:sz w:val="24"/>
              </w:rPr>
              <w:t>Importi delle esposizioni ponderati per il rischio per calcolare il massimale dell</w:t>
            </w:r>
            <w:r w:rsidR="000878EC">
              <w:rPr>
                <w:rStyle w:val="InstructionsTabelleberschrift"/>
                <w:rFonts w:ascii="Times New Roman" w:hAnsi="Times New Roman"/>
                <w:sz w:val="24"/>
              </w:rPr>
              <w:t>'</w:t>
            </w:r>
            <w:r>
              <w:rPr>
                <w:rStyle w:val="InstructionsTabelleberschrift"/>
                <w:rFonts w:ascii="Times New Roman" w:hAnsi="Times New Roman"/>
                <w:sz w:val="24"/>
              </w:rPr>
              <w:t>accantonamento ammissibile come capitale di classe 2</w:t>
            </w:r>
          </w:p>
          <w:p w:rsidR="00674BF5" w:rsidRPr="00661595" w:rsidRDefault="00674BF5" w:rsidP="00115052">
            <w:pPr>
              <w:pStyle w:val="InstructionsText"/>
            </w:pPr>
            <w:r>
              <w:t>Articolo 62, lettera c), del CRR</w:t>
            </w:r>
          </w:p>
          <w:p w:rsidR="00674BF5" w:rsidRPr="00661595" w:rsidRDefault="00674BF5" w:rsidP="00115052">
            <w:pPr>
              <w:pStyle w:val="InstructionsText"/>
            </w:pPr>
            <w:r>
              <w:t>Conformemente all</w:t>
            </w:r>
            <w:r w:rsidR="000878EC">
              <w:t>'</w:t>
            </w:r>
            <w:r>
              <w:t>articolo 62, lettera c), del CRR, le rettifiche di valore su crediti che possono essere incluse nel capitale di classe 2 possono ammontare al massimo all</w:t>
            </w:r>
            <w:r w:rsidR="000878EC">
              <w:t>'</w:t>
            </w:r>
            <w:r>
              <w:t>1,25 % degli importi delle esposizioni ponderati per il rischio.</w:t>
            </w:r>
          </w:p>
          <w:p w:rsidR="00674BF5" w:rsidRPr="00661595" w:rsidRDefault="00674BF5" w:rsidP="00115052">
            <w:pPr>
              <w:pStyle w:val="InstructionsText"/>
            </w:pPr>
            <w:r>
              <w:t>L</w:t>
            </w:r>
            <w:r w:rsidR="000878EC">
              <w:t>'</w:t>
            </w:r>
            <w:r>
              <w:t>importo da segnalare in questa riga sono gli importi delle esposizioni ponderati per il rischio (cioè non moltiplicati per 1,25 %) che costituiscono la base per il calcolo del massimale.</w:t>
            </w:r>
          </w:p>
        </w:tc>
      </w:tr>
      <w:tr w:rsidR="00674BF5" w:rsidRPr="00661595" w:rsidTr="00674BF5">
        <w:tc>
          <w:tcPr>
            <w:tcW w:w="1474" w:type="dxa"/>
          </w:tcPr>
          <w:p w:rsidR="00674BF5" w:rsidRPr="00661595" w:rsidRDefault="004F1DDB" w:rsidP="00115052">
            <w:pPr>
              <w:pStyle w:val="InstructionsText"/>
            </w:pPr>
            <w:r>
              <w:t>0190</w:t>
            </w:r>
          </w:p>
        </w:tc>
        <w:tc>
          <w:tcPr>
            <w:tcW w:w="7049" w:type="dxa"/>
          </w:tcPr>
          <w:p w:rsidR="00674BF5" w:rsidRPr="00661595" w:rsidRDefault="00674BF5" w:rsidP="00115052">
            <w:pPr>
              <w:pStyle w:val="InstructionsText"/>
            </w:pPr>
            <w:r>
              <w:rPr>
                <w:rStyle w:val="InstructionsTabelleberschrift"/>
                <w:rFonts w:ascii="Times New Roman" w:hAnsi="Times New Roman"/>
                <w:sz w:val="24"/>
              </w:rPr>
              <w:t>8</w:t>
            </w:r>
            <w:r w:rsidRPr="00BD1A14">
              <w:rPr>
                <w:u w:val="single"/>
              </w:rPr>
              <w:tab/>
            </w:r>
            <w:r>
              <w:rPr>
                <w:rStyle w:val="InstructionsTabelleberschrift"/>
                <w:rFonts w:ascii="Times New Roman" w:hAnsi="Times New Roman"/>
                <w:sz w:val="24"/>
              </w:rPr>
              <w:t>Soglia non deducibile delle partecipazioni in soggetti del settore finanziario in cui l</w:t>
            </w:r>
            <w:r w:rsidR="000878EC">
              <w:rPr>
                <w:rStyle w:val="InstructionsTabelleberschrift"/>
                <w:rFonts w:ascii="Times New Roman" w:hAnsi="Times New Roman"/>
                <w:sz w:val="24"/>
              </w:rPr>
              <w:t>'</w:t>
            </w:r>
            <w:r>
              <w:rPr>
                <w:rStyle w:val="InstructionsTabelleberschrift"/>
                <w:rFonts w:ascii="Times New Roman" w:hAnsi="Times New Roman"/>
                <w:sz w:val="24"/>
              </w:rPr>
              <w:t>ente non ha un investimento significativo</w:t>
            </w:r>
          </w:p>
          <w:p w:rsidR="00674BF5" w:rsidRPr="00661595" w:rsidRDefault="00674BF5" w:rsidP="00115052">
            <w:pPr>
              <w:pStyle w:val="InstructionsText"/>
            </w:pPr>
            <w:r>
              <w:t>Articolo 46, paragrafo 1, lettera a), del CRR</w:t>
            </w:r>
          </w:p>
          <w:p w:rsidR="00674BF5" w:rsidRPr="00661595" w:rsidRDefault="00674BF5" w:rsidP="00115052">
            <w:pPr>
              <w:pStyle w:val="InstructionsText"/>
            </w:pPr>
            <w:r>
              <w:t>Questa riga indica la soglia massima delle partecipazioni non deducibili in soggetti del settore finanziario in cui l</w:t>
            </w:r>
            <w:r w:rsidR="000878EC">
              <w:t>'</w:t>
            </w:r>
            <w:r>
              <w:t>ente non ha un investimento significativo. L</w:t>
            </w:r>
            <w:r w:rsidR="000878EC">
              <w:t>'</w:t>
            </w:r>
            <w:r>
              <w:t>importo risulta dalla somma degli elementi che costituiscono la base della soglia e dalla moltiplicazione del totale così ottenuto per il 10 %.</w:t>
            </w:r>
          </w:p>
        </w:tc>
      </w:tr>
      <w:tr w:rsidR="00674BF5" w:rsidRPr="00661595" w:rsidTr="00674BF5">
        <w:tc>
          <w:tcPr>
            <w:tcW w:w="1474" w:type="dxa"/>
          </w:tcPr>
          <w:p w:rsidR="00674BF5" w:rsidRPr="00661595" w:rsidRDefault="004F1DDB" w:rsidP="00115052">
            <w:pPr>
              <w:pStyle w:val="InstructionsText"/>
            </w:pPr>
            <w:r>
              <w:t>0200</w:t>
            </w:r>
          </w:p>
        </w:tc>
        <w:tc>
          <w:tcPr>
            <w:tcW w:w="7049" w:type="dxa"/>
          </w:tcPr>
          <w:p w:rsidR="00674BF5" w:rsidRPr="00661595" w:rsidRDefault="00674BF5" w:rsidP="00115052">
            <w:pPr>
              <w:pStyle w:val="InstructionsText"/>
            </w:pPr>
            <w:r>
              <w:rPr>
                <w:rStyle w:val="InstructionsTabelleberschrift"/>
                <w:rFonts w:ascii="Times New Roman" w:hAnsi="Times New Roman"/>
                <w:sz w:val="24"/>
              </w:rPr>
              <w:t>9</w:t>
            </w:r>
            <w:r w:rsidRPr="00BD1A14">
              <w:rPr>
                <w:u w:val="single"/>
              </w:rPr>
              <w:tab/>
            </w:r>
            <w:r>
              <w:rPr>
                <w:rStyle w:val="InstructionsTabelleberschrift"/>
                <w:rFonts w:ascii="Times New Roman" w:hAnsi="Times New Roman"/>
                <w:sz w:val="24"/>
              </w:rPr>
              <w:t xml:space="preserve">Soglia del 10% del CET 1 </w:t>
            </w:r>
          </w:p>
          <w:p w:rsidR="00674BF5" w:rsidRPr="00661595" w:rsidRDefault="00674BF5" w:rsidP="00115052">
            <w:pPr>
              <w:pStyle w:val="InstructionsText"/>
            </w:pPr>
            <w:r>
              <w:t>Articolo 48, paragrafo 1, lettere a) e b), del CRR</w:t>
            </w:r>
          </w:p>
          <w:p w:rsidR="00674BF5" w:rsidRPr="00661595" w:rsidRDefault="00674BF5" w:rsidP="00115052">
            <w:pPr>
              <w:pStyle w:val="InstructionsText"/>
            </w:pPr>
            <w:r>
              <w:t>Questa riga indica la soglia del 10 % per le partecipazioni in soggetti del settore finanziario in cui l</w:t>
            </w:r>
            <w:r w:rsidR="000878EC">
              <w:t>'</w:t>
            </w:r>
            <w:r>
              <w:t>ente ha un investimento significativo e le attività fiscali differite che dipendono dalla redditività futura e derivano da differenze temporanee.</w:t>
            </w:r>
          </w:p>
          <w:p w:rsidR="00674BF5" w:rsidRPr="00661595" w:rsidRDefault="00674BF5" w:rsidP="00115052">
            <w:pPr>
              <w:pStyle w:val="InstructionsText"/>
            </w:pPr>
            <w:r>
              <w:t>L</w:t>
            </w:r>
            <w:r w:rsidR="000878EC">
              <w:t>'</w:t>
            </w:r>
            <w:r>
              <w:t>importo risulta dalla somma degli elementi che costituiscono la base della soglia e dalla moltiplicazione del totale così ottenuto per il 10 %.</w:t>
            </w:r>
          </w:p>
        </w:tc>
      </w:tr>
      <w:tr w:rsidR="00674BF5" w:rsidRPr="00661595" w:rsidTr="00674BF5">
        <w:tc>
          <w:tcPr>
            <w:tcW w:w="1474" w:type="dxa"/>
          </w:tcPr>
          <w:p w:rsidR="00674BF5" w:rsidRPr="00661595" w:rsidRDefault="004F1DDB" w:rsidP="00115052">
            <w:pPr>
              <w:pStyle w:val="InstructionsText"/>
            </w:pPr>
            <w:r>
              <w:t>0210</w:t>
            </w:r>
          </w:p>
        </w:tc>
        <w:tc>
          <w:tcPr>
            <w:tcW w:w="7049" w:type="dxa"/>
          </w:tcPr>
          <w:p w:rsidR="00674BF5" w:rsidRPr="00661595" w:rsidRDefault="00674BF5" w:rsidP="00115052">
            <w:pPr>
              <w:pStyle w:val="InstructionsText"/>
            </w:pPr>
            <w:r>
              <w:rPr>
                <w:rStyle w:val="InstructionsTabelleberschrift"/>
                <w:rFonts w:ascii="Times New Roman" w:hAnsi="Times New Roman"/>
                <w:sz w:val="24"/>
              </w:rPr>
              <w:t>10</w:t>
            </w:r>
            <w:r w:rsidRPr="00BD1A14">
              <w:rPr>
                <w:u w:val="single"/>
              </w:rPr>
              <w:tab/>
            </w:r>
            <w:r>
              <w:rPr>
                <w:rStyle w:val="InstructionsTabelleberschrift"/>
                <w:rFonts w:ascii="Times New Roman" w:hAnsi="Times New Roman"/>
                <w:sz w:val="24"/>
              </w:rPr>
              <w:t xml:space="preserve">Soglia del 17,65 % del CET 1 </w:t>
            </w:r>
          </w:p>
          <w:p w:rsidR="00674BF5" w:rsidRPr="00661595" w:rsidRDefault="00674BF5" w:rsidP="00115052">
            <w:pPr>
              <w:pStyle w:val="InstructionsText"/>
            </w:pPr>
            <w:r>
              <w:t>Articolo 48, paragrafo 1, del CRR</w:t>
            </w:r>
          </w:p>
          <w:p w:rsidR="00674BF5" w:rsidRPr="00661595" w:rsidRDefault="00674BF5" w:rsidP="00115052">
            <w:pPr>
              <w:pStyle w:val="InstructionsText"/>
            </w:pPr>
            <w:r>
              <w:t>Questa riga indica la soglia del 17,65 % per le partecipazioni in soggetti del settore finanziario in cui l</w:t>
            </w:r>
            <w:r w:rsidR="000878EC">
              <w:t>'</w:t>
            </w:r>
            <w:r>
              <w:t xml:space="preserve">ente ha un investimento significativo e per le attività fiscali differite che dipendono dalla redditività futura e derivano da differenze temporanee, </w:t>
            </w:r>
            <w:r w:rsidR="004F71E5">
              <w:t>da applicare dopo la soglia del </w:t>
            </w:r>
            <w:r>
              <w:t>10 %.</w:t>
            </w:r>
          </w:p>
          <w:p w:rsidR="00674BF5" w:rsidRPr="00661595" w:rsidRDefault="00674BF5" w:rsidP="00115052">
            <w:pPr>
              <w:pStyle w:val="InstructionsText"/>
            </w:pPr>
            <w:r>
              <w:t>La soglia è calcolata in modo tale che l</w:t>
            </w:r>
            <w:r w:rsidR="000878EC">
              <w:t>'</w:t>
            </w:r>
            <w:r>
              <w:t>importo rilevato dei due elementi non ecceda il 15 % del capitale primario di classe 1, calcolato dopo tutte le deduzioni e escluso qualsiasi aggiustamento dovuto a disposizioni transitorie.</w:t>
            </w:r>
          </w:p>
        </w:tc>
      </w:tr>
      <w:tr w:rsidR="00674BF5" w:rsidRPr="00661595" w:rsidTr="00674BF5">
        <w:tc>
          <w:tcPr>
            <w:tcW w:w="1474" w:type="dxa"/>
          </w:tcPr>
          <w:p w:rsidR="00674BF5" w:rsidRPr="00661595" w:rsidRDefault="004F1DDB" w:rsidP="00115052">
            <w:pPr>
              <w:pStyle w:val="InstructionsText"/>
            </w:pPr>
            <w:r>
              <w:t>0225</w:t>
            </w:r>
          </w:p>
        </w:tc>
        <w:tc>
          <w:tcPr>
            <w:tcW w:w="7049" w:type="dxa"/>
          </w:tcPr>
          <w:p w:rsidR="00674BF5" w:rsidRPr="00661595" w:rsidRDefault="00674BF5"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11</w:t>
            </w:r>
            <w:r w:rsidRPr="00BD1A14">
              <w:rPr>
                <w:u w:val="single"/>
              </w:rPr>
              <w:tab/>
            </w:r>
            <w:r>
              <w:rPr>
                <w:rStyle w:val="InstructionsTabelleberschrift"/>
                <w:rFonts w:ascii="Times New Roman" w:hAnsi="Times New Roman"/>
                <w:sz w:val="24"/>
              </w:rPr>
              <w:t>Capitale ammissibile ai fini delle partecipazioni qualificate esterne al settore finanziario</w:t>
            </w:r>
          </w:p>
          <w:p w:rsidR="00674BF5" w:rsidRPr="00661595" w:rsidRDefault="00674BF5" w:rsidP="0011505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Articolo 4, paragrafo 1, punto 71, lettera a), del CRR</w:t>
            </w:r>
          </w:p>
        </w:tc>
      </w:tr>
      <w:tr w:rsidR="00674BF5" w:rsidRPr="00661595" w:rsidTr="00674BF5">
        <w:tc>
          <w:tcPr>
            <w:tcW w:w="1474" w:type="dxa"/>
          </w:tcPr>
          <w:p w:rsidR="00674BF5" w:rsidRPr="00661595" w:rsidRDefault="004F1DDB" w:rsidP="00115052">
            <w:pPr>
              <w:pStyle w:val="InstructionsText"/>
            </w:pPr>
            <w:r>
              <w:t>0230</w:t>
            </w:r>
          </w:p>
        </w:tc>
        <w:tc>
          <w:tcPr>
            <w:tcW w:w="7049" w:type="dxa"/>
          </w:tcPr>
          <w:p w:rsidR="00674BF5" w:rsidRPr="00661595" w:rsidRDefault="00674BF5" w:rsidP="00115052">
            <w:pPr>
              <w:pStyle w:val="InstructionsText"/>
            </w:pPr>
            <w:r>
              <w:rPr>
                <w:rStyle w:val="InstructionsTabelleberschrift"/>
                <w:rFonts w:ascii="Times New Roman" w:hAnsi="Times New Roman"/>
                <w:sz w:val="24"/>
              </w:rPr>
              <w:t>12</w:t>
            </w:r>
            <w:r w:rsidRPr="00BD1A14">
              <w:rPr>
                <w:u w:val="single"/>
              </w:rPr>
              <w:tab/>
            </w:r>
            <w:r>
              <w:rPr>
                <w:rStyle w:val="InstructionsTabelleberschrift"/>
                <w:rFonts w:ascii="Times New Roman" w:hAnsi="Times New Roman"/>
                <w:sz w:val="24"/>
              </w:rPr>
              <w:t>Detenzioni di capitale primario di classe 1 di soggetti del settore finanziario in cui l</w:t>
            </w:r>
            <w:r w:rsidR="000878EC">
              <w:rPr>
                <w:rStyle w:val="InstructionsTabelleberschrift"/>
                <w:rFonts w:ascii="Times New Roman" w:hAnsi="Times New Roman"/>
                <w:sz w:val="24"/>
              </w:rPr>
              <w:t>'</w:t>
            </w:r>
            <w:r>
              <w:rPr>
                <w:rStyle w:val="InstructionsTabelleberschrift"/>
                <w:rFonts w:ascii="Times New Roman" w:hAnsi="Times New Roman"/>
                <w:sz w:val="24"/>
              </w:rPr>
              <w:t>ente non ha un investimento significativo, al netto delle posizioni corte</w:t>
            </w:r>
          </w:p>
          <w:p w:rsidR="00674BF5" w:rsidRPr="00661595" w:rsidRDefault="00674BF5" w:rsidP="00115052">
            <w:pPr>
              <w:pStyle w:val="InstructionsText"/>
            </w:pPr>
            <w:r>
              <w:t>Articoli 44, 45, 46 e 49 del CRR</w:t>
            </w:r>
          </w:p>
        </w:tc>
      </w:tr>
      <w:tr w:rsidR="00674BF5" w:rsidRPr="00661595" w:rsidTr="00674BF5">
        <w:tc>
          <w:tcPr>
            <w:tcW w:w="1474" w:type="dxa"/>
          </w:tcPr>
          <w:p w:rsidR="00674BF5" w:rsidRPr="00661595" w:rsidRDefault="004F1DDB" w:rsidP="00115052">
            <w:pPr>
              <w:pStyle w:val="InstructionsText"/>
            </w:pPr>
            <w:r>
              <w:t>0240</w:t>
            </w:r>
          </w:p>
        </w:tc>
        <w:tc>
          <w:tcPr>
            <w:tcW w:w="7049" w:type="dxa"/>
          </w:tcPr>
          <w:p w:rsidR="00674BF5" w:rsidRPr="00661595" w:rsidRDefault="00674BF5" w:rsidP="00115052">
            <w:pPr>
              <w:pStyle w:val="InstructionsText"/>
            </w:pPr>
            <w:r>
              <w:rPr>
                <w:rStyle w:val="InstructionsTabelleberschrift"/>
                <w:rFonts w:ascii="Times New Roman" w:hAnsi="Times New Roman"/>
                <w:sz w:val="24"/>
              </w:rPr>
              <w:t>12.1</w:t>
            </w:r>
            <w:r w:rsidRPr="00BD1A14">
              <w:rPr>
                <w:u w:val="single"/>
              </w:rPr>
              <w:tab/>
            </w:r>
            <w:r>
              <w:rPr>
                <w:rStyle w:val="InstructionsTabelleberschrift"/>
                <w:rFonts w:ascii="Times New Roman" w:hAnsi="Times New Roman"/>
                <w:sz w:val="24"/>
              </w:rPr>
              <w:t>Detenzioni dirette di capitale primario di classe 1 di soggetti del settore finanziario in cui l</w:t>
            </w:r>
            <w:r w:rsidR="000878EC">
              <w:rPr>
                <w:rStyle w:val="InstructionsTabelleberschrift"/>
                <w:rFonts w:ascii="Times New Roman" w:hAnsi="Times New Roman"/>
                <w:sz w:val="24"/>
              </w:rPr>
              <w:t>'</w:t>
            </w:r>
            <w:r>
              <w:rPr>
                <w:rStyle w:val="InstructionsTabelleberschrift"/>
                <w:rFonts w:ascii="Times New Roman" w:hAnsi="Times New Roman"/>
                <w:sz w:val="24"/>
              </w:rPr>
              <w:t>ente non ha un investimento significativo</w:t>
            </w:r>
          </w:p>
          <w:p w:rsidR="00674BF5" w:rsidRPr="00661595" w:rsidRDefault="00674BF5" w:rsidP="00115052">
            <w:pPr>
              <w:pStyle w:val="InstructionsText"/>
            </w:pPr>
            <w:r>
              <w:t>Articoli 44, 45, 46 e 49 del CRR</w:t>
            </w:r>
          </w:p>
        </w:tc>
      </w:tr>
      <w:tr w:rsidR="00674BF5" w:rsidRPr="00661595" w:rsidTr="00674BF5">
        <w:tc>
          <w:tcPr>
            <w:tcW w:w="1474" w:type="dxa"/>
          </w:tcPr>
          <w:p w:rsidR="00674BF5" w:rsidRPr="00661595" w:rsidRDefault="004F1DDB" w:rsidP="00115052">
            <w:pPr>
              <w:pStyle w:val="InstructionsText"/>
            </w:pPr>
            <w:r>
              <w:t>0250</w:t>
            </w:r>
          </w:p>
        </w:tc>
        <w:tc>
          <w:tcPr>
            <w:tcW w:w="7049" w:type="dxa"/>
          </w:tcPr>
          <w:p w:rsidR="00674BF5" w:rsidRPr="00661595" w:rsidRDefault="00674BF5" w:rsidP="00115052">
            <w:pPr>
              <w:pStyle w:val="InstructionsText"/>
            </w:pPr>
            <w:r>
              <w:rPr>
                <w:rStyle w:val="InstructionsTabelleberschrift"/>
                <w:rFonts w:ascii="Times New Roman" w:hAnsi="Times New Roman"/>
                <w:sz w:val="24"/>
              </w:rPr>
              <w:t>12.1.1</w:t>
            </w:r>
            <w:r w:rsidRPr="00BD1A14">
              <w:rPr>
                <w:u w:val="single"/>
              </w:rPr>
              <w:tab/>
            </w:r>
            <w:r>
              <w:rPr>
                <w:rStyle w:val="InstructionsTabelleberschrift"/>
                <w:rFonts w:ascii="Times New Roman" w:hAnsi="Times New Roman"/>
                <w:sz w:val="24"/>
              </w:rPr>
              <w:t>Detenzioni dirette lorde di capitale primario di classe 1 di soggetti del settore finanziario in cui l</w:t>
            </w:r>
            <w:r w:rsidR="000878EC">
              <w:rPr>
                <w:rStyle w:val="InstructionsTabelleberschrift"/>
                <w:rFonts w:ascii="Times New Roman" w:hAnsi="Times New Roman"/>
                <w:sz w:val="24"/>
              </w:rPr>
              <w:t>'</w:t>
            </w:r>
            <w:r>
              <w:rPr>
                <w:rStyle w:val="InstructionsTabelleberschrift"/>
                <w:rFonts w:ascii="Times New Roman" w:hAnsi="Times New Roman"/>
                <w:sz w:val="24"/>
              </w:rPr>
              <w:t>ente non ha un investimento significativo</w:t>
            </w:r>
          </w:p>
          <w:p w:rsidR="00674BF5" w:rsidRPr="00661595" w:rsidRDefault="00674BF5" w:rsidP="00115052">
            <w:pPr>
              <w:pStyle w:val="InstructionsText"/>
            </w:pPr>
            <w:r>
              <w:t>Articoli 44, 46 e 49 del CRR</w:t>
            </w:r>
          </w:p>
          <w:p w:rsidR="00674BF5" w:rsidRPr="00661595" w:rsidRDefault="00674BF5" w:rsidP="00115052">
            <w:pPr>
              <w:pStyle w:val="InstructionsText"/>
            </w:pPr>
            <w:r>
              <w:t>Partecipazioni dirette nel capitale primario di classe 1 di soggetti del settore finanziario in cui l</w:t>
            </w:r>
            <w:r w:rsidR="000878EC">
              <w:t>'</w:t>
            </w:r>
            <w:r>
              <w:t>ente non ha un investimento significativo, esclusi:</w:t>
            </w:r>
          </w:p>
          <w:p w:rsidR="00674BF5" w:rsidRPr="00661595" w:rsidRDefault="00674BF5" w:rsidP="00115052">
            <w:pPr>
              <w:pStyle w:val="InstructionsText"/>
            </w:pPr>
            <w:r>
              <w:t>a)</w:t>
            </w:r>
            <w:r>
              <w:tab/>
              <w:t xml:space="preserve">le posizioni in impegni irrevocabili detenute per cinque giorni lavorativi o meno; </w:t>
            </w:r>
          </w:p>
          <w:p w:rsidR="00674BF5" w:rsidRPr="00661595" w:rsidRDefault="00674BF5" w:rsidP="00115052">
            <w:pPr>
              <w:pStyle w:val="InstructionsText"/>
            </w:pPr>
            <w:r>
              <w:t>b)</w:t>
            </w:r>
            <w:r>
              <w:tab/>
              <w:t>gli importi relativi agli investimenti ai quali si applica qualsiasi alternativa di cui all</w:t>
            </w:r>
            <w:r w:rsidR="000878EC">
              <w:t>'</w:t>
            </w:r>
            <w:r>
              <w:t xml:space="preserve">articolo 49; e </w:t>
            </w:r>
          </w:p>
          <w:p w:rsidR="00674BF5" w:rsidRPr="00661595" w:rsidRDefault="00674BF5" w:rsidP="00115052">
            <w:pPr>
              <w:pStyle w:val="InstructionsText"/>
            </w:pPr>
            <w:r>
              <w:t>c)</w:t>
            </w:r>
            <w:r>
              <w:tab/>
              <w:t>le partecipazioni trattate come partecipazioni incrociate reciproche conformemente all</w:t>
            </w:r>
            <w:r w:rsidR="000878EC">
              <w:t>'</w:t>
            </w:r>
            <w:r>
              <w:t>articolo 36, paragrafo 1, lettera g), del CRR.</w:t>
            </w:r>
          </w:p>
        </w:tc>
      </w:tr>
      <w:tr w:rsidR="00674BF5" w:rsidRPr="00661595" w:rsidTr="00674BF5">
        <w:tc>
          <w:tcPr>
            <w:tcW w:w="1474" w:type="dxa"/>
          </w:tcPr>
          <w:p w:rsidR="00674BF5" w:rsidRPr="00661595" w:rsidRDefault="00D5689B" w:rsidP="00115052">
            <w:pPr>
              <w:pStyle w:val="InstructionsText"/>
            </w:pPr>
            <w:r>
              <w:t>0260</w:t>
            </w:r>
          </w:p>
        </w:tc>
        <w:tc>
          <w:tcPr>
            <w:tcW w:w="7049" w:type="dxa"/>
          </w:tcPr>
          <w:p w:rsidR="00674BF5" w:rsidRPr="00661595" w:rsidRDefault="00674BF5" w:rsidP="00115052">
            <w:pPr>
              <w:pStyle w:val="InstructionsText"/>
            </w:pPr>
            <w:r>
              <w:rPr>
                <w:rStyle w:val="InstructionsTabelleberschrift"/>
                <w:rFonts w:ascii="Times New Roman" w:hAnsi="Times New Roman"/>
                <w:sz w:val="24"/>
              </w:rPr>
              <w:t>12.1.2</w:t>
            </w:r>
            <w:r w:rsidRPr="00BD1A14">
              <w:rPr>
                <w:u w:val="single"/>
              </w:rPr>
              <w:tab/>
            </w:r>
            <w:r>
              <w:rPr>
                <w:rStyle w:val="InstructionsTabelleberschrift"/>
                <w:rFonts w:ascii="Times New Roman" w:hAnsi="Times New Roman"/>
                <w:sz w:val="24"/>
              </w:rPr>
              <w:t>(-) Posizioni corte di segno opposto autorizzate in relazione alle detenzioni dirette lorde di cui sopra</w:t>
            </w:r>
          </w:p>
          <w:p w:rsidR="00674BF5" w:rsidRPr="00661595" w:rsidRDefault="00674BF5" w:rsidP="00115052">
            <w:pPr>
              <w:pStyle w:val="InstructionsText"/>
            </w:pPr>
            <w:r>
              <w:t>Articolo 45 del CRR</w:t>
            </w:r>
          </w:p>
          <w:p w:rsidR="00674BF5" w:rsidRPr="00661595" w:rsidRDefault="002D31E5" w:rsidP="00115052">
            <w:pPr>
              <w:pStyle w:val="InstructionsText"/>
            </w:pPr>
            <w:r>
              <w:t>L</w:t>
            </w:r>
            <w:r w:rsidR="000878EC">
              <w:t>'</w:t>
            </w:r>
            <w:r>
              <w:t>articolo 45, lettera a), del CRR permette di compensare le posizioni corte nella stessa esposizione sottostante a condizione che la data di scadenza della posizione corta sia identica o posteriore a quella della posizione lunga o la durata residua della posizione corta sia di almeno un anno.</w:t>
            </w:r>
          </w:p>
        </w:tc>
      </w:tr>
      <w:tr w:rsidR="00674BF5" w:rsidRPr="00661595" w:rsidTr="00674BF5">
        <w:tc>
          <w:tcPr>
            <w:tcW w:w="1474" w:type="dxa"/>
          </w:tcPr>
          <w:p w:rsidR="00674BF5" w:rsidRPr="00661595" w:rsidRDefault="00754ADC" w:rsidP="00115052">
            <w:pPr>
              <w:pStyle w:val="InstructionsText"/>
            </w:pPr>
            <w:r>
              <w:t>0270</w:t>
            </w:r>
          </w:p>
        </w:tc>
        <w:tc>
          <w:tcPr>
            <w:tcW w:w="7049" w:type="dxa"/>
          </w:tcPr>
          <w:p w:rsidR="00674BF5" w:rsidRPr="00661595" w:rsidRDefault="00674BF5" w:rsidP="00115052">
            <w:pPr>
              <w:pStyle w:val="InstructionsText"/>
            </w:pPr>
            <w:r>
              <w:rPr>
                <w:rStyle w:val="InstructionsTabelleberschrift"/>
                <w:rFonts w:ascii="Times New Roman" w:hAnsi="Times New Roman"/>
                <w:sz w:val="24"/>
              </w:rPr>
              <w:t>12.2</w:t>
            </w:r>
            <w:r w:rsidRPr="00BD1A14">
              <w:rPr>
                <w:u w:val="single"/>
              </w:rPr>
              <w:tab/>
            </w:r>
            <w:r>
              <w:rPr>
                <w:rStyle w:val="InstructionsTabelleberschrift"/>
                <w:rFonts w:ascii="Times New Roman" w:hAnsi="Times New Roman"/>
                <w:sz w:val="24"/>
              </w:rPr>
              <w:t>Detenzioni indirette di capitale primario di classe 1 di soggetti del settore finanziario in cui l</w:t>
            </w:r>
            <w:r w:rsidR="000878EC">
              <w:rPr>
                <w:rStyle w:val="InstructionsTabelleberschrift"/>
                <w:rFonts w:ascii="Times New Roman" w:hAnsi="Times New Roman"/>
                <w:sz w:val="24"/>
              </w:rPr>
              <w:t>'</w:t>
            </w:r>
            <w:r>
              <w:rPr>
                <w:rStyle w:val="InstructionsTabelleberschrift"/>
                <w:rFonts w:ascii="Times New Roman" w:hAnsi="Times New Roman"/>
                <w:sz w:val="24"/>
              </w:rPr>
              <w:t>ente non ha un investimento significativo</w:t>
            </w:r>
          </w:p>
          <w:p w:rsidR="00674BF5" w:rsidRPr="00661595" w:rsidRDefault="00674BF5" w:rsidP="00115052">
            <w:pPr>
              <w:pStyle w:val="InstructionsText"/>
            </w:pPr>
            <w:r>
              <w:t>Articolo 4, paragrafo 1, punto 114, e articoli 44 e 45 del CRR</w:t>
            </w:r>
          </w:p>
        </w:tc>
      </w:tr>
      <w:tr w:rsidR="00674BF5" w:rsidRPr="00661595" w:rsidTr="00674BF5">
        <w:tc>
          <w:tcPr>
            <w:tcW w:w="1474" w:type="dxa"/>
          </w:tcPr>
          <w:p w:rsidR="00674BF5" w:rsidRPr="00661595" w:rsidRDefault="00754ADC" w:rsidP="00115052">
            <w:pPr>
              <w:pStyle w:val="InstructionsText"/>
            </w:pPr>
            <w:r>
              <w:t>0280</w:t>
            </w:r>
          </w:p>
        </w:tc>
        <w:tc>
          <w:tcPr>
            <w:tcW w:w="7049" w:type="dxa"/>
          </w:tcPr>
          <w:p w:rsidR="00674BF5" w:rsidRPr="00661595" w:rsidRDefault="00674BF5" w:rsidP="00115052">
            <w:pPr>
              <w:pStyle w:val="InstructionsText"/>
            </w:pPr>
            <w:r>
              <w:rPr>
                <w:rStyle w:val="InstructionsTabelleberschrift"/>
                <w:rFonts w:ascii="Times New Roman" w:hAnsi="Times New Roman"/>
                <w:sz w:val="24"/>
              </w:rPr>
              <w:t>12.2.1</w:t>
            </w:r>
            <w:r w:rsidRPr="008862F0">
              <w:tab/>
            </w:r>
            <w:r>
              <w:rPr>
                <w:rStyle w:val="InstructionsTabelleberschrift"/>
                <w:rFonts w:ascii="Times New Roman" w:hAnsi="Times New Roman"/>
                <w:sz w:val="24"/>
              </w:rPr>
              <w:t>Detenzioni indirette lorde di capitale primario di classe 1 di soggetti del settore finanziario in cui l</w:t>
            </w:r>
            <w:r w:rsidR="000878EC">
              <w:rPr>
                <w:rStyle w:val="InstructionsTabelleberschrift"/>
                <w:rFonts w:ascii="Times New Roman" w:hAnsi="Times New Roman"/>
                <w:sz w:val="24"/>
              </w:rPr>
              <w:t>'</w:t>
            </w:r>
            <w:r>
              <w:rPr>
                <w:rStyle w:val="InstructionsTabelleberschrift"/>
                <w:rFonts w:ascii="Times New Roman" w:hAnsi="Times New Roman"/>
                <w:sz w:val="24"/>
              </w:rPr>
              <w:t>ente non ha un investimento significativo</w:t>
            </w:r>
          </w:p>
          <w:p w:rsidR="00674BF5" w:rsidRPr="00661595" w:rsidRDefault="00674BF5" w:rsidP="00115052">
            <w:pPr>
              <w:pStyle w:val="InstructionsText"/>
            </w:pPr>
            <w:r>
              <w:t>Articolo 4, paragrafo 1, punto 114, e articoli 44 e 45 del CRR</w:t>
            </w:r>
          </w:p>
          <w:p w:rsidR="00674BF5" w:rsidRPr="00661595" w:rsidRDefault="00674BF5" w:rsidP="00115052">
            <w:pPr>
              <w:pStyle w:val="InstructionsText"/>
            </w:pPr>
            <w:r>
              <w:t>L</w:t>
            </w:r>
            <w:r w:rsidR="000878EC">
              <w:t>'</w:t>
            </w:r>
            <w:r>
              <w:t>importo da segnalare sono le partecipazioni indirette interne al portafoglio di negoziazione e relative agli strumenti di capitale di soggetti del settore finanziario sotto forma di detenzioni di titoli su indici. L</w:t>
            </w:r>
            <w:r w:rsidR="000878EC">
              <w:t>'</w:t>
            </w:r>
            <w:r>
              <w:t>importo si ottiene calcolando l</w:t>
            </w:r>
            <w:r w:rsidR="000878EC">
              <w:t>'</w:t>
            </w:r>
            <w:r>
              <w:t>esposizione sottostante verso gli strumenti di capitale dei soggetti del settore finanziario compresi negli indici.</w:t>
            </w:r>
          </w:p>
          <w:p w:rsidR="00674BF5" w:rsidRPr="00661595" w:rsidRDefault="00674BF5" w:rsidP="00115052">
            <w:pPr>
              <w:pStyle w:val="InstructionsText"/>
            </w:pPr>
            <w:r>
              <w:t>Non sono incluse le partecipazioni trattate come partecipazioni incrociate reciproche conformemente all</w:t>
            </w:r>
            <w:r w:rsidR="000878EC">
              <w:t>'</w:t>
            </w:r>
            <w:r>
              <w:t>ar</w:t>
            </w:r>
            <w:r w:rsidR="004F71E5">
              <w:t>ticolo 36, paragrafo 1, lettera </w:t>
            </w:r>
            <w:r>
              <w:t>g), del CRR.</w:t>
            </w:r>
          </w:p>
        </w:tc>
      </w:tr>
      <w:tr w:rsidR="00674BF5" w:rsidRPr="00661595" w:rsidTr="00674BF5">
        <w:trPr>
          <w:trHeight w:val="850"/>
        </w:trPr>
        <w:tc>
          <w:tcPr>
            <w:tcW w:w="1474" w:type="dxa"/>
          </w:tcPr>
          <w:p w:rsidR="00674BF5" w:rsidRPr="00661595" w:rsidRDefault="00754ADC" w:rsidP="00115052">
            <w:pPr>
              <w:pStyle w:val="InstructionsText"/>
            </w:pPr>
            <w:r>
              <w:t>0290</w:t>
            </w:r>
          </w:p>
        </w:tc>
        <w:tc>
          <w:tcPr>
            <w:tcW w:w="7049" w:type="dxa"/>
          </w:tcPr>
          <w:p w:rsidR="00674BF5" w:rsidRPr="00661595" w:rsidRDefault="00674BF5" w:rsidP="00115052">
            <w:pPr>
              <w:pStyle w:val="InstructionsText"/>
            </w:pPr>
            <w:r>
              <w:rPr>
                <w:rStyle w:val="InstructionsTabelleberschrift"/>
                <w:rFonts w:ascii="Times New Roman" w:hAnsi="Times New Roman"/>
                <w:sz w:val="24"/>
              </w:rPr>
              <w:t>12.2.2</w:t>
            </w:r>
            <w:r w:rsidRPr="008862F0">
              <w:tab/>
            </w:r>
            <w:r>
              <w:rPr>
                <w:rStyle w:val="InstructionsTabelleberschrift"/>
                <w:rFonts w:ascii="Times New Roman" w:hAnsi="Times New Roman"/>
                <w:sz w:val="24"/>
              </w:rPr>
              <w:t>(-) Posizioni corte di segno opposto autorizzate in relazione alle detenzioni indirette lorde di cui sopra</w:t>
            </w:r>
          </w:p>
          <w:p w:rsidR="00674BF5" w:rsidRPr="00661595" w:rsidRDefault="00674BF5" w:rsidP="00115052">
            <w:pPr>
              <w:pStyle w:val="InstructionsText"/>
            </w:pPr>
            <w:r>
              <w:t>Articolo 4, paragrafo 1, punto 114, e articolo 45 del CRR</w:t>
            </w:r>
          </w:p>
          <w:p w:rsidR="00674BF5" w:rsidRPr="00661595" w:rsidRDefault="00674BF5" w:rsidP="00115052">
            <w:pPr>
              <w:pStyle w:val="InstructionsText"/>
            </w:pPr>
            <w:r>
              <w:t>L</w:t>
            </w:r>
            <w:r w:rsidR="000878EC">
              <w:t>'</w:t>
            </w:r>
            <w:r>
              <w:t>articolo 45, lettera a), del CRR permette di compensare le posizioni corte nella stessa esposizione sottostante a condizione che la data di scadenza della posizione corta sia identica o posteriore a quella della posizione lunga o la durata residua della posizione corta sia di almeno un anno.</w:t>
            </w:r>
          </w:p>
        </w:tc>
      </w:tr>
      <w:tr w:rsidR="00674BF5" w:rsidRPr="00661595" w:rsidTr="00674BF5">
        <w:tc>
          <w:tcPr>
            <w:tcW w:w="1474" w:type="dxa"/>
          </w:tcPr>
          <w:p w:rsidR="00674BF5" w:rsidRPr="00661595" w:rsidRDefault="00754ADC" w:rsidP="00115052">
            <w:pPr>
              <w:pStyle w:val="InstructionsText"/>
            </w:pPr>
            <w:r>
              <w:t>0291</w:t>
            </w:r>
          </w:p>
        </w:tc>
        <w:tc>
          <w:tcPr>
            <w:tcW w:w="7049" w:type="dxa"/>
            <w:vAlign w:val="center"/>
          </w:tcPr>
          <w:p w:rsidR="00674BF5" w:rsidRPr="00661595" w:rsidRDefault="00674BF5" w:rsidP="0011505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12.3.1</w:t>
            </w:r>
            <w:r w:rsidRPr="008862F0">
              <w:tab/>
            </w:r>
            <w:r>
              <w:rPr>
                <w:rStyle w:val="InstructionsTabelleberschrift"/>
                <w:rFonts w:ascii="Times New Roman" w:hAnsi="Times New Roman"/>
                <w:sz w:val="24"/>
              </w:rPr>
              <w:t>Detenzioni sintetiche di capitale primario di classe 1 di soggetti del settore finanziario in cui l</w:t>
            </w:r>
            <w:r w:rsidR="000878EC">
              <w:rPr>
                <w:rStyle w:val="InstructionsTabelleberschrift"/>
                <w:rFonts w:ascii="Times New Roman" w:hAnsi="Times New Roman"/>
                <w:sz w:val="24"/>
              </w:rPr>
              <w:t>'</w:t>
            </w:r>
            <w:r>
              <w:rPr>
                <w:rStyle w:val="InstructionsTabelleberschrift"/>
                <w:rFonts w:ascii="Times New Roman" w:hAnsi="Times New Roman"/>
                <w:sz w:val="24"/>
              </w:rPr>
              <w:t>ente non ha un investimento significativo</w:t>
            </w:r>
          </w:p>
          <w:p w:rsidR="00674BF5" w:rsidRPr="00661595" w:rsidRDefault="00674BF5" w:rsidP="0011505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4, paragrafo 1, punto 126, e articoli 44 e 45 del CRR</w:t>
            </w:r>
          </w:p>
        </w:tc>
      </w:tr>
      <w:tr w:rsidR="00674BF5" w:rsidRPr="00661595" w:rsidTr="00674BF5">
        <w:tc>
          <w:tcPr>
            <w:tcW w:w="1474" w:type="dxa"/>
          </w:tcPr>
          <w:p w:rsidR="00674BF5" w:rsidRPr="00661595" w:rsidRDefault="00754ADC" w:rsidP="00115052">
            <w:pPr>
              <w:pStyle w:val="InstructionsText"/>
            </w:pPr>
            <w:r>
              <w:t>0292</w:t>
            </w:r>
          </w:p>
        </w:tc>
        <w:tc>
          <w:tcPr>
            <w:tcW w:w="7049" w:type="dxa"/>
            <w:vAlign w:val="center"/>
          </w:tcPr>
          <w:p w:rsidR="00674BF5" w:rsidRPr="00661595" w:rsidRDefault="00674BF5" w:rsidP="0011505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sz w:val="24"/>
              </w:rPr>
              <w:t>12.3.2</w:t>
            </w:r>
            <w:r w:rsidRPr="008862F0">
              <w:tab/>
            </w:r>
            <w:r>
              <w:rPr>
                <w:rStyle w:val="InstructionsTabelleberschrift"/>
                <w:rFonts w:ascii="Times New Roman" w:hAnsi="Times New Roman"/>
                <w:sz w:val="24"/>
              </w:rPr>
              <w:t>Detenzioni sintetiche lorde di capitale primario di classe 1 di soggetti del settore finanziario in cui l</w:t>
            </w:r>
            <w:r w:rsidR="000878EC">
              <w:rPr>
                <w:rStyle w:val="InstructionsTabelleberschrift"/>
                <w:rFonts w:ascii="Times New Roman" w:hAnsi="Times New Roman"/>
                <w:sz w:val="24"/>
              </w:rPr>
              <w:t>'</w:t>
            </w:r>
            <w:r>
              <w:rPr>
                <w:rStyle w:val="InstructionsTabelleberschrift"/>
                <w:rFonts w:ascii="Times New Roman" w:hAnsi="Times New Roman"/>
                <w:sz w:val="24"/>
              </w:rPr>
              <w:t>ente non ha un investimento significativo</w:t>
            </w:r>
          </w:p>
          <w:p w:rsidR="00674BF5" w:rsidRPr="00661595" w:rsidRDefault="00674BF5" w:rsidP="0011505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4, paragrafo 1, punto 126, e articoli 44 e 45 del CRR</w:t>
            </w:r>
          </w:p>
        </w:tc>
      </w:tr>
      <w:tr w:rsidR="00674BF5" w:rsidRPr="00661595" w:rsidTr="00674BF5">
        <w:tc>
          <w:tcPr>
            <w:tcW w:w="1474" w:type="dxa"/>
          </w:tcPr>
          <w:p w:rsidR="00674BF5" w:rsidRPr="00661595" w:rsidRDefault="00754ADC" w:rsidP="00115052">
            <w:pPr>
              <w:pStyle w:val="InstructionsText"/>
            </w:pPr>
            <w:r>
              <w:t>0293</w:t>
            </w:r>
          </w:p>
        </w:tc>
        <w:tc>
          <w:tcPr>
            <w:tcW w:w="7049" w:type="dxa"/>
            <w:vAlign w:val="center"/>
          </w:tcPr>
          <w:p w:rsidR="00674BF5" w:rsidRPr="00661595" w:rsidRDefault="00674BF5"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12.3.3</w:t>
            </w:r>
            <w:r w:rsidRPr="008862F0">
              <w:tab/>
            </w:r>
            <w:r>
              <w:rPr>
                <w:rStyle w:val="InstructionsTabelleberschrift"/>
                <w:rFonts w:ascii="Times New Roman" w:hAnsi="Times New Roman"/>
                <w:sz w:val="24"/>
              </w:rPr>
              <w:t>(-) Posizioni corte di segno opposto autorizzate in relazione alle detenzioni sintetiche lorde di cui sopra</w:t>
            </w:r>
          </w:p>
          <w:p w:rsidR="00674BF5" w:rsidRPr="00661595" w:rsidRDefault="00674BF5" w:rsidP="0011505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4, paragrafo 1, punto 126, e articolo 45 del CRR</w:t>
            </w:r>
          </w:p>
          <w:p w:rsidR="002D31E5" w:rsidRPr="00661595" w:rsidRDefault="000D04B6" w:rsidP="00115052">
            <w:pPr>
              <w:pStyle w:val="InstructionsText"/>
              <w:rPr>
                <w:rStyle w:val="InstructionsTabelleberschrift"/>
                <w:rFonts w:ascii="Times New Roman" w:hAnsi="Times New Roman"/>
                <w:b w:val="0"/>
                <w:sz w:val="24"/>
                <w:u w:val="none"/>
              </w:rPr>
            </w:pPr>
            <w:r>
              <w:t>L</w:t>
            </w:r>
            <w:r w:rsidR="000878EC">
              <w:t>'</w:t>
            </w:r>
            <w:r>
              <w:t>articolo 45, lettera a), del CRR permette di compensare le posizioni corte nella stessa esposizione sottostante a condizione che la data di scadenza della posizione corta sia identica o posteriore a quella della posizione lunga o la durata residua della posizione corta sia di almeno un anno.</w:t>
            </w:r>
          </w:p>
        </w:tc>
      </w:tr>
      <w:tr w:rsidR="00674BF5" w:rsidRPr="00661595" w:rsidTr="00674BF5">
        <w:tc>
          <w:tcPr>
            <w:tcW w:w="1474" w:type="dxa"/>
          </w:tcPr>
          <w:p w:rsidR="00674BF5" w:rsidRPr="00661595" w:rsidRDefault="00754ADC" w:rsidP="00115052">
            <w:pPr>
              <w:pStyle w:val="InstructionsText"/>
            </w:pPr>
            <w:r>
              <w:t>0300</w:t>
            </w:r>
          </w:p>
        </w:tc>
        <w:tc>
          <w:tcPr>
            <w:tcW w:w="7049" w:type="dxa"/>
          </w:tcPr>
          <w:p w:rsidR="00674BF5" w:rsidRPr="00661595" w:rsidRDefault="00674BF5"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13</w:t>
            </w:r>
            <w:r w:rsidRPr="00BD1A14">
              <w:rPr>
                <w:u w:val="single"/>
              </w:rPr>
              <w:tab/>
            </w:r>
            <w:r>
              <w:rPr>
                <w:rStyle w:val="InstructionsTabelleberschrift"/>
                <w:rFonts w:ascii="Times New Roman" w:hAnsi="Times New Roman"/>
                <w:sz w:val="24"/>
              </w:rPr>
              <w:t>Detenzioni di capitale aggiuntivo di classe 1 di soggetti del settore finanziario in cui l</w:t>
            </w:r>
            <w:r w:rsidR="000878EC">
              <w:rPr>
                <w:rStyle w:val="InstructionsTabelleberschrift"/>
                <w:rFonts w:ascii="Times New Roman" w:hAnsi="Times New Roman"/>
                <w:sz w:val="24"/>
              </w:rPr>
              <w:t>'</w:t>
            </w:r>
            <w:r>
              <w:rPr>
                <w:rStyle w:val="InstructionsTabelleberschrift"/>
                <w:rFonts w:ascii="Times New Roman" w:hAnsi="Times New Roman"/>
                <w:sz w:val="24"/>
              </w:rPr>
              <w:t>ente non ha un investimento significativo, al netto delle posizioni corte</w:t>
            </w:r>
          </w:p>
          <w:p w:rsidR="00674BF5" w:rsidRPr="00661595" w:rsidRDefault="00674BF5" w:rsidP="00115052">
            <w:pPr>
              <w:pStyle w:val="InstructionsText"/>
            </w:pPr>
            <w:r>
              <w:t>Articoli 58, 59 e 60 del CRR</w:t>
            </w:r>
          </w:p>
        </w:tc>
      </w:tr>
      <w:tr w:rsidR="00674BF5" w:rsidRPr="00661595" w:rsidTr="00674BF5">
        <w:tc>
          <w:tcPr>
            <w:tcW w:w="1474" w:type="dxa"/>
          </w:tcPr>
          <w:p w:rsidR="00674BF5" w:rsidRPr="00661595" w:rsidRDefault="00754ADC" w:rsidP="00115052">
            <w:pPr>
              <w:pStyle w:val="InstructionsText"/>
            </w:pPr>
            <w:r>
              <w:t>0310</w:t>
            </w:r>
          </w:p>
        </w:tc>
        <w:tc>
          <w:tcPr>
            <w:tcW w:w="7049" w:type="dxa"/>
          </w:tcPr>
          <w:p w:rsidR="00674BF5" w:rsidRPr="00661595" w:rsidRDefault="00674BF5" w:rsidP="00115052">
            <w:pPr>
              <w:pStyle w:val="InstructionsText"/>
            </w:pPr>
            <w:r>
              <w:rPr>
                <w:rStyle w:val="InstructionsTabelleberschrift"/>
                <w:rFonts w:ascii="Times New Roman" w:hAnsi="Times New Roman"/>
                <w:sz w:val="24"/>
              </w:rPr>
              <w:t>13.1</w:t>
            </w:r>
            <w:r w:rsidRPr="00BD1A14">
              <w:rPr>
                <w:u w:val="single"/>
              </w:rPr>
              <w:tab/>
            </w:r>
            <w:r>
              <w:rPr>
                <w:rStyle w:val="InstructionsTabelleberschrift"/>
                <w:rFonts w:ascii="Times New Roman" w:hAnsi="Times New Roman"/>
                <w:sz w:val="24"/>
              </w:rPr>
              <w:t>Detenzioni dirette di capitale aggiuntivo di classe 1 di soggetti del settore finanziario in cui l</w:t>
            </w:r>
            <w:r w:rsidR="000878EC">
              <w:rPr>
                <w:rStyle w:val="InstructionsTabelleberschrift"/>
                <w:rFonts w:ascii="Times New Roman" w:hAnsi="Times New Roman"/>
                <w:sz w:val="24"/>
              </w:rPr>
              <w:t>'</w:t>
            </w:r>
            <w:r>
              <w:rPr>
                <w:rStyle w:val="InstructionsTabelleberschrift"/>
                <w:rFonts w:ascii="Times New Roman" w:hAnsi="Times New Roman"/>
                <w:sz w:val="24"/>
              </w:rPr>
              <w:t>ente non ha un investimento significativo</w:t>
            </w:r>
          </w:p>
          <w:p w:rsidR="00674BF5" w:rsidRPr="00661595" w:rsidRDefault="00674BF5" w:rsidP="00115052">
            <w:pPr>
              <w:pStyle w:val="InstructionsText"/>
            </w:pPr>
            <w:r>
              <w:t>Articoli 58 e 59 e articolo 60, paragrafo 2, del CRR.</w:t>
            </w:r>
          </w:p>
        </w:tc>
      </w:tr>
      <w:tr w:rsidR="00674BF5" w:rsidRPr="00661595" w:rsidTr="00674BF5">
        <w:tc>
          <w:tcPr>
            <w:tcW w:w="1474" w:type="dxa"/>
          </w:tcPr>
          <w:p w:rsidR="00674BF5" w:rsidRPr="00661595" w:rsidRDefault="00754ADC" w:rsidP="00115052">
            <w:pPr>
              <w:pStyle w:val="InstructionsText"/>
            </w:pPr>
            <w:r>
              <w:t>0320</w:t>
            </w:r>
          </w:p>
        </w:tc>
        <w:tc>
          <w:tcPr>
            <w:tcW w:w="7049" w:type="dxa"/>
          </w:tcPr>
          <w:p w:rsidR="00674BF5" w:rsidRPr="00661595" w:rsidRDefault="00674BF5" w:rsidP="00115052">
            <w:pPr>
              <w:pStyle w:val="InstructionsText"/>
            </w:pPr>
            <w:r>
              <w:rPr>
                <w:rStyle w:val="InstructionsTabelleberschrift"/>
                <w:rFonts w:ascii="Times New Roman" w:hAnsi="Times New Roman"/>
                <w:sz w:val="24"/>
              </w:rPr>
              <w:t>13.1.1</w:t>
            </w:r>
            <w:r w:rsidRPr="00BD1A14">
              <w:rPr>
                <w:u w:val="single"/>
              </w:rPr>
              <w:tab/>
            </w:r>
            <w:r>
              <w:rPr>
                <w:rStyle w:val="InstructionsTabelleberschrift"/>
                <w:rFonts w:ascii="Times New Roman" w:hAnsi="Times New Roman"/>
                <w:sz w:val="24"/>
              </w:rPr>
              <w:t>Detenzioni dirette lorde di capitale aggiuntivo di classe 1 di soggetti del settore finanziario in cui l</w:t>
            </w:r>
            <w:r w:rsidR="000878EC">
              <w:rPr>
                <w:rStyle w:val="InstructionsTabelleberschrift"/>
                <w:rFonts w:ascii="Times New Roman" w:hAnsi="Times New Roman"/>
                <w:sz w:val="24"/>
              </w:rPr>
              <w:t>'</w:t>
            </w:r>
            <w:r>
              <w:rPr>
                <w:rStyle w:val="InstructionsTabelleberschrift"/>
                <w:rFonts w:ascii="Times New Roman" w:hAnsi="Times New Roman"/>
                <w:sz w:val="24"/>
              </w:rPr>
              <w:t>ente non ha un investimento significativo</w:t>
            </w:r>
          </w:p>
          <w:p w:rsidR="00674BF5" w:rsidRPr="00661595" w:rsidRDefault="00674BF5" w:rsidP="00115052">
            <w:pPr>
              <w:pStyle w:val="InstructionsText"/>
            </w:pPr>
            <w:r>
              <w:t>Articolo 58 e articolo 60, paragrafo 2, del CRR</w:t>
            </w:r>
          </w:p>
          <w:p w:rsidR="00674BF5" w:rsidRPr="00661595" w:rsidRDefault="00674BF5" w:rsidP="00115052">
            <w:pPr>
              <w:pStyle w:val="InstructionsText"/>
            </w:pPr>
            <w:r>
              <w:t>Partecipazioni dirette nel capitale aggiuntivo di classe 1 di soggetti del settore finanziario in cui l</w:t>
            </w:r>
            <w:r w:rsidR="000878EC">
              <w:t>'</w:t>
            </w:r>
            <w:r>
              <w:t>ente non ha un investimento significativo, escluse:</w:t>
            </w:r>
          </w:p>
          <w:p w:rsidR="00674BF5" w:rsidRPr="00661595" w:rsidRDefault="00674BF5" w:rsidP="00115052">
            <w:pPr>
              <w:pStyle w:val="InstructionsText"/>
            </w:pPr>
            <w:r>
              <w:t>a)</w:t>
            </w:r>
            <w:r>
              <w:tab/>
              <w:t xml:space="preserve">le posizioni in impegni irrevocabili detenute per cinque giorni lavorativi o meno; e </w:t>
            </w:r>
          </w:p>
          <w:p w:rsidR="00674BF5" w:rsidRPr="00661595" w:rsidRDefault="00674BF5" w:rsidP="00115052">
            <w:pPr>
              <w:pStyle w:val="InstructionsText"/>
            </w:pPr>
            <w:r>
              <w:t>b)</w:t>
            </w:r>
            <w:r>
              <w:tab/>
              <w:t>le partecipazioni trattate come partecipazioni incrociate reciproche conformemente all</w:t>
            </w:r>
            <w:r w:rsidR="000878EC">
              <w:t>'</w:t>
            </w:r>
            <w:r>
              <w:t>articolo 56, lettera b), del CRR.</w:t>
            </w:r>
          </w:p>
        </w:tc>
      </w:tr>
      <w:tr w:rsidR="00674BF5" w:rsidRPr="00661595" w:rsidTr="00674BF5">
        <w:tc>
          <w:tcPr>
            <w:tcW w:w="1474" w:type="dxa"/>
          </w:tcPr>
          <w:p w:rsidR="00674BF5" w:rsidRPr="00661595" w:rsidRDefault="00754ADC" w:rsidP="00115052">
            <w:pPr>
              <w:pStyle w:val="InstructionsText"/>
            </w:pPr>
            <w:r>
              <w:t>0330</w:t>
            </w:r>
          </w:p>
        </w:tc>
        <w:tc>
          <w:tcPr>
            <w:tcW w:w="7049" w:type="dxa"/>
          </w:tcPr>
          <w:p w:rsidR="00674BF5" w:rsidRPr="00661595" w:rsidRDefault="00674BF5" w:rsidP="00115052">
            <w:pPr>
              <w:pStyle w:val="InstructionsText"/>
            </w:pPr>
            <w:r>
              <w:rPr>
                <w:rStyle w:val="InstructionsTabelleberschrift"/>
                <w:rFonts w:ascii="Times New Roman" w:hAnsi="Times New Roman"/>
                <w:sz w:val="24"/>
              </w:rPr>
              <w:t>13.1.2</w:t>
            </w:r>
            <w:r w:rsidRPr="008862F0">
              <w:tab/>
            </w:r>
            <w:r>
              <w:rPr>
                <w:rStyle w:val="InstructionsTabelleberschrift"/>
                <w:rFonts w:ascii="Times New Roman" w:hAnsi="Times New Roman"/>
                <w:sz w:val="24"/>
              </w:rPr>
              <w:t>(-) Posizioni corte di segno opposto autorizzate in relazione alle detenzioni dirette lorde di cui sopra</w:t>
            </w:r>
          </w:p>
          <w:p w:rsidR="00674BF5" w:rsidRPr="00661595" w:rsidRDefault="00674BF5" w:rsidP="00115052">
            <w:pPr>
              <w:pStyle w:val="InstructionsText"/>
            </w:pPr>
            <w:r>
              <w:t>Articolo 59 del CRR</w:t>
            </w:r>
          </w:p>
          <w:p w:rsidR="00674BF5" w:rsidRPr="00661595" w:rsidRDefault="00674BF5" w:rsidP="00115052">
            <w:pPr>
              <w:pStyle w:val="InstructionsText"/>
            </w:pPr>
            <w:r>
              <w:t>L</w:t>
            </w:r>
            <w:r w:rsidR="000878EC">
              <w:t>'</w:t>
            </w:r>
            <w:r>
              <w:t>articolo 59, lettera a), del CRR permette di compensare le posizioni corte nella stessa esposizione sottostante a condizione che la data di scadenza della posizione corta sia identica o posteriore a quella della posizione lunga o la durata residua della posizione corta sia di almeno un anno.</w:t>
            </w:r>
          </w:p>
        </w:tc>
      </w:tr>
      <w:tr w:rsidR="00674BF5" w:rsidRPr="00661595" w:rsidTr="00674BF5">
        <w:tc>
          <w:tcPr>
            <w:tcW w:w="1474" w:type="dxa"/>
          </w:tcPr>
          <w:p w:rsidR="00674BF5" w:rsidRPr="00661595" w:rsidRDefault="00754ADC" w:rsidP="00BD1A14">
            <w:pPr>
              <w:pStyle w:val="InstructionsText"/>
              <w:keepNext/>
              <w:keepLines/>
            </w:pPr>
            <w:r>
              <w:t>0340</w:t>
            </w:r>
          </w:p>
        </w:tc>
        <w:tc>
          <w:tcPr>
            <w:tcW w:w="7049" w:type="dxa"/>
          </w:tcPr>
          <w:p w:rsidR="00674BF5" w:rsidRPr="00661595" w:rsidRDefault="00674BF5" w:rsidP="00BD1A14">
            <w:pPr>
              <w:pStyle w:val="InstructionsText"/>
              <w:keepNext/>
              <w:keepLines/>
            </w:pPr>
            <w:r>
              <w:rPr>
                <w:rStyle w:val="InstructionsTabelleberschrift"/>
                <w:rFonts w:ascii="Times New Roman" w:hAnsi="Times New Roman"/>
                <w:sz w:val="24"/>
              </w:rPr>
              <w:t>13.2</w:t>
            </w:r>
            <w:r w:rsidRPr="00BD1A14">
              <w:rPr>
                <w:u w:val="single"/>
              </w:rPr>
              <w:tab/>
            </w:r>
            <w:r>
              <w:rPr>
                <w:rStyle w:val="InstructionsTabelleberschrift"/>
                <w:rFonts w:ascii="Times New Roman" w:hAnsi="Times New Roman"/>
                <w:sz w:val="24"/>
              </w:rPr>
              <w:t>Detenzioni indirette di capitale aggiuntivo di classe 1 di soggetti del settore finanziario in cui l</w:t>
            </w:r>
            <w:r w:rsidR="000878EC">
              <w:rPr>
                <w:rStyle w:val="InstructionsTabelleberschrift"/>
                <w:rFonts w:ascii="Times New Roman" w:hAnsi="Times New Roman"/>
                <w:sz w:val="24"/>
              </w:rPr>
              <w:t>'</w:t>
            </w:r>
            <w:r>
              <w:rPr>
                <w:rStyle w:val="InstructionsTabelleberschrift"/>
                <w:rFonts w:ascii="Times New Roman" w:hAnsi="Times New Roman"/>
                <w:sz w:val="24"/>
              </w:rPr>
              <w:t>ente non ha un investimento significativo</w:t>
            </w:r>
          </w:p>
          <w:p w:rsidR="00674BF5" w:rsidRPr="00661595" w:rsidRDefault="00674BF5" w:rsidP="00BD1A14">
            <w:pPr>
              <w:pStyle w:val="InstructionsText"/>
              <w:keepNext/>
              <w:keepLines/>
            </w:pPr>
            <w:r>
              <w:t>Articolo 4, paragrafo 1, punto 114, e articoli 58 e 59 del CRR</w:t>
            </w:r>
          </w:p>
        </w:tc>
      </w:tr>
      <w:tr w:rsidR="00674BF5" w:rsidRPr="00661595" w:rsidTr="00674BF5">
        <w:tc>
          <w:tcPr>
            <w:tcW w:w="1474" w:type="dxa"/>
          </w:tcPr>
          <w:p w:rsidR="00674BF5" w:rsidRPr="00661595" w:rsidRDefault="00754ADC" w:rsidP="00115052">
            <w:pPr>
              <w:pStyle w:val="InstructionsText"/>
            </w:pPr>
            <w:r>
              <w:t>0350</w:t>
            </w:r>
          </w:p>
        </w:tc>
        <w:tc>
          <w:tcPr>
            <w:tcW w:w="7049" w:type="dxa"/>
          </w:tcPr>
          <w:p w:rsidR="00674BF5" w:rsidRPr="00661595" w:rsidRDefault="00674BF5" w:rsidP="00115052">
            <w:pPr>
              <w:pStyle w:val="InstructionsText"/>
            </w:pPr>
            <w:r>
              <w:rPr>
                <w:rStyle w:val="InstructionsTabelleberschrift"/>
                <w:rFonts w:ascii="Times New Roman" w:hAnsi="Times New Roman"/>
                <w:sz w:val="24"/>
              </w:rPr>
              <w:t>13.2.1</w:t>
            </w:r>
            <w:r w:rsidRPr="008862F0">
              <w:tab/>
            </w:r>
            <w:r>
              <w:rPr>
                <w:rStyle w:val="InstructionsTabelleberschrift"/>
                <w:rFonts w:ascii="Times New Roman" w:hAnsi="Times New Roman"/>
                <w:sz w:val="24"/>
              </w:rPr>
              <w:t>Detenzioni indirette lorde di capitale aggiuntivo di classe 1 di soggetti del settore finanziario in cui l</w:t>
            </w:r>
            <w:r w:rsidR="000878EC">
              <w:rPr>
                <w:rStyle w:val="InstructionsTabelleberschrift"/>
                <w:rFonts w:ascii="Times New Roman" w:hAnsi="Times New Roman"/>
                <w:sz w:val="24"/>
              </w:rPr>
              <w:t>'</w:t>
            </w:r>
            <w:r>
              <w:rPr>
                <w:rStyle w:val="InstructionsTabelleberschrift"/>
                <w:rFonts w:ascii="Times New Roman" w:hAnsi="Times New Roman"/>
                <w:sz w:val="24"/>
              </w:rPr>
              <w:t>ente non ha un investimento significativo</w:t>
            </w:r>
          </w:p>
          <w:p w:rsidR="00674BF5" w:rsidRPr="00661595" w:rsidRDefault="00674BF5" w:rsidP="00115052">
            <w:pPr>
              <w:pStyle w:val="InstructionsText"/>
            </w:pPr>
            <w:r>
              <w:t>Articolo 4, paragrafo 1, punto 114, e articoli 58 e 59 del CRR</w:t>
            </w:r>
          </w:p>
          <w:p w:rsidR="00674BF5" w:rsidRPr="00661595" w:rsidRDefault="00674BF5" w:rsidP="00115052">
            <w:pPr>
              <w:pStyle w:val="InstructionsText"/>
            </w:pPr>
            <w:r>
              <w:t>L</w:t>
            </w:r>
            <w:r w:rsidR="000878EC">
              <w:t>'</w:t>
            </w:r>
            <w:r>
              <w:t>importo da segnalare sono le partecipazioni indirette interne al portafoglio di negoziazione e relative agli strumenti di capitale di soggetti del settore finanziario sotto forma di detenzioni di titoli su indici. L</w:t>
            </w:r>
            <w:r w:rsidR="000878EC">
              <w:t>'</w:t>
            </w:r>
            <w:r>
              <w:t>importo si ottiene calcolando l</w:t>
            </w:r>
            <w:r w:rsidR="000878EC">
              <w:t>'</w:t>
            </w:r>
            <w:r>
              <w:t>esposizione sottostante verso gli strumenti di capitale dei soggetti del settore finanziario compresi negli indici.</w:t>
            </w:r>
          </w:p>
          <w:p w:rsidR="00674BF5" w:rsidRPr="00661595" w:rsidRDefault="00674BF5" w:rsidP="00115052">
            <w:pPr>
              <w:pStyle w:val="InstructionsText"/>
            </w:pPr>
            <w:r>
              <w:t>Non sono incluse le partecipazioni trattate come partecipazioni incrociate reciproche conformemente all</w:t>
            </w:r>
            <w:r w:rsidR="000878EC">
              <w:t>'</w:t>
            </w:r>
            <w:r>
              <w:t>articolo 56, lettera b), del CRR.</w:t>
            </w:r>
          </w:p>
        </w:tc>
      </w:tr>
      <w:tr w:rsidR="00674BF5" w:rsidRPr="00661595" w:rsidTr="00674BF5">
        <w:tc>
          <w:tcPr>
            <w:tcW w:w="1474" w:type="dxa"/>
          </w:tcPr>
          <w:p w:rsidR="00674BF5" w:rsidRPr="00661595" w:rsidRDefault="00754ADC" w:rsidP="00115052">
            <w:pPr>
              <w:pStyle w:val="InstructionsText"/>
            </w:pPr>
            <w:r>
              <w:t>0360</w:t>
            </w:r>
          </w:p>
        </w:tc>
        <w:tc>
          <w:tcPr>
            <w:tcW w:w="7049" w:type="dxa"/>
          </w:tcPr>
          <w:p w:rsidR="00674BF5" w:rsidRPr="00661595" w:rsidRDefault="00674BF5" w:rsidP="00115052">
            <w:pPr>
              <w:pStyle w:val="InstructionsText"/>
            </w:pPr>
            <w:r>
              <w:rPr>
                <w:rStyle w:val="InstructionsTabelleberschrift"/>
                <w:rFonts w:ascii="Times New Roman" w:hAnsi="Times New Roman"/>
                <w:sz w:val="24"/>
              </w:rPr>
              <w:t>13.2.2</w:t>
            </w:r>
            <w:r w:rsidRPr="008862F0">
              <w:tab/>
            </w:r>
            <w:r>
              <w:rPr>
                <w:rStyle w:val="InstructionsTabelleberschrift"/>
                <w:rFonts w:ascii="Times New Roman" w:hAnsi="Times New Roman"/>
                <w:sz w:val="24"/>
              </w:rPr>
              <w:t>(-) Posizioni corte di segno opposto autorizzate in relazione alle detenzioni indirette lorde di cui sopra</w:t>
            </w:r>
          </w:p>
          <w:p w:rsidR="00674BF5" w:rsidRPr="00661595" w:rsidRDefault="00674BF5" w:rsidP="00115052">
            <w:pPr>
              <w:pStyle w:val="InstructionsText"/>
            </w:pPr>
            <w:r>
              <w:t>Articolo 4, paragrafo 1, punto 114, e articolo 59 del CRR</w:t>
            </w:r>
          </w:p>
          <w:p w:rsidR="00674BF5" w:rsidRPr="00661595" w:rsidRDefault="00674BF5" w:rsidP="00115052">
            <w:pPr>
              <w:pStyle w:val="InstructionsText"/>
            </w:pPr>
            <w:r>
              <w:t>L</w:t>
            </w:r>
            <w:r w:rsidR="000878EC">
              <w:t>'</w:t>
            </w:r>
            <w:r>
              <w:t>articolo 59, lettera a), del CRR permette di compensare le posizioni corte nella stessa esposizione sottostante a condizione che la data di scadenza della posizione corta sia identica o posteriore a quella della posizione lunga o la durata residua della posizione corta sia di almeno un anno.</w:t>
            </w:r>
          </w:p>
        </w:tc>
      </w:tr>
      <w:tr w:rsidR="00674BF5" w:rsidRPr="00661595" w:rsidTr="00674BF5">
        <w:tc>
          <w:tcPr>
            <w:tcW w:w="1474" w:type="dxa"/>
          </w:tcPr>
          <w:p w:rsidR="00674BF5" w:rsidRPr="00661595" w:rsidRDefault="00754ADC" w:rsidP="00115052">
            <w:pPr>
              <w:pStyle w:val="InstructionsText"/>
            </w:pPr>
            <w:r>
              <w:t>0361</w:t>
            </w:r>
          </w:p>
        </w:tc>
        <w:tc>
          <w:tcPr>
            <w:tcW w:w="7049" w:type="dxa"/>
            <w:vAlign w:val="center"/>
          </w:tcPr>
          <w:p w:rsidR="00674BF5" w:rsidRPr="00661595" w:rsidRDefault="00674BF5" w:rsidP="00115052">
            <w:pPr>
              <w:pStyle w:val="InstructionsText"/>
            </w:pPr>
            <w:r>
              <w:rPr>
                <w:rStyle w:val="InstructionsTabelleberschrift"/>
                <w:rFonts w:ascii="Times New Roman" w:hAnsi="Times New Roman"/>
                <w:sz w:val="24"/>
              </w:rPr>
              <w:t>13.3</w:t>
            </w:r>
            <w:r w:rsidRPr="00BD1A14">
              <w:rPr>
                <w:u w:val="single"/>
              </w:rPr>
              <w:tab/>
            </w:r>
            <w:r>
              <w:rPr>
                <w:rStyle w:val="InstructionsTabelleberschrift"/>
                <w:rFonts w:ascii="Times New Roman" w:hAnsi="Times New Roman"/>
                <w:sz w:val="24"/>
              </w:rPr>
              <w:t>Detenzioni sintetiche di capitale aggiuntivo di classe 1 di soggetti del settore finanziario in cui l</w:t>
            </w:r>
            <w:r w:rsidR="000878EC">
              <w:rPr>
                <w:rStyle w:val="InstructionsTabelleberschrift"/>
                <w:rFonts w:ascii="Times New Roman" w:hAnsi="Times New Roman"/>
                <w:sz w:val="24"/>
              </w:rPr>
              <w:t>'</w:t>
            </w:r>
            <w:r>
              <w:rPr>
                <w:rStyle w:val="InstructionsTabelleberschrift"/>
                <w:rFonts w:ascii="Times New Roman" w:hAnsi="Times New Roman"/>
                <w:sz w:val="24"/>
              </w:rPr>
              <w:t>ente non ha un investimento significativo</w:t>
            </w:r>
          </w:p>
          <w:p w:rsidR="00674BF5" w:rsidRPr="00661595" w:rsidRDefault="00674BF5" w:rsidP="00115052">
            <w:pPr>
              <w:pStyle w:val="InstructionsText"/>
              <w:rPr>
                <w:rStyle w:val="InstructionsTabelleberschrift"/>
                <w:rFonts w:ascii="Times New Roman" w:hAnsi="Times New Roman"/>
                <w:b w:val="0"/>
                <w:bCs w:val="0"/>
                <w:sz w:val="24"/>
                <w:u w:val="none"/>
              </w:rPr>
            </w:pPr>
            <w:r>
              <w:t>Articolo 4, paragrafo 1, punto 126, e articoli 58 e 59 del CRR</w:t>
            </w:r>
          </w:p>
        </w:tc>
      </w:tr>
      <w:tr w:rsidR="00674BF5" w:rsidRPr="00661595" w:rsidTr="00674BF5">
        <w:tc>
          <w:tcPr>
            <w:tcW w:w="1474" w:type="dxa"/>
          </w:tcPr>
          <w:p w:rsidR="00674BF5" w:rsidRPr="00661595" w:rsidRDefault="00754ADC" w:rsidP="00115052">
            <w:pPr>
              <w:pStyle w:val="InstructionsText"/>
            </w:pPr>
            <w:r>
              <w:t>0362</w:t>
            </w:r>
          </w:p>
        </w:tc>
        <w:tc>
          <w:tcPr>
            <w:tcW w:w="7049" w:type="dxa"/>
            <w:vAlign w:val="center"/>
          </w:tcPr>
          <w:p w:rsidR="00674BF5" w:rsidRPr="00661595" w:rsidRDefault="00674BF5" w:rsidP="00115052">
            <w:pPr>
              <w:pStyle w:val="InstructionsText"/>
            </w:pPr>
            <w:r>
              <w:rPr>
                <w:rStyle w:val="InstructionsTabelleberschrift"/>
                <w:rFonts w:ascii="Times New Roman" w:hAnsi="Times New Roman"/>
                <w:sz w:val="24"/>
              </w:rPr>
              <w:t>13.3.1</w:t>
            </w:r>
            <w:r w:rsidRPr="00BD1A14">
              <w:rPr>
                <w:u w:val="single"/>
              </w:rPr>
              <w:tab/>
            </w:r>
            <w:r>
              <w:rPr>
                <w:rStyle w:val="InstructionsTabelleberschrift"/>
                <w:rFonts w:ascii="Times New Roman" w:hAnsi="Times New Roman"/>
                <w:sz w:val="24"/>
              </w:rPr>
              <w:t>Detenzioni sintetiche lorde di capitale aggiuntivo di classe 1 di soggetti del settore finanziario in cui l</w:t>
            </w:r>
            <w:r w:rsidR="000878EC">
              <w:rPr>
                <w:rStyle w:val="InstructionsTabelleberschrift"/>
                <w:rFonts w:ascii="Times New Roman" w:hAnsi="Times New Roman"/>
                <w:sz w:val="24"/>
              </w:rPr>
              <w:t>'</w:t>
            </w:r>
            <w:r>
              <w:rPr>
                <w:rStyle w:val="InstructionsTabelleberschrift"/>
                <w:rFonts w:ascii="Times New Roman" w:hAnsi="Times New Roman"/>
                <w:sz w:val="24"/>
              </w:rPr>
              <w:t>ente non ha un investimento significativo</w:t>
            </w:r>
          </w:p>
          <w:p w:rsidR="00674BF5" w:rsidRPr="00661595" w:rsidRDefault="00674BF5" w:rsidP="00115052">
            <w:pPr>
              <w:pStyle w:val="InstructionsText"/>
              <w:rPr>
                <w:rStyle w:val="InstructionsTabelleberschrift"/>
                <w:rFonts w:ascii="Times New Roman" w:hAnsi="Times New Roman"/>
                <w:b w:val="0"/>
                <w:bCs w:val="0"/>
                <w:sz w:val="24"/>
                <w:u w:val="none"/>
              </w:rPr>
            </w:pPr>
            <w:r>
              <w:t>Articolo 4, paragrafo 1, punto 126, e articoli 58 e 59 del CRR</w:t>
            </w:r>
          </w:p>
        </w:tc>
      </w:tr>
      <w:tr w:rsidR="00674BF5" w:rsidRPr="00661595" w:rsidTr="00674BF5">
        <w:tc>
          <w:tcPr>
            <w:tcW w:w="1474" w:type="dxa"/>
          </w:tcPr>
          <w:p w:rsidR="00674BF5" w:rsidRPr="00661595" w:rsidRDefault="00754ADC" w:rsidP="00115052">
            <w:pPr>
              <w:pStyle w:val="InstructionsText"/>
            </w:pPr>
            <w:r>
              <w:t>0363</w:t>
            </w:r>
          </w:p>
        </w:tc>
        <w:tc>
          <w:tcPr>
            <w:tcW w:w="7049" w:type="dxa"/>
            <w:vAlign w:val="center"/>
          </w:tcPr>
          <w:p w:rsidR="00674BF5" w:rsidRPr="00661595" w:rsidRDefault="00674BF5" w:rsidP="00115052">
            <w:pPr>
              <w:pStyle w:val="InstructionsText"/>
            </w:pPr>
            <w:r>
              <w:rPr>
                <w:rStyle w:val="InstructionsTabelleberschrift"/>
                <w:rFonts w:ascii="Times New Roman" w:hAnsi="Times New Roman"/>
                <w:sz w:val="24"/>
              </w:rPr>
              <w:t>13.3.2</w:t>
            </w:r>
            <w:r w:rsidRPr="00BD1A14">
              <w:rPr>
                <w:u w:val="single"/>
              </w:rPr>
              <w:tab/>
            </w:r>
            <w:r>
              <w:rPr>
                <w:rStyle w:val="InstructionsTabelleberschrift"/>
                <w:rFonts w:ascii="Times New Roman" w:hAnsi="Times New Roman"/>
                <w:sz w:val="24"/>
              </w:rPr>
              <w:t>(-) Posizioni corte di segno opposto autorizzate in relazione alle detenzioni sintetiche lorde di cui sopra</w:t>
            </w:r>
          </w:p>
          <w:p w:rsidR="00674BF5" w:rsidRPr="00661595" w:rsidRDefault="00674BF5" w:rsidP="00115052">
            <w:pPr>
              <w:pStyle w:val="InstructionsText"/>
            </w:pPr>
            <w:r>
              <w:t>Articolo 4, paragrafo 1, punto 126, e articolo 59 del CRR</w:t>
            </w:r>
          </w:p>
          <w:p w:rsidR="002D31E5" w:rsidRPr="00661595" w:rsidRDefault="000D04B6" w:rsidP="00115052">
            <w:pPr>
              <w:pStyle w:val="InstructionsText"/>
              <w:rPr>
                <w:rStyle w:val="InstructionsTabelleberschrift"/>
                <w:rFonts w:ascii="Times New Roman" w:hAnsi="Times New Roman"/>
                <w:b w:val="0"/>
                <w:bCs w:val="0"/>
                <w:sz w:val="24"/>
                <w:u w:val="none"/>
              </w:rPr>
            </w:pPr>
            <w:r>
              <w:t>L</w:t>
            </w:r>
            <w:r w:rsidR="000878EC">
              <w:t>'</w:t>
            </w:r>
            <w:r>
              <w:t>articolo 59, lettera a), del CRR permette di compensare le posizioni corte nella stessa esposizione sottostante a condizione che la data di scadenza della posizione corta sia identica o posteriore a quella della posizione lunga o la durata residua della posizione corta sia di almeno un anno.</w:t>
            </w:r>
          </w:p>
        </w:tc>
      </w:tr>
      <w:tr w:rsidR="00674BF5" w:rsidRPr="00661595" w:rsidTr="00674BF5">
        <w:tc>
          <w:tcPr>
            <w:tcW w:w="1474" w:type="dxa"/>
          </w:tcPr>
          <w:p w:rsidR="00674BF5" w:rsidRPr="00661595" w:rsidRDefault="00754ADC" w:rsidP="00115052">
            <w:pPr>
              <w:pStyle w:val="InstructionsText"/>
            </w:pPr>
            <w:r>
              <w:t>0370</w:t>
            </w:r>
          </w:p>
        </w:tc>
        <w:tc>
          <w:tcPr>
            <w:tcW w:w="7049" w:type="dxa"/>
          </w:tcPr>
          <w:p w:rsidR="00674BF5" w:rsidRPr="00661595" w:rsidRDefault="00674BF5" w:rsidP="00115052">
            <w:pPr>
              <w:pStyle w:val="InstructionsText"/>
            </w:pPr>
            <w:r>
              <w:rPr>
                <w:rStyle w:val="InstructionsTabelleberschrift"/>
                <w:rFonts w:ascii="Times New Roman" w:hAnsi="Times New Roman"/>
                <w:sz w:val="24"/>
              </w:rPr>
              <w:t>14</w:t>
            </w:r>
            <w:r w:rsidRPr="00BD1A14">
              <w:rPr>
                <w:u w:val="single"/>
              </w:rPr>
              <w:tab/>
            </w:r>
            <w:r>
              <w:rPr>
                <w:rStyle w:val="InstructionsTabelleberschrift"/>
                <w:rFonts w:ascii="Times New Roman" w:hAnsi="Times New Roman"/>
                <w:sz w:val="24"/>
              </w:rPr>
              <w:t>Detenzioni di capitale di classe 2 di soggetti del settore finanziario in cui l</w:t>
            </w:r>
            <w:r w:rsidR="000878EC">
              <w:rPr>
                <w:rStyle w:val="InstructionsTabelleberschrift"/>
                <w:rFonts w:ascii="Times New Roman" w:hAnsi="Times New Roman"/>
                <w:sz w:val="24"/>
              </w:rPr>
              <w:t>'</w:t>
            </w:r>
            <w:r>
              <w:rPr>
                <w:rStyle w:val="InstructionsTabelleberschrift"/>
                <w:rFonts w:ascii="Times New Roman" w:hAnsi="Times New Roman"/>
                <w:sz w:val="24"/>
              </w:rPr>
              <w:t>ente non ha un investimento significativo, al netto delle posizioni corte</w:t>
            </w:r>
          </w:p>
          <w:p w:rsidR="00674BF5" w:rsidRPr="00661595" w:rsidRDefault="00674BF5" w:rsidP="00115052">
            <w:pPr>
              <w:pStyle w:val="InstructionsText"/>
            </w:pPr>
            <w:r>
              <w:t>Articoli 68, 69 e 70 del CRR</w:t>
            </w:r>
          </w:p>
        </w:tc>
      </w:tr>
      <w:tr w:rsidR="00674BF5" w:rsidRPr="00661595" w:rsidTr="00674BF5">
        <w:tc>
          <w:tcPr>
            <w:tcW w:w="1474" w:type="dxa"/>
          </w:tcPr>
          <w:p w:rsidR="00674BF5" w:rsidRPr="00661595" w:rsidRDefault="00754ADC" w:rsidP="00115052">
            <w:pPr>
              <w:pStyle w:val="InstructionsText"/>
            </w:pPr>
            <w:r>
              <w:t>0380</w:t>
            </w:r>
          </w:p>
        </w:tc>
        <w:tc>
          <w:tcPr>
            <w:tcW w:w="7049" w:type="dxa"/>
          </w:tcPr>
          <w:p w:rsidR="00674BF5" w:rsidRPr="00661595" w:rsidRDefault="00674BF5" w:rsidP="00115052">
            <w:pPr>
              <w:pStyle w:val="InstructionsText"/>
            </w:pPr>
            <w:r>
              <w:rPr>
                <w:rStyle w:val="InstructionsTabelleberschrift"/>
                <w:rFonts w:ascii="Times New Roman" w:hAnsi="Times New Roman"/>
                <w:sz w:val="24"/>
              </w:rPr>
              <w:t>14.1</w:t>
            </w:r>
            <w:r w:rsidRPr="00BD1A14">
              <w:rPr>
                <w:u w:val="single"/>
              </w:rPr>
              <w:tab/>
            </w:r>
            <w:r>
              <w:rPr>
                <w:rStyle w:val="InstructionsTabelleberschrift"/>
                <w:rFonts w:ascii="Times New Roman" w:hAnsi="Times New Roman"/>
                <w:sz w:val="24"/>
              </w:rPr>
              <w:t>Detenzioni dirette di capitale di classe 2 di soggetti del settore finanziario in cui l</w:t>
            </w:r>
            <w:r w:rsidR="000878EC">
              <w:rPr>
                <w:rStyle w:val="InstructionsTabelleberschrift"/>
                <w:rFonts w:ascii="Times New Roman" w:hAnsi="Times New Roman"/>
                <w:sz w:val="24"/>
              </w:rPr>
              <w:t>'</w:t>
            </w:r>
            <w:r>
              <w:rPr>
                <w:rStyle w:val="InstructionsTabelleberschrift"/>
                <w:rFonts w:ascii="Times New Roman" w:hAnsi="Times New Roman"/>
                <w:sz w:val="24"/>
              </w:rPr>
              <w:t>ente non ha un investimento significativo</w:t>
            </w:r>
          </w:p>
          <w:p w:rsidR="00674BF5" w:rsidRPr="00661595" w:rsidRDefault="00674BF5" w:rsidP="00115052">
            <w:pPr>
              <w:pStyle w:val="InstructionsText"/>
            </w:pPr>
            <w:r>
              <w:t>Articoli 68 e 69 e articolo 70, paragrafo 2, del CRR</w:t>
            </w:r>
          </w:p>
        </w:tc>
      </w:tr>
      <w:tr w:rsidR="00674BF5" w:rsidRPr="00661595" w:rsidTr="00674BF5">
        <w:tc>
          <w:tcPr>
            <w:tcW w:w="1474" w:type="dxa"/>
          </w:tcPr>
          <w:p w:rsidR="00674BF5" w:rsidRPr="00661595" w:rsidRDefault="00754ADC" w:rsidP="00115052">
            <w:pPr>
              <w:pStyle w:val="InstructionsText"/>
            </w:pPr>
            <w:r>
              <w:t>0390</w:t>
            </w:r>
          </w:p>
        </w:tc>
        <w:tc>
          <w:tcPr>
            <w:tcW w:w="7049" w:type="dxa"/>
          </w:tcPr>
          <w:p w:rsidR="00674BF5" w:rsidRPr="00661595" w:rsidRDefault="00674BF5" w:rsidP="00115052">
            <w:pPr>
              <w:pStyle w:val="InstructionsText"/>
            </w:pPr>
            <w:r>
              <w:rPr>
                <w:rStyle w:val="InstructionsTabelleberschrift"/>
                <w:rFonts w:ascii="Times New Roman" w:hAnsi="Times New Roman"/>
                <w:sz w:val="24"/>
              </w:rPr>
              <w:t>14.1.1</w:t>
            </w:r>
            <w:r w:rsidRPr="00BD1A14">
              <w:rPr>
                <w:u w:val="single"/>
              </w:rPr>
              <w:tab/>
            </w:r>
            <w:r>
              <w:rPr>
                <w:rStyle w:val="InstructionsTabelleberschrift"/>
                <w:rFonts w:ascii="Times New Roman" w:hAnsi="Times New Roman"/>
                <w:sz w:val="24"/>
              </w:rPr>
              <w:t>Detenzioni dirette lorde di capitale di classe 2 di soggetti del settore finanziario in cui l</w:t>
            </w:r>
            <w:r w:rsidR="000878EC">
              <w:rPr>
                <w:rStyle w:val="InstructionsTabelleberschrift"/>
                <w:rFonts w:ascii="Times New Roman" w:hAnsi="Times New Roman"/>
                <w:sz w:val="24"/>
              </w:rPr>
              <w:t>'</w:t>
            </w:r>
            <w:r>
              <w:rPr>
                <w:rStyle w:val="InstructionsTabelleberschrift"/>
                <w:rFonts w:ascii="Times New Roman" w:hAnsi="Times New Roman"/>
                <w:sz w:val="24"/>
              </w:rPr>
              <w:t>ente non ha un investimento significativo</w:t>
            </w:r>
          </w:p>
          <w:p w:rsidR="00674BF5" w:rsidRPr="00661595" w:rsidRDefault="00674BF5" w:rsidP="00115052">
            <w:pPr>
              <w:pStyle w:val="InstructionsText"/>
            </w:pPr>
            <w:r>
              <w:t>Articolo 68 e articolo 70, paragrafo 2, del CRR</w:t>
            </w:r>
          </w:p>
          <w:p w:rsidR="00674BF5" w:rsidRPr="00661595" w:rsidRDefault="00674BF5" w:rsidP="00115052">
            <w:pPr>
              <w:pStyle w:val="InstructionsText"/>
            </w:pPr>
            <w:r>
              <w:t>Partecipazioni dirette nel capitale di classe 2 di soggetti del settore finanziario in cui l</w:t>
            </w:r>
            <w:r w:rsidR="000878EC">
              <w:t>'</w:t>
            </w:r>
            <w:r>
              <w:t>ente non ha un investimento significativo, escluse:</w:t>
            </w:r>
          </w:p>
          <w:p w:rsidR="00674BF5" w:rsidRPr="00661595" w:rsidRDefault="00674BF5" w:rsidP="00115052">
            <w:pPr>
              <w:pStyle w:val="InstructionsText"/>
            </w:pPr>
            <w:r>
              <w:t>a)</w:t>
            </w:r>
            <w:r>
              <w:tab/>
              <w:t xml:space="preserve">le posizioni in impegni irrevocabili detenute per cinque giorni lavorativi o meno; e </w:t>
            </w:r>
          </w:p>
          <w:p w:rsidR="00674BF5" w:rsidRPr="00661595" w:rsidRDefault="00674BF5" w:rsidP="00115052">
            <w:pPr>
              <w:pStyle w:val="InstructionsText"/>
            </w:pPr>
            <w:r>
              <w:t>b)</w:t>
            </w:r>
            <w:r>
              <w:tab/>
              <w:t>le partecipazioni trattate come partecipazioni incrociate reciproche conformemente all</w:t>
            </w:r>
            <w:r w:rsidR="000878EC">
              <w:t>'</w:t>
            </w:r>
            <w:r>
              <w:t>articolo 66, lettera b), del CRR.</w:t>
            </w:r>
          </w:p>
        </w:tc>
      </w:tr>
      <w:tr w:rsidR="00674BF5" w:rsidRPr="00661595" w:rsidTr="00674BF5">
        <w:tc>
          <w:tcPr>
            <w:tcW w:w="1474" w:type="dxa"/>
          </w:tcPr>
          <w:p w:rsidR="00674BF5" w:rsidRPr="00661595" w:rsidRDefault="00754ADC" w:rsidP="00115052">
            <w:pPr>
              <w:pStyle w:val="InstructionsText"/>
            </w:pPr>
            <w:r>
              <w:t>0400</w:t>
            </w:r>
          </w:p>
        </w:tc>
        <w:tc>
          <w:tcPr>
            <w:tcW w:w="7049" w:type="dxa"/>
          </w:tcPr>
          <w:p w:rsidR="00674BF5" w:rsidRPr="00661595" w:rsidRDefault="00674BF5" w:rsidP="00115052">
            <w:pPr>
              <w:pStyle w:val="InstructionsText"/>
            </w:pPr>
            <w:r>
              <w:rPr>
                <w:rStyle w:val="InstructionsTabelleberschrift"/>
                <w:rFonts w:ascii="Times New Roman" w:hAnsi="Times New Roman"/>
                <w:sz w:val="24"/>
              </w:rPr>
              <w:t>14.1.2</w:t>
            </w:r>
            <w:r w:rsidRPr="00874381">
              <w:tab/>
            </w:r>
            <w:r>
              <w:rPr>
                <w:rStyle w:val="InstructionsTabelleberschrift"/>
                <w:rFonts w:ascii="Times New Roman" w:hAnsi="Times New Roman"/>
                <w:sz w:val="24"/>
              </w:rPr>
              <w:t>(-) Posizioni corte di segno opposto autorizzate in relazione alle detenzioni dirette lorde di cui sopra</w:t>
            </w:r>
          </w:p>
          <w:p w:rsidR="00674BF5" w:rsidRPr="00661595" w:rsidRDefault="00674BF5" w:rsidP="00115052">
            <w:pPr>
              <w:pStyle w:val="InstructionsText"/>
            </w:pPr>
            <w:r>
              <w:t>Articolo 69 del CRR</w:t>
            </w:r>
          </w:p>
          <w:p w:rsidR="00674BF5" w:rsidRPr="00661595" w:rsidRDefault="00674BF5" w:rsidP="00115052">
            <w:pPr>
              <w:pStyle w:val="InstructionsText"/>
            </w:pPr>
            <w:r>
              <w:t>L</w:t>
            </w:r>
            <w:r w:rsidR="000878EC">
              <w:t>'</w:t>
            </w:r>
            <w:r>
              <w:t>articolo 69, lettera a), del CRR permette di compensare le posizioni corte nella stessa esposizione sottostante a condizione che la data di scadenza della posizione corta sia identica o posteriore a quella della posizione lunga o la durata residua della posizione corta sia di almeno un anno.</w:t>
            </w:r>
          </w:p>
        </w:tc>
      </w:tr>
      <w:tr w:rsidR="00674BF5" w:rsidRPr="00661595" w:rsidTr="00674BF5">
        <w:tc>
          <w:tcPr>
            <w:tcW w:w="1474" w:type="dxa"/>
          </w:tcPr>
          <w:p w:rsidR="00674BF5" w:rsidRPr="00661595" w:rsidRDefault="00754ADC" w:rsidP="00115052">
            <w:pPr>
              <w:pStyle w:val="InstructionsText"/>
            </w:pPr>
            <w:r>
              <w:t>0410</w:t>
            </w:r>
          </w:p>
        </w:tc>
        <w:tc>
          <w:tcPr>
            <w:tcW w:w="7049" w:type="dxa"/>
          </w:tcPr>
          <w:p w:rsidR="00674BF5" w:rsidRPr="00661595" w:rsidRDefault="00674BF5" w:rsidP="00115052">
            <w:pPr>
              <w:pStyle w:val="InstructionsText"/>
            </w:pPr>
            <w:r>
              <w:rPr>
                <w:rStyle w:val="InstructionsTabelleberschrift"/>
                <w:rFonts w:ascii="Times New Roman" w:hAnsi="Times New Roman"/>
                <w:sz w:val="24"/>
              </w:rPr>
              <w:t>14.2</w:t>
            </w:r>
            <w:r w:rsidRPr="00BD1A14">
              <w:rPr>
                <w:u w:val="single"/>
              </w:rPr>
              <w:tab/>
            </w:r>
            <w:r>
              <w:rPr>
                <w:rStyle w:val="InstructionsTabelleberschrift"/>
                <w:rFonts w:ascii="Times New Roman" w:hAnsi="Times New Roman"/>
                <w:sz w:val="24"/>
              </w:rPr>
              <w:t>Detenzioni indirette di capitale di classe 2 di soggetti del settore finanziario in cui l</w:t>
            </w:r>
            <w:r w:rsidR="000878EC">
              <w:rPr>
                <w:rStyle w:val="InstructionsTabelleberschrift"/>
                <w:rFonts w:ascii="Times New Roman" w:hAnsi="Times New Roman"/>
                <w:sz w:val="24"/>
              </w:rPr>
              <w:t>'</w:t>
            </w:r>
            <w:r>
              <w:rPr>
                <w:rStyle w:val="InstructionsTabelleberschrift"/>
                <w:rFonts w:ascii="Times New Roman" w:hAnsi="Times New Roman"/>
                <w:sz w:val="24"/>
              </w:rPr>
              <w:t>ente non ha un investimento significativo</w:t>
            </w:r>
          </w:p>
          <w:p w:rsidR="00674BF5" w:rsidRPr="00661595" w:rsidRDefault="00674BF5" w:rsidP="00115052">
            <w:pPr>
              <w:pStyle w:val="InstructionsText"/>
            </w:pPr>
            <w:r>
              <w:t>Articolo 4, paragrafo 1, punto 114, e articoli 68 e 69 del CRR</w:t>
            </w:r>
          </w:p>
        </w:tc>
      </w:tr>
      <w:tr w:rsidR="00674BF5" w:rsidRPr="00661595" w:rsidTr="00674BF5">
        <w:tc>
          <w:tcPr>
            <w:tcW w:w="1474" w:type="dxa"/>
          </w:tcPr>
          <w:p w:rsidR="00674BF5" w:rsidRPr="00661595" w:rsidRDefault="00754ADC" w:rsidP="00115052">
            <w:pPr>
              <w:pStyle w:val="InstructionsText"/>
            </w:pPr>
            <w:r>
              <w:t>0420</w:t>
            </w:r>
          </w:p>
        </w:tc>
        <w:tc>
          <w:tcPr>
            <w:tcW w:w="7049" w:type="dxa"/>
          </w:tcPr>
          <w:p w:rsidR="00674BF5" w:rsidRPr="00661595" w:rsidRDefault="00674BF5" w:rsidP="00115052">
            <w:pPr>
              <w:pStyle w:val="InstructionsText"/>
            </w:pPr>
            <w:r>
              <w:rPr>
                <w:rStyle w:val="InstructionsTabelleberschrift"/>
                <w:rFonts w:ascii="Times New Roman" w:hAnsi="Times New Roman"/>
                <w:sz w:val="24"/>
              </w:rPr>
              <w:t>14.2.1</w:t>
            </w:r>
            <w:r w:rsidRPr="00874381">
              <w:tab/>
            </w:r>
            <w:r>
              <w:rPr>
                <w:rStyle w:val="InstructionsTabelleberschrift"/>
                <w:rFonts w:ascii="Times New Roman" w:hAnsi="Times New Roman"/>
                <w:sz w:val="24"/>
              </w:rPr>
              <w:t>Detenzioni indirette lorde di capitale di classe 2 di soggetti del settore finanziario in cui l</w:t>
            </w:r>
            <w:r w:rsidR="000878EC">
              <w:rPr>
                <w:rStyle w:val="InstructionsTabelleberschrift"/>
                <w:rFonts w:ascii="Times New Roman" w:hAnsi="Times New Roman"/>
                <w:sz w:val="24"/>
              </w:rPr>
              <w:t>'</w:t>
            </w:r>
            <w:r>
              <w:rPr>
                <w:rStyle w:val="InstructionsTabelleberschrift"/>
                <w:rFonts w:ascii="Times New Roman" w:hAnsi="Times New Roman"/>
                <w:sz w:val="24"/>
              </w:rPr>
              <w:t>ente non ha un investimento significativo</w:t>
            </w:r>
          </w:p>
          <w:p w:rsidR="00674BF5" w:rsidRPr="00661595" w:rsidRDefault="00674BF5" w:rsidP="00115052">
            <w:pPr>
              <w:pStyle w:val="InstructionsText"/>
            </w:pPr>
            <w:r>
              <w:t>Articolo 4, paragrafo 1, punto 114, e articoli 68 e 69 del CRR</w:t>
            </w:r>
          </w:p>
          <w:p w:rsidR="00674BF5" w:rsidRPr="00661595" w:rsidRDefault="00674BF5" w:rsidP="00115052">
            <w:pPr>
              <w:pStyle w:val="InstructionsText"/>
            </w:pPr>
            <w:r>
              <w:t>L</w:t>
            </w:r>
            <w:r w:rsidR="000878EC">
              <w:t>'</w:t>
            </w:r>
            <w:r>
              <w:t>importo da segnalare sono le partecipazioni indirette interne al portafoglio di negoziazione e relative agli strumenti di capitale di soggetti del settore finanziario sotto forma di detenzioni di titoli su indici. L</w:t>
            </w:r>
            <w:r w:rsidR="000878EC">
              <w:t>'</w:t>
            </w:r>
            <w:r>
              <w:t>importo si ottiene calcolando l</w:t>
            </w:r>
            <w:r w:rsidR="000878EC">
              <w:t>'</w:t>
            </w:r>
            <w:r>
              <w:t>esposizione sottostante verso gli strumenti di capitale dei soggetti del settore finanziario compresi negli indici.</w:t>
            </w:r>
          </w:p>
          <w:p w:rsidR="00674BF5" w:rsidRPr="00661595" w:rsidRDefault="00674BF5" w:rsidP="00115052">
            <w:pPr>
              <w:pStyle w:val="InstructionsText"/>
            </w:pPr>
            <w:r>
              <w:t>Non sono incluse le partecipazioni trattate come partecipazioni incrociate reciproche conformemente all</w:t>
            </w:r>
            <w:r w:rsidR="000878EC">
              <w:t>'</w:t>
            </w:r>
            <w:r>
              <w:t>articolo 66, lettera b), del CRR.</w:t>
            </w:r>
          </w:p>
        </w:tc>
      </w:tr>
      <w:tr w:rsidR="00674BF5" w:rsidRPr="00661595" w:rsidTr="00674BF5">
        <w:tc>
          <w:tcPr>
            <w:tcW w:w="1474" w:type="dxa"/>
          </w:tcPr>
          <w:p w:rsidR="00674BF5" w:rsidRPr="00661595" w:rsidRDefault="00754ADC" w:rsidP="00BD1A14">
            <w:pPr>
              <w:pStyle w:val="InstructionsText"/>
              <w:keepNext/>
              <w:keepLines/>
            </w:pPr>
            <w:r>
              <w:t>0430</w:t>
            </w:r>
          </w:p>
        </w:tc>
        <w:tc>
          <w:tcPr>
            <w:tcW w:w="7049" w:type="dxa"/>
          </w:tcPr>
          <w:p w:rsidR="00674BF5" w:rsidRPr="00661595" w:rsidRDefault="00674BF5" w:rsidP="00BD1A14">
            <w:pPr>
              <w:pStyle w:val="InstructionsText"/>
              <w:keepNext/>
              <w:keepLines/>
            </w:pPr>
            <w:r>
              <w:rPr>
                <w:rStyle w:val="InstructionsTabelleberschrift"/>
                <w:rFonts w:ascii="Times New Roman" w:hAnsi="Times New Roman"/>
                <w:sz w:val="24"/>
              </w:rPr>
              <w:t>14.2.2</w:t>
            </w:r>
            <w:r w:rsidRPr="00874381">
              <w:tab/>
            </w:r>
            <w:r>
              <w:rPr>
                <w:rStyle w:val="InstructionsTabelleberschrift"/>
                <w:rFonts w:ascii="Times New Roman" w:hAnsi="Times New Roman"/>
                <w:sz w:val="24"/>
              </w:rPr>
              <w:t>(-) Posizioni corte di segno opposto autorizzate in relazione alle detenzioni indirette lorde di cui sopra</w:t>
            </w:r>
          </w:p>
          <w:p w:rsidR="00674BF5" w:rsidRPr="00661595" w:rsidRDefault="00674BF5" w:rsidP="00BD1A14">
            <w:pPr>
              <w:pStyle w:val="InstructionsText"/>
              <w:keepNext/>
              <w:keepLines/>
            </w:pPr>
            <w:r>
              <w:t>Articolo 4, paragrafo 1, punto 114, e articolo 69 del CRR</w:t>
            </w:r>
          </w:p>
          <w:p w:rsidR="00674BF5" w:rsidRPr="00661595" w:rsidRDefault="00674BF5" w:rsidP="00BD1A14">
            <w:pPr>
              <w:pStyle w:val="InstructionsText"/>
              <w:keepNext/>
              <w:keepLines/>
            </w:pPr>
            <w:r>
              <w:t>L</w:t>
            </w:r>
            <w:r w:rsidR="000878EC">
              <w:t>'</w:t>
            </w:r>
            <w:r>
              <w:t>articolo 69, lettera a), del CRR permette di compensare le posizioni corte nella stessa esposizione sottostante a condizione che la data di scadenza della posizione corta sia identica o posteriore a quella della posizione lunga o la durata residua della posizione corta sia di almeno un anno.</w:t>
            </w:r>
          </w:p>
        </w:tc>
      </w:tr>
      <w:tr w:rsidR="00674BF5" w:rsidRPr="00661595" w:rsidTr="00674BF5">
        <w:tc>
          <w:tcPr>
            <w:tcW w:w="1474" w:type="dxa"/>
          </w:tcPr>
          <w:p w:rsidR="00674BF5" w:rsidRPr="00661595" w:rsidRDefault="00754ADC" w:rsidP="00115052">
            <w:pPr>
              <w:pStyle w:val="InstructionsText"/>
            </w:pPr>
            <w:r>
              <w:t>0431</w:t>
            </w:r>
          </w:p>
        </w:tc>
        <w:tc>
          <w:tcPr>
            <w:tcW w:w="7049" w:type="dxa"/>
          </w:tcPr>
          <w:p w:rsidR="00674BF5" w:rsidRPr="00661595" w:rsidRDefault="00674BF5" w:rsidP="00115052">
            <w:pPr>
              <w:pStyle w:val="InstructionsText"/>
            </w:pPr>
            <w:r>
              <w:rPr>
                <w:rStyle w:val="InstructionsTabelleberschrift"/>
                <w:rFonts w:ascii="Times New Roman" w:hAnsi="Times New Roman"/>
                <w:sz w:val="24"/>
              </w:rPr>
              <w:t>14.3</w:t>
            </w:r>
            <w:r w:rsidRPr="00BD1A14">
              <w:rPr>
                <w:u w:val="single"/>
              </w:rPr>
              <w:tab/>
            </w:r>
            <w:r>
              <w:rPr>
                <w:rStyle w:val="InstructionsTabelleberschrift"/>
                <w:rFonts w:ascii="Times New Roman" w:hAnsi="Times New Roman"/>
                <w:sz w:val="24"/>
              </w:rPr>
              <w:t>Detenzioni sintetiche di capitale di classe 2 di soggetti del settore finanziario in cui l</w:t>
            </w:r>
            <w:r w:rsidR="000878EC">
              <w:rPr>
                <w:rStyle w:val="InstructionsTabelleberschrift"/>
                <w:rFonts w:ascii="Times New Roman" w:hAnsi="Times New Roman"/>
                <w:sz w:val="24"/>
              </w:rPr>
              <w:t>'</w:t>
            </w:r>
            <w:r>
              <w:rPr>
                <w:rStyle w:val="InstructionsTabelleberschrift"/>
                <w:rFonts w:ascii="Times New Roman" w:hAnsi="Times New Roman"/>
                <w:sz w:val="24"/>
              </w:rPr>
              <w:t>ente non ha un investimento significativo</w:t>
            </w:r>
          </w:p>
          <w:p w:rsidR="00674BF5" w:rsidRPr="00661595" w:rsidRDefault="00674BF5" w:rsidP="00115052">
            <w:pPr>
              <w:pStyle w:val="InstructionsText"/>
              <w:rPr>
                <w:rStyle w:val="InstructionsTabelleberschrift"/>
                <w:rFonts w:ascii="Times New Roman" w:hAnsi="Times New Roman"/>
                <w:sz w:val="24"/>
              </w:rPr>
            </w:pPr>
            <w:r>
              <w:t>Articolo 4, paragrafo 1, punto 126, e articoli 68 e 69 del CRR</w:t>
            </w:r>
          </w:p>
        </w:tc>
      </w:tr>
      <w:tr w:rsidR="00674BF5" w:rsidRPr="00661595" w:rsidTr="00674BF5">
        <w:tc>
          <w:tcPr>
            <w:tcW w:w="1474" w:type="dxa"/>
          </w:tcPr>
          <w:p w:rsidR="00674BF5" w:rsidRPr="00661595" w:rsidRDefault="00754ADC" w:rsidP="00115052">
            <w:pPr>
              <w:pStyle w:val="InstructionsText"/>
            </w:pPr>
            <w:r>
              <w:t>0432</w:t>
            </w:r>
          </w:p>
        </w:tc>
        <w:tc>
          <w:tcPr>
            <w:tcW w:w="7049" w:type="dxa"/>
          </w:tcPr>
          <w:p w:rsidR="00674BF5" w:rsidRPr="00661595" w:rsidRDefault="00674BF5" w:rsidP="00115052">
            <w:pPr>
              <w:pStyle w:val="InstructionsText"/>
            </w:pPr>
            <w:r>
              <w:rPr>
                <w:rStyle w:val="InstructionsTabelleberschrift"/>
                <w:rFonts w:ascii="Times New Roman" w:hAnsi="Times New Roman"/>
                <w:sz w:val="24"/>
              </w:rPr>
              <w:t>14.3.1</w:t>
            </w:r>
            <w:r w:rsidRPr="00874381">
              <w:tab/>
            </w:r>
            <w:r>
              <w:rPr>
                <w:rStyle w:val="InstructionsTabelleberschrift"/>
                <w:rFonts w:ascii="Times New Roman" w:hAnsi="Times New Roman"/>
                <w:sz w:val="24"/>
              </w:rPr>
              <w:t>Detenzioni sintetiche lorde di capitale di classe 2 di soggetti del settore finanziario in cui l</w:t>
            </w:r>
            <w:r w:rsidR="000878EC">
              <w:rPr>
                <w:rStyle w:val="InstructionsTabelleberschrift"/>
                <w:rFonts w:ascii="Times New Roman" w:hAnsi="Times New Roman"/>
                <w:sz w:val="24"/>
              </w:rPr>
              <w:t>'</w:t>
            </w:r>
            <w:r>
              <w:rPr>
                <w:rStyle w:val="InstructionsTabelleberschrift"/>
                <w:rFonts w:ascii="Times New Roman" w:hAnsi="Times New Roman"/>
                <w:sz w:val="24"/>
              </w:rPr>
              <w:t>ente non ha un investimento significativo</w:t>
            </w:r>
          </w:p>
          <w:p w:rsidR="00674BF5" w:rsidRPr="00661595" w:rsidRDefault="00674BF5" w:rsidP="00115052">
            <w:pPr>
              <w:pStyle w:val="InstructionsText"/>
              <w:rPr>
                <w:rStyle w:val="InstructionsTabelleberschrift"/>
                <w:rFonts w:ascii="Times New Roman" w:hAnsi="Times New Roman"/>
                <w:b w:val="0"/>
                <w:bCs w:val="0"/>
                <w:sz w:val="24"/>
                <w:u w:val="none"/>
              </w:rPr>
            </w:pPr>
            <w:r>
              <w:t>Articolo 4, paragrafo 1, punto 126, e articoli 68 e 69 del CRR</w:t>
            </w:r>
          </w:p>
        </w:tc>
      </w:tr>
      <w:tr w:rsidR="00674BF5" w:rsidRPr="00661595" w:rsidTr="00674BF5">
        <w:tc>
          <w:tcPr>
            <w:tcW w:w="1474" w:type="dxa"/>
          </w:tcPr>
          <w:p w:rsidR="00674BF5" w:rsidRPr="00661595" w:rsidRDefault="00754ADC" w:rsidP="00115052">
            <w:pPr>
              <w:pStyle w:val="InstructionsText"/>
            </w:pPr>
            <w:r>
              <w:t>0433</w:t>
            </w:r>
          </w:p>
        </w:tc>
        <w:tc>
          <w:tcPr>
            <w:tcW w:w="7049" w:type="dxa"/>
          </w:tcPr>
          <w:p w:rsidR="00674BF5" w:rsidRPr="00661595" w:rsidRDefault="00674BF5" w:rsidP="00115052">
            <w:pPr>
              <w:pStyle w:val="InstructionsText"/>
            </w:pPr>
            <w:r>
              <w:rPr>
                <w:rStyle w:val="InstructionsTabelleberschrift"/>
                <w:rFonts w:ascii="Times New Roman" w:hAnsi="Times New Roman"/>
                <w:sz w:val="24"/>
              </w:rPr>
              <w:t>14.3.2</w:t>
            </w:r>
            <w:r w:rsidRPr="00874381">
              <w:tab/>
            </w:r>
            <w:r>
              <w:rPr>
                <w:rStyle w:val="InstructionsTabelleberschrift"/>
                <w:rFonts w:ascii="Times New Roman" w:hAnsi="Times New Roman"/>
                <w:sz w:val="24"/>
              </w:rPr>
              <w:t>(-) Posizioni corte di segno opposto autorizzate in relazione alle detenzioni sintetiche lorde di cui sopra</w:t>
            </w:r>
          </w:p>
          <w:p w:rsidR="00674BF5" w:rsidRPr="00661595" w:rsidRDefault="00674BF5" w:rsidP="00115052">
            <w:pPr>
              <w:pStyle w:val="InstructionsText"/>
            </w:pPr>
            <w:r>
              <w:t>Articolo 4, paragrafo 1, punto 126, e articolo 69 del CRR</w:t>
            </w:r>
          </w:p>
          <w:p w:rsidR="002D31E5" w:rsidRPr="00661595" w:rsidRDefault="000D04B6" w:rsidP="00115052">
            <w:pPr>
              <w:pStyle w:val="InstructionsText"/>
              <w:rPr>
                <w:rStyle w:val="InstructionsTabelleberschrift"/>
                <w:rFonts w:ascii="Times New Roman" w:hAnsi="Times New Roman"/>
                <w:b w:val="0"/>
                <w:bCs w:val="0"/>
                <w:sz w:val="24"/>
                <w:u w:val="none"/>
              </w:rPr>
            </w:pPr>
            <w:r>
              <w:t>L</w:t>
            </w:r>
            <w:r w:rsidR="000878EC">
              <w:t>'</w:t>
            </w:r>
            <w:r>
              <w:t>articolo 69, lettera a), del CRR permette di compensare le posizioni corte nella stessa esposizione sottostante a condizione che la data di scadenza della posizione corta sia identica o posteriore a quella della posizione lunga o la durata residua della posizione corta sia di almeno un anno.</w:t>
            </w:r>
          </w:p>
        </w:tc>
      </w:tr>
      <w:tr w:rsidR="00674BF5" w:rsidRPr="00661595" w:rsidTr="00674BF5">
        <w:tc>
          <w:tcPr>
            <w:tcW w:w="1474" w:type="dxa"/>
          </w:tcPr>
          <w:p w:rsidR="00674BF5" w:rsidRPr="00661595" w:rsidRDefault="00754ADC" w:rsidP="00115052">
            <w:pPr>
              <w:pStyle w:val="InstructionsText"/>
            </w:pPr>
            <w:r>
              <w:t>0440</w:t>
            </w:r>
          </w:p>
        </w:tc>
        <w:tc>
          <w:tcPr>
            <w:tcW w:w="7049" w:type="dxa"/>
          </w:tcPr>
          <w:p w:rsidR="00674BF5" w:rsidRPr="00661595" w:rsidRDefault="00674BF5" w:rsidP="00115052">
            <w:pPr>
              <w:pStyle w:val="InstructionsText"/>
            </w:pPr>
            <w:r>
              <w:rPr>
                <w:rStyle w:val="InstructionsTabelleberschrift"/>
                <w:rFonts w:ascii="Times New Roman" w:hAnsi="Times New Roman"/>
                <w:sz w:val="24"/>
              </w:rPr>
              <w:t>15</w:t>
            </w:r>
            <w:r w:rsidRPr="00BD1A14">
              <w:rPr>
                <w:u w:val="single"/>
              </w:rPr>
              <w:tab/>
            </w:r>
            <w:r>
              <w:rPr>
                <w:rStyle w:val="InstructionsTabelleberschrift"/>
                <w:rFonts w:ascii="Times New Roman" w:hAnsi="Times New Roman"/>
                <w:sz w:val="24"/>
              </w:rPr>
              <w:t>Detenzioni di capitale primario di classe 1 di soggetti del settore finanziario in cui l</w:t>
            </w:r>
            <w:r w:rsidR="000878EC">
              <w:rPr>
                <w:rStyle w:val="InstructionsTabelleberschrift"/>
                <w:rFonts w:ascii="Times New Roman" w:hAnsi="Times New Roman"/>
                <w:sz w:val="24"/>
              </w:rPr>
              <w:t>'</w:t>
            </w:r>
            <w:r>
              <w:rPr>
                <w:rStyle w:val="InstructionsTabelleberschrift"/>
                <w:rFonts w:ascii="Times New Roman" w:hAnsi="Times New Roman"/>
                <w:sz w:val="24"/>
              </w:rPr>
              <w:t>ente ha un investimento significativo, al netto delle posizioni corte</w:t>
            </w:r>
          </w:p>
          <w:p w:rsidR="00674BF5" w:rsidRPr="00661595" w:rsidRDefault="00674BF5" w:rsidP="00115052">
            <w:pPr>
              <w:pStyle w:val="InstructionsText"/>
            </w:pPr>
            <w:r>
              <w:t>Articoli 44, 45, 47 e 49 del CRR</w:t>
            </w:r>
          </w:p>
        </w:tc>
      </w:tr>
      <w:tr w:rsidR="00674BF5" w:rsidRPr="00661595" w:rsidTr="00674BF5">
        <w:tc>
          <w:tcPr>
            <w:tcW w:w="1474" w:type="dxa"/>
          </w:tcPr>
          <w:p w:rsidR="00674BF5" w:rsidRPr="00661595" w:rsidRDefault="00754ADC" w:rsidP="00115052">
            <w:pPr>
              <w:pStyle w:val="InstructionsText"/>
            </w:pPr>
            <w:r>
              <w:t>0450</w:t>
            </w:r>
          </w:p>
        </w:tc>
        <w:tc>
          <w:tcPr>
            <w:tcW w:w="7049" w:type="dxa"/>
          </w:tcPr>
          <w:p w:rsidR="00674BF5" w:rsidRPr="00661595" w:rsidRDefault="00674BF5" w:rsidP="00115052">
            <w:pPr>
              <w:pStyle w:val="InstructionsText"/>
            </w:pPr>
            <w:r>
              <w:rPr>
                <w:rStyle w:val="InstructionsTabelleberschrift"/>
                <w:rFonts w:ascii="Times New Roman" w:hAnsi="Times New Roman"/>
                <w:sz w:val="24"/>
              </w:rPr>
              <w:t>15.1</w:t>
            </w:r>
            <w:r w:rsidRPr="00BD1A14">
              <w:rPr>
                <w:u w:val="single"/>
              </w:rPr>
              <w:tab/>
            </w:r>
            <w:r>
              <w:rPr>
                <w:rStyle w:val="InstructionsTabelleberschrift"/>
                <w:rFonts w:ascii="Times New Roman" w:hAnsi="Times New Roman"/>
                <w:sz w:val="24"/>
              </w:rPr>
              <w:t>Detenzioni dirette di capitale primario di classe 1 di soggetti del settore finanziario in cui l</w:t>
            </w:r>
            <w:r w:rsidR="000878EC">
              <w:rPr>
                <w:rStyle w:val="InstructionsTabelleberschrift"/>
                <w:rFonts w:ascii="Times New Roman" w:hAnsi="Times New Roman"/>
                <w:sz w:val="24"/>
              </w:rPr>
              <w:t>'</w:t>
            </w:r>
            <w:r>
              <w:rPr>
                <w:rStyle w:val="InstructionsTabelleberschrift"/>
                <w:rFonts w:ascii="Times New Roman" w:hAnsi="Times New Roman"/>
                <w:sz w:val="24"/>
              </w:rPr>
              <w:t>ente ha un investimento significativo</w:t>
            </w:r>
          </w:p>
          <w:p w:rsidR="00674BF5" w:rsidRPr="00661595" w:rsidRDefault="00674BF5" w:rsidP="00115052">
            <w:pPr>
              <w:pStyle w:val="InstructionsText"/>
            </w:pPr>
            <w:r>
              <w:t>Articoli 44, 45, 47 e 49 del CRR</w:t>
            </w:r>
          </w:p>
        </w:tc>
      </w:tr>
      <w:tr w:rsidR="00674BF5" w:rsidRPr="00661595" w:rsidTr="00674BF5">
        <w:tc>
          <w:tcPr>
            <w:tcW w:w="1474" w:type="dxa"/>
          </w:tcPr>
          <w:p w:rsidR="00674BF5" w:rsidRPr="00661595" w:rsidRDefault="00754ADC" w:rsidP="00115052">
            <w:pPr>
              <w:pStyle w:val="InstructionsText"/>
            </w:pPr>
            <w:r>
              <w:t>0460</w:t>
            </w:r>
          </w:p>
        </w:tc>
        <w:tc>
          <w:tcPr>
            <w:tcW w:w="7049" w:type="dxa"/>
          </w:tcPr>
          <w:p w:rsidR="00674BF5" w:rsidRPr="00661595" w:rsidRDefault="00674BF5" w:rsidP="00115052">
            <w:pPr>
              <w:pStyle w:val="InstructionsText"/>
            </w:pPr>
            <w:r>
              <w:rPr>
                <w:rStyle w:val="InstructionsTabelleberschrift"/>
                <w:rFonts w:ascii="Times New Roman" w:hAnsi="Times New Roman"/>
                <w:sz w:val="24"/>
              </w:rPr>
              <w:t>15.1.1</w:t>
            </w:r>
            <w:r w:rsidRPr="00874381">
              <w:tab/>
            </w:r>
            <w:r>
              <w:rPr>
                <w:rStyle w:val="InstructionsTabelleberschrift"/>
                <w:rFonts w:ascii="Times New Roman" w:hAnsi="Times New Roman"/>
                <w:sz w:val="24"/>
              </w:rPr>
              <w:t>Detenzioni dirette lorde di capitale primario di classe 1 di soggetti del settore finanziario in cui l</w:t>
            </w:r>
            <w:r w:rsidR="000878EC">
              <w:rPr>
                <w:rStyle w:val="InstructionsTabelleberschrift"/>
                <w:rFonts w:ascii="Times New Roman" w:hAnsi="Times New Roman"/>
                <w:sz w:val="24"/>
              </w:rPr>
              <w:t>'</w:t>
            </w:r>
            <w:r>
              <w:rPr>
                <w:rStyle w:val="InstructionsTabelleberschrift"/>
                <w:rFonts w:ascii="Times New Roman" w:hAnsi="Times New Roman"/>
                <w:sz w:val="24"/>
              </w:rPr>
              <w:t>ente ha un investimento significativo</w:t>
            </w:r>
          </w:p>
          <w:p w:rsidR="00674BF5" w:rsidRPr="00661595" w:rsidRDefault="00674BF5" w:rsidP="00115052">
            <w:pPr>
              <w:pStyle w:val="InstructionsText"/>
            </w:pPr>
            <w:r>
              <w:t>Articoli 44, 45, 47 e 49 del CRR</w:t>
            </w:r>
          </w:p>
          <w:p w:rsidR="00674BF5" w:rsidRPr="00661595" w:rsidRDefault="00674BF5" w:rsidP="00115052">
            <w:pPr>
              <w:pStyle w:val="InstructionsText"/>
            </w:pPr>
            <w:r>
              <w:t>Partecipazioni dirette nel capitale primario di classe 1 di soggetti del settore finanziario in cui l</w:t>
            </w:r>
            <w:r w:rsidR="000878EC">
              <w:t>'</w:t>
            </w:r>
            <w:r>
              <w:t>ente ha un investimento significativo, esclusi:</w:t>
            </w:r>
          </w:p>
          <w:p w:rsidR="00674BF5" w:rsidRPr="00661595" w:rsidRDefault="00674BF5" w:rsidP="00115052">
            <w:pPr>
              <w:pStyle w:val="InstructionsText"/>
            </w:pPr>
            <w:r>
              <w:t>a)</w:t>
            </w:r>
            <w:r>
              <w:tab/>
              <w:t xml:space="preserve">le posizioni in impegni irrevocabili detenute per cinque giorni lavorativi o meno; </w:t>
            </w:r>
          </w:p>
          <w:p w:rsidR="00674BF5" w:rsidRPr="00661595" w:rsidRDefault="00674BF5" w:rsidP="00115052">
            <w:pPr>
              <w:pStyle w:val="InstructionsText"/>
            </w:pPr>
            <w:r>
              <w:t>b)</w:t>
            </w:r>
            <w:r>
              <w:tab/>
              <w:t>gli importi relativi agli investimenti ai quali si applica qualsiasi alternativa di cui all</w:t>
            </w:r>
            <w:r w:rsidR="000878EC">
              <w:t>'</w:t>
            </w:r>
            <w:r>
              <w:t xml:space="preserve">articolo 49; e </w:t>
            </w:r>
          </w:p>
          <w:p w:rsidR="00674BF5" w:rsidRPr="00661595" w:rsidRDefault="00674BF5" w:rsidP="00115052">
            <w:pPr>
              <w:pStyle w:val="InstructionsText"/>
            </w:pPr>
            <w:r>
              <w:t>c)</w:t>
            </w:r>
            <w:r>
              <w:tab/>
              <w:t>le partecipazioni trattate come partecipazioni incrociate reciproche conformemente all</w:t>
            </w:r>
            <w:r w:rsidR="000878EC">
              <w:t>'</w:t>
            </w:r>
            <w:r>
              <w:t>articolo 36, paragrafo 1, lettera g), del CRR.</w:t>
            </w:r>
          </w:p>
        </w:tc>
      </w:tr>
      <w:tr w:rsidR="00674BF5" w:rsidRPr="00661595" w:rsidTr="00674BF5">
        <w:tc>
          <w:tcPr>
            <w:tcW w:w="1474" w:type="dxa"/>
          </w:tcPr>
          <w:p w:rsidR="00674BF5" w:rsidRPr="00661595" w:rsidRDefault="00754ADC" w:rsidP="00115052">
            <w:pPr>
              <w:pStyle w:val="InstructionsText"/>
            </w:pPr>
            <w:r>
              <w:t>0470</w:t>
            </w:r>
          </w:p>
        </w:tc>
        <w:tc>
          <w:tcPr>
            <w:tcW w:w="7049" w:type="dxa"/>
          </w:tcPr>
          <w:p w:rsidR="00674BF5" w:rsidRPr="00661595" w:rsidRDefault="00674BF5" w:rsidP="00115052">
            <w:pPr>
              <w:pStyle w:val="InstructionsText"/>
            </w:pPr>
            <w:r>
              <w:rPr>
                <w:rStyle w:val="InstructionsTabelleberschrift"/>
                <w:rFonts w:ascii="Times New Roman" w:hAnsi="Times New Roman"/>
                <w:sz w:val="24"/>
              </w:rPr>
              <w:t>15.1.2</w:t>
            </w:r>
            <w:r w:rsidRPr="00874381">
              <w:tab/>
            </w:r>
            <w:r>
              <w:rPr>
                <w:rStyle w:val="InstructionsTabelleberschrift"/>
                <w:rFonts w:ascii="Times New Roman" w:hAnsi="Times New Roman"/>
                <w:sz w:val="24"/>
              </w:rPr>
              <w:t>(-) Posizioni corte di segno opposto autorizzate in relazione alle detenzioni dirette lorde di cui sopra</w:t>
            </w:r>
          </w:p>
          <w:p w:rsidR="00674BF5" w:rsidRPr="00661595" w:rsidRDefault="00674BF5" w:rsidP="00115052">
            <w:pPr>
              <w:pStyle w:val="InstructionsText"/>
            </w:pPr>
            <w:r>
              <w:t>Articolo 45 del CRR</w:t>
            </w:r>
          </w:p>
          <w:p w:rsidR="00674BF5" w:rsidRPr="00661595" w:rsidRDefault="00674BF5" w:rsidP="00115052">
            <w:pPr>
              <w:pStyle w:val="InstructionsText"/>
            </w:pPr>
            <w:r>
              <w:t>L</w:t>
            </w:r>
            <w:r w:rsidR="000878EC">
              <w:t>'</w:t>
            </w:r>
            <w:r>
              <w:t>articolo 45, lettera a), del CRR permette di compensare le posizioni corte nella stessa esposizione sottostante a condizione che la data di scadenza della posizione corta sia identica o posteriore a quella della posizione lunga o la durata residua della posizione corta sia di almeno un anno.</w:t>
            </w:r>
          </w:p>
        </w:tc>
      </w:tr>
      <w:tr w:rsidR="00674BF5" w:rsidRPr="00661595" w:rsidTr="00674BF5">
        <w:tc>
          <w:tcPr>
            <w:tcW w:w="1474" w:type="dxa"/>
          </w:tcPr>
          <w:p w:rsidR="00674BF5" w:rsidRPr="00661595" w:rsidRDefault="00754ADC" w:rsidP="00115052">
            <w:pPr>
              <w:pStyle w:val="InstructionsText"/>
            </w:pPr>
            <w:r>
              <w:t>0480</w:t>
            </w:r>
          </w:p>
        </w:tc>
        <w:tc>
          <w:tcPr>
            <w:tcW w:w="7049" w:type="dxa"/>
          </w:tcPr>
          <w:p w:rsidR="00674BF5" w:rsidRPr="00661595" w:rsidRDefault="00674BF5" w:rsidP="00115052">
            <w:pPr>
              <w:pStyle w:val="InstructionsText"/>
            </w:pPr>
            <w:r>
              <w:rPr>
                <w:rStyle w:val="InstructionsTabelleberschrift"/>
                <w:rFonts w:ascii="Times New Roman" w:hAnsi="Times New Roman"/>
                <w:sz w:val="24"/>
              </w:rPr>
              <w:t>15.2</w:t>
            </w:r>
            <w:r w:rsidRPr="00BD1A14">
              <w:rPr>
                <w:u w:val="single"/>
              </w:rPr>
              <w:tab/>
            </w:r>
            <w:r>
              <w:rPr>
                <w:rStyle w:val="InstructionsTabelleberschrift"/>
                <w:rFonts w:ascii="Times New Roman" w:hAnsi="Times New Roman"/>
                <w:sz w:val="24"/>
              </w:rPr>
              <w:t>Detenzioni indirette di capitale primario di classe 1 di soggetti del settore finanziario in cui l</w:t>
            </w:r>
            <w:r w:rsidR="000878EC">
              <w:rPr>
                <w:rStyle w:val="InstructionsTabelleberschrift"/>
                <w:rFonts w:ascii="Times New Roman" w:hAnsi="Times New Roman"/>
                <w:sz w:val="24"/>
              </w:rPr>
              <w:t>'</w:t>
            </w:r>
            <w:r>
              <w:rPr>
                <w:rStyle w:val="InstructionsTabelleberschrift"/>
                <w:rFonts w:ascii="Times New Roman" w:hAnsi="Times New Roman"/>
                <w:sz w:val="24"/>
              </w:rPr>
              <w:t>ente ha un investimento significativo</w:t>
            </w:r>
          </w:p>
          <w:p w:rsidR="00674BF5" w:rsidRPr="00661595" w:rsidRDefault="00674BF5" w:rsidP="00115052">
            <w:pPr>
              <w:pStyle w:val="InstructionsText"/>
            </w:pPr>
            <w:r>
              <w:t>Articolo 4, paragrafo 1, punto 114, e articoli 44 e 45 del CRR</w:t>
            </w:r>
          </w:p>
        </w:tc>
      </w:tr>
      <w:tr w:rsidR="00674BF5" w:rsidRPr="00661595" w:rsidTr="00674BF5">
        <w:tc>
          <w:tcPr>
            <w:tcW w:w="1474" w:type="dxa"/>
          </w:tcPr>
          <w:p w:rsidR="00674BF5" w:rsidRPr="00661595" w:rsidRDefault="00754ADC" w:rsidP="00115052">
            <w:pPr>
              <w:pStyle w:val="InstructionsText"/>
            </w:pPr>
            <w:r>
              <w:t>0490</w:t>
            </w:r>
          </w:p>
        </w:tc>
        <w:tc>
          <w:tcPr>
            <w:tcW w:w="7049" w:type="dxa"/>
          </w:tcPr>
          <w:p w:rsidR="00674BF5" w:rsidRPr="00661595" w:rsidRDefault="00674BF5" w:rsidP="00115052">
            <w:pPr>
              <w:pStyle w:val="InstructionsText"/>
            </w:pPr>
            <w:r>
              <w:rPr>
                <w:rStyle w:val="InstructionsTabelleberschrift"/>
                <w:rFonts w:ascii="Times New Roman" w:hAnsi="Times New Roman"/>
                <w:sz w:val="24"/>
              </w:rPr>
              <w:t>15.2.1</w:t>
            </w:r>
            <w:r w:rsidRPr="00874381">
              <w:tab/>
            </w:r>
            <w:r>
              <w:rPr>
                <w:rStyle w:val="InstructionsTabelleberschrift"/>
                <w:rFonts w:ascii="Times New Roman" w:hAnsi="Times New Roman"/>
                <w:sz w:val="24"/>
              </w:rPr>
              <w:t>Detenzioni indirette lorde di capitale primario di classe 1 di soggetti del settore finanziario in cui l</w:t>
            </w:r>
            <w:r w:rsidR="000878EC">
              <w:rPr>
                <w:rStyle w:val="InstructionsTabelleberschrift"/>
                <w:rFonts w:ascii="Times New Roman" w:hAnsi="Times New Roman"/>
                <w:sz w:val="24"/>
              </w:rPr>
              <w:t>'</w:t>
            </w:r>
            <w:r>
              <w:rPr>
                <w:rStyle w:val="InstructionsTabelleberschrift"/>
                <w:rFonts w:ascii="Times New Roman" w:hAnsi="Times New Roman"/>
                <w:sz w:val="24"/>
              </w:rPr>
              <w:t>ente ha un investimento significativo</w:t>
            </w:r>
          </w:p>
          <w:p w:rsidR="00674BF5" w:rsidRPr="00661595" w:rsidRDefault="00674BF5" w:rsidP="00115052">
            <w:pPr>
              <w:pStyle w:val="InstructionsText"/>
            </w:pPr>
            <w:r>
              <w:t>Articolo 4, paragrafo 1, punto 114, e articoli 44 e 45 del CRR</w:t>
            </w:r>
          </w:p>
          <w:p w:rsidR="00674BF5" w:rsidRPr="00661595" w:rsidRDefault="00674BF5" w:rsidP="00115052">
            <w:pPr>
              <w:pStyle w:val="InstructionsText"/>
            </w:pPr>
            <w:r>
              <w:t>L</w:t>
            </w:r>
            <w:r w:rsidR="000878EC">
              <w:t>'</w:t>
            </w:r>
            <w:r>
              <w:t>importo da segnalare sono le partecipazioni indirette interne al portafoglio di negoziazione e relative agli strumenti di capitale di soggetti del settore finanziario sotto forma di detenzioni di titoli su indici. L</w:t>
            </w:r>
            <w:r w:rsidR="000878EC">
              <w:t>'</w:t>
            </w:r>
            <w:r>
              <w:t>importo si ottiene calcolando l</w:t>
            </w:r>
            <w:r w:rsidR="000878EC">
              <w:t>'</w:t>
            </w:r>
            <w:r>
              <w:t>esposizione sottostante verso gli strumenti di capitale dei soggetti del settore finanziario compresi negli indici.</w:t>
            </w:r>
          </w:p>
          <w:p w:rsidR="00674BF5" w:rsidRPr="00661595" w:rsidRDefault="00674BF5" w:rsidP="00115052">
            <w:pPr>
              <w:pStyle w:val="InstructionsText"/>
            </w:pPr>
            <w:r>
              <w:t>Non sono incluse le partecipazioni trattate come partecipazioni incrociate reciproche conformemente all</w:t>
            </w:r>
            <w:r w:rsidR="000878EC">
              <w:t>'</w:t>
            </w:r>
            <w:r>
              <w:t>ar</w:t>
            </w:r>
            <w:r w:rsidR="00543281">
              <w:t>ticolo 36, paragrafo 1, lettera </w:t>
            </w:r>
            <w:r>
              <w:t>g), del CRR.</w:t>
            </w:r>
          </w:p>
        </w:tc>
      </w:tr>
      <w:tr w:rsidR="00674BF5" w:rsidRPr="00661595" w:rsidTr="00674BF5">
        <w:tc>
          <w:tcPr>
            <w:tcW w:w="1474" w:type="dxa"/>
          </w:tcPr>
          <w:p w:rsidR="00674BF5" w:rsidRPr="00661595" w:rsidRDefault="00754ADC" w:rsidP="00115052">
            <w:pPr>
              <w:pStyle w:val="InstructionsText"/>
            </w:pPr>
            <w:r>
              <w:t>0500</w:t>
            </w:r>
          </w:p>
        </w:tc>
        <w:tc>
          <w:tcPr>
            <w:tcW w:w="7049" w:type="dxa"/>
          </w:tcPr>
          <w:p w:rsidR="00674BF5" w:rsidRPr="00661595" w:rsidRDefault="00674BF5" w:rsidP="00115052">
            <w:pPr>
              <w:pStyle w:val="InstructionsText"/>
            </w:pPr>
            <w:r>
              <w:rPr>
                <w:rStyle w:val="InstructionsTabelleberschrift"/>
                <w:rFonts w:ascii="Times New Roman" w:hAnsi="Times New Roman"/>
                <w:sz w:val="24"/>
              </w:rPr>
              <w:t>15.2.2</w:t>
            </w:r>
            <w:r w:rsidRPr="00874381">
              <w:tab/>
            </w:r>
            <w:r>
              <w:rPr>
                <w:rStyle w:val="InstructionsTabelleberschrift"/>
                <w:rFonts w:ascii="Times New Roman" w:hAnsi="Times New Roman"/>
                <w:sz w:val="24"/>
              </w:rPr>
              <w:t>(-) Posizioni corte di segno opposto autorizzate in relazione alle detenzioni indirette lorde di cui sopra</w:t>
            </w:r>
          </w:p>
          <w:p w:rsidR="00674BF5" w:rsidRPr="00661595" w:rsidRDefault="00674BF5" w:rsidP="00115052">
            <w:pPr>
              <w:pStyle w:val="InstructionsText"/>
            </w:pPr>
            <w:r>
              <w:t>Articolo 4, paragrafo 1, punto 114, e articolo 45 del CRR</w:t>
            </w:r>
          </w:p>
          <w:p w:rsidR="00674BF5" w:rsidRPr="00661595" w:rsidRDefault="00674BF5" w:rsidP="00115052">
            <w:pPr>
              <w:pStyle w:val="InstructionsText"/>
            </w:pPr>
            <w:r>
              <w:t>L</w:t>
            </w:r>
            <w:r w:rsidR="000878EC">
              <w:t>'</w:t>
            </w:r>
            <w:r>
              <w:t>articolo 45, lettera a), del CRR permette di compensare le posizioni corte nella stessa esposizione sottostante a condizione che la data di scadenza della posizione corta sia identica o posteriore a quella della posizione lunga o la durata residua della posizione corta sia di almeno un anno.</w:t>
            </w:r>
          </w:p>
        </w:tc>
      </w:tr>
      <w:tr w:rsidR="00674BF5" w:rsidRPr="00661595" w:rsidTr="00674BF5">
        <w:tc>
          <w:tcPr>
            <w:tcW w:w="1474" w:type="dxa"/>
          </w:tcPr>
          <w:p w:rsidR="00674BF5" w:rsidRPr="00661595" w:rsidRDefault="00754ADC" w:rsidP="00115052">
            <w:pPr>
              <w:pStyle w:val="InstructionsText"/>
            </w:pPr>
            <w:r>
              <w:t>0501</w:t>
            </w:r>
          </w:p>
        </w:tc>
        <w:tc>
          <w:tcPr>
            <w:tcW w:w="7049" w:type="dxa"/>
          </w:tcPr>
          <w:p w:rsidR="00674BF5" w:rsidRPr="00661595" w:rsidRDefault="00674BF5" w:rsidP="00115052">
            <w:pPr>
              <w:pStyle w:val="InstructionsText"/>
            </w:pPr>
            <w:r>
              <w:rPr>
                <w:rStyle w:val="InstructionsTabelleberschrift"/>
                <w:rFonts w:ascii="Times New Roman" w:hAnsi="Times New Roman"/>
                <w:sz w:val="24"/>
              </w:rPr>
              <w:t>15.3</w:t>
            </w:r>
            <w:r w:rsidRPr="00BD1A14">
              <w:rPr>
                <w:u w:val="single"/>
              </w:rPr>
              <w:tab/>
            </w:r>
            <w:r>
              <w:rPr>
                <w:rStyle w:val="InstructionsTabelleberschrift"/>
                <w:rFonts w:ascii="Times New Roman" w:hAnsi="Times New Roman"/>
                <w:sz w:val="24"/>
              </w:rPr>
              <w:t>Detenzioni sintetiche di capitale primario di classe 1 di soggetti del settore finanziario in cui l</w:t>
            </w:r>
            <w:r w:rsidR="000878EC">
              <w:rPr>
                <w:rStyle w:val="InstructionsTabelleberschrift"/>
                <w:rFonts w:ascii="Times New Roman" w:hAnsi="Times New Roman"/>
                <w:sz w:val="24"/>
              </w:rPr>
              <w:t>'</w:t>
            </w:r>
            <w:r>
              <w:rPr>
                <w:rStyle w:val="InstructionsTabelleberschrift"/>
                <w:rFonts w:ascii="Times New Roman" w:hAnsi="Times New Roman"/>
                <w:sz w:val="24"/>
              </w:rPr>
              <w:t>ente ha un investimento significativo</w:t>
            </w:r>
          </w:p>
          <w:p w:rsidR="00674BF5" w:rsidRPr="00661595" w:rsidRDefault="00674BF5" w:rsidP="00115052">
            <w:pPr>
              <w:pStyle w:val="InstructionsText"/>
            </w:pPr>
            <w:r>
              <w:t>Articolo 4, paragrafo 1, punto 126, e articoli 44 e 45 del CRR</w:t>
            </w:r>
          </w:p>
        </w:tc>
      </w:tr>
      <w:tr w:rsidR="00674BF5" w:rsidRPr="00BD1A14" w:rsidTr="00674BF5">
        <w:tc>
          <w:tcPr>
            <w:tcW w:w="1474" w:type="dxa"/>
          </w:tcPr>
          <w:p w:rsidR="00674BF5" w:rsidRPr="00BD1A14" w:rsidRDefault="00754ADC" w:rsidP="00BD1A14">
            <w:pPr>
              <w:pStyle w:val="InstructionsText"/>
              <w:keepNext/>
              <w:keepLines/>
              <w:rPr>
                <w:u w:val="single"/>
              </w:rPr>
            </w:pPr>
            <w:r w:rsidRPr="00BD1A14">
              <w:rPr>
                <w:u w:val="single"/>
              </w:rPr>
              <w:t>0502</w:t>
            </w:r>
          </w:p>
        </w:tc>
        <w:tc>
          <w:tcPr>
            <w:tcW w:w="7049" w:type="dxa"/>
          </w:tcPr>
          <w:p w:rsidR="00674BF5" w:rsidRPr="00BD1A14" w:rsidRDefault="00674BF5" w:rsidP="00BD1A14">
            <w:pPr>
              <w:pStyle w:val="InstructionsText"/>
              <w:keepNext/>
              <w:keepLines/>
              <w:rPr>
                <w:u w:val="single"/>
              </w:rPr>
            </w:pPr>
            <w:r w:rsidRPr="00BD1A14">
              <w:rPr>
                <w:rStyle w:val="InstructionsTabelleberschrift"/>
                <w:rFonts w:ascii="Times New Roman" w:hAnsi="Times New Roman"/>
                <w:sz w:val="24"/>
              </w:rPr>
              <w:t>15.3.1</w:t>
            </w:r>
            <w:r w:rsidRPr="00BD1A14">
              <w:rPr>
                <w:u w:val="single"/>
              </w:rPr>
              <w:tab/>
            </w:r>
            <w:r w:rsidRPr="00BD1A14">
              <w:rPr>
                <w:rStyle w:val="InstructionsTabelleberschrift"/>
                <w:rFonts w:ascii="Times New Roman" w:hAnsi="Times New Roman"/>
                <w:sz w:val="24"/>
              </w:rPr>
              <w:t>Detenzioni sintetiche lorde di capitale primario di classe 1 di soggetti del settore finanziario in cui l</w:t>
            </w:r>
            <w:r w:rsidR="000878EC" w:rsidRPr="00BD1A14">
              <w:rPr>
                <w:rStyle w:val="InstructionsTabelleberschrift"/>
                <w:rFonts w:ascii="Times New Roman" w:hAnsi="Times New Roman"/>
                <w:sz w:val="24"/>
              </w:rPr>
              <w:t>'</w:t>
            </w:r>
            <w:r w:rsidRPr="00BD1A14">
              <w:rPr>
                <w:rStyle w:val="InstructionsTabelleberschrift"/>
                <w:rFonts w:ascii="Times New Roman" w:hAnsi="Times New Roman"/>
                <w:sz w:val="24"/>
              </w:rPr>
              <w:t>ente ha un investimento significativo</w:t>
            </w:r>
          </w:p>
          <w:p w:rsidR="00674BF5" w:rsidRPr="00BD1A14" w:rsidRDefault="00674BF5" w:rsidP="00BD1A14">
            <w:pPr>
              <w:pStyle w:val="InstructionsText"/>
              <w:keepNext/>
              <w:keepLines/>
              <w:rPr>
                <w:u w:val="single"/>
              </w:rPr>
            </w:pPr>
            <w:r w:rsidRPr="00BD1A14">
              <w:rPr>
                <w:u w:val="single"/>
              </w:rPr>
              <w:t>Articolo 4, paragrafo 1, punto 126, e articoli 44 e 45 del CRR</w:t>
            </w:r>
          </w:p>
        </w:tc>
      </w:tr>
      <w:tr w:rsidR="00674BF5" w:rsidRPr="00661595" w:rsidTr="00674BF5">
        <w:tc>
          <w:tcPr>
            <w:tcW w:w="1474" w:type="dxa"/>
          </w:tcPr>
          <w:p w:rsidR="00674BF5" w:rsidRPr="00661595" w:rsidRDefault="00754ADC" w:rsidP="00115052">
            <w:pPr>
              <w:pStyle w:val="InstructionsText"/>
            </w:pPr>
            <w:r>
              <w:t>0503</w:t>
            </w:r>
          </w:p>
        </w:tc>
        <w:tc>
          <w:tcPr>
            <w:tcW w:w="7049" w:type="dxa"/>
          </w:tcPr>
          <w:p w:rsidR="00674BF5" w:rsidRPr="00661595" w:rsidRDefault="00674BF5" w:rsidP="00115052">
            <w:pPr>
              <w:pStyle w:val="InstructionsText"/>
            </w:pPr>
            <w:r>
              <w:rPr>
                <w:rStyle w:val="InstructionsTabelleberschrift"/>
                <w:rFonts w:ascii="Times New Roman" w:hAnsi="Times New Roman"/>
                <w:sz w:val="24"/>
              </w:rPr>
              <w:t>15.3.2</w:t>
            </w:r>
            <w:r w:rsidRPr="00874381">
              <w:tab/>
            </w:r>
            <w:r>
              <w:rPr>
                <w:rStyle w:val="InstructionsTabelleberschrift"/>
                <w:rFonts w:ascii="Times New Roman" w:hAnsi="Times New Roman"/>
                <w:sz w:val="24"/>
              </w:rPr>
              <w:t>(-) Posizioni corte di segno opposto autorizzate in relazione alle detenzioni sintetiche lorde di cui sopra</w:t>
            </w:r>
          </w:p>
          <w:p w:rsidR="00674BF5" w:rsidRPr="00661595" w:rsidRDefault="00674BF5" w:rsidP="00115052">
            <w:pPr>
              <w:pStyle w:val="InstructionsText"/>
            </w:pPr>
            <w:r>
              <w:t>Articolo 4, paragrafo 1, punto 126, e articolo 45 del CRR</w:t>
            </w:r>
          </w:p>
          <w:p w:rsidR="002D31E5" w:rsidRPr="00661595" w:rsidRDefault="000D04B6" w:rsidP="00115052">
            <w:pPr>
              <w:pStyle w:val="InstructionsText"/>
            </w:pPr>
            <w:r>
              <w:t>L</w:t>
            </w:r>
            <w:r w:rsidR="000878EC">
              <w:t>'</w:t>
            </w:r>
            <w:r>
              <w:t>articolo 45, lettera a), del CRR permette di compensare le posizioni corte nella stessa esposizione sottostante a condizione che la data di scadenza della posizione corta sia identica o posteriore a quella della posizione lunga o la durata residua della posizione corta sia di almeno un anno.</w:t>
            </w:r>
          </w:p>
        </w:tc>
      </w:tr>
      <w:tr w:rsidR="00916197" w:rsidRPr="00661595" w:rsidTr="00674BF5">
        <w:tc>
          <w:tcPr>
            <w:tcW w:w="1474" w:type="dxa"/>
          </w:tcPr>
          <w:p w:rsidR="00916197" w:rsidRPr="00661595" w:rsidRDefault="00916197" w:rsidP="00115052">
            <w:pPr>
              <w:pStyle w:val="InstructionsText"/>
            </w:pPr>
            <w:r>
              <w:t>0504</w:t>
            </w:r>
          </w:p>
        </w:tc>
        <w:tc>
          <w:tcPr>
            <w:tcW w:w="7049" w:type="dxa"/>
          </w:tcPr>
          <w:p w:rsidR="00916197" w:rsidRPr="00661595" w:rsidRDefault="00916197"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Investimenti in capitale primario di classe 1 di soggetti del settore finanziario in cui l</w:t>
            </w:r>
            <w:r w:rsidR="000878EC">
              <w:rPr>
                <w:rStyle w:val="InstructionsTabelleberschrift"/>
                <w:rFonts w:ascii="Times New Roman" w:hAnsi="Times New Roman"/>
                <w:sz w:val="24"/>
              </w:rPr>
              <w:t>'</w:t>
            </w:r>
            <w:r>
              <w:rPr>
                <w:rStyle w:val="InstructionsTabelleberschrift"/>
                <w:rFonts w:ascii="Times New Roman" w:hAnsi="Times New Roman"/>
                <w:sz w:val="24"/>
              </w:rPr>
              <w:t>ente ha un investimento significativo — soggetti a un fattore di ponderazione del rischio del 250 %</w:t>
            </w:r>
          </w:p>
          <w:p w:rsidR="00916197" w:rsidRPr="00661595" w:rsidRDefault="00916197" w:rsidP="00115052">
            <w:pPr>
              <w:pStyle w:val="InstructionsText"/>
            </w:pPr>
            <w:r>
              <w:t>Articolo 48, paragrafo 4, del CRR</w:t>
            </w:r>
          </w:p>
          <w:p w:rsidR="00916197" w:rsidRPr="00661595" w:rsidRDefault="00916197" w:rsidP="00115052">
            <w:pPr>
              <w:pStyle w:val="InstructionsText"/>
            </w:pPr>
            <w:r>
              <w:t>Importo degli investimenti significativi nel capitale primario di classe 1 di soggetti del settore finanziario che non sono dedotti ai se</w:t>
            </w:r>
            <w:r w:rsidR="00543281">
              <w:t>nsi dell</w:t>
            </w:r>
            <w:r w:rsidR="000878EC">
              <w:t>'</w:t>
            </w:r>
            <w:r w:rsidR="00543281">
              <w:t xml:space="preserve">articolo 48, paragrafo </w:t>
            </w:r>
            <w:r>
              <w:t>1, del CRR, ma che sono soggetti a un fattore di ponderazione del rischio del 2</w:t>
            </w:r>
            <w:r w:rsidR="00543281">
              <w:t>50 % conformemente all</w:t>
            </w:r>
            <w:r w:rsidR="000878EC">
              <w:t>'</w:t>
            </w:r>
            <w:r w:rsidR="00543281">
              <w:t xml:space="preserve">articolo </w:t>
            </w:r>
            <w:r>
              <w:t>48, paragrafo 4, del CRR.</w:t>
            </w:r>
          </w:p>
          <w:p w:rsidR="00916197" w:rsidRPr="00661595" w:rsidRDefault="00916197" w:rsidP="00115052">
            <w:pPr>
              <w:pStyle w:val="InstructionsText"/>
              <w:rPr>
                <w:rStyle w:val="InstructionsTabelleberschrift"/>
                <w:rFonts w:ascii="Times New Roman" w:hAnsi="Times New Roman"/>
                <w:sz w:val="24"/>
              </w:rPr>
            </w:pPr>
            <w:r>
              <w:t>L</w:t>
            </w:r>
            <w:r w:rsidR="000878EC">
              <w:t>'</w:t>
            </w:r>
            <w:r>
              <w:t>importo indicato è quello degli investimenti significativi precedente all</w:t>
            </w:r>
            <w:r w:rsidR="000878EC">
              <w:t>'</w:t>
            </w:r>
            <w:r>
              <w:t>applicazione del fattore di ponderazione del rischio.</w:t>
            </w:r>
          </w:p>
        </w:tc>
      </w:tr>
      <w:tr w:rsidR="00674BF5" w:rsidRPr="00661595" w:rsidTr="00674BF5">
        <w:tc>
          <w:tcPr>
            <w:tcW w:w="1474" w:type="dxa"/>
          </w:tcPr>
          <w:p w:rsidR="00674BF5" w:rsidRPr="00661595" w:rsidRDefault="00754ADC" w:rsidP="00115052">
            <w:pPr>
              <w:pStyle w:val="InstructionsText"/>
            </w:pPr>
            <w:r>
              <w:t>0510</w:t>
            </w:r>
          </w:p>
        </w:tc>
        <w:tc>
          <w:tcPr>
            <w:tcW w:w="7049" w:type="dxa"/>
          </w:tcPr>
          <w:p w:rsidR="00674BF5" w:rsidRPr="00661595" w:rsidRDefault="00674BF5" w:rsidP="00115052">
            <w:pPr>
              <w:pStyle w:val="InstructionsText"/>
            </w:pPr>
            <w:r>
              <w:rPr>
                <w:rStyle w:val="InstructionsTabelleberschrift"/>
                <w:rFonts w:ascii="Times New Roman" w:hAnsi="Times New Roman"/>
                <w:sz w:val="24"/>
              </w:rPr>
              <w:t>16 Detenzioni di capitale aggiuntivo di classe 1 di soggetti del settore finanziario in cui l</w:t>
            </w:r>
            <w:r w:rsidR="000878EC">
              <w:rPr>
                <w:rStyle w:val="InstructionsTabelleberschrift"/>
                <w:rFonts w:ascii="Times New Roman" w:hAnsi="Times New Roman"/>
                <w:sz w:val="24"/>
              </w:rPr>
              <w:t>'</w:t>
            </w:r>
            <w:r>
              <w:rPr>
                <w:rStyle w:val="InstructionsTabelleberschrift"/>
                <w:rFonts w:ascii="Times New Roman" w:hAnsi="Times New Roman"/>
                <w:sz w:val="24"/>
              </w:rPr>
              <w:t>ente ha un investimento significativo, al netto delle posizioni corte</w:t>
            </w:r>
          </w:p>
          <w:p w:rsidR="00674BF5" w:rsidRPr="00661595" w:rsidRDefault="00674BF5" w:rsidP="00115052">
            <w:pPr>
              <w:pStyle w:val="InstructionsText"/>
            </w:pPr>
            <w:r>
              <w:t>Articoli 58 e 59 del CRR</w:t>
            </w:r>
          </w:p>
        </w:tc>
      </w:tr>
      <w:tr w:rsidR="00674BF5" w:rsidRPr="00661595" w:rsidTr="00674BF5">
        <w:tc>
          <w:tcPr>
            <w:tcW w:w="1474" w:type="dxa"/>
          </w:tcPr>
          <w:p w:rsidR="00674BF5" w:rsidRPr="00661595" w:rsidRDefault="00754ADC" w:rsidP="00115052">
            <w:pPr>
              <w:pStyle w:val="InstructionsText"/>
            </w:pPr>
            <w:r>
              <w:t>0520</w:t>
            </w:r>
          </w:p>
        </w:tc>
        <w:tc>
          <w:tcPr>
            <w:tcW w:w="7049" w:type="dxa"/>
          </w:tcPr>
          <w:p w:rsidR="00674BF5" w:rsidRPr="00661595" w:rsidRDefault="00674BF5" w:rsidP="00115052">
            <w:pPr>
              <w:pStyle w:val="InstructionsText"/>
            </w:pPr>
            <w:r>
              <w:rPr>
                <w:rStyle w:val="InstructionsTabelleberschrift"/>
                <w:rFonts w:ascii="Times New Roman" w:hAnsi="Times New Roman"/>
                <w:sz w:val="24"/>
              </w:rPr>
              <w:t>16.1</w:t>
            </w:r>
            <w:r w:rsidRPr="00BD1A14">
              <w:rPr>
                <w:u w:val="single"/>
              </w:rPr>
              <w:tab/>
            </w:r>
            <w:r>
              <w:rPr>
                <w:rStyle w:val="InstructionsTabelleberschrift"/>
                <w:rFonts w:ascii="Times New Roman" w:hAnsi="Times New Roman"/>
                <w:sz w:val="24"/>
              </w:rPr>
              <w:t>Detenzioni dirette di capitale aggiuntivo di classe 1 di soggetti del settore finanziario in cui l</w:t>
            </w:r>
            <w:r w:rsidR="000878EC">
              <w:rPr>
                <w:rStyle w:val="InstructionsTabelleberschrift"/>
                <w:rFonts w:ascii="Times New Roman" w:hAnsi="Times New Roman"/>
                <w:sz w:val="24"/>
              </w:rPr>
              <w:t>'</w:t>
            </w:r>
            <w:r>
              <w:rPr>
                <w:rStyle w:val="InstructionsTabelleberschrift"/>
                <w:rFonts w:ascii="Times New Roman" w:hAnsi="Times New Roman"/>
                <w:sz w:val="24"/>
              </w:rPr>
              <w:t>ente ha un investimento significativo</w:t>
            </w:r>
          </w:p>
          <w:p w:rsidR="00674BF5" w:rsidRPr="00661595" w:rsidRDefault="00674BF5" w:rsidP="00115052">
            <w:pPr>
              <w:pStyle w:val="InstructionsText"/>
            </w:pPr>
            <w:r>
              <w:t>Articoli 58 e 59 del CRR</w:t>
            </w:r>
          </w:p>
        </w:tc>
      </w:tr>
      <w:tr w:rsidR="00674BF5" w:rsidRPr="00661595" w:rsidTr="00674BF5">
        <w:tc>
          <w:tcPr>
            <w:tcW w:w="1474" w:type="dxa"/>
          </w:tcPr>
          <w:p w:rsidR="00674BF5" w:rsidRPr="00661595" w:rsidRDefault="00754ADC" w:rsidP="00115052">
            <w:pPr>
              <w:pStyle w:val="InstructionsText"/>
            </w:pPr>
            <w:r>
              <w:t>0530</w:t>
            </w:r>
          </w:p>
        </w:tc>
        <w:tc>
          <w:tcPr>
            <w:tcW w:w="7049" w:type="dxa"/>
          </w:tcPr>
          <w:p w:rsidR="00674BF5" w:rsidRPr="00661595" w:rsidRDefault="00674BF5" w:rsidP="00115052">
            <w:pPr>
              <w:pStyle w:val="InstructionsText"/>
            </w:pPr>
            <w:r>
              <w:rPr>
                <w:rStyle w:val="InstructionsTabelleberschrift"/>
                <w:rFonts w:ascii="Times New Roman" w:hAnsi="Times New Roman"/>
                <w:sz w:val="24"/>
              </w:rPr>
              <w:t>16.1.1</w:t>
            </w:r>
            <w:r w:rsidRPr="00874381">
              <w:tab/>
            </w:r>
            <w:r>
              <w:rPr>
                <w:rStyle w:val="InstructionsTabelleberschrift"/>
                <w:rFonts w:ascii="Times New Roman" w:hAnsi="Times New Roman"/>
                <w:sz w:val="24"/>
              </w:rPr>
              <w:t>Detenzioni dirette lorde di capitale aggiuntivo di classe 1 di soggetti del settore finanziario in cui l</w:t>
            </w:r>
            <w:r w:rsidR="000878EC">
              <w:rPr>
                <w:rStyle w:val="InstructionsTabelleberschrift"/>
                <w:rFonts w:ascii="Times New Roman" w:hAnsi="Times New Roman"/>
                <w:sz w:val="24"/>
              </w:rPr>
              <w:t>'</w:t>
            </w:r>
            <w:r>
              <w:rPr>
                <w:rStyle w:val="InstructionsTabelleberschrift"/>
                <w:rFonts w:ascii="Times New Roman" w:hAnsi="Times New Roman"/>
                <w:sz w:val="24"/>
              </w:rPr>
              <w:t>ente ha un investimento significativo</w:t>
            </w:r>
          </w:p>
          <w:p w:rsidR="00674BF5" w:rsidRPr="00661595" w:rsidRDefault="00674BF5" w:rsidP="00115052">
            <w:pPr>
              <w:pStyle w:val="InstructionsText"/>
            </w:pPr>
            <w:r>
              <w:t>Articolo 58 del CRR</w:t>
            </w:r>
          </w:p>
          <w:p w:rsidR="00674BF5" w:rsidRPr="00661595" w:rsidRDefault="00674BF5" w:rsidP="00115052">
            <w:pPr>
              <w:pStyle w:val="InstructionsText"/>
            </w:pPr>
            <w:r>
              <w:t>Partecipazioni dirette nel capitale aggiuntivo di classe 1 di soggetti del settore finanziario in cui l</w:t>
            </w:r>
            <w:r w:rsidR="000878EC">
              <w:t>'</w:t>
            </w:r>
            <w:r>
              <w:t>ente ha un investimento significativo, escluse:</w:t>
            </w:r>
          </w:p>
          <w:p w:rsidR="00674BF5" w:rsidRPr="00661595" w:rsidRDefault="00674BF5" w:rsidP="00115052">
            <w:pPr>
              <w:pStyle w:val="InstructionsText"/>
            </w:pPr>
            <w:r>
              <w:t>a)</w:t>
            </w:r>
            <w:r>
              <w:tab/>
              <w:t>le posizioni in impegni irrevocabili detenute per cinque giorni lavorativi o meno (articolo 56, lettera d), del CRR); e</w:t>
            </w:r>
          </w:p>
          <w:p w:rsidR="00674BF5" w:rsidRPr="00661595" w:rsidRDefault="00674BF5" w:rsidP="00115052">
            <w:pPr>
              <w:pStyle w:val="InstructionsText"/>
            </w:pPr>
            <w:r>
              <w:t>b)</w:t>
            </w:r>
            <w:r>
              <w:tab/>
              <w:t>le partecipazioni trattate come partecipazioni incrociate reciproche conformemente all</w:t>
            </w:r>
            <w:r w:rsidR="000878EC">
              <w:t>'</w:t>
            </w:r>
            <w:r>
              <w:t>articolo 56, lettera b), del CRR.</w:t>
            </w:r>
          </w:p>
        </w:tc>
      </w:tr>
      <w:tr w:rsidR="00674BF5" w:rsidRPr="00661595" w:rsidTr="00674BF5">
        <w:tc>
          <w:tcPr>
            <w:tcW w:w="1474" w:type="dxa"/>
          </w:tcPr>
          <w:p w:rsidR="00674BF5" w:rsidRPr="00661595" w:rsidRDefault="00754ADC" w:rsidP="00115052">
            <w:pPr>
              <w:pStyle w:val="InstructionsText"/>
            </w:pPr>
            <w:r>
              <w:t>0540</w:t>
            </w:r>
          </w:p>
        </w:tc>
        <w:tc>
          <w:tcPr>
            <w:tcW w:w="7049" w:type="dxa"/>
          </w:tcPr>
          <w:p w:rsidR="00674BF5" w:rsidRPr="00661595" w:rsidRDefault="00674BF5" w:rsidP="00115052">
            <w:pPr>
              <w:pStyle w:val="InstructionsText"/>
            </w:pPr>
            <w:r>
              <w:rPr>
                <w:rStyle w:val="InstructionsTabelleberschrift"/>
                <w:rFonts w:ascii="Times New Roman" w:hAnsi="Times New Roman"/>
                <w:sz w:val="24"/>
              </w:rPr>
              <w:t>16.1.2</w:t>
            </w:r>
            <w:r w:rsidRPr="00874381">
              <w:tab/>
            </w:r>
            <w:r>
              <w:rPr>
                <w:rStyle w:val="InstructionsTabelleberschrift"/>
                <w:rFonts w:ascii="Times New Roman" w:hAnsi="Times New Roman"/>
                <w:sz w:val="24"/>
              </w:rPr>
              <w:t>(-) Posizioni corte di segno opposto autorizzate in relazione alle detenzioni dirette lorde di cui sopra</w:t>
            </w:r>
          </w:p>
          <w:p w:rsidR="00674BF5" w:rsidRPr="00661595" w:rsidRDefault="00674BF5" w:rsidP="00115052">
            <w:pPr>
              <w:pStyle w:val="InstructionsText"/>
            </w:pPr>
            <w:r>
              <w:t>Articolo 59 del CRR</w:t>
            </w:r>
          </w:p>
          <w:p w:rsidR="00674BF5" w:rsidRPr="00661595" w:rsidRDefault="00674BF5" w:rsidP="00115052">
            <w:pPr>
              <w:pStyle w:val="InstructionsText"/>
            </w:pPr>
            <w:r>
              <w:t>L</w:t>
            </w:r>
            <w:r w:rsidR="000878EC">
              <w:t>'</w:t>
            </w:r>
            <w:r>
              <w:t>articolo 59, lettera a), del CRR permette di compensare le posizioni corte nella stessa esposizione sottostante a condizione che la data di scadenza della posizione corta sia identica o posteriore a quella della posizione lunga o la durata residua della posizione corta sia di almeno un anno.</w:t>
            </w:r>
          </w:p>
        </w:tc>
      </w:tr>
      <w:tr w:rsidR="00674BF5" w:rsidRPr="00661595" w:rsidTr="00674BF5">
        <w:tc>
          <w:tcPr>
            <w:tcW w:w="1474" w:type="dxa"/>
          </w:tcPr>
          <w:p w:rsidR="00674BF5" w:rsidRPr="00661595" w:rsidRDefault="00754ADC" w:rsidP="00115052">
            <w:pPr>
              <w:pStyle w:val="InstructionsText"/>
            </w:pPr>
            <w:r>
              <w:t>0550</w:t>
            </w:r>
          </w:p>
        </w:tc>
        <w:tc>
          <w:tcPr>
            <w:tcW w:w="7049" w:type="dxa"/>
          </w:tcPr>
          <w:p w:rsidR="00674BF5" w:rsidRPr="00661595" w:rsidRDefault="00674BF5" w:rsidP="00115052">
            <w:pPr>
              <w:pStyle w:val="InstructionsText"/>
            </w:pPr>
            <w:r>
              <w:rPr>
                <w:rStyle w:val="InstructionsTabelleberschrift"/>
                <w:rFonts w:ascii="Times New Roman" w:hAnsi="Times New Roman"/>
                <w:sz w:val="24"/>
              </w:rPr>
              <w:t>16.2</w:t>
            </w:r>
            <w:r w:rsidRPr="00BD1A14">
              <w:rPr>
                <w:u w:val="single"/>
              </w:rPr>
              <w:tab/>
            </w:r>
            <w:r>
              <w:rPr>
                <w:rStyle w:val="InstructionsTabelleberschrift"/>
                <w:rFonts w:ascii="Times New Roman" w:hAnsi="Times New Roman"/>
                <w:sz w:val="24"/>
              </w:rPr>
              <w:t>Detenzioni indirette di capitale aggiuntivo di classe 1 di soggetti del settore finanziario in cui l</w:t>
            </w:r>
            <w:r w:rsidR="000878EC">
              <w:rPr>
                <w:rStyle w:val="InstructionsTabelleberschrift"/>
                <w:rFonts w:ascii="Times New Roman" w:hAnsi="Times New Roman"/>
                <w:sz w:val="24"/>
              </w:rPr>
              <w:t>'</w:t>
            </w:r>
            <w:r>
              <w:rPr>
                <w:rStyle w:val="InstructionsTabelleberschrift"/>
                <w:rFonts w:ascii="Times New Roman" w:hAnsi="Times New Roman"/>
                <w:sz w:val="24"/>
              </w:rPr>
              <w:t>ente ha un investimento significativo</w:t>
            </w:r>
          </w:p>
          <w:p w:rsidR="00674BF5" w:rsidRPr="00661595" w:rsidRDefault="00674BF5" w:rsidP="00115052">
            <w:pPr>
              <w:pStyle w:val="InstructionsText"/>
            </w:pPr>
            <w:r>
              <w:t>Articolo 4, paragrafo 1, punto 114, e articoli 58 e 59 del CRR</w:t>
            </w:r>
          </w:p>
        </w:tc>
      </w:tr>
      <w:tr w:rsidR="00674BF5" w:rsidRPr="00661595" w:rsidTr="00674BF5">
        <w:tc>
          <w:tcPr>
            <w:tcW w:w="1474" w:type="dxa"/>
          </w:tcPr>
          <w:p w:rsidR="00674BF5" w:rsidRPr="00661595" w:rsidRDefault="00754ADC" w:rsidP="00115052">
            <w:pPr>
              <w:pStyle w:val="InstructionsText"/>
            </w:pPr>
            <w:r>
              <w:t>0560</w:t>
            </w:r>
          </w:p>
        </w:tc>
        <w:tc>
          <w:tcPr>
            <w:tcW w:w="7049" w:type="dxa"/>
          </w:tcPr>
          <w:p w:rsidR="00674BF5" w:rsidRPr="00661595" w:rsidRDefault="00674BF5" w:rsidP="00115052">
            <w:pPr>
              <w:pStyle w:val="InstructionsText"/>
            </w:pPr>
            <w:r>
              <w:rPr>
                <w:rStyle w:val="InstructionsTabelleberschrift"/>
                <w:rFonts w:ascii="Times New Roman" w:hAnsi="Times New Roman"/>
                <w:sz w:val="24"/>
              </w:rPr>
              <w:t>16.2.1</w:t>
            </w:r>
            <w:r w:rsidRPr="00BD1A14">
              <w:rPr>
                <w:u w:val="single"/>
              </w:rPr>
              <w:tab/>
            </w:r>
            <w:r>
              <w:rPr>
                <w:rStyle w:val="InstructionsTabelleberschrift"/>
                <w:rFonts w:ascii="Times New Roman" w:hAnsi="Times New Roman"/>
                <w:sz w:val="24"/>
              </w:rPr>
              <w:t>Detenzioni indirette lorde di capitale aggiuntivo di classe 1 di soggetti del settore finanziario in cui l</w:t>
            </w:r>
            <w:r w:rsidR="000878EC">
              <w:rPr>
                <w:rStyle w:val="InstructionsTabelleberschrift"/>
                <w:rFonts w:ascii="Times New Roman" w:hAnsi="Times New Roman"/>
                <w:sz w:val="24"/>
              </w:rPr>
              <w:t>'</w:t>
            </w:r>
            <w:r>
              <w:rPr>
                <w:rStyle w:val="InstructionsTabelleberschrift"/>
                <w:rFonts w:ascii="Times New Roman" w:hAnsi="Times New Roman"/>
                <w:sz w:val="24"/>
              </w:rPr>
              <w:t>ente ha un investimento significativo</w:t>
            </w:r>
          </w:p>
          <w:p w:rsidR="00674BF5" w:rsidRPr="00661595" w:rsidRDefault="00674BF5" w:rsidP="00115052">
            <w:pPr>
              <w:pStyle w:val="InstructionsText"/>
            </w:pPr>
            <w:r>
              <w:t>Articolo 4, paragrafo 1, punto 114, e articoli 58 e 59 del CRR</w:t>
            </w:r>
          </w:p>
          <w:p w:rsidR="00674BF5" w:rsidRPr="00661595" w:rsidRDefault="00674BF5" w:rsidP="00115052">
            <w:pPr>
              <w:pStyle w:val="InstructionsText"/>
            </w:pPr>
            <w:r>
              <w:t>L</w:t>
            </w:r>
            <w:r w:rsidR="000878EC">
              <w:t>'</w:t>
            </w:r>
            <w:r>
              <w:t>importo da segnalare sono le partecipazioni indirette interne al portafoglio di negoziazione e relative agli strumenti di capitale di soggetti del settore finanziario sotto forma di detenzioni di titoli su indici. L</w:t>
            </w:r>
            <w:r w:rsidR="000878EC">
              <w:t>'</w:t>
            </w:r>
            <w:r>
              <w:t>importo si ottiene calcolando l</w:t>
            </w:r>
            <w:r w:rsidR="000878EC">
              <w:t>'</w:t>
            </w:r>
            <w:r>
              <w:t>esposizione sottostante verso gli strumenti di capitale dei soggetti del settore finanziario compresi negli indici.</w:t>
            </w:r>
          </w:p>
          <w:p w:rsidR="00674BF5" w:rsidRPr="00661595" w:rsidRDefault="00674BF5" w:rsidP="00115052">
            <w:pPr>
              <w:pStyle w:val="InstructionsText"/>
            </w:pPr>
            <w:r>
              <w:t>Non sono incluse le partecipazioni trattate come partecipazioni incrociate reciproche conformemente all</w:t>
            </w:r>
            <w:r w:rsidR="000878EC">
              <w:t>'</w:t>
            </w:r>
            <w:r>
              <w:t>articolo 56, lettera b), del CRR.</w:t>
            </w:r>
          </w:p>
        </w:tc>
      </w:tr>
      <w:tr w:rsidR="00674BF5" w:rsidRPr="00661595" w:rsidTr="00674BF5">
        <w:tc>
          <w:tcPr>
            <w:tcW w:w="1474" w:type="dxa"/>
          </w:tcPr>
          <w:p w:rsidR="00674BF5" w:rsidRPr="00661595" w:rsidRDefault="00754ADC" w:rsidP="00115052">
            <w:pPr>
              <w:pStyle w:val="InstructionsText"/>
            </w:pPr>
            <w:r>
              <w:t>0570</w:t>
            </w:r>
          </w:p>
        </w:tc>
        <w:tc>
          <w:tcPr>
            <w:tcW w:w="7049" w:type="dxa"/>
          </w:tcPr>
          <w:p w:rsidR="00674BF5" w:rsidRPr="00661595" w:rsidRDefault="00674BF5" w:rsidP="00115052">
            <w:pPr>
              <w:pStyle w:val="InstructionsText"/>
            </w:pPr>
            <w:r>
              <w:rPr>
                <w:rStyle w:val="InstructionsTabelleberschrift"/>
                <w:rFonts w:ascii="Times New Roman" w:hAnsi="Times New Roman"/>
                <w:sz w:val="24"/>
              </w:rPr>
              <w:t>16.2.2</w:t>
            </w:r>
            <w:r w:rsidRPr="00874381">
              <w:tab/>
            </w:r>
            <w:r>
              <w:rPr>
                <w:rStyle w:val="InstructionsTabelleberschrift"/>
                <w:rFonts w:ascii="Times New Roman" w:hAnsi="Times New Roman"/>
                <w:sz w:val="24"/>
              </w:rPr>
              <w:t>(-) Posizioni corte di segno opposto autorizzate in relazione alle detenzioni indirette lorde di cui sopra</w:t>
            </w:r>
          </w:p>
          <w:p w:rsidR="00674BF5" w:rsidRPr="00661595" w:rsidRDefault="00674BF5" w:rsidP="00115052">
            <w:pPr>
              <w:pStyle w:val="InstructionsText"/>
            </w:pPr>
            <w:r>
              <w:t>Articolo 4, paragrafo 1, punto 114, e articolo 59 del CRR</w:t>
            </w:r>
          </w:p>
          <w:p w:rsidR="00674BF5" w:rsidRPr="00661595" w:rsidRDefault="00674BF5" w:rsidP="00115052">
            <w:pPr>
              <w:pStyle w:val="InstructionsText"/>
            </w:pPr>
            <w:r>
              <w:t>L</w:t>
            </w:r>
            <w:r w:rsidR="000878EC">
              <w:t>'</w:t>
            </w:r>
            <w:r>
              <w:t>articolo 59, lettera a), del CRR permette di compensare le posizioni corte nella stessa esposizione sottostante a condizione che la data di scadenza della posizione corta sia identica o posteriore a quella della posizione lunga o la durata residua della posizione corta sia di almeno un anno.</w:t>
            </w:r>
          </w:p>
        </w:tc>
      </w:tr>
      <w:tr w:rsidR="00674BF5" w:rsidRPr="00661595" w:rsidTr="00674BF5">
        <w:tc>
          <w:tcPr>
            <w:tcW w:w="1474" w:type="dxa"/>
          </w:tcPr>
          <w:p w:rsidR="00674BF5" w:rsidRPr="00661595" w:rsidRDefault="00754ADC" w:rsidP="00115052">
            <w:pPr>
              <w:pStyle w:val="InstructionsText"/>
            </w:pPr>
            <w:r>
              <w:t>0571</w:t>
            </w:r>
          </w:p>
        </w:tc>
        <w:tc>
          <w:tcPr>
            <w:tcW w:w="7049" w:type="dxa"/>
          </w:tcPr>
          <w:p w:rsidR="00674BF5" w:rsidRPr="00661595" w:rsidRDefault="00674BF5" w:rsidP="00115052">
            <w:pPr>
              <w:pStyle w:val="InstructionsText"/>
            </w:pPr>
            <w:r>
              <w:rPr>
                <w:rStyle w:val="InstructionsTabelleberschrift"/>
                <w:rFonts w:ascii="Times New Roman" w:hAnsi="Times New Roman"/>
                <w:sz w:val="24"/>
              </w:rPr>
              <w:t>16.3</w:t>
            </w:r>
            <w:r w:rsidRPr="00874381">
              <w:tab/>
            </w:r>
            <w:r>
              <w:rPr>
                <w:rStyle w:val="InstructionsTabelleberschrift"/>
                <w:rFonts w:ascii="Times New Roman" w:hAnsi="Times New Roman"/>
                <w:sz w:val="24"/>
              </w:rPr>
              <w:t>Detenzioni sintetiche di capitale aggiuntivo di classe 1 di soggetti del settore finanziario in cui l</w:t>
            </w:r>
            <w:r w:rsidR="000878EC">
              <w:rPr>
                <w:rStyle w:val="InstructionsTabelleberschrift"/>
                <w:rFonts w:ascii="Times New Roman" w:hAnsi="Times New Roman"/>
                <w:sz w:val="24"/>
              </w:rPr>
              <w:t>'</w:t>
            </w:r>
            <w:r>
              <w:rPr>
                <w:rStyle w:val="InstructionsTabelleberschrift"/>
                <w:rFonts w:ascii="Times New Roman" w:hAnsi="Times New Roman"/>
                <w:sz w:val="24"/>
              </w:rPr>
              <w:t>ente ha un investimento significativo</w:t>
            </w:r>
          </w:p>
          <w:p w:rsidR="00674BF5" w:rsidRPr="00661595" w:rsidRDefault="00674BF5" w:rsidP="00115052">
            <w:pPr>
              <w:pStyle w:val="InstructionsText"/>
              <w:rPr>
                <w:rStyle w:val="InstructionsTabelleberschrift"/>
                <w:rFonts w:ascii="Times New Roman" w:hAnsi="Times New Roman"/>
                <w:b w:val="0"/>
                <w:bCs w:val="0"/>
                <w:sz w:val="24"/>
                <w:u w:val="none"/>
              </w:rPr>
            </w:pPr>
            <w:r>
              <w:t>Articolo 4, paragrafo 1, punto 126, e articoli 58 e 59 del CRR</w:t>
            </w:r>
          </w:p>
        </w:tc>
      </w:tr>
      <w:tr w:rsidR="00674BF5" w:rsidRPr="00661595" w:rsidTr="00674BF5">
        <w:tc>
          <w:tcPr>
            <w:tcW w:w="1474" w:type="dxa"/>
          </w:tcPr>
          <w:p w:rsidR="00674BF5" w:rsidRPr="00661595" w:rsidRDefault="00754ADC" w:rsidP="00115052">
            <w:pPr>
              <w:pStyle w:val="InstructionsText"/>
            </w:pPr>
            <w:r>
              <w:t>0572</w:t>
            </w:r>
          </w:p>
        </w:tc>
        <w:tc>
          <w:tcPr>
            <w:tcW w:w="7049" w:type="dxa"/>
          </w:tcPr>
          <w:p w:rsidR="00674BF5" w:rsidRPr="00661595" w:rsidRDefault="00674BF5" w:rsidP="00115052">
            <w:pPr>
              <w:pStyle w:val="InstructionsText"/>
            </w:pPr>
            <w:r>
              <w:rPr>
                <w:rStyle w:val="InstructionsTabelleberschrift"/>
                <w:rFonts w:ascii="Times New Roman" w:hAnsi="Times New Roman"/>
                <w:sz w:val="24"/>
              </w:rPr>
              <w:t>16.3.1</w:t>
            </w:r>
            <w:r w:rsidRPr="00874381">
              <w:tab/>
            </w:r>
            <w:r>
              <w:rPr>
                <w:rStyle w:val="InstructionsTabelleberschrift"/>
                <w:rFonts w:ascii="Times New Roman" w:hAnsi="Times New Roman"/>
                <w:sz w:val="24"/>
              </w:rPr>
              <w:t>Detenzioni sintetiche lorde di capitale aggiuntivo di classe 1 di soggetti del settore finanziario in cui l</w:t>
            </w:r>
            <w:r w:rsidR="000878EC">
              <w:rPr>
                <w:rStyle w:val="InstructionsTabelleberschrift"/>
                <w:rFonts w:ascii="Times New Roman" w:hAnsi="Times New Roman"/>
                <w:sz w:val="24"/>
              </w:rPr>
              <w:t>'</w:t>
            </w:r>
            <w:r>
              <w:rPr>
                <w:rStyle w:val="InstructionsTabelleberschrift"/>
                <w:rFonts w:ascii="Times New Roman" w:hAnsi="Times New Roman"/>
                <w:sz w:val="24"/>
              </w:rPr>
              <w:t>ente ha un investimento significativo</w:t>
            </w:r>
          </w:p>
          <w:p w:rsidR="00674BF5" w:rsidRPr="00661595" w:rsidRDefault="00674BF5" w:rsidP="00115052">
            <w:pPr>
              <w:pStyle w:val="InstructionsText"/>
              <w:rPr>
                <w:rStyle w:val="InstructionsTabelleberschrift"/>
                <w:rFonts w:ascii="Times New Roman" w:hAnsi="Times New Roman"/>
                <w:b w:val="0"/>
                <w:bCs w:val="0"/>
                <w:sz w:val="24"/>
                <w:u w:val="none"/>
              </w:rPr>
            </w:pPr>
            <w:r>
              <w:t>Articolo 4, paragrafo 1, punto 126, e articoli 58 e 59 del CRR</w:t>
            </w:r>
          </w:p>
        </w:tc>
      </w:tr>
      <w:tr w:rsidR="00674BF5" w:rsidRPr="00661595" w:rsidTr="00674BF5">
        <w:tc>
          <w:tcPr>
            <w:tcW w:w="1474" w:type="dxa"/>
          </w:tcPr>
          <w:p w:rsidR="00674BF5" w:rsidRPr="00661595" w:rsidRDefault="00754ADC" w:rsidP="00115052">
            <w:pPr>
              <w:pStyle w:val="InstructionsText"/>
            </w:pPr>
            <w:r>
              <w:t>0573</w:t>
            </w:r>
          </w:p>
        </w:tc>
        <w:tc>
          <w:tcPr>
            <w:tcW w:w="7049" w:type="dxa"/>
          </w:tcPr>
          <w:p w:rsidR="00674BF5" w:rsidRPr="00661595" w:rsidRDefault="00674BF5" w:rsidP="00115052">
            <w:pPr>
              <w:pStyle w:val="InstructionsText"/>
            </w:pPr>
            <w:r>
              <w:rPr>
                <w:rStyle w:val="InstructionsTabelleberschrift"/>
                <w:rFonts w:ascii="Times New Roman" w:hAnsi="Times New Roman"/>
                <w:sz w:val="24"/>
              </w:rPr>
              <w:t>16.3.2</w:t>
            </w:r>
            <w:r w:rsidRPr="00874381">
              <w:tab/>
            </w:r>
            <w:r>
              <w:rPr>
                <w:rStyle w:val="InstructionsTabelleberschrift"/>
                <w:rFonts w:ascii="Times New Roman" w:hAnsi="Times New Roman"/>
                <w:sz w:val="24"/>
              </w:rPr>
              <w:t>(-) Posizioni corte di segno opposto autorizzate in relazione alle detenzioni sintetiche lorde di cui sopra</w:t>
            </w:r>
          </w:p>
          <w:p w:rsidR="00674BF5" w:rsidRPr="00661595" w:rsidRDefault="00674BF5" w:rsidP="00115052">
            <w:pPr>
              <w:pStyle w:val="InstructionsText"/>
            </w:pPr>
            <w:r>
              <w:t>Articolo 4, paragrafo 1, punto 126, e articolo 59 del CRR.</w:t>
            </w:r>
          </w:p>
          <w:p w:rsidR="002D31E5" w:rsidRPr="00661595" w:rsidRDefault="000D04B6" w:rsidP="0011505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articolo 59, lettera a), del CRR permette di compensare le posizioni corte nella stessa esposizione sottostante a condizione che la data di scadenza della posizione corta sia identica o posteriore a quella della posizione lunga o la durata residua della posizione corta sia di almeno un anno.</w:t>
            </w:r>
          </w:p>
        </w:tc>
      </w:tr>
      <w:tr w:rsidR="00674BF5" w:rsidRPr="00661595" w:rsidTr="00674BF5">
        <w:tc>
          <w:tcPr>
            <w:tcW w:w="1474" w:type="dxa"/>
          </w:tcPr>
          <w:p w:rsidR="00674BF5" w:rsidRPr="00661595" w:rsidRDefault="00754ADC" w:rsidP="00115052">
            <w:pPr>
              <w:pStyle w:val="InstructionsText"/>
            </w:pPr>
            <w:r>
              <w:t>0580</w:t>
            </w:r>
          </w:p>
        </w:tc>
        <w:tc>
          <w:tcPr>
            <w:tcW w:w="7049" w:type="dxa"/>
          </w:tcPr>
          <w:p w:rsidR="00674BF5" w:rsidRPr="00661595" w:rsidRDefault="00674BF5" w:rsidP="00115052">
            <w:pPr>
              <w:pStyle w:val="InstructionsText"/>
            </w:pPr>
            <w:r>
              <w:rPr>
                <w:rStyle w:val="InstructionsTabelleberschrift"/>
                <w:rFonts w:ascii="Times New Roman" w:hAnsi="Times New Roman"/>
                <w:sz w:val="24"/>
              </w:rPr>
              <w:t>17 Detenzioni di capitale di classe 2 di soggetti del settore finanziario in cui l</w:t>
            </w:r>
            <w:r w:rsidR="000878EC">
              <w:rPr>
                <w:rStyle w:val="InstructionsTabelleberschrift"/>
                <w:rFonts w:ascii="Times New Roman" w:hAnsi="Times New Roman"/>
                <w:sz w:val="24"/>
              </w:rPr>
              <w:t>'</w:t>
            </w:r>
            <w:r>
              <w:rPr>
                <w:rStyle w:val="InstructionsTabelleberschrift"/>
                <w:rFonts w:ascii="Times New Roman" w:hAnsi="Times New Roman"/>
                <w:sz w:val="24"/>
              </w:rPr>
              <w:t>ente ha un investimento significativo, al netto delle posizioni corte</w:t>
            </w:r>
          </w:p>
          <w:p w:rsidR="00674BF5" w:rsidRPr="00661595" w:rsidRDefault="00674BF5" w:rsidP="00115052">
            <w:pPr>
              <w:pStyle w:val="InstructionsText"/>
            </w:pPr>
            <w:r>
              <w:t>Articoli 68 e 69 del CRR</w:t>
            </w:r>
          </w:p>
        </w:tc>
      </w:tr>
      <w:tr w:rsidR="00674BF5" w:rsidRPr="00661595" w:rsidTr="00674BF5">
        <w:tc>
          <w:tcPr>
            <w:tcW w:w="1474" w:type="dxa"/>
          </w:tcPr>
          <w:p w:rsidR="00674BF5" w:rsidRPr="00661595" w:rsidRDefault="00754ADC" w:rsidP="00115052">
            <w:pPr>
              <w:pStyle w:val="InstructionsText"/>
            </w:pPr>
            <w:r>
              <w:t>0590</w:t>
            </w:r>
          </w:p>
        </w:tc>
        <w:tc>
          <w:tcPr>
            <w:tcW w:w="7049" w:type="dxa"/>
          </w:tcPr>
          <w:p w:rsidR="00674BF5" w:rsidRPr="00661595" w:rsidRDefault="00674BF5" w:rsidP="00115052">
            <w:pPr>
              <w:pStyle w:val="InstructionsText"/>
            </w:pPr>
            <w:r>
              <w:rPr>
                <w:rStyle w:val="InstructionsTabelleberschrift"/>
                <w:rFonts w:ascii="Times New Roman" w:hAnsi="Times New Roman"/>
                <w:sz w:val="24"/>
              </w:rPr>
              <w:t>17.1</w:t>
            </w:r>
            <w:r w:rsidRPr="00874381">
              <w:tab/>
            </w:r>
            <w:r>
              <w:rPr>
                <w:rStyle w:val="InstructionsTabelleberschrift"/>
                <w:rFonts w:ascii="Times New Roman" w:hAnsi="Times New Roman"/>
                <w:sz w:val="24"/>
              </w:rPr>
              <w:t>Detenzioni dirette di capitale di classe 2 di soggetti del settore finanziario in cui l</w:t>
            </w:r>
            <w:r w:rsidR="000878EC">
              <w:rPr>
                <w:rStyle w:val="InstructionsTabelleberschrift"/>
                <w:rFonts w:ascii="Times New Roman" w:hAnsi="Times New Roman"/>
                <w:sz w:val="24"/>
              </w:rPr>
              <w:t>'</w:t>
            </w:r>
            <w:r>
              <w:rPr>
                <w:rStyle w:val="InstructionsTabelleberschrift"/>
                <w:rFonts w:ascii="Times New Roman" w:hAnsi="Times New Roman"/>
                <w:sz w:val="24"/>
              </w:rPr>
              <w:t>ente ha un investimento significativo</w:t>
            </w:r>
          </w:p>
          <w:p w:rsidR="00674BF5" w:rsidRPr="00661595" w:rsidRDefault="00674BF5" w:rsidP="00115052">
            <w:pPr>
              <w:pStyle w:val="InstructionsText"/>
            </w:pPr>
            <w:r>
              <w:t>Articoli 68 e 69 del CRR</w:t>
            </w:r>
          </w:p>
        </w:tc>
      </w:tr>
      <w:tr w:rsidR="00674BF5" w:rsidRPr="00661595" w:rsidTr="00674BF5">
        <w:tc>
          <w:tcPr>
            <w:tcW w:w="1474" w:type="dxa"/>
          </w:tcPr>
          <w:p w:rsidR="00674BF5" w:rsidRPr="00661595" w:rsidRDefault="00754ADC" w:rsidP="00115052">
            <w:pPr>
              <w:pStyle w:val="InstructionsText"/>
            </w:pPr>
            <w:r>
              <w:t>0600</w:t>
            </w:r>
          </w:p>
        </w:tc>
        <w:tc>
          <w:tcPr>
            <w:tcW w:w="7049" w:type="dxa"/>
          </w:tcPr>
          <w:p w:rsidR="00674BF5" w:rsidRPr="00661595" w:rsidRDefault="00674BF5" w:rsidP="00115052">
            <w:pPr>
              <w:pStyle w:val="InstructionsText"/>
            </w:pPr>
            <w:r>
              <w:rPr>
                <w:rStyle w:val="InstructionsTabelleberschrift"/>
                <w:rFonts w:ascii="Times New Roman" w:hAnsi="Times New Roman"/>
                <w:sz w:val="24"/>
              </w:rPr>
              <w:t>17.1.1</w:t>
            </w:r>
            <w:r w:rsidRPr="00874381">
              <w:tab/>
            </w:r>
            <w:r>
              <w:rPr>
                <w:rStyle w:val="InstructionsTabelleberschrift"/>
                <w:rFonts w:ascii="Times New Roman" w:hAnsi="Times New Roman"/>
                <w:sz w:val="24"/>
              </w:rPr>
              <w:t>Detenzioni dirette lorde di capitale di classe 2 di soggetti del settore finanziario in cui l</w:t>
            </w:r>
            <w:r w:rsidR="000878EC">
              <w:rPr>
                <w:rStyle w:val="InstructionsTabelleberschrift"/>
                <w:rFonts w:ascii="Times New Roman" w:hAnsi="Times New Roman"/>
                <w:sz w:val="24"/>
              </w:rPr>
              <w:t>'</w:t>
            </w:r>
            <w:r>
              <w:rPr>
                <w:rStyle w:val="InstructionsTabelleberschrift"/>
                <w:rFonts w:ascii="Times New Roman" w:hAnsi="Times New Roman"/>
                <w:sz w:val="24"/>
              </w:rPr>
              <w:t>ente ha un investimento significativo</w:t>
            </w:r>
          </w:p>
          <w:p w:rsidR="00674BF5" w:rsidRPr="00661595" w:rsidRDefault="00674BF5" w:rsidP="00115052">
            <w:pPr>
              <w:pStyle w:val="InstructionsText"/>
            </w:pPr>
            <w:r>
              <w:t>Articolo 68 del CRR</w:t>
            </w:r>
          </w:p>
          <w:p w:rsidR="00674BF5" w:rsidRPr="00661595" w:rsidRDefault="00674BF5" w:rsidP="00115052">
            <w:pPr>
              <w:pStyle w:val="InstructionsText"/>
            </w:pPr>
            <w:r>
              <w:t>Partecipazioni dirette nel capitale di classe 2 di soggetti del settore finanziario in cui l</w:t>
            </w:r>
            <w:r w:rsidR="000878EC">
              <w:t>'</w:t>
            </w:r>
            <w:r>
              <w:t>ente ha un investimento significativo, escluse:</w:t>
            </w:r>
          </w:p>
          <w:p w:rsidR="00674BF5" w:rsidRPr="00661595" w:rsidRDefault="00674BF5" w:rsidP="00115052">
            <w:pPr>
              <w:pStyle w:val="InstructionsText"/>
            </w:pPr>
            <w:r>
              <w:t>a)</w:t>
            </w:r>
            <w:r>
              <w:tab/>
              <w:t xml:space="preserve">le posizioni in impegni irrevocabili detenute per cinque giorni lavorativi o meno (articolo 66, lettera d), del CRR); e </w:t>
            </w:r>
          </w:p>
          <w:p w:rsidR="00674BF5" w:rsidRPr="00661595" w:rsidRDefault="00674BF5" w:rsidP="00115052">
            <w:pPr>
              <w:pStyle w:val="InstructionsText"/>
            </w:pPr>
            <w:r>
              <w:t>b)</w:t>
            </w:r>
            <w:r>
              <w:tab/>
              <w:t>le partecipazioni trattate come partecipazioni incrociate reciproche conformemente all</w:t>
            </w:r>
            <w:r w:rsidR="000878EC">
              <w:t>'</w:t>
            </w:r>
            <w:r>
              <w:t>articolo 66, lettera b), del CRR.</w:t>
            </w:r>
          </w:p>
        </w:tc>
      </w:tr>
      <w:tr w:rsidR="00674BF5" w:rsidRPr="00661595" w:rsidTr="00674BF5">
        <w:tc>
          <w:tcPr>
            <w:tcW w:w="1474" w:type="dxa"/>
          </w:tcPr>
          <w:p w:rsidR="00674BF5" w:rsidRPr="00661595" w:rsidRDefault="00754ADC" w:rsidP="00115052">
            <w:pPr>
              <w:pStyle w:val="InstructionsText"/>
            </w:pPr>
            <w:r>
              <w:t>0610</w:t>
            </w:r>
          </w:p>
        </w:tc>
        <w:tc>
          <w:tcPr>
            <w:tcW w:w="7049" w:type="dxa"/>
          </w:tcPr>
          <w:p w:rsidR="00674BF5" w:rsidRPr="00661595" w:rsidRDefault="00674BF5" w:rsidP="00115052">
            <w:pPr>
              <w:pStyle w:val="InstructionsText"/>
            </w:pPr>
            <w:r>
              <w:rPr>
                <w:rStyle w:val="InstructionsTabelleberschrift"/>
                <w:rFonts w:ascii="Times New Roman" w:hAnsi="Times New Roman"/>
                <w:sz w:val="24"/>
              </w:rPr>
              <w:t>17.1.2</w:t>
            </w:r>
            <w:r w:rsidRPr="00874381">
              <w:tab/>
            </w:r>
            <w:r>
              <w:rPr>
                <w:rStyle w:val="InstructionsTabelleberschrift"/>
                <w:rFonts w:ascii="Times New Roman" w:hAnsi="Times New Roman"/>
                <w:sz w:val="24"/>
              </w:rPr>
              <w:t>(-) Posizioni corte di segno opposto autorizzate in relazione alle detenzioni dirette lorde di cui sopra</w:t>
            </w:r>
          </w:p>
          <w:p w:rsidR="00674BF5" w:rsidRPr="00661595" w:rsidRDefault="00674BF5" w:rsidP="00115052">
            <w:pPr>
              <w:pStyle w:val="InstructionsText"/>
            </w:pPr>
            <w:r>
              <w:t>Articolo 69 del CRR</w:t>
            </w:r>
          </w:p>
          <w:p w:rsidR="00674BF5" w:rsidRPr="00661595" w:rsidRDefault="00674BF5" w:rsidP="00115052">
            <w:pPr>
              <w:pStyle w:val="InstructionsText"/>
            </w:pPr>
            <w:r>
              <w:t>L</w:t>
            </w:r>
            <w:r w:rsidR="000878EC">
              <w:t>'</w:t>
            </w:r>
            <w:r>
              <w:t>articolo 69, lettera a), del CRR permette di compensare le posizioni corte nella stessa esposizione sottostante a condizione che la data di scadenza della posizione corta sia identica o posteriore a quella della posizione lunga o la durata residua della posizione corta sia di almeno un anno.</w:t>
            </w:r>
          </w:p>
        </w:tc>
      </w:tr>
      <w:tr w:rsidR="00674BF5" w:rsidRPr="00661595" w:rsidTr="00674BF5">
        <w:tc>
          <w:tcPr>
            <w:tcW w:w="1474" w:type="dxa"/>
          </w:tcPr>
          <w:p w:rsidR="00674BF5" w:rsidRPr="00661595" w:rsidRDefault="00754ADC" w:rsidP="00115052">
            <w:pPr>
              <w:pStyle w:val="InstructionsText"/>
            </w:pPr>
            <w:r>
              <w:t>0620</w:t>
            </w:r>
          </w:p>
        </w:tc>
        <w:tc>
          <w:tcPr>
            <w:tcW w:w="7049" w:type="dxa"/>
          </w:tcPr>
          <w:p w:rsidR="00674BF5" w:rsidRPr="00661595" w:rsidRDefault="00674BF5" w:rsidP="00115052">
            <w:pPr>
              <w:pStyle w:val="InstructionsText"/>
            </w:pPr>
            <w:r>
              <w:rPr>
                <w:rStyle w:val="InstructionsTabelleberschrift"/>
                <w:rFonts w:ascii="Times New Roman" w:hAnsi="Times New Roman"/>
                <w:sz w:val="24"/>
              </w:rPr>
              <w:t>17.2</w:t>
            </w:r>
            <w:r w:rsidRPr="00874381">
              <w:tab/>
            </w:r>
            <w:r>
              <w:rPr>
                <w:rStyle w:val="InstructionsTabelleberschrift"/>
                <w:rFonts w:ascii="Times New Roman" w:hAnsi="Times New Roman"/>
                <w:sz w:val="24"/>
              </w:rPr>
              <w:t>Detenzioni indirette di capitale di classe 2 di soggetti del settore finanziario in cui l</w:t>
            </w:r>
            <w:r w:rsidR="000878EC">
              <w:rPr>
                <w:rStyle w:val="InstructionsTabelleberschrift"/>
                <w:rFonts w:ascii="Times New Roman" w:hAnsi="Times New Roman"/>
                <w:sz w:val="24"/>
              </w:rPr>
              <w:t>'</w:t>
            </w:r>
            <w:r>
              <w:rPr>
                <w:rStyle w:val="InstructionsTabelleberschrift"/>
                <w:rFonts w:ascii="Times New Roman" w:hAnsi="Times New Roman"/>
                <w:sz w:val="24"/>
              </w:rPr>
              <w:t>ente ha un investimento significativo</w:t>
            </w:r>
          </w:p>
          <w:p w:rsidR="00674BF5" w:rsidRPr="00661595" w:rsidRDefault="00674BF5" w:rsidP="00115052">
            <w:pPr>
              <w:pStyle w:val="InstructionsText"/>
            </w:pPr>
            <w:r>
              <w:t>Articolo 4, paragrafo 1, punto 114, e articoli 68 e 69 del CRR</w:t>
            </w:r>
          </w:p>
        </w:tc>
      </w:tr>
      <w:tr w:rsidR="00674BF5" w:rsidRPr="00661595" w:rsidTr="00674BF5">
        <w:tc>
          <w:tcPr>
            <w:tcW w:w="1474" w:type="dxa"/>
          </w:tcPr>
          <w:p w:rsidR="00674BF5" w:rsidRPr="00661595" w:rsidRDefault="00754ADC" w:rsidP="00115052">
            <w:pPr>
              <w:pStyle w:val="InstructionsText"/>
            </w:pPr>
            <w:r>
              <w:t>0630</w:t>
            </w:r>
          </w:p>
        </w:tc>
        <w:tc>
          <w:tcPr>
            <w:tcW w:w="7049" w:type="dxa"/>
          </w:tcPr>
          <w:p w:rsidR="00674BF5" w:rsidRPr="00661595" w:rsidRDefault="00674BF5" w:rsidP="00115052">
            <w:pPr>
              <w:pStyle w:val="InstructionsText"/>
            </w:pPr>
            <w:r>
              <w:rPr>
                <w:rStyle w:val="InstructionsTabelleberschrift"/>
                <w:rFonts w:ascii="Times New Roman" w:hAnsi="Times New Roman"/>
                <w:sz w:val="24"/>
              </w:rPr>
              <w:t>17.2.1</w:t>
            </w:r>
            <w:r w:rsidRPr="00874381">
              <w:tab/>
            </w:r>
            <w:r>
              <w:rPr>
                <w:rStyle w:val="InstructionsTabelleberschrift"/>
                <w:rFonts w:ascii="Times New Roman" w:hAnsi="Times New Roman"/>
                <w:sz w:val="24"/>
              </w:rPr>
              <w:t>Detenzioni indirette lorde di capitale di classe 2 di soggetti del settore finanziario in cui l</w:t>
            </w:r>
            <w:r w:rsidR="000878EC">
              <w:rPr>
                <w:rStyle w:val="InstructionsTabelleberschrift"/>
                <w:rFonts w:ascii="Times New Roman" w:hAnsi="Times New Roman"/>
                <w:sz w:val="24"/>
              </w:rPr>
              <w:t>'</w:t>
            </w:r>
            <w:r>
              <w:rPr>
                <w:rStyle w:val="InstructionsTabelleberschrift"/>
                <w:rFonts w:ascii="Times New Roman" w:hAnsi="Times New Roman"/>
                <w:sz w:val="24"/>
              </w:rPr>
              <w:t>ente ha un investimento significativo</w:t>
            </w:r>
          </w:p>
          <w:p w:rsidR="00674BF5" w:rsidRPr="00661595" w:rsidRDefault="00674BF5" w:rsidP="00115052">
            <w:pPr>
              <w:pStyle w:val="InstructionsText"/>
            </w:pPr>
            <w:r>
              <w:t>Articolo 4, paragrafo 1, punto 114, e articoli 68 e 69 del CRR</w:t>
            </w:r>
          </w:p>
          <w:p w:rsidR="00674BF5" w:rsidRPr="00661595" w:rsidRDefault="00674BF5" w:rsidP="00115052">
            <w:pPr>
              <w:pStyle w:val="InstructionsText"/>
            </w:pPr>
            <w:r>
              <w:t>L</w:t>
            </w:r>
            <w:r w:rsidR="000878EC">
              <w:t>'</w:t>
            </w:r>
            <w:r>
              <w:t>importo da segnalare sono le partecipazioni indirette interne al portafoglio di negoziazione e relative agli strumenti di capitale di soggetti del settore finanziario sotto forma di detenzioni di titoli su indici. L</w:t>
            </w:r>
            <w:r w:rsidR="000878EC">
              <w:t>'</w:t>
            </w:r>
            <w:r>
              <w:t>importo si ottiene calcolando l</w:t>
            </w:r>
            <w:r w:rsidR="000878EC">
              <w:t>'</w:t>
            </w:r>
            <w:r>
              <w:t>esposizione sottostante verso gli strumenti di capitale dei soggetti del settore finanziario compresi negli indici.</w:t>
            </w:r>
          </w:p>
          <w:p w:rsidR="00674BF5" w:rsidRPr="00661595" w:rsidRDefault="00674BF5" w:rsidP="00115052">
            <w:pPr>
              <w:pStyle w:val="InstructionsText"/>
            </w:pPr>
            <w:r>
              <w:t>Non sono incluse le partecipazioni trattate come partecipazioni incrociate reciproche conformemente all</w:t>
            </w:r>
            <w:r w:rsidR="000878EC">
              <w:t>'</w:t>
            </w:r>
            <w:r>
              <w:t>articolo 66, lettera b), del CRR.</w:t>
            </w:r>
          </w:p>
        </w:tc>
      </w:tr>
      <w:tr w:rsidR="00674BF5" w:rsidRPr="00661595" w:rsidTr="00674BF5">
        <w:tc>
          <w:tcPr>
            <w:tcW w:w="1474" w:type="dxa"/>
          </w:tcPr>
          <w:p w:rsidR="00674BF5" w:rsidRPr="00661595" w:rsidRDefault="00754ADC" w:rsidP="00115052">
            <w:pPr>
              <w:pStyle w:val="InstructionsText"/>
            </w:pPr>
            <w:r>
              <w:t>0640</w:t>
            </w:r>
          </w:p>
        </w:tc>
        <w:tc>
          <w:tcPr>
            <w:tcW w:w="7049" w:type="dxa"/>
          </w:tcPr>
          <w:p w:rsidR="00674BF5" w:rsidRPr="00661595" w:rsidRDefault="00674BF5" w:rsidP="00115052">
            <w:pPr>
              <w:pStyle w:val="InstructionsText"/>
            </w:pPr>
            <w:r>
              <w:rPr>
                <w:rStyle w:val="InstructionsTabelleberschrift"/>
                <w:rFonts w:ascii="Times New Roman" w:hAnsi="Times New Roman"/>
                <w:sz w:val="24"/>
              </w:rPr>
              <w:t>17.2.2</w:t>
            </w:r>
            <w:r w:rsidRPr="00874381">
              <w:tab/>
            </w:r>
            <w:r>
              <w:rPr>
                <w:rStyle w:val="InstructionsTabelleberschrift"/>
                <w:rFonts w:ascii="Times New Roman" w:hAnsi="Times New Roman"/>
                <w:sz w:val="24"/>
              </w:rPr>
              <w:t>(-) Posizioni corte di segno opposto autorizzate in relazione alle detenzioni indirette lorde di cui sopra</w:t>
            </w:r>
          </w:p>
          <w:p w:rsidR="00674BF5" w:rsidRPr="00661595" w:rsidRDefault="00674BF5" w:rsidP="00115052">
            <w:pPr>
              <w:pStyle w:val="InstructionsText"/>
            </w:pPr>
            <w:r>
              <w:t>Articolo 4, paragrafo 1, punto 114, e articolo 69 del CRR</w:t>
            </w:r>
          </w:p>
          <w:p w:rsidR="00674BF5" w:rsidRPr="00661595" w:rsidRDefault="00674BF5" w:rsidP="00115052">
            <w:pPr>
              <w:pStyle w:val="InstructionsText"/>
            </w:pPr>
            <w:r>
              <w:t>L</w:t>
            </w:r>
            <w:r w:rsidR="000878EC">
              <w:t>'</w:t>
            </w:r>
            <w:r>
              <w:t>articolo 69, lettera a), del CRR permette di compensare le posizioni corte nella stessa esposizione sottostante a condizione che la data di scadenza della posizione corta sia identica o posteriore a quella della posizione lunga o la durata residua della posizione corta sia di almeno un anno.</w:t>
            </w:r>
          </w:p>
        </w:tc>
      </w:tr>
      <w:tr w:rsidR="00674BF5" w:rsidRPr="00661595" w:rsidTr="00674BF5">
        <w:tc>
          <w:tcPr>
            <w:tcW w:w="1474" w:type="dxa"/>
          </w:tcPr>
          <w:p w:rsidR="00674BF5" w:rsidRPr="00661595" w:rsidRDefault="00754ADC" w:rsidP="00115052">
            <w:pPr>
              <w:pStyle w:val="InstructionsText"/>
            </w:pPr>
            <w:r>
              <w:t>0641</w:t>
            </w:r>
          </w:p>
        </w:tc>
        <w:tc>
          <w:tcPr>
            <w:tcW w:w="7049" w:type="dxa"/>
            <w:vAlign w:val="center"/>
          </w:tcPr>
          <w:p w:rsidR="00674BF5" w:rsidRPr="00661595" w:rsidRDefault="00674BF5" w:rsidP="00115052">
            <w:pPr>
              <w:pStyle w:val="InstructionsText"/>
            </w:pPr>
            <w:r>
              <w:rPr>
                <w:rStyle w:val="InstructionsTabelleberschrift"/>
                <w:rFonts w:ascii="Times New Roman" w:hAnsi="Times New Roman"/>
                <w:sz w:val="24"/>
              </w:rPr>
              <w:t>17.3</w:t>
            </w:r>
            <w:r w:rsidRPr="00874381">
              <w:tab/>
            </w:r>
            <w:r>
              <w:rPr>
                <w:rStyle w:val="InstructionsTabelleberschrift"/>
                <w:rFonts w:ascii="Times New Roman" w:hAnsi="Times New Roman"/>
                <w:sz w:val="24"/>
              </w:rPr>
              <w:t>Detenzioni sintetiche di capitale di classe 2 di soggetti del settore finanziario in cui l</w:t>
            </w:r>
            <w:r w:rsidR="000878EC">
              <w:rPr>
                <w:rStyle w:val="InstructionsTabelleberschrift"/>
                <w:rFonts w:ascii="Times New Roman" w:hAnsi="Times New Roman"/>
                <w:sz w:val="24"/>
              </w:rPr>
              <w:t>'</w:t>
            </w:r>
            <w:r>
              <w:rPr>
                <w:rStyle w:val="InstructionsTabelleberschrift"/>
                <w:rFonts w:ascii="Times New Roman" w:hAnsi="Times New Roman"/>
                <w:sz w:val="24"/>
              </w:rPr>
              <w:t>ente ha un investimento significativo</w:t>
            </w:r>
          </w:p>
          <w:p w:rsidR="00674BF5" w:rsidRPr="00661595" w:rsidRDefault="00674BF5" w:rsidP="00115052">
            <w:pPr>
              <w:pStyle w:val="InstructionsText"/>
              <w:rPr>
                <w:rStyle w:val="InstructionsTabelleberschrift"/>
                <w:rFonts w:ascii="Times New Roman" w:hAnsi="Times New Roman"/>
                <w:b w:val="0"/>
                <w:bCs w:val="0"/>
                <w:sz w:val="24"/>
                <w:u w:val="none"/>
              </w:rPr>
            </w:pPr>
            <w:r>
              <w:t>Articolo 4, paragrafo 1, punto 126, e articoli 68 e 69 del CRR</w:t>
            </w:r>
          </w:p>
        </w:tc>
      </w:tr>
      <w:tr w:rsidR="00674BF5" w:rsidRPr="00661595" w:rsidTr="00674BF5">
        <w:tc>
          <w:tcPr>
            <w:tcW w:w="1474" w:type="dxa"/>
          </w:tcPr>
          <w:p w:rsidR="00674BF5" w:rsidRPr="00661595" w:rsidRDefault="00754ADC" w:rsidP="00115052">
            <w:pPr>
              <w:pStyle w:val="InstructionsText"/>
            </w:pPr>
            <w:r>
              <w:t>0642</w:t>
            </w:r>
          </w:p>
        </w:tc>
        <w:tc>
          <w:tcPr>
            <w:tcW w:w="7049" w:type="dxa"/>
            <w:vAlign w:val="center"/>
          </w:tcPr>
          <w:p w:rsidR="00674BF5" w:rsidRPr="00661595" w:rsidRDefault="00674BF5" w:rsidP="00115052">
            <w:pPr>
              <w:pStyle w:val="InstructionsText"/>
            </w:pPr>
            <w:r>
              <w:rPr>
                <w:rStyle w:val="InstructionsTabelleberschrift"/>
                <w:rFonts w:ascii="Times New Roman" w:hAnsi="Times New Roman"/>
                <w:sz w:val="24"/>
              </w:rPr>
              <w:t>17.3.1</w:t>
            </w:r>
            <w:r w:rsidRPr="00874381">
              <w:tab/>
            </w:r>
            <w:r>
              <w:rPr>
                <w:rStyle w:val="InstructionsTabelleberschrift"/>
                <w:rFonts w:ascii="Times New Roman" w:hAnsi="Times New Roman"/>
                <w:sz w:val="24"/>
              </w:rPr>
              <w:t>Detenzioni sintetiche lorde di capitale di classe 2 di soggetti del settore finanziario in cui l</w:t>
            </w:r>
            <w:r w:rsidR="000878EC">
              <w:rPr>
                <w:rStyle w:val="InstructionsTabelleberschrift"/>
                <w:rFonts w:ascii="Times New Roman" w:hAnsi="Times New Roman"/>
                <w:sz w:val="24"/>
              </w:rPr>
              <w:t>'</w:t>
            </w:r>
            <w:r>
              <w:rPr>
                <w:rStyle w:val="InstructionsTabelleberschrift"/>
                <w:rFonts w:ascii="Times New Roman" w:hAnsi="Times New Roman"/>
                <w:sz w:val="24"/>
              </w:rPr>
              <w:t>ente ha un investimento significativo</w:t>
            </w:r>
          </w:p>
          <w:p w:rsidR="00674BF5" w:rsidRPr="00661595" w:rsidRDefault="00674BF5" w:rsidP="00115052">
            <w:pPr>
              <w:pStyle w:val="InstructionsText"/>
              <w:rPr>
                <w:rStyle w:val="InstructionsTabelleberschrift"/>
                <w:rFonts w:ascii="Times New Roman" w:hAnsi="Times New Roman"/>
                <w:b w:val="0"/>
                <w:bCs w:val="0"/>
                <w:sz w:val="24"/>
                <w:u w:val="none"/>
              </w:rPr>
            </w:pPr>
            <w:r>
              <w:t>Articolo 4, paragrafo 1, punto 126, e articoli 68 e 69 del CRR</w:t>
            </w:r>
          </w:p>
        </w:tc>
      </w:tr>
      <w:tr w:rsidR="00674BF5" w:rsidRPr="00661595" w:rsidTr="00674BF5">
        <w:tc>
          <w:tcPr>
            <w:tcW w:w="1474" w:type="dxa"/>
          </w:tcPr>
          <w:p w:rsidR="00674BF5" w:rsidRPr="00661595" w:rsidRDefault="00754ADC" w:rsidP="00115052">
            <w:pPr>
              <w:pStyle w:val="InstructionsText"/>
            </w:pPr>
            <w:r>
              <w:t>0643</w:t>
            </w:r>
          </w:p>
        </w:tc>
        <w:tc>
          <w:tcPr>
            <w:tcW w:w="7049" w:type="dxa"/>
            <w:vAlign w:val="center"/>
          </w:tcPr>
          <w:p w:rsidR="00674BF5" w:rsidRPr="00661595" w:rsidRDefault="00674BF5" w:rsidP="00115052">
            <w:pPr>
              <w:pStyle w:val="InstructionsText"/>
            </w:pPr>
            <w:r>
              <w:rPr>
                <w:rStyle w:val="InstructionsTabelleberschrift"/>
                <w:rFonts w:ascii="Times New Roman" w:hAnsi="Times New Roman"/>
                <w:sz w:val="24"/>
              </w:rPr>
              <w:t>17.3.2</w:t>
            </w:r>
            <w:r w:rsidRPr="00874381">
              <w:tab/>
            </w:r>
            <w:r>
              <w:rPr>
                <w:rStyle w:val="InstructionsTabelleberschrift"/>
                <w:rFonts w:ascii="Times New Roman" w:hAnsi="Times New Roman"/>
                <w:sz w:val="24"/>
              </w:rPr>
              <w:t>(-) Posizioni corte di segno opposto autorizzate in relazione alle detenzioni sintetiche lorde di cui sopra</w:t>
            </w:r>
          </w:p>
          <w:p w:rsidR="00674BF5" w:rsidRPr="00661595" w:rsidRDefault="00674BF5" w:rsidP="00115052">
            <w:pPr>
              <w:pStyle w:val="InstructionsText"/>
            </w:pPr>
            <w:r>
              <w:t>Articolo 4, paragrafo 1, punto 126, e articolo 69 del CRR.</w:t>
            </w:r>
          </w:p>
          <w:p w:rsidR="002D31E5" w:rsidRPr="00661595" w:rsidRDefault="000D04B6" w:rsidP="00115052">
            <w:pPr>
              <w:pStyle w:val="InstructionsText"/>
              <w:rPr>
                <w:rStyle w:val="InstructionsTabelleberschrift"/>
                <w:rFonts w:ascii="Times New Roman" w:hAnsi="Times New Roman"/>
                <w:b w:val="0"/>
                <w:bCs w:val="0"/>
                <w:sz w:val="24"/>
                <w:u w:val="none"/>
              </w:rPr>
            </w:pPr>
            <w:r>
              <w:rPr>
                <w:rStyle w:val="InstructionsTabelleberschrift"/>
                <w:rFonts w:ascii="Times New Roman" w:hAnsi="Times New Roman"/>
                <w:b w:val="0"/>
                <w:sz w:val="24"/>
                <w:u w:val="none"/>
              </w:rPr>
              <w:t>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articolo 69, lettera a), del CRR permette di compensare le posizioni corte nella stessa esposizione sottostante a condizione che la data di scadenza della posizione corta sia identica o posteriore a quella della posizione lunga o la durata residua della posizione corta sia di almeno un anno.</w:t>
            </w:r>
          </w:p>
        </w:tc>
      </w:tr>
      <w:tr w:rsidR="00674BF5" w:rsidRPr="00661595" w:rsidTr="00674BF5">
        <w:tc>
          <w:tcPr>
            <w:tcW w:w="1474" w:type="dxa"/>
          </w:tcPr>
          <w:p w:rsidR="00674BF5" w:rsidRPr="00661595" w:rsidRDefault="00754ADC" w:rsidP="00115052">
            <w:pPr>
              <w:pStyle w:val="InstructionsText"/>
            </w:pPr>
            <w:r>
              <w:t>0650</w:t>
            </w:r>
          </w:p>
        </w:tc>
        <w:tc>
          <w:tcPr>
            <w:tcW w:w="7049" w:type="dxa"/>
          </w:tcPr>
          <w:p w:rsidR="00674BF5" w:rsidRPr="00661595" w:rsidRDefault="00674BF5" w:rsidP="00115052">
            <w:pPr>
              <w:pStyle w:val="InstructionsText"/>
            </w:pPr>
            <w:r>
              <w:rPr>
                <w:rStyle w:val="InstructionsTabelleberschrift"/>
                <w:rFonts w:ascii="Times New Roman" w:hAnsi="Times New Roman"/>
                <w:sz w:val="24"/>
              </w:rPr>
              <w:t>18 Esposizioni ponderate per il rischio del capitale primario di classe 1 detenuto in soggetti del settore finanziario non dedotto dal capitale primario di classe 1 dell</w:t>
            </w:r>
            <w:r w:rsidR="000878EC">
              <w:rPr>
                <w:rStyle w:val="InstructionsTabelleberschrift"/>
                <w:rFonts w:ascii="Times New Roman" w:hAnsi="Times New Roman"/>
                <w:sz w:val="24"/>
              </w:rPr>
              <w:t>'</w:t>
            </w:r>
            <w:r>
              <w:rPr>
                <w:rStyle w:val="InstructionsTabelleberschrift"/>
                <w:rFonts w:ascii="Times New Roman" w:hAnsi="Times New Roman"/>
                <w:sz w:val="24"/>
              </w:rPr>
              <w:t>ente</w:t>
            </w:r>
          </w:p>
          <w:p w:rsidR="00674BF5" w:rsidRPr="00661595" w:rsidRDefault="00674BF5" w:rsidP="00115052">
            <w:pPr>
              <w:pStyle w:val="InstructionsText"/>
            </w:pPr>
            <w:r>
              <w:t>Articolo 46, paragrafo 4, articolo 48, paragrafo 4, e articolo 49, paragrafo 4, del CRR</w:t>
            </w:r>
          </w:p>
        </w:tc>
      </w:tr>
      <w:tr w:rsidR="00674BF5" w:rsidRPr="00661595" w:rsidTr="00674BF5">
        <w:tc>
          <w:tcPr>
            <w:tcW w:w="1474" w:type="dxa"/>
          </w:tcPr>
          <w:p w:rsidR="00674BF5" w:rsidRPr="00661595" w:rsidRDefault="00754ADC" w:rsidP="00115052">
            <w:pPr>
              <w:pStyle w:val="InstructionsText"/>
            </w:pPr>
            <w:r>
              <w:t>0660</w:t>
            </w:r>
          </w:p>
        </w:tc>
        <w:tc>
          <w:tcPr>
            <w:tcW w:w="7049" w:type="dxa"/>
          </w:tcPr>
          <w:p w:rsidR="00674BF5" w:rsidRPr="00661595" w:rsidRDefault="00674BF5" w:rsidP="00115052">
            <w:pPr>
              <w:pStyle w:val="InstructionsText"/>
            </w:pPr>
            <w:r>
              <w:rPr>
                <w:rStyle w:val="InstructionsTabelleberschrift"/>
                <w:rFonts w:ascii="Times New Roman" w:hAnsi="Times New Roman"/>
                <w:sz w:val="24"/>
              </w:rPr>
              <w:t>19 Esposizioni ponderate per il rischio del capitale aggiuntivo di classe 1 detenuto in soggetti del settore finanziario non dedotto dal capitale aggiuntivo di classe 1 dell</w:t>
            </w:r>
            <w:r w:rsidR="000878EC">
              <w:rPr>
                <w:rStyle w:val="InstructionsTabelleberschrift"/>
                <w:rFonts w:ascii="Times New Roman" w:hAnsi="Times New Roman"/>
                <w:sz w:val="24"/>
              </w:rPr>
              <w:t>'</w:t>
            </w:r>
            <w:r>
              <w:rPr>
                <w:rStyle w:val="InstructionsTabelleberschrift"/>
                <w:rFonts w:ascii="Times New Roman" w:hAnsi="Times New Roman"/>
                <w:sz w:val="24"/>
              </w:rPr>
              <w:t>ente</w:t>
            </w:r>
          </w:p>
          <w:p w:rsidR="00674BF5" w:rsidRPr="00661595" w:rsidRDefault="00674BF5" w:rsidP="00115052">
            <w:pPr>
              <w:pStyle w:val="InstructionsText"/>
            </w:pPr>
            <w:r>
              <w:t>Articolo 60, paragrafo 4, del CRR</w:t>
            </w:r>
          </w:p>
        </w:tc>
      </w:tr>
      <w:tr w:rsidR="00674BF5" w:rsidRPr="00661595" w:rsidTr="00674BF5">
        <w:tc>
          <w:tcPr>
            <w:tcW w:w="1474" w:type="dxa"/>
          </w:tcPr>
          <w:p w:rsidR="00674BF5" w:rsidRPr="00661595" w:rsidRDefault="00754ADC" w:rsidP="00115052">
            <w:pPr>
              <w:pStyle w:val="InstructionsText"/>
            </w:pPr>
            <w:r>
              <w:t>0670</w:t>
            </w:r>
          </w:p>
        </w:tc>
        <w:tc>
          <w:tcPr>
            <w:tcW w:w="7049" w:type="dxa"/>
          </w:tcPr>
          <w:p w:rsidR="00674BF5" w:rsidRPr="00661595" w:rsidRDefault="00674BF5" w:rsidP="00115052">
            <w:pPr>
              <w:pStyle w:val="InstructionsText"/>
            </w:pPr>
            <w:r>
              <w:rPr>
                <w:rStyle w:val="InstructionsTabelleberschrift"/>
                <w:rFonts w:ascii="Times New Roman" w:hAnsi="Times New Roman"/>
                <w:sz w:val="24"/>
              </w:rPr>
              <w:t>20 Esposizioni ponderate per il rischio del capitale di classe 2 detenuto in soggetti del settore finanziario non dedotto dal capitale di classe 2 dell</w:t>
            </w:r>
            <w:r w:rsidR="000878EC">
              <w:rPr>
                <w:rStyle w:val="InstructionsTabelleberschrift"/>
                <w:rFonts w:ascii="Times New Roman" w:hAnsi="Times New Roman"/>
                <w:sz w:val="24"/>
              </w:rPr>
              <w:t>'</w:t>
            </w:r>
            <w:r>
              <w:rPr>
                <w:rStyle w:val="InstructionsTabelleberschrift"/>
                <w:rFonts w:ascii="Times New Roman" w:hAnsi="Times New Roman"/>
                <w:sz w:val="24"/>
              </w:rPr>
              <w:t>ente</w:t>
            </w:r>
          </w:p>
          <w:p w:rsidR="00674BF5" w:rsidRPr="00661595" w:rsidRDefault="00674BF5" w:rsidP="00115052">
            <w:pPr>
              <w:pStyle w:val="InstructionsText"/>
            </w:pPr>
            <w:r>
              <w:t>Articolo 70, paragrafo 4, del CRR</w:t>
            </w:r>
          </w:p>
        </w:tc>
      </w:tr>
      <w:tr w:rsidR="00674BF5" w:rsidRPr="00661595" w:rsidTr="00674BF5">
        <w:tc>
          <w:tcPr>
            <w:tcW w:w="1474" w:type="dxa"/>
          </w:tcPr>
          <w:p w:rsidR="00674BF5" w:rsidRPr="00661595" w:rsidRDefault="00754ADC" w:rsidP="00115052">
            <w:pPr>
              <w:pStyle w:val="InstructionsText"/>
            </w:pPr>
            <w:r>
              <w:t>0680</w:t>
            </w:r>
          </w:p>
        </w:tc>
        <w:tc>
          <w:tcPr>
            <w:tcW w:w="7049" w:type="dxa"/>
          </w:tcPr>
          <w:p w:rsidR="00674BF5" w:rsidRPr="00661595" w:rsidRDefault="00674BF5" w:rsidP="00115052">
            <w:pPr>
              <w:pStyle w:val="InstructionsText"/>
            </w:pPr>
            <w:r>
              <w:rPr>
                <w:rStyle w:val="InstructionsTabelleberschrift"/>
                <w:rFonts w:ascii="Times New Roman" w:hAnsi="Times New Roman"/>
                <w:sz w:val="24"/>
              </w:rPr>
              <w:t>21</w:t>
            </w:r>
            <w:r w:rsidRPr="00874381">
              <w:tab/>
            </w:r>
            <w:r>
              <w:rPr>
                <w:rStyle w:val="InstructionsTabelleberschrift"/>
                <w:rFonts w:ascii="Times New Roman" w:hAnsi="Times New Roman"/>
                <w:sz w:val="24"/>
              </w:rPr>
              <w:t>Detenzioni di strumenti di capitale primario di classe 1 di soggetti del settore finanziario in cui l</w:t>
            </w:r>
            <w:r w:rsidR="000878EC">
              <w:rPr>
                <w:rStyle w:val="InstructionsTabelleberschrift"/>
                <w:rFonts w:ascii="Times New Roman" w:hAnsi="Times New Roman"/>
                <w:sz w:val="24"/>
              </w:rPr>
              <w:t>'</w:t>
            </w:r>
            <w:r>
              <w:rPr>
                <w:rStyle w:val="InstructionsTabelleberschrift"/>
                <w:rFonts w:ascii="Times New Roman" w:hAnsi="Times New Roman"/>
                <w:sz w:val="24"/>
              </w:rPr>
              <w:t>ente non ha un investimento significativo cui è applicata una deroga temporanea</w:t>
            </w:r>
          </w:p>
          <w:p w:rsidR="00674BF5" w:rsidRPr="00661595" w:rsidRDefault="00674BF5" w:rsidP="00115052">
            <w:pPr>
              <w:pStyle w:val="InstructionsText"/>
            </w:pPr>
            <w:r>
              <w:t>Articolo 79 del CRR</w:t>
            </w:r>
          </w:p>
          <w:p w:rsidR="00674BF5" w:rsidRPr="00661595" w:rsidRDefault="00674BF5" w:rsidP="00115052">
            <w:pPr>
              <w:pStyle w:val="InstructionsText"/>
            </w:pPr>
            <w:r>
              <w:t>L</w:t>
            </w:r>
            <w:r w:rsidR="000878EC">
              <w:t>'</w:t>
            </w:r>
            <w:r>
              <w:t>autorità competente può derogare su base temporanea alle disposizioni relative alle deduzioni dal capitale primario di classe 1 dovute a partecipazioni in strumenti di uno specifico soggetto del settore finanziario qualora ritenga che dette partecipazioni sussistano ai fini di un</w:t>
            </w:r>
            <w:r w:rsidR="000878EC">
              <w:t>'</w:t>
            </w:r>
            <w:r>
              <w:t>operazione di assistenza finanziaria destinata alla riorganizzazione e al salvataggio del soggetto.</w:t>
            </w:r>
          </w:p>
          <w:p w:rsidR="00674BF5" w:rsidRPr="00661595" w:rsidRDefault="00674BF5" w:rsidP="00115052">
            <w:pPr>
              <w:pStyle w:val="InstructionsText"/>
            </w:pPr>
            <w:r>
              <w:t>Si rileva che tali strumenti devono es</w:t>
            </w:r>
            <w:r w:rsidR="00543281">
              <w:t>sere segnalati anche nella voce </w:t>
            </w:r>
            <w:r>
              <w:t>12.1.</w:t>
            </w:r>
          </w:p>
        </w:tc>
      </w:tr>
      <w:tr w:rsidR="00674BF5" w:rsidRPr="00661595" w:rsidTr="00674BF5">
        <w:tc>
          <w:tcPr>
            <w:tcW w:w="1474" w:type="dxa"/>
          </w:tcPr>
          <w:p w:rsidR="00674BF5" w:rsidRPr="00661595" w:rsidRDefault="00754ADC" w:rsidP="00115052">
            <w:pPr>
              <w:pStyle w:val="InstructionsText"/>
            </w:pPr>
            <w:r>
              <w:t>0690</w:t>
            </w:r>
          </w:p>
        </w:tc>
        <w:tc>
          <w:tcPr>
            <w:tcW w:w="7049" w:type="dxa"/>
          </w:tcPr>
          <w:p w:rsidR="00674BF5" w:rsidRPr="00661595" w:rsidRDefault="00674BF5" w:rsidP="00115052">
            <w:pPr>
              <w:pStyle w:val="InstructionsText"/>
            </w:pPr>
            <w:r>
              <w:rPr>
                <w:rStyle w:val="InstructionsTabelleberschrift"/>
                <w:rFonts w:ascii="Times New Roman" w:hAnsi="Times New Roman"/>
                <w:sz w:val="24"/>
              </w:rPr>
              <w:t>22</w:t>
            </w:r>
            <w:r w:rsidRPr="00874381">
              <w:tab/>
            </w:r>
            <w:r>
              <w:rPr>
                <w:rStyle w:val="InstructionsTabelleberschrift"/>
                <w:rFonts w:ascii="Times New Roman" w:hAnsi="Times New Roman"/>
                <w:sz w:val="24"/>
              </w:rPr>
              <w:t>Detenzioni di strumenti di capitale primario di classe 1 di soggetti del settore finanziario in cui l</w:t>
            </w:r>
            <w:r w:rsidR="000878EC">
              <w:rPr>
                <w:rStyle w:val="InstructionsTabelleberschrift"/>
                <w:rFonts w:ascii="Times New Roman" w:hAnsi="Times New Roman"/>
                <w:sz w:val="24"/>
              </w:rPr>
              <w:t>'</w:t>
            </w:r>
            <w:r>
              <w:rPr>
                <w:rStyle w:val="InstructionsTabelleberschrift"/>
                <w:rFonts w:ascii="Times New Roman" w:hAnsi="Times New Roman"/>
                <w:sz w:val="24"/>
              </w:rPr>
              <w:t>ente ha un investimento significativo cui è applicata una deroga temporanea</w:t>
            </w:r>
          </w:p>
          <w:p w:rsidR="00674BF5" w:rsidRPr="00661595" w:rsidRDefault="00674BF5" w:rsidP="00115052">
            <w:pPr>
              <w:pStyle w:val="InstructionsText"/>
            </w:pPr>
            <w:r>
              <w:t>Articolo 79 del CRR</w:t>
            </w:r>
          </w:p>
          <w:p w:rsidR="00674BF5" w:rsidRPr="00661595" w:rsidRDefault="00674BF5" w:rsidP="00115052">
            <w:pPr>
              <w:pStyle w:val="InstructionsText"/>
            </w:pPr>
            <w:r>
              <w:t>L</w:t>
            </w:r>
            <w:r w:rsidR="000878EC">
              <w:t>'</w:t>
            </w:r>
            <w:r>
              <w:t>autorità competente può derogare alle disposizioni relative alle deduzioni dal capitale primario di classe 1 dovute a partecipazioni in strumenti di uno specifico soggetto del settore finanziario qualora ritenga che dette partecipazioni sussistano ai fini di un</w:t>
            </w:r>
            <w:r w:rsidR="000878EC">
              <w:t>'</w:t>
            </w:r>
            <w:r>
              <w:t>operazione di assistenza finanziaria destinata alla riorganizzazione e al salvataggio del soggetto.</w:t>
            </w:r>
          </w:p>
          <w:p w:rsidR="00674BF5" w:rsidRPr="00661595" w:rsidRDefault="00674BF5" w:rsidP="00115052">
            <w:pPr>
              <w:pStyle w:val="InstructionsText"/>
            </w:pPr>
            <w:r>
              <w:t>Si rileva che tali strumenti devono es</w:t>
            </w:r>
            <w:r w:rsidR="00543281">
              <w:t>sere segnalati anche nella voce </w:t>
            </w:r>
            <w:r>
              <w:t>15.1.</w:t>
            </w:r>
          </w:p>
        </w:tc>
      </w:tr>
      <w:tr w:rsidR="00674BF5" w:rsidRPr="00661595" w:rsidTr="00674BF5">
        <w:tc>
          <w:tcPr>
            <w:tcW w:w="1474" w:type="dxa"/>
          </w:tcPr>
          <w:p w:rsidR="00674BF5" w:rsidRPr="00661595" w:rsidRDefault="00754ADC" w:rsidP="00115052">
            <w:pPr>
              <w:pStyle w:val="InstructionsText"/>
            </w:pPr>
            <w:r>
              <w:t>0700</w:t>
            </w:r>
          </w:p>
        </w:tc>
        <w:tc>
          <w:tcPr>
            <w:tcW w:w="7049" w:type="dxa"/>
          </w:tcPr>
          <w:p w:rsidR="00674BF5" w:rsidRPr="00661595" w:rsidRDefault="00674BF5" w:rsidP="00115052">
            <w:pPr>
              <w:pStyle w:val="InstructionsText"/>
            </w:pPr>
            <w:r>
              <w:rPr>
                <w:rStyle w:val="InstructionsTabelleberschrift"/>
                <w:rFonts w:ascii="Times New Roman" w:hAnsi="Times New Roman"/>
                <w:sz w:val="24"/>
              </w:rPr>
              <w:t>23</w:t>
            </w:r>
            <w:r w:rsidRPr="00874381">
              <w:tab/>
            </w:r>
            <w:r>
              <w:rPr>
                <w:rStyle w:val="InstructionsTabelleberschrift"/>
                <w:rFonts w:ascii="Times New Roman" w:hAnsi="Times New Roman"/>
                <w:sz w:val="24"/>
              </w:rPr>
              <w:t>Detenzioni di strumenti di capitale aggiuntivo di classe 1 di soggetti del settore finanziario in cui l</w:t>
            </w:r>
            <w:r w:rsidR="000878EC">
              <w:rPr>
                <w:rStyle w:val="InstructionsTabelleberschrift"/>
                <w:rFonts w:ascii="Times New Roman" w:hAnsi="Times New Roman"/>
                <w:sz w:val="24"/>
              </w:rPr>
              <w:t>'</w:t>
            </w:r>
            <w:r>
              <w:rPr>
                <w:rStyle w:val="InstructionsTabelleberschrift"/>
                <w:rFonts w:ascii="Times New Roman" w:hAnsi="Times New Roman"/>
                <w:sz w:val="24"/>
              </w:rPr>
              <w:t>ente non ha un investimento significativo cui è applicata una deroga temporanea</w:t>
            </w:r>
          </w:p>
          <w:p w:rsidR="00674BF5" w:rsidRPr="00661595" w:rsidRDefault="00674BF5" w:rsidP="00115052">
            <w:pPr>
              <w:pStyle w:val="InstructionsText"/>
            </w:pPr>
            <w:r>
              <w:t>Articolo 79 del CRR</w:t>
            </w:r>
          </w:p>
          <w:p w:rsidR="00674BF5" w:rsidRPr="00661595" w:rsidRDefault="00674BF5" w:rsidP="00115052">
            <w:pPr>
              <w:pStyle w:val="InstructionsText"/>
            </w:pPr>
            <w:r>
              <w:t>L</w:t>
            </w:r>
            <w:r w:rsidR="000878EC">
              <w:t>'</w:t>
            </w:r>
            <w:r>
              <w:t>autorità competente può derogare su base temporanea alle disposizioni relative alle deduzioni dal capitale aggiuntivo di classe 1 dovute a partecipazioni in strumenti di uno specifico soggetto del settore finanziario qualora ritenga che dette partecipazioni sussistano ai fini di un</w:t>
            </w:r>
            <w:r w:rsidR="000878EC">
              <w:t>'</w:t>
            </w:r>
            <w:r>
              <w:t>operazione di assistenza finanziaria destinata alla riorganizzazione e al salvataggio del soggetto.</w:t>
            </w:r>
          </w:p>
          <w:p w:rsidR="00674BF5" w:rsidRPr="00661595" w:rsidRDefault="00674BF5" w:rsidP="00115052">
            <w:pPr>
              <w:pStyle w:val="InstructionsText"/>
            </w:pPr>
            <w:r>
              <w:t>Si rileva che questi strumenti devono es</w:t>
            </w:r>
            <w:r w:rsidR="00543281">
              <w:t>sere segnalati anche nella voce </w:t>
            </w:r>
            <w:r>
              <w:t>13.1.</w:t>
            </w:r>
          </w:p>
        </w:tc>
      </w:tr>
      <w:tr w:rsidR="00674BF5" w:rsidRPr="00661595" w:rsidTr="00674BF5">
        <w:tc>
          <w:tcPr>
            <w:tcW w:w="1474" w:type="dxa"/>
          </w:tcPr>
          <w:p w:rsidR="00674BF5" w:rsidRPr="00661595" w:rsidRDefault="00754ADC" w:rsidP="00115052">
            <w:pPr>
              <w:pStyle w:val="InstructionsText"/>
            </w:pPr>
            <w:r>
              <w:t>0710</w:t>
            </w:r>
          </w:p>
        </w:tc>
        <w:tc>
          <w:tcPr>
            <w:tcW w:w="7049" w:type="dxa"/>
          </w:tcPr>
          <w:p w:rsidR="00674BF5" w:rsidRPr="00661595" w:rsidRDefault="00674BF5" w:rsidP="00115052">
            <w:pPr>
              <w:pStyle w:val="InstructionsText"/>
            </w:pPr>
            <w:r>
              <w:rPr>
                <w:rStyle w:val="InstructionsTabelleberschrift"/>
                <w:rFonts w:ascii="Times New Roman" w:hAnsi="Times New Roman"/>
                <w:sz w:val="24"/>
              </w:rPr>
              <w:t>24</w:t>
            </w:r>
            <w:r w:rsidRPr="00874381">
              <w:tab/>
            </w:r>
            <w:r>
              <w:rPr>
                <w:rStyle w:val="InstructionsTabelleberschrift"/>
                <w:rFonts w:ascii="Times New Roman" w:hAnsi="Times New Roman"/>
                <w:sz w:val="24"/>
              </w:rPr>
              <w:t>Detenzioni di strumenti di capitale aggiuntivo di classe 1 di soggetti del settore finanziario in cui l</w:t>
            </w:r>
            <w:r w:rsidR="000878EC">
              <w:rPr>
                <w:rStyle w:val="InstructionsTabelleberschrift"/>
                <w:rFonts w:ascii="Times New Roman" w:hAnsi="Times New Roman"/>
                <w:sz w:val="24"/>
              </w:rPr>
              <w:t>'</w:t>
            </w:r>
            <w:r>
              <w:rPr>
                <w:rStyle w:val="InstructionsTabelleberschrift"/>
                <w:rFonts w:ascii="Times New Roman" w:hAnsi="Times New Roman"/>
                <w:sz w:val="24"/>
              </w:rPr>
              <w:t>ente ha un investimento significativo cui è applicata una deroga temporanea</w:t>
            </w:r>
          </w:p>
          <w:p w:rsidR="00674BF5" w:rsidRPr="00661595" w:rsidRDefault="00674BF5" w:rsidP="00115052">
            <w:pPr>
              <w:pStyle w:val="InstructionsText"/>
            </w:pPr>
            <w:r>
              <w:t>Articolo 79 del CRR</w:t>
            </w:r>
          </w:p>
          <w:p w:rsidR="00674BF5" w:rsidRPr="00661595" w:rsidRDefault="00674BF5" w:rsidP="00115052">
            <w:pPr>
              <w:pStyle w:val="InstructionsText"/>
            </w:pPr>
            <w:r>
              <w:t>L</w:t>
            </w:r>
            <w:r w:rsidR="000878EC">
              <w:t>'</w:t>
            </w:r>
            <w:r>
              <w:t>autorità competente può derogare su base temporanea alle disposizioni relative alle deduzioni dal capitale aggiuntivo di classe 1 dovute a partecipazioni in strumenti di uno specifico soggetto del settore finanziario qualora ritenga che dette partecipazioni sussistano ai fini di un</w:t>
            </w:r>
            <w:r w:rsidR="000878EC">
              <w:t>'</w:t>
            </w:r>
            <w:r>
              <w:t>operazione di assistenza finanziaria destinata alla riorganizzazione e al salvataggio del soggetto.</w:t>
            </w:r>
          </w:p>
          <w:p w:rsidR="00674BF5" w:rsidRPr="00661595" w:rsidRDefault="00674BF5" w:rsidP="00115052">
            <w:pPr>
              <w:pStyle w:val="InstructionsText"/>
            </w:pPr>
            <w:r>
              <w:t>Si rileva che questi strumenti devono es</w:t>
            </w:r>
            <w:r w:rsidR="00543281">
              <w:t>sere segnalati anche nella voce </w:t>
            </w:r>
            <w:r>
              <w:t>16.1.</w:t>
            </w:r>
          </w:p>
        </w:tc>
      </w:tr>
      <w:tr w:rsidR="00674BF5" w:rsidRPr="00661595" w:rsidTr="00674BF5">
        <w:tc>
          <w:tcPr>
            <w:tcW w:w="1474" w:type="dxa"/>
          </w:tcPr>
          <w:p w:rsidR="00674BF5" w:rsidRPr="00661595" w:rsidRDefault="00754ADC" w:rsidP="00115052">
            <w:pPr>
              <w:pStyle w:val="InstructionsText"/>
            </w:pPr>
            <w:r>
              <w:t>0720</w:t>
            </w:r>
          </w:p>
        </w:tc>
        <w:tc>
          <w:tcPr>
            <w:tcW w:w="7049" w:type="dxa"/>
          </w:tcPr>
          <w:p w:rsidR="00674BF5" w:rsidRPr="00661595" w:rsidRDefault="00674BF5" w:rsidP="00115052">
            <w:pPr>
              <w:pStyle w:val="InstructionsText"/>
            </w:pPr>
            <w:r>
              <w:rPr>
                <w:rStyle w:val="InstructionsTabelleberschrift"/>
                <w:rFonts w:ascii="Times New Roman" w:hAnsi="Times New Roman"/>
                <w:sz w:val="24"/>
              </w:rPr>
              <w:t>25</w:t>
            </w:r>
            <w:r w:rsidRPr="00874381">
              <w:tab/>
            </w:r>
            <w:r>
              <w:rPr>
                <w:rStyle w:val="InstructionsTabelleberschrift"/>
                <w:rFonts w:ascii="Times New Roman" w:hAnsi="Times New Roman"/>
                <w:sz w:val="24"/>
              </w:rPr>
              <w:t>Detenzioni di strumenti di capitale di classe 2 di soggetti del settore finanziario in cui l</w:t>
            </w:r>
            <w:r w:rsidR="000878EC">
              <w:rPr>
                <w:rStyle w:val="InstructionsTabelleberschrift"/>
                <w:rFonts w:ascii="Times New Roman" w:hAnsi="Times New Roman"/>
                <w:sz w:val="24"/>
              </w:rPr>
              <w:t>'</w:t>
            </w:r>
            <w:r>
              <w:rPr>
                <w:rStyle w:val="InstructionsTabelleberschrift"/>
                <w:rFonts w:ascii="Times New Roman" w:hAnsi="Times New Roman"/>
                <w:sz w:val="24"/>
              </w:rPr>
              <w:t>ente non ha un investimento significativo cui è applicata una deroga temporanea</w:t>
            </w:r>
          </w:p>
          <w:p w:rsidR="00674BF5" w:rsidRPr="00661595" w:rsidRDefault="00674BF5" w:rsidP="00115052">
            <w:pPr>
              <w:pStyle w:val="InstructionsText"/>
            </w:pPr>
            <w:r>
              <w:t>Articolo 79 del CRR</w:t>
            </w:r>
          </w:p>
          <w:p w:rsidR="00674BF5" w:rsidRPr="00661595" w:rsidRDefault="00674BF5" w:rsidP="00115052">
            <w:pPr>
              <w:pStyle w:val="InstructionsText"/>
            </w:pPr>
            <w:r>
              <w:t>L</w:t>
            </w:r>
            <w:r w:rsidR="000878EC">
              <w:t>'</w:t>
            </w:r>
            <w:r>
              <w:t>autorità competente può derogare alle disposizioni relative alle deduzioni dal capitale di classe 2 dovute a partecipazioni in strumenti di uno specifico soggetto del settore finanziario qualora ritenga che dette partecipazioni sussistano ai fini di un</w:t>
            </w:r>
            <w:r w:rsidR="000878EC">
              <w:t>'</w:t>
            </w:r>
            <w:r>
              <w:t>operazione di assistenza finanziaria destinata alla riorganizzazione e al salvataggio del soggetto.</w:t>
            </w:r>
          </w:p>
          <w:p w:rsidR="00674BF5" w:rsidRPr="00661595" w:rsidRDefault="00674BF5" w:rsidP="00115052">
            <w:pPr>
              <w:pStyle w:val="InstructionsText"/>
            </w:pPr>
            <w:r>
              <w:t>Si rileva che tali strumenti devono es</w:t>
            </w:r>
            <w:r w:rsidR="00543281">
              <w:t>sere segnalati anche nella voce </w:t>
            </w:r>
            <w:r>
              <w:t>14.1.</w:t>
            </w:r>
          </w:p>
        </w:tc>
      </w:tr>
      <w:tr w:rsidR="00674BF5" w:rsidRPr="00661595" w:rsidTr="00674BF5">
        <w:tc>
          <w:tcPr>
            <w:tcW w:w="1474" w:type="dxa"/>
          </w:tcPr>
          <w:p w:rsidR="00674BF5" w:rsidRPr="00661595" w:rsidRDefault="00754ADC" w:rsidP="00115052">
            <w:pPr>
              <w:pStyle w:val="InstructionsText"/>
            </w:pPr>
            <w:r>
              <w:t>0730</w:t>
            </w:r>
          </w:p>
        </w:tc>
        <w:tc>
          <w:tcPr>
            <w:tcW w:w="7049" w:type="dxa"/>
          </w:tcPr>
          <w:p w:rsidR="00674BF5" w:rsidRPr="00661595" w:rsidRDefault="00674BF5" w:rsidP="00115052">
            <w:pPr>
              <w:pStyle w:val="InstructionsText"/>
            </w:pPr>
            <w:r>
              <w:rPr>
                <w:rStyle w:val="InstructionsTabelleberschrift"/>
                <w:rFonts w:ascii="Times New Roman" w:hAnsi="Times New Roman"/>
                <w:sz w:val="24"/>
              </w:rPr>
              <w:t>26</w:t>
            </w:r>
            <w:r w:rsidRPr="00874381">
              <w:tab/>
            </w:r>
            <w:r>
              <w:rPr>
                <w:rStyle w:val="InstructionsTabelleberschrift"/>
                <w:rFonts w:ascii="Times New Roman" w:hAnsi="Times New Roman"/>
                <w:sz w:val="24"/>
              </w:rPr>
              <w:t>Detenzioni di strumenti di capitale di classe 2 di soggetti del settore finanziario in cui l</w:t>
            </w:r>
            <w:r w:rsidR="000878EC">
              <w:rPr>
                <w:rStyle w:val="InstructionsTabelleberschrift"/>
                <w:rFonts w:ascii="Times New Roman" w:hAnsi="Times New Roman"/>
                <w:sz w:val="24"/>
              </w:rPr>
              <w:t>'</w:t>
            </w:r>
            <w:r>
              <w:rPr>
                <w:rStyle w:val="InstructionsTabelleberschrift"/>
                <w:rFonts w:ascii="Times New Roman" w:hAnsi="Times New Roman"/>
                <w:sz w:val="24"/>
              </w:rPr>
              <w:t>ente ha un investimento significativo cui è applicata una deroga temporanea</w:t>
            </w:r>
          </w:p>
          <w:p w:rsidR="00674BF5" w:rsidRPr="00661595" w:rsidRDefault="00674BF5" w:rsidP="00115052">
            <w:pPr>
              <w:pStyle w:val="InstructionsText"/>
            </w:pPr>
            <w:r>
              <w:t>Articolo 79 del CRR</w:t>
            </w:r>
          </w:p>
          <w:p w:rsidR="00674BF5" w:rsidRPr="00661595" w:rsidRDefault="00674BF5" w:rsidP="00115052">
            <w:pPr>
              <w:pStyle w:val="InstructionsText"/>
            </w:pPr>
            <w:r>
              <w:t>L</w:t>
            </w:r>
            <w:r w:rsidR="000878EC">
              <w:t>'</w:t>
            </w:r>
            <w:r>
              <w:t>autorità competente può derogare alle disposizioni relative alle deduzioni dal capitale di classe 2 dovute a partecipazioni in strumenti di uno specifico soggetto del settore finanziario qualora ritenga che dette partecipazioni sussistano ai fini di un</w:t>
            </w:r>
            <w:r w:rsidR="000878EC">
              <w:t>'</w:t>
            </w:r>
            <w:r>
              <w:t>operazione di assistenza finanziaria destinata alla riorganizzazione e al salvataggio del soggetto.</w:t>
            </w:r>
          </w:p>
          <w:p w:rsidR="00674BF5" w:rsidRPr="00661595" w:rsidRDefault="00674BF5" w:rsidP="00115052">
            <w:pPr>
              <w:pStyle w:val="InstructionsText"/>
            </w:pPr>
            <w:r>
              <w:t>Si rileva che tali strumenti devono esse</w:t>
            </w:r>
            <w:r w:rsidR="00543281">
              <w:t>re segnalati anche nella voce </w:t>
            </w:r>
            <w:r>
              <w:t>17.1.</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115052">
            <w:pPr>
              <w:pStyle w:val="InstructionsText"/>
            </w:pPr>
            <w:r>
              <w:t>0740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115052">
            <w:pPr>
              <w:pStyle w:val="InstructionsText"/>
            </w:pPr>
            <w:r>
              <w:rPr>
                <w:rStyle w:val="InstructionsTabelleberschrift"/>
                <w:rFonts w:ascii="Times New Roman" w:hAnsi="Times New Roman"/>
                <w:sz w:val="24"/>
              </w:rPr>
              <w:t>27</w:t>
            </w:r>
            <w:r w:rsidRPr="00874381">
              <w:tab/>
            </w:r>
            <w:r>
              <w:rPr>
                <w:rStyle w:val="InstructionsTabelleberschrift"/>
                <w:rFonts w:ascii="Times New Roman" w:hAnsi="Times New Roman"/>
                <w:sz w:val="24"/>
              </w:rPr>
              <w:t>Requisito combinato di riserva di capitale</w:t>
            </w:r>
          </w:p>
          <w:p w:rsidR="00674BF5" w:rsidRPr="00661595" w:rsidRDefault="00674BF5" w:rsidP="00115052">
            <w:pPr>
              <w:pStyle w:val="InstructionsText"/>
            </w:pPr>
            <w:r>
              <w:t>Articolo 128, punto 6, della CRD</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115052">
            <w:pPr>
              <w:pStyle w:val="InstructionsText"/>
            </w:pPr>
            <w:r>
              <w:t>0750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115052">
            <w:pPr>
              <w:pStyle w:val="InstructionsText"/>
            </w:pPr>
            <w:r>
              <w:rPr>
                <w:rStyle w:val="InstructionsTabelleberschrift"/>
                <w:rFonts w:ascii="Times New Roman" w:hAnsi="Times New Roman"/>
                <w:sz w:val="24"/>
              </w:rPr>
              <w:t>Riserva di conservazione del capitale</w:t>
            </w:r>
          </w:p>
          <w:p w:rsidR="00674BF5" w:rsidRPr="00661595" w:rsidRDefault="00674BF5" w:rsidP="00115052">
            <w:pPr>
              <w:pStyle w:val="InstructionsText"/>
            </w:pPr>
            <w:r>
              <w:t xml:space="preserve">Articolo 128, punto 1, e articolo 129 della CRD </w:t>
            </w:r>
          </w:p>
          <w:p w:rsidR="00674BF5" w:rsidRPr="00661595" w:rsidRDefault="00674BF5" w:rsidP="00115052">
            <w:pPr>
              <w:pStyle w:val="InstructionsText"/>
            </w:pPr>
            <w:r>
              <w:t>Conformemente all</w:t>
            </w:r>
            <w:r w:rsidR="000878EC">
              <w:t>'</w:t>
            </w:r>
            <w:r>
              <w:t>articolo 129, paragrafo 1, della CRD la riserva di conservazione del capitale è un importo aggiuntivo del capitale primario di classe 1. In questa riga è segnalato un importo dato che il coefficiente della riserva di conservazione del capitale del 2,5 % è stabile.</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115052">
            <w:pPr>
              <w:pStyle w:val="InstructionsText"/>
            </w:pPr>
            <w:r>
              <w:t>0760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115052">
            <w:pPr>
              <w:pStyle w:val="InstructionsText"/>
            </w:pPr>
            <w:r>
              <w:rPr>
                <w:rStyle w:val="InstructionsTabelleberschrift"/>
                <w:rFonts w:ascii="Times New Roman" w:hAnsi="Times New Roman"/>
                <w:sz w:val="24"/>
              </w:rPr>
              <w:t xml:space="preserve">Riserva di conservazione dovuta al rischio macroprudenziale o sistemico individuato a livello di uno Stato membro </w:t>
            </w:r>
          </w:p>
          <w:p w:rsidR="00674BF5" w:rsidRPr="00661595" w:rsidRDefault="00674BF5" w:rsidP="00115052">
            <w:pPr>
              <w:pStyle w:val="InstructionsText"/>
            </w:pPr>
            <w:r>
              <w:t>Articolo 458, paragrafo 2, lettera d), punto iv), del CRR</w:t>
            </w:r>
          </w:p>
          <w:p w:rsidR="00674BF5" w:rsidRPr="00661595" w:rsidRDefault="00674BF5" w:rsidP="00115052">
            <w:pPr>
              <w:pStyle w:val="InstructionsText"/>
            </w:pPr>
            <w:r>
              <w:t>In questa riga è segnalato l</w:t>
            </w:r>
            <w:r w:rsidR="000878EC">
              <w:t>'</w:t>
            </w:r>
            <w:r>
              <w:t>importo della riserva di conservazione dovuta al rischio macroprudenziale o sistemico individuato a livello di uno Stato membro che può essere richiesta conformemente all</w:t>
            </w:r>
            <w:r w:rsidR="000878EC">
              <w:t>'</w:t>
            </w:r>
            <w:r>
              <w:t>articolo 458 del CRR in aggiunta alla riserva di conservazione del capitale.</w:t>
            </w:r>
          </w:p>
          <w:p w:rsidR="00674BF5" w:rsidRPr="00661595" w:rsidRDefault="00674BF5" w:rsidP="00115052">
            <w:pPr>
              <w:pStyle w:val="InstructionsText"/>
            </w:pPr>
            <w:r>
              <w:t>L</w:t>
            </w:r>
            <w:r w:rsidR="000878EC">
              <w:t>'</w:t>
            </w:r>
            <w:r>
              <w:t>importo indicato rappresenta l</w:t>
            </w:r>
            <w:r w:rsidR="000878EC">
              <w:t>'</w:t>
            </w:r>
            <w:r>
              <w:t>importo dei fondi propri necessari per soddisfare i rispettivi requisiti di riserva di capitale alla data di riferimento per le segnalazioni.</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754ADC" w:rsidP="00115052">
            <w:pPr>
              <w:pStyle w:val="InstructionsText"/>
            </w:pPr>
            <w:r>
              <w:t>0770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115052">
            <w:pPr>
              <w:pStyle w:val="InstructionsText"/>
            </w:pPr>
            <w:r>
              <w:rPr>
                <w:rStyle w:val="InstructionsTabelleberschrift"/>
                <w:rFonts w:ascii="Times New Roman" w:hAnsi="Times New Roman"/>
                <w:sz w:val="24"/>
              </w:rPr>
              <w:t>Riserva di capitale anticiclica specifica dell</w:t>
            </w:r>
            <w:r w:rsidR="000878EC">
              <w:rPr>
                <w:rStyle w:val="InstructionsTabelleberschrift"/>
                <w:rFonts w:ascii="Times New Roman" w:hAnsi="Times New Roman"/>
                <w:sz w:val="24"/>
              </w:rPr>
              <w:t>'</w:t>
            </w:r>
            <w:r>
              <w:rPr>
                <w:rStyle w:val="InstructionsTabelleberschrift"/>
                <w:rFonts w:ascii="Times New Roman" w:hAnsi="Times New Roman"/>
                <w:sz w:val="24"/>
              </w:rPr>
              <w:t xml:space="preserve">ente </w:t>
            </w:r>
          </w:p>
          <w:p w:rsidR="00674BF5" w:rsidRPr="00661595" w:rsidRDefault="00674BF5" w:rsidP="00115052">
            <w:pPr>
              <w:pStyle w:val="InstructionsText"/>
            </w:pPr>
            <w:r>
              <w:t xml:space="preserve">Articolo 128, punto 2, articolo 130 e articoli da 135 a 140 della CRD </w:t>
            </w:r>
          </w:p>
          <w:p w:rsidR="00674BF5" w:rsidRPr="00661595" w:rsidRDefault="00674BF5" w:rsidP="00115052">
            <w:pPr>
              <w:pStyle w:val="InstructionsText"/>
            </w:pPr>
            <w:r>
              <w:t>L</w:t>
            </w:r>
            <w:r w:rsidR="000878EC">
              <w:t>'</w:t>
            </w:r>
            <w:r>
              <w:t>importo indicato rappresenta l</w:t>
            </w:r>
            <w:r w:rsidR="000878EC">
              <w:t>'</w:t>
            </w:r>
            <w:r>
              <w:t>importo dei fondi propri necessari per soddisfare i rispettivi requisiti di riserva di capitale alla data di riferimento per le segnalazioni.</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115052">
            <w:pPr>
              <w:pStyle w:val="InstructionsText"/>
            </w:pPr>
            <w:r>
              <w:t>0780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115052">
            <w:pPr>
              <w:pStyle w:val="InstructionsText"/>
            </w:pPr>
            <w:r>
              <w:rPr>
                <w:rStyle w:val="InstructionsTabelleberschrift"/>
                <w:rFonts w:ascii="Times New Roman" w:hAnsi="Times New Roman"/>
                <w:sz w:val="24"/>
              </w:rPr>
              <w:t xml:space="preserve">Riserva di capitale a fronte del rischio sistemico </w:t>
            </w:r>
          </w:p>
          <w:p w:rsidR="00674BF5" w:rsidRPr="00661595" w:rsidRDefault="00674BF5" w:rsidP="00115052">
            <w:pPr>
              <w:pStyle w:val="InstructionsText"/>
            </w:pPr>
            <w:r>
              <w:t xml:space="preserve">Articolo 128, punto 5, e articoli 133 e 134 della CRD </w:t>
            </w:r>
          </w:p>
          <w:p w:rsidR="00674BF5" w:rsidRPr="00661595" w:rsidRDefault="00674BF5" w:rsidP="00115052">
            <w:pPr>
              <w:pStyle w:val="InstructionsText"/>
            </w:pPr>
            <w:r>
              <w:t>L</w:t>
            </w:r>
            <w:r w:rsidR="000878EC">
              <w:t>'</w:t>
            </w:r>
            <w:r>
              <w:t>importo indicato rappresenta l</w:t>
            </w:r>
            <w:r w:rsidR="000878EC">
              <w:t>'</w:t>
            </w:r>
            <w:r>
              <w:t>importo dei fondi propri necessari per soddisfare i rispettivi requisiti di riserva di capitale alla data di riferimento per le segnalazioni.</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115052">
            <w:pPr>
              <w:pStyle w:val="InstructionsText"/>
            </w:pPr>
            <w:r>
              <w:t>0800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Riserva degli enti a rilevanza sistemica a livello globale</w:t>
            </w:r>
          </w:p>
          <w:p w:rsidR="00674BF5" w:rsidRPr="00661595" w:rsidRDefault="00674BF5" w:rsidP="0011505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128, punto 3, e articolo 131 della CRD</w:t>
            </w:r>
          </w:p>
          <w:p w:rsidR="00674BF5" w:rsidRPr="00661595" w:rsidRDefault="00674BF5" w:rsidP="00115052">
            <w:pPr>
              <w:pStyle w:val="InstructionsText"/>
              <w:rPr>
                <w:rStyle w:val="InstructionsTabelleberschrift"/>
                <w:rFonts w:ascii="Times New Roman" w:hAnsi="Times New Roman"/>
                <w:b w:val="0"/>
                <w:bCs w:val="0"/>
                <w:sz w:val="24"/>
                <w:u w:val="none"/>
              </w:rPr>
            </w:pPr>
            <w:r>
              <w:t>L</w:t>
            </w:r>
            <w:r w:rsidR="000878EC">
              <w:t>'</w:t>
            </w:r>
            <w:r>
              <w:t>importo indicato rappresenta l</w:t>
            </w:r>
            <w:r w:rsidR="000878EC">
              <w:t>'</w:t>
            </w:r>
            <w:r>
              <w:t>importo dei fondi propri necessari per soddisfare i rispettivi requisiti di riserva di capitale alla data di riferimento per le segnalazioni.</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115052">
            <w:pPr>
              <w:pStyle w:val="InstructionsText"/>
            </w:pPr>
            <w:r>
              <w:t>0810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Riserva di altri enti a rilevanza sistemica </w:t>
            </w:r>
          </w:p>
          <w:p w:rsidR="00674BF5" w:rsidRPr="00661595" w:rsidRDefault="00674BF5" w:rsidP="0011505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128, punto 4, e articolo 131 della CRD</w:t>
            </w:r>
          </w:p>
          <w:p w:rsidR="00674BF5" w:rsidRPr="00661595" w:rsidRDefault="00674BF5" w:rsidP="00115052">
            <w:pPr>
              <w:pStyle w:val="InstructionsText"/>
              <w:rPr>
                <w:rStyle w:val="InstructionsTabelleberschrift"/>
                <w:rFonts w:ascii="Times New Roman" w:hAnsi="Times New Roman"/>
                <w:b w:val="0"/>
                <w:bCs w:val="0"/>
                <w:sz w:val="24"/>
                <w:u w:val="none"/>
              </w:rPr>
            </w:pPr>
            <w:r>
              <w:t>L</w:t>
            </w:r>
            <w:r w:rsidR="000878EC">
              <w:t>'</w:t>
            </w:r>
            <w:r>
              <w:t>importo indicato rappresenta l</w:t>
            </w:r>
            <w:r w:rsidR="000878EC">
              <w:t>'</w:t>
            </w:r>
            <w:r>
              <w:t>importo dei fondi propri necessari per soddisfare i rispettivi requisiti di riserva di capitale alla data di riferimento per le segnalazioni.</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115052">
            <w:pPr>
              <w:pStyle w:val="InstructionsText"/>
            </w:pPr>
            <w:r>
              <w:t>0820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28</w:t>
            </w:r>
            <w:r w:rsidRPr="00BD1A14">
              <w:rPr>
                <w:u w:val="single"/>
              </w:rPr>
              <w:tab/>
            </w:r>
            <w:r>
              <w:rPr>
                <w:rStyle w:val="InstructionsTabelleberschrift"/>
                <w:rFonts w:ascii="Times New Roman" w:hAnsi="Times New Roman"/>
                <w:sz w:val="24"/>
              </w:rPr>
              <w:t>Requisiti di fondi propri relativi agli aggiustamenti del secondo pilastro</w:t>
            </w:r>
          </w:p>
          <w:p w:rsidR="00674BF5" w:rsidRPr="00661595" w:rsidRDefault="00674BF5" w:rsidP="0011505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Articolo 104 bis, paragrafo 1, della CRD </w:t>
            </w:r>
          </w:p>
          <w:p w:rsidR="00674BF5" w:rsidRPr="00661595" w:rsidRDefault="00674BF5" w:rsidP="0011505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 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autorità competente stabilisce che 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ente deve calcolare requisiti aggiuntivi di fondi propri per motivi connessi al secondo pilastro, tali requisiti aggiuntivi di fondi propri sono segnalati in questa riga. </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115052">
            <w:pPr>
              <w:pStyle w:val="InstructionsText"/>
            </w:pPr>
            <w:r>
              <w:t>0830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29</w:t>
            </w:r>
            <w:r w:rsidRPr="00BD1A14">
              <w:rPr>
                <w:u w:val="single"/>
              </w:rPr>
              <w:tab/>
            </w:r>
            <w:r>
              <w:rPr>
                <w:rStyle w:val="InstructionsTabelleberschrift"/>
                <w:rFonts w:ascii="Times New Roman" w:hAnsi="Times New Roman"/>
                <w:sz w:val="24"/>
              </w:rPr>
              <w:t>Capitale iniziale</w:t>
            </w:r>
          </w:p>
          <w:p w:rsidR="00674BF5" w:rsidRPr="00661595" w:rsidRDefault="00674BF5" w:rsidP="0011505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12 e articoli da 28 a 31 della CRD e articolo 93 del CRR</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115052">
            <w:pPr>
              <w:pStyle w:val="InstructionsText"/>
            </w:pPr>
            <w:r>
              <w:t>0840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30</w:t>
            </w:r>
            <w:r w:rsidRPr="00BD1A14">
              <w:rPr>
                <w:u w:val="single"/>
              </w:rPr>
              <w:tab/>
            </w:r>
            <w:r>
              <w:rPr>
                <w:rStyle w:val="InstructionsTabelleberschrift"/>
                <w:rFonts w:ascii="Times New Roman" w:hAnsi="Times New Roman"/>
                <w:sz w:val="24"/>
              </w:rPr>
              <w:t>Fondi propri basati sulle spese fisse generali</w:t>
            </w:r>
          </w:p>
          <w:p w:rsidR="00674BF5" w:rsidRPr="00661595" w:rsidRDefault="00674BF5" w:rsidP="0011505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96, paragrafo 2, lettera b), articolo 97, e articolo 98, paragrafo 1, lettera a), del CRR</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115052">
            <w:pPr>
              <w:pStyle w:val="InstructionsText"/>
            </w:pPr>
            <w:r>
              <w:t>0850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31</w:t>
            </w:r>
            <w:r w:rsidRPr="00BD1A14">
              <w:rPr>
                <w:u w:val="single"/>
              </w:rPr>
              <w:tab/>
            </w:r>
            <w:r>
              <w:rPr>
                <w:rStyle w:val="InstructionsTabelleberschrift"/>
                <w:rFonts w:ascii="Times New Roman" w:hAnsi="Times New Roman"/>
                <w:sz w:val="24"/>
              </w:rPr>
              <w:t>Esposizioni originarie non nazionali</w:t>
            </w:r>
          </w:p>
          <w:p w:rsidR="00674BF5" w:rsidRPr="00661595" w:rsidRDefault="00674BF5" w:rsidP="0011505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Informazioni necessarie per il calcolo della soglia per la segnalazione del modello CR GB conformemente all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articolo 5, paragrafo 5, del presente regolamento di esecuzione</w:t>
            </w:r>
            <w:r>
              <w:t>.</w:t>
            </w:r>
            <w:r>
              <w:rPr>
                <w:rStyle w:val="InstructionsTabelleberschrift"/>
                <w:rFonts w:ascii="Times New Roman" w:hAnsi="Times New Roman"/>
                <w:b w:val="0"/>
                <w:sz w:val="24"/>
                <w:u w:val="none"/>
              </w:rPr>
              <w:t xml:space="preserve"> La soglia è calcolata sulla base dell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esposizione originaria prima dell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applicazione del fattore di conversione. </w:t>
            </w:r>
          </w:p>
          <w:p w:rsidR="00674BF5" w:rsidRPr="00661595" w:rsidRDefault="00674BF5" w:rsidP="0011505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Le esposizioni sono considerate di livello nazionale quando sono verso controparti situate nello Stato membro in cui è situato 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w:t>
            </w:r>
          </w:p>
        </w:tc>
      </w:tr>
      <w:tr w:rsidR="00674BF5" w:rsidRPr="00661595" w:rsidTr="00674B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474" w:type="dxa"/>
            <w:tcBorders>
              <w:top w:val="single" w:sz="4" w:space="0" w:color="auto"/>
              <w:left w:val="single" w:sz="4" w:space="0" w:color="auto"/>
              <w:bottom w:val="single" w:sz="4" w:space="0" w:color="auto"/>
              <w:right w:val="single" w:sz="4" w:space="0" w:color="auto"/>
            </w:tcBorders>
          </w:tcPr>
          <w:p w:rsidR="00674BF5" w:rsidRPr="00661595" w:rsidRDefault="005B76D3" w:rsidP="00115052">
            <w:pPr>
              <w:pStyle w:val="InstructionsText"/>
            </w:pPr>
            <w:r>
              <w:t>0860</w:t>
            </w:r>
          </w:p>
        </w:tc>
        <w:tc>
          <w:tcPr>
            <w:tcW w:w="7049" w:type="dxa"/>
            <w:tcBorders>
              <w:top w:val="single" w:sz="4" w:space="0" w:color="auto"/>
              <w:left w:val="single" w:sz="4" w:space="0" w:color="auto"/>
              <w:bottom w:val="single" w:sz="4" w:space="0" w:color="auto"/>
              <w:right w:val="single" w:sz="4" w:space="0" w:color="auto"/>
            </w:tcBorders>
          </w:tcPr>
          <w:p w:rsidR="00674BF5" w:rsidRPr="00661595" w:rsidRDefault="00674BF5"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32</w:t>
            </w:r>
            <w:r w:rsidRPr="00874381">
              <w:tab/>
            </w:r>
            <w:r>
              <w:rPr>
                <w:rStyle w:val="InstructionsTabelleberschrift"/>
                <w:rFonts w:ascii="Times New Roman" w:hAnsi="Times New Roman"/>
                <w:sz w:val="24"/>
              </w:rPr>
              <w:t>Esposizioni originarie totali</w:t>
            </w:r>
          </w:p>
          <w:p w:rsidR="00674BF5" w:rsidRPr="00661595" w:rsidRDefault="00674BF5" w:rsidP="0011505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Informazioni necessarie per il calcolo della soglia per la segnalazione del modello CR GB</w:t>
            </w:r>
            <w:r>
              <w:t xml:space="preserve"> conformemente </w:t>
            </w:r>
            <w:r>
              <w:rPr>
                <w:rStyle w:val="InstructionsTabelleberschrift"/>
                <w:rFonts w:ascii="Times New Roman" w:hAnsi="Times New Roman"/>
                <w:b w:val="0"/>
                <w:sz w:val="24"/>
                <w:u w:val="none"/>
              </w:rPr>
              <w:t>all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articolo 5, paragrafo 5, del presente regolamento di esecuzione</w:t>
            </w:r>
            <w:r>
              <w:t>.</w:t>
            </w:r>
            <w:r>
              <w:rPr>
                <w:rStyle w:val="InstructionsTabelleberschrift"/>
                <w:rFonts w:ascii="Times New Roman" w:hAnsi="Times New Roman"/>
                <w:b w:val="0"/>
                <w:sz w:val="24"/>
                <w:u w:val="none"/>
              </w:rPr>
              <w:t xml:space="preserve"> La soglia è calcolata sulla base dell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esposizione originaria prima dell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applicazione del fattore di conversione.</w:t>
            </w:r>
          </w:p>
          <w:p w:rsidR="00674BF5" w:rsidRPr="00661595" w:rsidRDefault="00674BF5" w:rsidP="0011505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Le esposizioni sono considerate di livello nazionale quando sono verso controparti situate nello Stato membro in cui è situato 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w:t>
            </w:r>
          </w:p>
        </w:tc>
      </w:tr>
    </w:tbl>
    <w:p w:rsidR="002648B0" w:rsidRPr="00661595" w:rsidRDefault="002648B0" w:rsidP="00115052">
      <w:pPr>
        <w:pStyle w:val="InstructionsText"/>
      </w:pPr>
    </w:p>
    <w:p w:rsidR="002648B0" w:rsidRPr="00661595" w:rsidRDefault="00936DD1" w:rsidP="0023700C">
      <w:pPr>
        <w:pStyle w:val="Instructionsberschrift2"/>
        <w:numPr>
          <w:ilvl w:val="0"/>
          <w:numId w:val="0"/>
        </w:numPr>
        <w:ind w:left="357" w:hanging="357"/>
        <w:rPr>
          <w:rFonts w:ascii="Times New Roman" w:hAnsi="Times New Roman" w:cs="Times New Roman"/>
          <w:sz w:val="24"/>
        </w:rPr>
      </w:pPr>
      <w:bookmarkStart w:id="65" w:name="_Toc473560881"/>
      <w:bookmarkStart w:id="66" w:name="_Toc308175834"/>
      <w:bookmarkStart w:id="67" w:name="_Toc58915724"/>
      <w:r>
        <w:rPr>
          <w:rFonts w:ascii="Times New Roman" w:hAnsi="Times New Roman"/>
          <w:sz w:val="24"/>
        </w:rPr>
        <w:t>1.6</w:t>
      </w:r>
      <w:r>
        <w:tab/>
      </w:r>
      <w:r>
        <w:rPr>
          <w:rFonts w:ascii="Times New Roman" w:hAnsi="Times New Roman"/>
          <w:sz w:val="24"/>
        </w:rPr>
        <w:t xml:space="preserve">DISPOSIZIONI TRANSITORIE e STRUMENTI SOGGETTI ALLA CLAUSOLA GRANDFATHERING: </w:t>
      </w:r>
      <w:bookmarkStart w:id="68" w:name="_Toc360188333"/>
      <w:r>
        <w:rPr>
          <w:rFonts w:ascii="Times New Roman" w:hAnsi="Times New Roman"/>
          <w:sz w:val="24"/>
        </w:rPr>
        <w:t>STRUMENTI CHE NON COSTITUISCONO AIUTI DI STATO (CA5)</w:t>
      </w:r>
      <w:bookmarkEnd w:id="65"/>
      <w:bookmarkEnd w:id="67"/>
      <w:bookmarkEnd w:id="68"/>
    </w:p>
    <w:p w:rsidR="002648B0" w:rsidRPr="00661595" w:rsidRDefault="00936DD1" w:rsidP="0023700C">
      <w:pPr>
        <w:pStyle w:val="Instructionsberschrift2"/>
        <w:numPr>
          <w:ilvl w:val="0"/>
          <w:numId w:val="0"/>
        </w:numPr>
        <w:ind w:left="357" w:hanging="357"/>
        <w:rPr>
          <w:rFonts w:ascii="Times New Roman" w:hAnsi="Times New Roman" w:cs="Times New Roman"/>
          <w:sz w:val="24"/>
        </w:rPr>
      </w:pPr>
      <w:bookmarkStart w:id="69" w:name="_Toc308175835"/>
      <w:bookmarkStart w:id="70" w:name="_Toc360188334"/>
      <w:bookmarkStart w:id="71" w:name="_Toc473560882"/>
      <w:bookmarkStart w:id="72" w:name="_Toc58915725"/>
      <w:bookmarkEnd w:id="66"/>
      <w:r>
        <w:rPr>
          <w:rFonts w:ascii="Times New Roman" w:hAnsi="Times New Roman"/>
          <w:sz w:val="24"/>
        </w:rPr>
        <w:t>1.6.1</w:t>
      </w:r>
      <w:r>
        <w:tab/>
      </w:r>
      <w:r>
        <w:rPr>
          <w:rFonts w:ascii="Times New Roman" w:hAnsi="Times New Roman"/>
          <w:sz w:val="24"/>
        </w:rPr>
        <w:t>Osservazioni di carattere generale</w:t>
      </w:r>
      <w:bookmarkEnd w:id="69"/>
      <w:bookmarkEnd w:id="70"/>
      <w:bookmarkEnd w:id="71"/>
      <w:bookmarkEnd w:id="72"/>
    </w:p>
    <w:p w:rsidR="00783881" w:rsidRPr="00661595" w:rsidRDefault="00A971CA" w:rsidP="00BD1A14">
      <w:pPr>
        <w:pStyle w:val="InstructionsText2"/>
        <w:numPr>
          <w:ilvl w:val="0"/>
          <w:numId w:val="0"/>
        </w:numPr>
        <w:ind w:left="1800" w:hanging="480"/>
      </w:pPr>
      <w:r>
        <w:fldChar w:fldCharType="begin"/>
      </w:r>
      <w:r>
        <w:instrText xml:space="preserve"> seq paragraphs </w:instrText>
      </w:r>
      <w:r>
        <w:fldChar w:fldCharType="separate"/>
      </w:r>
      <w:r w:rsidR="00D11E4C">
        <w:rPr>
          <w:noProof/>
        </w:rPr>
        <w:t>16</w:t>
      </w:r>
      <w:r>
        <w:rPr>
          <w:noProof/>
        </w:rPr>
        <w:fldChar w:fldCharType="end"/>
      </w:r>
      <w:r w:rsidR="00D11E4C">
        <w:t>.</w:t>
      </w:r>
      <w:r w:rsidR="00D11E4C">
        <w:tab/>
        <w:t xml:space="preserve">Il modello CA5 riassume il calcolo degli elementi dei fondi propri e delle deduzioni oggetto delle disposizioni transitorie di cui agli articoli da 465 a 491, 494 bis e 494 ter, del CRR. </w:t>
      </w:r>
    </w:p>
    <w:p w:rsidR="00496C53" w:rsidRPr="00661595" w:rsidRDefault="00A971CA" w:rsidP="00BD1A14">
      <w:pPr>
        <w:pStyle w:val="InstructionsText2"/>
        <w:numPr>
          <w:ilvl w:val="0"/>
          <w:numId w:val="0"/>
        </w:numPr>
        <w:ind w:left="1800" w:hanging="480"/>
      </w:pPr>
      <w:r>
        <w:fldChar w:fldCharType="begin"/>
      </w:r>
      <w:r>
        <w:instrText xml:space="preserve"> seq paragraphs </w:instrText>
      </w:r>
      <w:r>
        <w:fldChar w:fldCharType="separate"/>
      </w:r>
      <w:r w:rsidR="00D11E4C">
        <w:rPr>
          <w:noProof/>
        </w:rPr>
        <w:t>17</w:t>
      </w:r>
      <w:r>
        <w:rPr>
          <w:noProof/>
        </w:rPr>
        <w:fldChar w:fldCharType="end"/>
      </w:r>
      <w:r w:rsidR="00D11E4C">
        <w:t>.</w:t>
      </w:r>
      <w:r w:rsidR="00D11E4C">
        <w:tab/>
        <w:t>Il modello CA5 è strutturato come segue:</w:t>
      </w:r>
    </w:p>
    <w:p w:rsidR="002648B0" w:rsidRPr="00661595" w:rsidRDefault="00125707" w:rsidP="00BD1A14">
      <w:pPr>
        <w:pStyle w:val="InstructionsText2"/>
        <w:numPr>
          <w:ilvl w:val="0"/>
          <w:numId w:val="0"/>
        </w:numPr>
        <w:ind w:left="1800" w:hanging="480"/>
      </w:pPr>
      <w:r>
        <w:t>a)</w:t>
      </w:r>
      <w:r>
        <w:tab/>
        <w:t>il modello CA5.1 riassume gli aggiustamenti totali da apportare alle diverse componenti dei fondi propri (segnalate nel modello CA1 conformemente alle disposizioni definitive) per effetto dell</w:t>
      </w:r>
      <w:r w:rsidR="000878EC">
        <w:t>'</w:t>
      </w:r>
      <w:r>
        <w:t xml:space="preserve">applicazione delle disposizioni transitorie. Gli elementi di questo modello sono presentati come </w:t>
      </w:r>
      <w:r w:rsidR="000878EC">
        <w:t>"</w:t>
      </w:r>
      <w:r>
        <w:t>aggiustamenti</w:t>
      </w:r>
      <w:r w:rsidR="000878EC">
        <w:t>"</w:t>
      </w:r>
      <w:r>
        <w:t xml:space="preserve"> delle diverse componenti di capitale segnalate nel modello CA1, per tener conto degli effetti delle disposizioni transitorie sulle componenti dei fondi propri;</w:t>
      </w:r>
    </w:p>
    <w:p w:rsidR="002648B0" w:rsidRPr="00661595" w:rsidRDefault="00125707" w:rsidP="00BD1A14">
      <w:pPr>
        <w:pStyle w:val="InstructionsText2"/>
        <w:numPr>
          <w:ilvl w:val="0"/>
          <w:numId w:val="0"/>
        </w:numPr>
        <w:ind w:left="1800" w:hanging="480"/>
      </w:pPr>
      <w:r>
        <w:t>b)</w:t>
      </w:r>
      <w:r>
        <w:tab/>
        <w:t xml:space="preserve">il modello 5.2 contiene ulteriori informazioni dettagliate sul calcolo degli strumenti soggetti alla clausola grandfathering che non costituiscono aiuti di Stato. </w:t>
      </w:r>
    </w:p>
    <w:bookmarkStart w:id="73" w:name="_Toc307386943"/>
    <w:p w:rsidR="005643EA" w:rsidRPr="00661595" w:rsidRDefault="0056002D" w:rsidP="00BD1A14">
      <w:pPr>
        <w:pStyle w:val="InstructionsText2"/>
        <w:numPr>
          <w:ilvl w:val="0"/>
          <w:numId w:val="0"/>
        </w:numPr>
        <w:ind w:left="1800" w:hanging="480"/>
      </w:pPr>
      <w:r>
        <w:fldChar w:fldCharType="begin"/>
      </w:r>
      <w:r>
        <w:instrText xml:space="preserve"> seq paragraphs </w:instrText>
      </w:r>
      <w:r>
        <w:fldChar w:fldCharType="separate"/>
      </w:r>
      <w:r>
        <w:t>18</w:t>
      </w:r>
      <w:r>
        <w:fldChar w:fldCharType="end"/>
      </w:r>
      <w:r>
        <w:t>.</w:t>
      </w:r>
      <w:r>
        <w:tab/>
        <w:t>L</w:t>
      </w:r>
      <w:r w:rsidR="000878EC">
        <w:t>'</w:t>
      </w:r>
      <w:r>
        <w:t>ente segnala nelle prime quattro colonne gli aggiustamenti del capitale primario di classe 1, del capitale aggiuntivo di classe 1 e del capitale di classe 2, nonché l</w:t>
      </w:r>
      <w:r w:rsidR="000878EC">
        <w:t>'</w:t>
      </w:r>
      <w:r>
        <w:t>importo da trattare come attività ponderate per il rischio. L</w:t>
      </w:r>
      <w:r w:rsidR="000878EC">
        <w:t>'</w:t>
      </w:r>
      <w:r>
        <w:t>ente deve segnalare altresì nella colonna 0050 la percentuale applicabile e nella colonna 0060 l</w:t>
      </w:r>
      <w:r w:rsidR="000878EC">
        <w:t>'</w:t>
      </w:r>
      <w:r>
        <w:t>importo ammissibile senza l</w:t>
      </w:r>
      <w:r w:rsidR="000878EC">
        <w:t>'</w:t>
      </w:r>
      <w:r>
        <w:t>applicazione delle disposizioni transitorie.</w:t>
      </w:r>
    </w:p>
    <w:p w:rsidR="005643EA" w:rsidRPr="00661595" w:rsidRDefault="00A971CA" w:rsidP="00BD1A14">
      <w:pPr>
        <w:pStyle w:val="InstructionsText2"/>
        <w:numPr>
          <w:ilvl w:val="0"/>
          <w:numId w:val="0"/>
        </w:numPr>
        <w:ind w:left="1800" w:hanging="480"/>
      </w:pPr>
      <w:r>
        <w:fldChar w:fldCharType="begin"/>
      </w:r>
      <w:r>
        <w:instrText xml:space="preserve"> seq paragraphs </w:instrText>
      </w:r>
      <w:r>
        <w:fldChar w:fldCharType="separate"/>
      </w:r>
      <w:r w:rsidR="00D11E4C">
        <w:rPr>
          <w:noProof/>
        </w:rPr>
        <w:t>19</w:t>
      </w:r>
      <w:r>
        <w:rPr>
          <w:noProof/>
        </w:rPr>
        <w:fldChar w:fldCharType="end"/>
      </w:r>
      <w:r w:rsidR="00D11E4C">
        <w:t>.</w:t>
      </w:r>
      <w:r w:rsidR="00D11E4C">
        <w:tab/>
        <w:t>Gli enti compilano il modello CA5 soltanto per il periodo di vigenza delle disposizioni transitorie previste nella parte dieci del CRR.</w:t>
      </w:r>
    </w:p>
    <w:p w:rsidR="005643EA" w:rsidRPr="00661595" w:rsidRDefault="00A971CA" w:rsidP="00BD1A14">
      <w:pPr>
        <w:pStyle w:val="InstructionsText2"/>
        <w:numPr>
          <w:ilvl w:val="0"/>
          <w:numId w:val="0"/>
        </w:numPr>
        <w:ind w:left="1800" w:hanging="480"/>
      </w:pPr>
      <w:r>
        <w:fldChar w:fldCharType="begin"/>
      </w:r>
      <w:r>
        <w:instrText xml:space="preserve"> seq paragraphs </w:instrText>
      </w:r>
      <w:r>
        <w:fldChar w:fldCharType="separate"/>
      </w:r>
      <w:r w:rsidR="00D11E4C">
        <w:rPr>
          <w:noProof/>
        </w:rPr>
        <w:t>20</w:t>
      </w:r>
      <w:r>
        <w:rPr>
          <w:noProof/>
        </w:rPr>
        <w:fldChar w:fldCharType="end"/>
      </w:r>
      <w:r w:rsidR="00D11E4C">
        <w:t>.</w:t>
      </w:r>
      <w:r w:rsidR="00D11E4C">
        <w:tab/>
        <w:t>Alcune delle disposizioni transitorie prevedono una deduzione dal capitale di classe 1. In tali casi, qualora l</w:t>
      </w:r>
      <w:r w:rsidR="000878EC">
        <w:t>'</w:t>
      </w:r>
      <w:r w:rsidR="00D11E4C">
        <w:t>importo residuo di una deduzione o delle deduzioni si applichi al capitale di classe 1 e il capitale aggiuntivo di classe</w:t>
      </w:r>
      <w:r w:rsidR="00BD1A14">
        <w:t> </w:t>
      </w:r>
      <w:r w:rsidR="00D11E4C">
        <w:t>1 sia insufficiente per compensare detto importo, l</w:t>
      </w:r>
      <w:r w:rsidR="000878EC">
        <w:t>'</w:t>
      </w:r>
      <w:r w:rsidR="00D11E4C">
        <w:t>importo eccedente è dedotto dal capitale primario di classe 1.</w:t>
      </w:r>
    </w:p>
    <w:p w:rsidR="002648B0" w:rsidRPr="009258A2" w:rsidRDefault="00125707" w:rsidP="009258A2">
      <w:pPr>
        <w:pStyle w:val="Instructionsberschrift2"/>
        <w:numPr>
          <w:ilvl w:val="0"/>
          <w:numId w:val="0"/>
        </w:numPr>
        <w:ind w:left="357" w:hanging="357"/>
        <w:rPr>
          <w:rFonts w:ascii="Times New Roman" w:hAnsi="Times New Roman" w:cs="Times New Roman"/>
          <w:sz w:val="24"/>
        </w:rPr>
      </w:pPr>
      <w:bookmarkStart w:id="74" w:name="_Toc473560883"/>
      <w:bookmarkStart w:id="75" w:name="_Toc360188335"/>
      <w:bookmarkStart w:id="76" w:name="_Toc308175836"/>
      <w:bookmarkStart w:id="77" w:name="_Toc58915726"/>
      <w:bookmarkEnd w:id="73"/>
      <w:r>
        <w:rPr>
          <w:rFonts w:ascii="Times New Roman" w:hAnsi="Times New Roman"/>
          <w:sz w:val="24"/>
        </w:rPr>
        <w:t>1.6.2.</w:t>
      </w:r>
      <w:r w:rsidRPr="00BD1A14">
        <w:rPr>
          <w:u w:val="none"/>
        </w:rPr>
        <w:tab/>
      </w:r>
      <w:r>
        <w:rPr>
          <w:rFonts w:ascii="Times New Roman" w:hAnsi="Times New Roman"/>
          <w:sz w:val="24"/>
        </w:rPr>
        <w:t>C 05.01 — DISPOSIZIONI TRANSITORIE (CA5.1)</w:t>
      </w:r>
      <w:bookmarkEnd w:id="74"/>
      <w:bookmarkEnd w:id="77"/>
      <w:r>
        <w:rPr>
          <w:rFonts w:ascii="Times New Roman" w:hAnsi="Times New Roman"/>
          <w:sz w:val="24"/>
        </w:rPr>
        <w:t xml:space="preserve"> </w:t>
      </w:r>
      <w:bookmarkEnd w:id="75"/>
      <w:bookmarkEnd w:id="76"/>
    </w:p>
    <w:p w:rsidR="002648B0" w:rsidRPr="00661595" w:rsidRDefault="00A971CA" w:rsidP="00BD1A14">
      <w:pPr>
        <w:pStyle w:val="InstructionsText2"/>
        <w:numPr>
          <w:ilvl w:val="0"/>
          <w:numId w:val="0"/>
        </w:numPr>
        <w:ind w:left="1680" w:hanging="360"/>
      </w:pPr>
      <w:r>
        <w:fldChar w:fldCharType="begin"/>
      </w:r>
      <w:r>
        <w:instrText xml:space="preserve"> seq paragraphs </w:instrText>
      </w:r>
      <w:r>
        <w:fldChar w:fldCharType="separate"/>
      </w:r>
      <w:r w:rsidR="00D11E4C">
        <w:rPr>
          <w:noProof/>
        </w:rPr>
        <w:t>21</w:t>
      </w:r>
      <w:r>
        <w:rPr>
          <w:noProof/>
        </w:rPr>
        <w:fldChar w:fldCharType="end"/>
      </w:r>
      <w:r w:rsidR="00D11E4C">
        <w:t>.</w:t>
      </w:r>
      <w:r w:rsidR="00D11E4C">
        <w:tab/>
        <w:t>Gli enti segnalano nel modello CA5.1 le disposizioni transitorie che si applicano alle componenti dei fondi propri conformemente agli articoli da 465 a 491, 494 bis e 494 ter del CRR e le confrontano con l</w:t>
      </w:r>
      <w:r w:rsidR="000878EC">
        <w:t>'</w:t>
      </w:r>
      <w:r w:rsidR="00D11E4C">
        <w:t xml:space="preserve">applicazione delle disposizioni definitive di cui alla parte due, titolo II, del CRR. </w:t>
      </w:r>
    </w:p>
    <w:p w:rsidR="00783881" w:rsidRPr="00661595" w:rsidRDefault="00A971CA" w:rsidP="00BD1A14">
      <w:pPr>
        <w:pStyle w:val="InstructionsText2"/>
        <w:numPr>
          <w:ilvl w:val="0"/>
          <w:numId w:val="0"/>
        </w:numPr>
        <w:ind w:left="1680" w:hanging="360"/>
      </w:pPr>
      <w:r>
        <w:fldChar w:fldCharType="begin"/>
      </w:r>
      <w:r>
        <w:instrText xml:space="preserve"> seq paragraphs </w:instrText>
      </w:r>
      <w:r>
        <w:fldChar w:fldCharType="separate"/>
      </w:r>
      <w:r w:rsidR="00D11E4C">
        <w:rPr>
          <w:noProof/>
        </w:rPr>
        <w:t>22</w:t>
      </w:r>
      <w:r>
        <w:rPr>
          <w:noProof/>
        </w:rPr>
        <w:fldChar w:fldCharType="end"/>
      </w:r>
      <w:r w:rsidR="00D11E4C">
        <w:t>.</w:t>
      </w:r>
      <w:r w:rsidR="00D11E4C">
        <w:tab/>
        <w:t>Gli enti segnalano nelle righe da 0060 a 0065 le informazioni sulle disposizioni transitorie riguardanti gli strumenti soggetti alla clausola grandfathering. I dati da segnalare nella riga 0060 del modello CA5.1 riflettono le disposizioni transitorie incluse nel CRR nella versione applicabile fino al 26 giugno 2019 e possono essere ricavati dalle rispettive sezioni del modello CA5.2. Le righe da 0061 a 0065 riportano l</w:t>
      </w:r>
      <w:r w:rsidR="000878EC">
        <w:t>'</w:t>
      </w:r>
      <w:r w:rsidR="00D11E4C">
        <w:t>effetto delle disposizioni transitorie degli articoli 494 bis e 494 ter del CRR.</w:t>
      </w:r>
    </w:p>
    <w:p w:rsidR="00496C53" w:rsidRPr="00661595" w:rsidRDefault="00A971CA" w:rsidP="00BD1A14">
      <w:pPr>
        <w:pStyle w:val="InstructionsText2"/>
        <w:numPr>
          <w:ilvl w:val="0"/>
          <w:numId w:val="0"/>
        </w:numPr>
        <w:ind w:left="1680" w:hanging="360"/>
      </w:pPr>
      <w:r>
        <w:fldChar w:fldCharType="begin"/>
      </w:r>
      <w:r>
        <w:instrText xml:space="preserve"> seq paragraphs </w:instrText>
      </w:r>
      <w:r>
        <w:fldChar w:fldCharType="separate"/>
      </w:r>
      <w:r w:rsidR="00D11E4C">
        <w:rPr>
          <w:noProof/>
        </w:rPr>
        <w:t>23</w:t>
      </w:r>
      <w:r>
        <w:rPr>
          <w:noProof/>
        </w:rPr>
        <w:fldChar w:fldCharType="end"/>
      </w:r>
      <w:r w:rsidR="00D11E4C">
        <w:t>.</w:t>
      </w:r>
      <w:r w:rsidR="00D11E4C">
        <w:tab/>
        <w:t>Gli enti segnalano nelle righe da 0070 a 0092 le informazioni sulle disposizioni transitorie riguardanti gli interessi di minoranza e gli strumenti del capitale aggiuntivo di classe 1 e del capitale di classe 2 emessi dalle filiazioni (conformemente agli articoli 479 e 480 del CRR).</w:t>
      </w:r>
    </w:p>
    <w:p w:rsidR="00783881" w:rsidRPr="00661595" w:rsidRDefault="00A971CA" w:rsidP="00BD1A14">
      <w:pPr>
        <w:pStyle w:val="InstructionsText2"/>
        <w:numPr>
          <w:ilvl w:val="0"/>
          <w:numId w:val="0"/>
        </w:numPr>
        <w:ind w:left="1680" w:hanging="360"/>
      </w:pPr>
      <w:r>
        <w:fldChar w:fldCharType="begin"/>
      </w:r>
      <w:r>
        <w:instrText xml:space="preserve"> seq paragraphs </w:instrText>
      </w:r>
      <w:r>
        <w:fldChar w:fldCharType="separate"/>
      </w:r>
      <w:r w:rsidR="00D11E4C">
        <w:rPr>
          <w:noProof/>
        </w:rPr>
        <w:t>24</w:t>
      </w:r>
      <w:r>
        <w:rPr>
          <w:noProof/>
        </w:rPr>
        <w:fldChar w:fldCharType="end"/>
      </w:r>
      <w:r w:rsidR="00D11E4C">
        <w:t>.</w:t>
      </w:r>
      <w:r w:rsidR="00D11E4C">
        <w:tab/>
        <w:t>Dalla riga 0100 in avanti gli enti segnalano le informazioni sull</w:t>
      </w:r>
      <w:r w:rsidR="000878EC">
        <w:t>'</w:t>
      </w:r>
      <w:r w:rsidR="00D11E4C">
        <w:t>effetto delle disposizioni transitorie riguardanti i profitti e le perdite non realizzati, le deduzioni, i filtri e le deduzioni aggiuntivi e l</w:t>
      </w:r>
      <w:r w:rsidR="000878EC">
        <w:t>'</w:t>
      </w:r>
      <w:r w:rsidR="00D11E4C">
        <w:t>IFRS 9.</w:t>
      </w:r>
    </w:p>
    <w:p w:rsidR="005643EA" w:rsidRPr="00661595" w:rsidRDefault="00A971CA" w:rsidP="00BD1A14">
      <w:pPr>
        <w:pStyle w:val="InstructionsText2"/>
        <w:numPr>
          <w:ilvl w:val="0"/>
          <w:numId w:val="0"/>
        </w:numPr>
        <w:ind w:left="1680" w:hanging="360"/>
      </w:pPr>
      <w:r>
        <w:fldChar w:fldCharType="begin"/>
      </w:r>
      <w:r>
        <w:instrText xml:space="preserve"> seq paragraphs </w:instrText>
      </w:r>
      <w:r>
        <w:fldChar w:fldCharType="separate"/>
      </w:r>
      <w:r w:rsidR="00D11E4C">
        <w:rPr>
          <w:noProof/>
        </w:rPr>
        <w:t>25</w:t>
      </w:r>
      <w:r>
        <w:rPr>
          <w:noProof/>
        </w:rPr>
        <w:fldChar w:fldCharType="end"/>
      </w:r>
      <w:r w:rsidR="00D11E4C">
        <w:t>.</w:t>
      </w:r>
      <w:r w:rsidR="00D11E4C">
        <w:tab/>
        <w:t xml:space="preserve">Vi possono essere casi in cui le deduzioni transitorie dal capitale primario di classe 1, dal capitale aggiuntivo di classe 1 o dal capitale di classe 2 superano il capitale primario di classe 1, il capitale aggiuntivo di classe 1 o il capitale di classe 2 di un ente. Tali situazioni, purché siano la conseguenza di disposizioni transitorie, vanno segnalate nel modello CA1 compilando le celle corrispondenti. Pertanto, gli aggiustamenti segnalati nelle colonne del modello CA5 non comprendono gli effetti di ricaduta nei casi in cui il capitale disponibile sia insufficiente. </w:t>
      </w:r>
    </w:p>
    <w:p w:rsidR="002648B0" w:rsidRPr="00661595" w:rsidRDefault="00125707" w:rsidP="0023700C">
      <w:pPr>
        <w:pStyle w:val="Instructionsberschrift2"/>
        <w:numPr>
          <w:ilvl w:val="0"/>
          <w:numId w:val="0"/>
        </w:numPr>
        <w:ind w:left="357" w:hanging="357"/>
        <w:rPr>
          <w:rFonts w:ascii="Times New Roman" w:hAnsi="Times New Roman" w:cs="Times New Roman"/>
          <w:sz w:val="24"/>
        </w:rPr>
      </w:pPr>
      <w:bookmarkStart w:id="78" w:name="_Toc360188336"/>
      <w:bookmarkStart w:id="79" w:name="_Toc473560884"/>
      <w:bookmarkStart w:id="80" w:name="_Toc58915727"/>
      <w:r>
        <w:rPr>
          <w:rFonts w:ascii="Times New Roman" w:hAnsi="Times New Roman"/>
          <w:sz w:val="24"/>
        </w:rPr>
        <w:t>1.6.2.1</w:t>
      </w:r>
      <w:r>
        <w:tab/>
      </w:r>
      <w:r>
        <w:rPr>
          <w:rFonts w:ascii="Times New Roman" w:hAnsi="Times New Roman"/>
          <w:sz w:val="24"/>
        </w:rPr>
        <w:t>Istruzioni relative a posizioni specifiche</w:t>
      </w:r>
      <w:bookmarkEnd w:id="78"/>
      <w:bookmarkEnd w:id="79"/>
      <w:bookmarkEnd w:id="80"/>
    </w:p>
    <w:p w:rsidR="002648B0" w:rsidRPr="00661595" w:rsidRDefault="002648B0" w:rsidP="009F1084">
      <w:pPr>
        <w:spacing w:after="0"/>
        <w:rPr>
          <w:rFonts w:ascii="Times New Roman" w:hAnsi="Times New Roman"/>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94"/>
        <w:gridCol w:w="7478"/>
      </w:tblGrid>
      <w:tr w:rsidR="002648B0" w:rsidRPr="00661595" w:rsidTr="00672D2A">
        <w:tc>
          <w:tcPr>
            <w:tcW w:w="8372" w:type="dxa"/>
            <w:gridSpan w:val="2"/>
            <w:shd w:val="clear" w:color="auto" w:fill="D9D9D9"/>
          </w:tcPr>
          <w:p w:rsidR="00783881" w:rsidRPr="00661595" w:rsidRDefault="002648B0" w:rsidP="00115052">
            <w:pPr>
              <w:pStyle w:val="InstructionsText"/>
            </w:pPr>
            <w:r>
              <w:t>Colonne</w:t>
            </w:r>
          </w:p>
        </w:tc>
      </w:tr>
      <w:tr w:rsidR="002648B0" w:rsidRPr="00661595" w:rsidTr="00672D2A">
        <w:tc>
          <w:tcPr>
            <w:tcW w:w="894" w:type="dxa"/>
          </w:tcPr>
          <w:p w:rsidR="002648B0" w:rsidRPr="00661595" w:rsidRDefault="008A05EC" w:rsidP="0011505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rsidR="005643EA" w:rsidRPr="00661595" w:rsidRDefault="002648B0"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Aggiustamenti del capitale primario di classe 1</w:t>
            </w:r>
          </w:p>
        </w:tc>
      </w:tr>
      <w:tr w:rsidR="002648B0" w:rsidRPr="00661595" w:rsidTr="00672D2A">
        <w:tc>
          <w:tcPr>
            <w:tcW w:w="894" w:type="dxa"/>
          </w:tcPr>
          <w:p w:rsidR="002648B0" w:rsidRPr="00661595" w:rsidRDefault="008A05EC" w:rsidP="00115052">
            <w:pPr>
              <w:pStyle w:val="InstructionsText"/>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rsidR="005643EA" w:rsidRPr="00661595" w:rsidRDefault="002648B0"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Aggiustamenti del capitale aggiuntivo di classe 1</w:t>
            </w:r>
          </w:p>
        </w:tc>
      </w:tr>
      <w:tr w:rsidR="002648B0" w:rsidRPr="00661595" w:rsidTr="00672D2A">
        <w:tc>
          <w:tcPr>
            <w:tcW w:w="894" w:type="dxa"/>
          </w:tcPr>
          <w:p w:rsidR="002648B0" w:rsidRPr="00661595" w:rsidRDefault="008A05EC" w:rsidP="00115052">
            <w:pPr>
              <w:pStyle w:val="InstructionsText"/>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rsidR="005643EA" w:rsidRPr="00661595" w:rsidRDefault="002648B0"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Aggiustamenti del capitale di classe 2</w:t>
            </w:r>
          </w:p>
        </w:tc>
      </w:tr>
      <w:tr w:rsidR="002648B0" w:rsidRPr="00661595" w:rsidTr="00672D2A">
        <w:tc>
          <w:tcPr>
            <w:tcW w:w="894" w:type="dxa"/>
          </w:tcPr>
          <w:p w:rsidR="002648B0" w:rsidRPr="00661595" w:rsidRDefault="008A05EC" w:rsidP="00115052">
            <w:pPr>
              <w:pStyle w:val="InstructionsText"/>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rsidR="005643EA" w:rsidRPr="00661595" w:rsidRDefault="002648B0"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Aggiustamenti inclusi nelle attività ponderate per il rischio</w:t>
            </w:r>
          </w:p>
          <w:p w:rsidR="005643EA" w:rsidRPr="00661595" w:rsidRDefault="002648B0" w:rsidP="00115052">
            <w:pPr>
              <w:pStyle w:val="InstructionsText"/>
              <w:rPr>
                <w:rStyle w:val="InstructionsTabelleText"/>
                <w:rFonts w:ascii="Times New Roman" w:hAnsi="Times New Roman"/>
                <w:sz w:val="24"/>
              </w:rPr>
            </w:pPr>
            <w:r>
              <w:rPr>
                <w:rStyle w:val="InstructionsTabelleText"/>
                <w:rFonts w:ascii="Times New Roman" w:hAnsi="Times New Roman"/>
                <w:sz w:val="24"/>
              </w:rPr>
              <w:t>La colonna 0040 indica gli importi pertinenti che adeguano l</w:t>
            </w:r>
            <w:r w:rsidR="000878EC">
              <w:rPr>
                <w:rStyle w:val="InstructionsTabelleText"/>
                <w:rFonts w:ascii="Times New Roman" w:hAnsi="Times New Roman"/>
                <w:sz w:val="24"/>
              </w:rPr>
              <w:t>'</w:t>
            </w:r>
            <w:r>
              <w:rPr>
                <w:rStyle w:val="InstructionsTabelleText"/>
                <w:rFonts w:ascii="Times New Roman" w:hAnsi="Times New Roman"/>
                <w:sz w:val="24"/>
              </w:rPr>
              <w:t>importo complessivo dell</w:t>
            </w:r>
            <w:r w:rsidR="000878EC">
              <w:rPr>
                <w:rStyle w:val="InstructionsTabelleText"/>
                <w:rFonts w:ascii="Times New Roman" w:hAnsi="Times New Roman"/>
                <w:sz w:val="24"/>
              </w:rPr>
              <w:t>'</w:t>
            </w:r>
            <w:r>
              <w:rPr>
                <w:rStyle w:val="InstructionsTabelleText"/>
                <w:rFonts w:ascii="Times New Roman" w:hAnsi="Times New Roman"/>
                <w:sz w:val="24"/>
              </w:rPr>
              <w:t>esposizione al rischio di cui all</w:t>
            </w:r>
            <w:r w:rsidR="000878EC">
              <w:rPr>
                <w:rStyle w:val="InstructionsTabelleText"/>
                <w:rFonts w:ascii="Times New Roman" w:hAnsi="Times New Roman"/>
                <w:sz w:val="24"/>
              </w:rPr>
              <w:t>'</w:t>
            </w:r>
            <w:r>
              <w:rPr>
                <w:rStyle w:val="InstructionsTabelleText"/>
                <w:rFonts w:ascii="Times New Roman" w:hAnsi="Times New Roman"/>
                <w:sz w:val="24"/>
              </w:rPr>
              <w:t>articolo 92, paragrafo 3, del CRR per effetto di disposizioni transitorie. Gli importi indicati tengono conto dell</w:t>
            </w:r>
            <w:r w:rsidR="000878EC">
              <w:rPr>
                <w:rStyle w:val="InstructionsTabelleText"/>
                <w:rFonts w:ascii="Times New Roman" w:hAnsi="Times New Roman"/>
                <w:sz w:val="24"/>
              </w:rPr>
              <w:t>'</w:t>
            </w:r>
            <w:r>
              <w:rPr>
                <w:rStyle w:val="InstructionsTabelleText"/>
                <w:rFonts w:ascii="Times New Roman" w:hAnsi="Times New Roman"/>
                <w:sz w:val="24"/>
              </w:rPr>
              <w:t>applicazione delle disposizioni della parte tre, titolo II, capo 2 o 3, o della parte tre, titolo IV, conformemente all</w:t>
            </w:r>
            <w:r w:rsidR="000878EC">
              <w:rPr>
                <w:rStyle w:val="InstructionsTabelleText"/>
                <w:rFonts w:ascii="Times New Roman" w:hAnsi="Times New Roman"/>
                <w:sz w:val="24"/>
              </w:rPr>
              <w:t>'</w:t>
            </w:r>
            <w:r>
              <w:rPr>
                <w:rStyle w:val="InstructionsTabelleText"/>
                <w:rFonts w:ascii="Times New Roman" w:hAnsi="Times New Roman"/>
                <w:sz w:val="24"/>
              </w:rPr>
              <w:t xml:space="preserve">articolo 92, paragrafo 4, del CRR. Questo significa che gli importi transitori </w:t>
            </w:r>
            <w:r w:rsidR="00ED6B63">
              <w:rPr>
                <w:rStyle w:val="InstructionsTabelleText"/>
                <w:rFonts w:ascii="Times New Roman" w:hAnsi="Times New Roman"/>
                <w:sz w:val="24"/>
              </w:rPr>
              <w:t>soggetti alla parte tre, titolo </w:t>
            </w:r>
            <w:r>
              <w:rPr>
                <w:rStyle w:val="InstructionsTabelleText"/>
                <w:rFonts w:ascii="Times New Roman" w:hAnsi="Times New Roman"/>
                <w:sz w:val="24"/>
              </w:rPr>
              <w:t>II, capo 2 o 3, sono indicati come importi delle esposizioni ponderati per il rischio, mentre gli importi transitori soggetti alla parte tre, titolo IV, rappresentano i requisiti di fondi propri moltiplicati per 12,5.</w:t>
            </w:r>
          </w:p>
          <w:p w:rsidR="005643EA" w:rsidRPr="00661595" w:rsidRDefault="00B4177D" w:rsidP="0011505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Mentre le colonne da 0010 a 0030 hanno un collegamento diretto con il modello CA1, gli aggiustamenti dell</w:t>
            </w:r>
            <w:r w:rsidR="000878EC">
              <w:rPr>
                <w:rStyle w:val="InstructionsTabelleText"/>
                <w:rFonts w:ascii="Times New Roman" w:hAnsi="Times New Roman"/>
                <w:sz w:val="24"/>
              </w:rPr>
              <w:t>'</w:t>
            </w:r>
            <w:r>
              <w:rPr>
                <w:rStyle w:val="InstructionsTabelleText"/>
                <w:rFonts w:ascii="Times New Roman" w:hAnsi="Times New Roman"/>
                <w:sz w:val="24"/>
              </w:rPr>
              <w:t>importo complessivo dell</w:t>
            </w:r>
            <w:r w:rsidR="000878EC">
              <w:rPr>
                <w:rStyle w:val="InstructionsTabelleText"/>
                <w:rFonts w:ascii="Times New Roman" w:hAnsi="Times New Roman"/>
                <w:sz w:val="24"/>
              </w:rPr>
              <w:t>'</w:t>
            </w:r>
            <w:r>
              <w:rPr>
                <w:rStyle w:val="InstructionsTabelleText"/>
                <w:rFonts w:ascii="Times New Roman" w:hAnsi="Times New Roman"/>
                <w:sz w:val="24"/>
              </w:rPr>
              <w:t>esposizione al rischio non hanno un collegamento diretto con i pertinenti modelli per il rischio di credito. Eventuali aggiustamenti dell</w:t>
            </w:r>
            <w:r w:rsidR="000878EC">
              <w:rPr>
                <w:rStyle w:val="InstructionsTabelleText"/>
                <w:rFonts w:ascii="Times New Roman" w:hAnsi="Times New Roman"/>
                <w:sz w:val="24"/>
              </w:rPr>
              <w:t>'</w:t>
            </w:r>
            <w:r>
              <w:rPr>
                <w:rStyle w:val="InstructionsTabelleText"/>
                <w:rFonts w:ascii="Times New Roman" w:hAnsi="Times New Roman"/>
                <w:sz w:val="24"/>
              </w:rPr>
              <w:t>importo complessivo dell</w:t>
            </w:r>
            <w:r w:rsidR="000878EC">
              <w:rPr>
                <w:rStyle w:val="InstructionsTabelleText"/>
                <w:rFonts w:ascii="Times New Roman" w:hAnsi="Times New Roman"/>
                <w:sz w:val="24"/>
              </w:rPr>
              <w:t>'</w:t>
            </w:r>
            <w:r>
              <w:rPr>
                <w:rStyle w:val="InstructionsTabelleText"/>
                <w:rFonts w:ascii="Times New Roman" w:hAnsi="Times New Roman"/>
                <w:sz w:val="24"/>
              </w:rPr>
              <w:t xml:space="preserve">esposizione al rischio derivanti dalle disposizioni transitorie sono segnalati direttamente nei modelli CR SA, CR IRB, CR EQU IRB, MKR SA TDI, MKR SA EQU o MKR IM. I relativi effetti sono segnalati inoltre nella colonna 0040 del modello CA5.1. Pertanto, questi importi costituiscono soltanto voci per memoria. </w:t>
            </w:r>
          </w:p>
        </w:tc>
      </w:tr>
      <w:tr w:rsidR="002648B0" w:rsidRPr="00661595" w:rsidTr="00672D2A">
        <w:tc>
          <w:tcPr>
            <w:tcW w:w="894" w:type="dxa"/>
          </w:tcPr>
          <w:p w:rsidR="002648B0" w:rsidRPr="00661595" w:rsidRDefault="008A05EC" w:rsidP="00115052">
            <w:pPr>
              <w:pStyle w:val="InstructionsText"/>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rsidR="005643EA" w:rsidRPr="00661595" w:rsidRDefault="002648B0"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Percentuale applicabile</w:t>
            </w:r>
          </w:p>
        </w:tc>
      </w:tr>
      <w:tr w:rsidR="002648B0" w:rsidRPr="00661595" w:rsidTr="00672D2A">
        <w:tc>
          <w:tcPr>
            <w:tcW w:w="894" w:type="dxa"/>
          </w:tcPr>
          <w:p w:rsidR="002648B0" w:rsidRPr="00661595" w:rsidRDefault="008A05EC" w:rsidP="00115052">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rsidR="005643EA" w:rsidRPr="00661595" w:rsidRDefault="002648B0"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Importo ammissibile senza disposizioni transitorie</w:t>
            </w:r>
          </w:p>
          <w:p w:rsidR="005643EA" w:rsidRPr="00661595" w:rsidRDefault="008A05EC" w:rsidP="00115052">
            <w:pPr>
              <w:pStyle w:val="InstructionsText"/>
              <w:rPr>
                <w:rStyle w:val="InstructionsTabelleText"/>
                <w:rFonts w:ascii="Times New Roman" w:hAnsi="Times New Roman"/>
                <w:sz w:val="24"/>
              </w:rPr>
            </w:pPr>
            <w:r>
              <w:rPr>
                <w:rStyle w:val="InstructionsTabelleText"/>
                <w:rFonts w:ascii="Times New Roman" w:hAnsi="Times New Roman"/>
                <w:sz w:val="24"/>
              </w:rPr>
              <w:t>Questa colonna indica l</w:t>
            </w:r>
            <w:r w:rsidR="000878EC">
              <w:rPr>
                <w:rStyle w:val="InstructionsTabelleText"/>
                <w:rFonts w:ascii="Times New Roman" w:hAnsi="Times New Roman"/>
                <w:sz w:val="24"/>
              </w:rPr>
              <w:t>'</w:t>
            </w:r>
            <w:r>
              <w:rPr>
                <w:rStyle w:val="InstructionsTabelleText"/>
                <w:rFonts w:ascii="Times New Roman" w:hAnsi="Times New Roman"/>
                <w:sz w:val="24"/>
              </w:rPr>
              <w:t>importo di ciascuno strumento prima dell</w:t>
            </w:r>
            <w:r w:rsidR="000878EC">
              <w:rPr>
                <w:rStyle w:val="InstructionsTabelleText"/>
                <w:rFonts w:ascii="Times New Roman" w:hAnsi="Times New Roman"/>
                <w:sz w:val="24"/>
              </w:rPr>
              <w:t>'</w:t>
            </w:r>
            <w:r>
              <w:rPr>
                <w:rStyle w:val="InstructionsTabelleText"/>
                <w:rFonts w:ascii="Times New Roman" w:hAnsi="Times New Roman"/>
                <w:sz w:val="24"/>
              </w:rPr>
              <w:t>applicazione delle disposizioni transitorie, ossia l</w:t>
            </w:r>
            <w:r w:rsidR="000878EC">
              <w:rPr>
                <w:rStyle w:val="InstructionsTabelleText"/>
                <w:rFonts w:ascii="Times New Roman" w:hAnsi="Times New Roman"/>
                <w:sz w:val="24"/>
              </w:rPr>
              <w:t>'</w:t>
            </w:r>
            <w:r>
              <w:rPr>
                <w:rStyle w:val="InstructionsTabelleText"/>
                <w:rFonts w:ascii="Times New Roman" w:hAnsi="Times New Roman"/>
                <w:sz w:val="24"/>
              </w:rPr>
              <w:t>importo di base pertinente per il calcolo degli aggiustamenti.</w:t>
            </w:r>
          </w:p>
        </w:tc>
      </w:tr>
    </w:tbl>
    <w:p w:rsidR="002648B0" w:rsidRPr="00661595" w:rsidRDefault="002648B0" w:rsidP="009F1084">
      <w:pPr>
        <w:spacing w:after="0"/>
        <w:rPr>
          <w:rFonts w:ascii="Times New Roman" w:hAnsi="Times New Roman"/>
          <w:b/>
          <w:sz w:val="24"/>
        </w:rPr>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2"/>
        <w:gridCol w:w="7478"/>
      </w:tblGrid>
      <w:tr w:rsidR="002648B0" w:rsidRPr="00661595" w:rsidTr="00672D2A">
        <w:tc>
          <w:tcPr>
            <w:tcW w:w="8490" w:type="dxa"/>
            <w:gridSpan w:val="2"/>
            <w:shd w:val="clear" w:color="auto" w:fill="D9D9D9"/>
          </w:tcPr>
          <w:p w:rsidR="002648B0" w:rsidRPr="00661595" w:rsidRDefault="002648B0" w:rsidP="00115052">
            <w:pPr>
              <w:pStyle w:val="InstructionsText"/>
            </w:pPr>
            <w:r>
              <w:t>Righe</w:t>
            </w:r>
          </w:p>
        </w:tc>
      </w:tr>
      <w:tr w:rsidR="002648B0" w:rsidRPr="00661595" w:rsidTr="00672D2A">
        <w:tc>
          <w:tcPr>
            <w:tcW w:w="1012" w:type="dxa"/>
          </w:tcPr>
          <w:p w:rsidR="002648B0" w:rsidRPr="00661595" w:rsidRDefault="008A05EC" w:rsidP="00115052">
            <w:pPr>
              <w:pStyle w:val="InstructionsText"/>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rsidR="005643EA" w:rsidRPr="00661595" w:rsidRDefault="00C66473" w:rsidP="00115052">
            <w:pPr>
              <w:pStyle w:val="InstructionsText"/>
              <w:rPr>
                <w:rStyle w:val="FormatvorlageInstructionsTabelleText"/>
                <w:rFonts w:ascii="Times New Roman" w:hAnsi="Times New Roman"/>
                <w:b/>
                <w:sz w:val="24"/>
                <w:u w:val="single"/>
              </w:rPr>
            </w:pPr>
            <w:r>
              <w:rPr>
                <w:rStyle w:val="InstructionsTabelleberschrift"/>
                <w:rFonts w:ascii="Times New Roman" w:hAnsi="Times New Roman"/>
                <w:sz w:val="24"/>
              </w:rPr>
              <w:t>1.</w:t>
            </w:r>
            <w:r w:rsidRPr="00BD1A14">
              <w:rPr>
                <w:u w:val="single"/>
              </w:rPr>
              <w:tab/>
            </w:r>
            <w:r>
              <w:rPr>
                <w:rStyle w:val="InstructionsTabelleberschrift"/>
                <w:rFonts w:ascii="Times New Roman" w:hAnsi="Times New Roman"/>
                <w:sz w:val="24"/>
              </w:rPr>
              <w:t>Aggiustamenti totali</w:t>
            </w:r>
          </w:p>
          <w:p w:rsidR="002648B0" w:rsidRPr="00661595" w:rsidRDefault="002648B0" w:rsidP="00080A93">
            <w:pPr>
              <w:suppressAutoHyphens/>
              <w:spacing w:before="0"/>
              <w:rPr>
                <w:rStyle w:val="FormatvorlageInstructionsTabelleText"/>
                <w:rFonts w:ascii="Times New Roman" w:hAnsi="Times New Roman"/>
                <w:bCs w:val="0"/>
                <w:sz w:val="24"/>
              </w:rPr>
            </w:pPr>
            <w:r>
              <w:rPr>
                <w:rStyle w:val="InstructionsTabelleText"/>
                <w:rFonts w:ascii="Times New Roman" w:hAnsi="Times New Roman"/>
                <w:sz w:val="24"/>
              </w:rPr>
              <w:t>In questa riga è indicato l</w:t>
            </w:r>
            <w:r w:rsidR="000878EC">
              <w:rPr>
                <w:rStyle w:val="InstructionsTabelleText"/>
                <w:rFonts w:ascii="Times New Roman" w:hAnsi="Times New Roman"/>
                <w:sz w:val="24"/>
              </w:rPr>
              <w:t>'</w:t>
            </w:r>
            <w:r>
              <w:rPr>
                <w:rStyle w:val="InstructionsTabelleText"/>
                <w:rFonts w:ascii="Times New Roman" w:hAnsi="Times New Roman"/>
                <w:sz w:val="24"/>
              </w:rPr>
              <w:t>effetto complessivo degli aggiustamenti transitori sui diversi tipi di capitale, più gli importi ponderati per il rischio che ne derivano.</w:t>
            </w:r>
          </w:p>
        </w:tc>
      </w:tr>
      <w:tr w:rsidR="002648B0" w:rsidRPr="00661595" w:rsidTr="00672D2A">
        <w:tc>
          <w:tcPr>
            <w:tcW w:w="1012" w:type="dxa"/>
          </w:tcPr>
          <w:p w:rsidR="002648B0" w:rsidRPr="00661595" w:rsidRDefault="008A05EC" w:rsidP="00115052">
            <w:pPr>
              <w:pStyle w:val="InstructionsText"/>
              <w:rPr>
                <w:rStyle w:val="InstructionsTabelleText"/>
                <w:rFonts w:ascii="Times New Roman" w:hAnsi="Times New Roman"/>
                <w:sz w:val="24"/>
              </w:rPr>
            </w:pPr>
            <w:r>
              <w:rPr>
                <w:rStyle w:val="InstructionsTabelleText"/>
                <w:rFonts w:ascii="Times New Roman" w:hAnsi="Times New Roman"/>
                <w:sz w:val="24"/>
              </w:rPr>
              <w:t xml:space="preserve">0020 </w:t>
            </w:r>
          </w:p>
        </w:tc>
        <w:tc>
          <w:tcPr>
            <w:tcW w:w="7478" w:type="dxa"/>
          </w:tcPr>
          <w:p w:rsidR="005643EA" w:rsidRPr="00661595" w:rsidRDefault="002648B0" w:rsidP="0011505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1.1</w:t>
            </w:r>
            <w:r w:rsidRPr="00BD1A14">
              <w:rPr>
                <w:u w:val="single"/>
              </w:rPr>
              <w:tab/>
            </w:r>
            <w:r>
              <w:rPr>
                <w:rStyle w:val="InstructionsTabelleberschrift"/>
                <w:rFonts w:ascii="Times New Roman" w:hAnsi="Times New Roman"/>
                <w:sz w:val="24"/>
              </w:rPr>
              <w:t>Strumenti soggetti alla clausola grandfathering</w:t>
            </w:r>
          </w:p>
          <w:p w:rsidR="002648B0" w:rsidRPr="00661595" w:rsidRDefault="002648B0" w:rsidP="00080A93">
            <w:pPr>
              <w:suppressAutoHyphens/>
              <w:spacing w:before="0"/>
              <w:rPr>
                <w:rStyle w:val="InstructionsTabelleText"/>
                <w:rFonts w:ascii="Times New Roman" w:hAnsi="Times New Roman"/>
                <w:sz w:val="24"/>
              </w:rPr>
            </w:pPr>
            <w:r>
              <w:rPr>
                <w:rStyle w:val="InstructionsTabelleText"/>
                <w:rFonts w:ascii="Times New Roman" w:hAnsi="Times New Roman"/>
                <w:sz w:val="24"/>
              </w:rPr>
              <w:t>Articoli da 483 a 491 del CRR</w:t>
            </w:r>
          </w:p>
          <w:p w:rsidR="002648B0" w:rsidRPr="00661595" w:rsidRDefault="002648B0" w:rsidP="00080A93">
            <w:pPr>
              <w:suppressAutoHyphens/>
              <w:spacing w:before="0"/>
              <w:rPr>
                <w:rStyle w:val="FormatvorlageInstructionsTabelleText"/>
                <w:rFonts w:ascii="Times New Roman" w:hAnsi="Times New Roman"/>
                <w:sz w:val="24"/>
              </w:rPr>
            </w:pPr>
            <w:r>
              <w:rPr>
                <w:rStyle w:val="InstructionsTabelleText"/>
                <w:rFonts w:ascii="Times New Roman" w:hAnsi="Times New Roman"/>
                <w:sz w:val="24"/>
              </w:rPr>
              <w:t>In questa riga è indicato l</w:t>
            </w:r>
            <w:r w:rsidR="000878EC">
              <w:rPr>
                <w:rStyle w:val="InstructionsTabelleText"/>
                <w:rFonts w:ascii="Times New Roman" w:hAnsi="Times New Roman"/>
                <w:sz w:val="24"/>
              </w:rPr>
              <w:t>'</w:t>
            </w:r>
            <w:r>
              <w:rPr>
                <w:rStyle w:val="InstructionsTabelleText"/>
                <w:rFonts w:ascii="Times New Roman" w:hAnsi="Times New Roman"/>
                <w:sz w:val="24"/>
              </w:rPr>
              <w:t>effetto complessivo degli strumenti assoggettati temporaneamente alla clausola grandfathering sui diversi tipi di capitale.</w:t>
            </w:r>
          </w:p>
        </w:tc>
      </w:tr>
      <w:tr w:rsidR="002648B0" w:rsidRPr="00661595" w:rsidTr="00672D2A">
        <w:tc>
          <w:tcPr>
            <w:tcW w:w="1012" w:type="dxa"/>
          </w:tcPr>
          <w:p w:rsidR="002648B0" w:rsidRPr="00661595" w:rsidRDefault="008A05EC" w:rsidP="00115052">
            <w:pPr>
              <w:pStyle w:val="InstructionsText"/>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rsidR="002648B0" w:rsidRPr="00661595" w:rsidRDefault="002648B0" w:rsidP="00080A93">
            <w:pPr>
              <w:keepNext/>
              <w:keepLines/>
              <w:suppressAutoHyphens/>
              <w:spacing w:before="0"/>
              <w:rPr>
                <w:rStyle w:val="InstructionsTabelleText"/>
                <w:rFonts w:ascii="Times New Roman" w:hAnsi="Times New Roman"/>
                <w:b/>
                <w:bCs/>
                <w:sz w:val="24"/>
                <w:u w:val="single"/>
              </w:rPr>
            </w:pPr>
            <w:r>
              <w:rPr>
                <w:rStyle w:val="InstructionsTabelleberschrift"/>
                <w:rFonts w:ascii="Times New Roman" w:hAnsi="Times New Roman"/>
                <w:sz w:val="24"/>
              </w:rPr>
              <w:t>1.1.2</w:t>
            </w:r>
            <w:r w:rsidRPr="002B5704">
              <w:rPr>
                <w:u w:val="single"/>
              </w:rPr>
              <w:tab/>
            </w:r>
            <w:r>
              <w:rPr>
                <w:rStyle w:val="InstructionsTabelleberschrift"/>
                <w:rFonts w:ascii="Times New Roman" w:hAnsi="Times New Roman"/>
                <w:sz w:val="24"/>
              </w:rPr>
              <w:t>Strumenti che non costituiscono aiuti di Stato</w:t>
            </w:r>
          </w:p>
          <w:p w:rsidR="002648B0" w:rsidRPr="00661595" w:rsidRDefault="002648B0" w:rsidP="00080A93">
            <w:pPr>
              <w:keepNext/>
              <w:keepLines/>
              <w:suppressAutoHyphens/>
              <w:spacing w:before="0"/>
              <w:rPr>
                <w:rFonts w:ascii="Times New Roman" w:hAnsi="Times New Roman"/>
                <w:b/>
                <w:bCs/>
                <w:sz w:val="24"/>
              </w:rPr>
            </w:pPr>
            <w:r>
              <w:rPr>
                <w:rStyle w:val="InstructionsTabelleText"/>
                <w:rFonts w:ascii="Times New Roman" w:hAnsi="Times New Roman"/>
                <w:sz w:val="24"/>
              </w:rPr>
              <w:t>Gli importi da segnalare si ricavano dalla colonna 060 del modello CA5.2.</w:t>
            </w:r>
          </w:p>
        </w:tc>
      </w:tr>
      <w:tr w:rsidR="00BF0637" w:rsidRPr="00661595" w:rsidTr="00672D2A">
        <w:tc>
          <w:tcPr>
            <w:tcW w:w="1012" w:type="dxa"/>
          </w:tcPr>
          <w:p w:rsidR="00BF0637" w:rsidRPr="00661595" w:rsidRDefault="008A05EC" w:rsidP="00115052">
            <w:pPr>
              <w:pStyle w:val="InstructionsText"/>
              <w:rPr>
                <w:rStyle w:val="InstructionsTabelleText"/>
                <w:rFonts w:ascii="Times New Roman" w:hAnsi="Times New Roman"/>
                <w:sz w:val="24"/>
              </w:rPr>
            </w:pPr>
            <w:r>
              <w:rPr>
                <w:rStyle w:val="InstructionsTabelleText"/>
                <w:rFonts w:ascii="Times New Roman" w:hAnsi="Times New Roman"/>
                <w:sz w:val="24"/>
              </w:rPr>
              <w:t>0061</w:t>
            </w:r>
          </w:p>
        </w:tc>
        <w:tc>
          <w:tcPr>
            <w:tcW w:w="7478" w:type="dxa"/>
          </w:tcPr>
          <w:p w:rsidR="00BF0637" w:rsidRPr="00661595" w:rsidRDefault="00BF0637" w:rsidP="00080A93">
            <w:pPr>
              <w:suppressAutoHyphens/>
              <w:spacing w:before="0"/>
              <w:rPr>
                <w:rStyle w:val="InstructionsTabelleberschrift"/>
                <w:rFonts w:ascii="Times New Roman" w:hAnsi="Times New Roman"/>
                <w:sz w:val="24"/>
              </w:rPr>
            </w:pPr>
            <w:r>
              <w:rPr>
                <w:rStyle w:val="InstructionsTabelleberschrift"/>
                <w:rFonts w:ascii="Times New Roman" w:hAnsi="Times New Roman"/>
                <w:sz w:val="24"/>
              </w:rPr>
              <w:t>1.1.3</w:t>
            </w:r>
            <w:r w:rsidRPr="002B5704">
              <w:rPr>
                <w:u w:val="single"/>
              </w:rPr>
              <w:tab/>
            </w:r>
            <w:r>
              <w:rPr>
                <w:rStyle w:val="InstructionsTabelleberschrift"/>
                <w:rFonts w:ascii="Times New Roman" w:hAnsi="Times New Roman"/>
                <w:sz w:val="24"/>
              </w:rPr>
              <w:t>Strumenti emessi tramite società veicolo</w:t>
            </w:r>
          </w:p>
          <w:p w:rsidR="00BF0637" w:rsidRPr="00661595" w:rsidRDefault="00BF0637" w:rsidP="00080A93">
            <w:pPr>
              <w:suppressAutoHyphens/>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Articolo 494 bis del CRR</w:t>
            </w:r>
          </w:p>
        </w:tc>
      </w:tr>
      <w:tr w:rsidR="00BF0637" w:rsidRPr="00661595" w:rsidTr="00672D2A">
        <w:tc>
          <w:tcPr>
            <w:tcW w:w="1012" w:type="dxa"/>
          </w:tcPr>
          <w:p w:rsidR="00BF0637" w:rsidRPr="00661595" w:rsidRDefault="008A05EC" w:rsidP="00115052">
            <w:pPr>
              <w:pStyle w:val="InstructionsText"/>
              <w:rPr>
                <w:rStyle w:val="InstructionsTabelleText"/>
                <w:rFonts w:ascii="Times New Roman" w:hAnsi="Times New Roman"/>
                <w:sz w:val="24"/>
              </w:rPr>
            </w:pPr>
            <w:r>
              <w:rPr>
                <w:rStyle w:val="InstructionsTabelleText"/>
                <w:rFonts w:ascii="Times New Roman" w:hAnsi="Times New Roman"/>
                <w:sz w:val="24"/>
              </w:rPr>
              <w:t>0062</w:t>
            </w:r>
          </w:p>
        </w:tc>
        <w:tc>
          <w:tcPr>
            <w:tcW w:w="7478" w:type="dxa"/>
          </w:tcPr>
          <w:p w:rsidR="00BF0637" w:rsidRPr="00661595" w:rsidRDefault="00BF0637" w:rsidP="00080A93">
            <w:pPr>
              <w:suppressAutoHyphens/>
              <w:spacing w:before="0"/>
              <w:rPr>
                <w:rStyle w:val="InstructionsTabelleberschrift"/>
                <w:rFonts w:ascii="Times New Roman" w:hAnsi="Times New Roman"/>
                <w:sz w:val="24"/>
              </w:rPr>
            </w:pPr>
            <w:r>
              <w:rPr>
                <w:rStyle w:val="InstructionsTabelleberschrift"/>
                <w:rFonts w:ascii="Times New Roman" w:hAnsi="Times New Roman"/>
                <w:sz w:val="24"/>
              </w:rPr>
              <w:t>1.1.4</w:t>
            </w:r>
            <w:r w:rsidRPr="002B5704">
              <w:rPr>
                <w:u w:val="single"/>
              </w:rPr>
              <w:tab/>
            </w:r>
            <w:r>
              <w:rPr>
                <w:rStyle w:val="InstructionsTabelleberschrift"/>
                <w:rFonts w:ascii="Times New Roman" w:hAnsi="Times New Roman"/>
                <w:sz w:val="24"/>
              </w:rPr>
              <w:t>Strumenti emessi prima del 27 giugno 2019 che non soddisfano i criteri di ammissibilità relativi ai poteri di svalutazione e di conversione ai sensi dell</w:t>
            </w:r>
            <w:r w:rsidR="000878EC">
              <w:rPr>
                <w:rStyle w:val="InstructionsTabelleberschrift"/>
                <w:rFonts w:ascii="Times New Roman" w:hAnsi="Times New Roman"/>
                <w:sz w:val="24"/>
              </w:rPr>
              <w:t>'</w:t>
            </w:r>
            <w:r>
              <w:rPr>
                <w:rStyle w:val="InstructionsTabelleberschrift"/>
                <w:rFonts w:ascii="Times New Roman" w:hAnsi="Times New Roman"/>
                <w:sz w:val="24"/>
              </w:rPr>
              <w:t>articolo 59 della BRRD o che sono soggetti ad accordi di compensazione o di netting</w:t>
            </w:r>
          </w:p>
          <w:p w:rsidR="00BF0637" w:rsidRPr="00661595" w:rsidRDefault="00BF0637" w:rsidP="00080A93">
            <w:pPr>
              <w:suppressAutoHyphens/>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494 ter del CRR</w:t>
            </w:r>
          </w:p>
          <w:p w:rsidR="00BF0637" w:rsidRPr="00661595" w:rsidRDefault="00BF0637" w:rsidP="00080A93">
            <w:pPr>
              <w:suppressAutoHyphens/>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 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importo degli strumenti rientranti nell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ambito di applicazione </w:t>
            </w:r>
            <w:r w:rsidR="00080A93">
              <w:rPr>
                <w:rStyle w:val="InstructionsTabelleberschrift"/>
                <w:rFonts w:ascii="Times New Roman" w:hAnsi="Times New Roman"/>
                <w:b w:val="0"/>
                <w:sz w:val="24"/>
                <w:u w:val="none"/>
              </w:rPr>
              <w:t>dell</w:t>
            </w:r>
            <w:r w:rsidR="000878EC">
              <w:rPr>
                <w:rStyle w:val="InstructionsTabelleberschrift"/>
                <w:rFonts w:ascii="Times New Roman" w:hAnsi="Times New Roman"/>
                <w:b w:val="0"/>
                <w:sz w:val="24"/>
                <w:u w:val="none"/>
              </w:rPr>
              <w:t>'</w:t>
            </w:r>
            <w:r w:rsidR="00080A93">
              <w:rPr>
                <w:rStyle w:val="InstructionsTabelleberschrift"/>
                <w:rFonts w:ascii="Times New Roman" w:hAnsi="Times New Roman"/>
                <w:b w:val="0"/>
                <w:sz w:val="24"/>
                <w:u w:val="none"/>
              </w:rPr>
              <w:t xml:space="preserve">articolo 494 </w:t>
            </w:r>
            <w:r>
              <w:rPr>
                <w:rStyle w:val="InstructionsTabelleberschrift"/>
                <w:rFonts w:ascii="Times New Roman" w:hAnsi="Times New Roman"/>
                <w:b w:val="0"/>
                <w:sz w:val="24"/>
                <w:u w:val="none"/>
              </w:rPr>
              <w:t>ter del CRR che non soddisfano uno o più criteri di ammissibilità di</w:t>
            </w:r>
            <w:r w:rsidR="00080A93">
              <w:rPr>
                <w:rStyle w:val="InstructionsTabelleberschrift"/>
                <w:rFonts w:ascii="Times New Roman" w:hAnsi="Times New Roman"/>
                <w:b w:val="0"/>
                <w:sz w:val="24"/>
                <w:u w:val="none"/>
              </w:rPr>
              <w:t xml:space="preserve"> cui all</w:t>
            </w:r>
            <w:r w:rsidR="000878EC">
              <w:rPr>
                <w:rStyle w:val="InstructionsTabelleberschrift"/>
                <w:rFonts w:ascii="Times New Roman" w:hAnsi="Times New Roman"/>
                <w:b w:val="0"/>
                <w:sz w:val="24"/>
                <w:u w:val="none"/>
              </w:rPr>
              <w:t>'</w:t>
            </w:r>
            <w:r w:rsidR="00080A93">
              <w:rPr>
                <w:rStyle w:val="InstructionsTabelleberschrift"/>
                <w:rFonts w:ascii="Times New Roman" w:hAnsi="Times New Roman"/>
                <w:b w:val="0"/>
                <w:sz w:val="24"/>
                <w:u w:val="none"/>
              </w:rPr>
              <w:t xml:space="preserve">articolo 52, paragrafo </w:t>
            </w:r>
            <w:r>
              <w:rPr>
                <w:rStyle w:val="InstructionsTabelleberschrift"/>
                <w:rFonts w:ascii="Times New Roman" w:hAnsi="Times New Roman"/>
                <w:b w:val="0"/>
                <w:sz w:val="24"/>
                <w:u w:val="none"/>
              </w:rPr>
              <w:t xml:space="preserve">1, lettere p), </w:t>
            </w:r>
            <w:r w:rsidR="00080A93">
              <w:rPr>
                <w:rStyle w:val="InstructionsTabelleberschrift"/>
                <w:rFonts w:ascii="Times New Roman" w:hAnsi="Times New Roman"/>
                <w:b w:val="0"/>
                <w:sz w:val="24"/>
                <w:u w:val="none"/>
              </w:rPr>
              <w:t>q) e r), del CRR o all</w:t>
            </w:r>
            <w:r w:rsidR="000878EC">
              <w:rPr>
                <w:rStyle w:val="InstructionsTabelleberschrift"/>
                <w:rFonts w:ascii="Times New Roman" w:hAnsi="Times New Roman"/>
                <w:b w:val="0"/>
                <w:sz w:val="24"/>
                <w:u w:val="none"/>
              </w:rPr>
              <w:t>'</w:t>
            </w:r>
            <w:r w:rsidR="00080A93">
              <w:rPr>
                <w:rStyle w:val="InstructionsTabelleberschrift"/>
                <w:rFonts w:ascii="Times New Roman" w:hAnsi="Times New Roman"/>
                <w:b w:val="0"/>
                <w:sz w:val="24"/>
                <w:u w:val="none"/>
              </w:rPr>
              <w:t xml:space="preserve">articolo </w:t>
            </w:r>
            <w:r>
              <w:rPr>
                <w:rStyle w:val="InstructionsTabelleberschrift"/>
                <w:rFonts w:ascii="Times New Roman" w:hAnsi="Times New Roman"/>
                <w:b w:val="0"/>
                <w:sz w:val="24"/>
                <w:u w:val="none"/>
              </w:rPr>
              <w:t>63, lettere n), o) e p), del CRR, a seconda dei casi.</w:t>
            </w:r>
          </w:p>
          <w:p w:rsidR="00BF0637" w:rsidRPr="00661595" w:rsidRDefault="00BF0637" w:rsidP="00080A93">
            <w:pPr>
              <w:suppressAutoHyphens/>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Nel caso degli strumenti di classe 2 am</w:t>
            </w:r>
            <w:r w:rsidR="00080A93">
              <w:rPr>
                <w:rStyle w:val="InstructionsTabelleberschrift"/>
                <w:rFonts w:ascii="Times New Roman" w:hAnsi="Times New Roman"/>
                <w:b w:val="0"/>
                <w:sz w:val="24"/>
                <w:u w:val="none"/>
              </w:rPr>
              <w:t>missibili a norma dell</w:t>
            </w:r>
            <w:r w:rsidR="000878EC">
              <w:rPr>
                <w:rStyle w:val="InstructionsTabelleberschrift"/>
                <w:rFonts w:ascii="Times New Roman" w:hAnsi="Times New Roman"/>
                <w:b w:val="0"/>
                <w:sz w:val="24"/>
                <w:u w:val="none"/>
              </w:rPr>
              <w:t>'</w:t>
            </w:r>
            <w:r w:rsidR="00080A93">
              <w:rPr>
                <w:rStyle w:val="InstructionsTabelleberschrift"/>
                <w:rFonts w:ascii="Times New Roman" w:hAnsi="Times New Roman"/>
                <w:b w:val="0"/>
                <w:sz w:val="24"/>
                <w:u w:val="none"/>
              </w:rPr>
              <w:t>articolo 494 </w:t>
            </w:r>
            <w:r>
              <w:rPr>
                <w:rStyle w:val="InstructionsTabelleberschrift"/>
                <w:rFonts w:ascii="Times New Roman" w:hAnsi="Times New Roman"/>
                <w:b w:val="0"/>
                <w:sz w:val="24"/>
                <w:u w:val="none"/>
              </w:rPr>
              <w:t>ter, paragrafo 2, del CRR, si applicano le disposizioni di ammortamento di cui all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articolo 64 del CRR.</w:t>
            </w:r>
          </w:p>
        </w:tc>
      </w:tr>
      <w:tr w:rsidR="00BF0637" w:rsidRPr="00661595" w:rsidTr="00672D2A">
        <w:tc>
          <w:tcPr>
            <w:tcW w:w="1012" w:type="dxa"/>
          </w:tcPr>
          <w:p w:rsidR="00BF0637" w:rsidRPr="00661595" w:rsidRDefault="00BF0637" w:rsidP="00115052">
            <w:pPr>
              <w:pStyle w:val="InstructionsText"/>
              <w:rPr>
                <w:rStyle w:val="InstructionsTabelleText"/>
                <w:rFonts w:ascii="Times New Roman" w:hAnsi="Times New Roman"/>
                <w:sz w:val="24"/>
              </w:rPr>
            </w:pPr>
            <w:r>
              <w:rPr>
                <w:rStyle w:val="InstructionsTabelleText"/>
                <w:rFonts w:ascii="Times New Roman" w:hAnsi="Times New Roman"/>
                <w:sz w:val="24"/>
              </w:rPr>
              <w:t>0063</w:t>
            </w:r>
          </w:p>
        </w:tc>
        <w:tc>
          <w:tcPr>
            <w:tcW w:w="7478" w:type="dxa"/>
          </w:tcPr>
          <w:p w:rsidR="00BF0637" w:rsidRPr="00661595" w:rsidRDefault="00BF0637" w:rsidP="00080A93">
            <w:pPr>
              <w:suppressAutoHyphens/>
              <w:spacing w:before="0"/>
              <w:rPr>
                <w:rStyle w:val="InstructionsTabelleberschrift"/>
                <w:rFonts w:ascii="Times New Roman" w:hAnsi="Times New Roman"/>
                <w:sz w:val="24"/>
              </w:rPr>
            </w:pPr>
            <w:r>
              <w:rPr>
                <w:rStyle w:val="InstructionsTabelleberschrift"/>
                <w:rFonts w:ascii="Times New Roman" w:hAnsi="Times New Roman"/>
                <w:sz w:val="24"/>
              </w:rPr>
              <w:t>1.1.4.1*</w:t>
            </w:r>
            <w:r w:rsidRPr="002B5704">
              <w:rPr>
                <w:u w:val="single"/>
              </w:rPr>
              <w:tab/>
            </w:r>
            <w:r>
              <w:rPr>
                <w:rStyle w:val="InstructionsTabelleberschrift"/>
                <w:rFonts w:ascii="Times New Roman" w:hAnsi="Times New Roman"/>
                <w:sz w:val="24"/>
              </w:rPr>
              <w:t>di cui: Strumenti privi di svalutazione o conversione obbligatoria, legalmente o contrattualmente, all</w:t>
            </w:r>
            <w:r w:rsidR="000878EC">
              <w:rPr>
                <w:rStyle w:val="InstructionsTabelleberschrift"/>
                <w:rFonts w:ascii="Times New Roman" w:hAnsi="Times New Roman"/>
                <w:sz w:val="24"/>
              </w:rPr>
              <w:t>'</w:t>
            </w:r>
            <w:r>
              <w:rPr>
                <w:rStyle w:val="InstructionsTabelleberschrift"/>
                <w:rFonts w:ascii="Times New Roman" w:hAnsi="Times New Roman"/>
                <w:sz w:val="24"/>
              </w:rPr>
              <w:t>esercizio dei poteri di cui all</w:t>
            </w:r>
            <w:r w:rsidR="000878EC">
              <w:rPr>
                <w:rStyle w:val="InstructionsTabelleberschrift"/>
                <w:rFonts w:ascii="Times New Roman" w:hAnsi="Times New Roman"/>
                <w:sz w:val="24"/>
              </w:rPr>
              <w:t>'</w:t>
            </w:r>
            <w:r>
              <w:rPr>
                <w:rStyle w:val="InstructionsTabelleberschrift"/>
                <w:rFonts w:ascii="Times New Roman" w:hAnsi="Times New Roman"/>
                <w:sz w:val="24"/>
              </w:rPr>
              <w:t>articolo 59 della BRRD</w:t>
            </w:r>
          </w:p>
          <w:p w:rsidR="00BF0637" w:rsidRPr="00661595" w:rsidRDefault="0044539D" w:rsidP="00080A93">
            <w:pPr>
              <w:suppressAutoHyphens/>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494 ter, articolo 52, paragrafo 1, lettera p), e articolo 63, lettera n), del CRR</w:t>
            </w:r>
          </w:p>
          <w:p w:rsidR="00BF0637" w:rsidRPr="00661595" w:rsidRDefault="00BF0637" w:rsidP="00080A93">
            <w:pPr>
              <w:suppressAutoHyphens/>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 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importo degli strumenti rientranti nell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ambito di applicazione dell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articolo 494 ter del CRR che non soddisfano i criteri di am</w:t>
            </w:r>
            <w:r w:rsidR="00C35276">
              <w:rPr>
                <w:rStyle w:val="InstructionsTabelleberschrift"/>
                <w:rFonts w:ascii="Times New Roman" w:hAnsi="Times New Roman"/>
                <w:b w:val="0"/>
                <w:sz w:val="24"/>
                <w:u w:val="none"/>
              </w:rPr>
              <w:t>missibilità di cui all</w:t>
            </w:r>
            <w:r w:rsidR="000878EC">
              <w:rPr>
                <w:rStyle w:val="InstructionsTabelleberschrift"/>
                <w:rFonts w:ascii="Times New Roman" w:hAnsi="Times New Roman"/>
                <w:b w:val="0"/>
                <w:sz w:val="24"/>
                <w:u w:val="none"/>
              </w:rPr>
              <w:t>'</w:t>
            </w:r>
            <w:r w:rsidR="00C35276">
              <w:rPr>
                <w:rStyle w:val="InstructionsTabelleberschrift"/>
                <w:rFonts w:ascii="Times New Roman" w:hAnsi="Times New Roman"/>
                <w:b w:val="0"/>
                <w:sz w:val="24"/>
                <w:u w:val="none"/>
              </w:rPr>
              <w:t>articolo 52, paragrafo 1, lettera p), o all</w:t>
            </w:r>
            <w:r w:rsidR="000878EC">
              <w:rPr>
                <w:rStyle w:val="InstructionsTabelleberschrift"/>
                <w:rFonts w:ascii="Times New Roman" w:hAnsi="Times New Roman"/>
                <w:b w:val="0"/>
                <w:sz w:val="24"/>
                <w:u w:val="none"/>
              </w:rPr>
              <w:t>'</w:t>
            </w:r>
            <w:r w:rsidR="00C35276">
              <w:rPr>
                <w:rStyle w:val="InstructionsTabelleberschrift"/>
                <w:rFonts w:ascii="Times New Roman" w:hAnsi="Times New Roman"/>
                <w:b w:val="0"/>
                <w:sz w:val="24"/>
                <w:u w:val="none"/>
              </w:rPr>
              <w:t xml:space="preserve">articolo </w:t>
            </w:r>
            <w:r>
              <w:rPr>
                <w:rStyle w:val="InstructionsTabelleberschrift"/>
                <w:rFonts w:ascii="Times New Roman" w:hAnsi="Times New Roman"/>
                <w:b w:val="0"/>
                <w:sz w:val="24"/>
                <w:u w:val="none"/>
              </w:rPr>
              <w:t>63, lettera n), del CRR, a seconda dei casi.</w:t>
            </w:r>
          </w:p>
          <w:p w:rsidR="00BF0637" w:rsidRPr="00661595" w:rsidRDefault="00BF0637" w:rsidP="00080A93">
            <w:pPr>
              <w:suppressAutoHyphens/>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Sono compresi anche gli strumenti che non soddisfano inoltre i criteri di ammissibilità di cui al</w:t>
            </w:r>
            <w:r w:rsidR="00C35276">
              <w:rPr>
                <w:rStyle w:val="InstructionsTabelleberschrift"/>
                <w:rFonts w:ascii="Times New Roman" w:hAnsi="Times New Roman"/>
                <w:b w:val="0"/>
                <w:sz w:val="24"/>
                <w:u w:val="none"/>
              </w:rPr>
              <w:t>l</w:t>
            </w:r>
            <w:r w:rsidR="000878EC">
              <w:rPr>
                <w:rStyle w:val="InstructionsTabelleberschrift"/>
                <w:rFonts w:ascii="Times New Roman" w:hAnsi="Times New Roman"/>
                <w:b w:val="0"/>
                <w:sz w:val="24"/>
                <w:u w:val="none"/>
              </w:rPr>
              <w:t>'</w:t>
            </w:r>
            <w:r w:rsidR="00C35276">
              <w:rPr>
                <w:rStyle w:val="InstructionsTabelleberschrift"/>
                <w:rFonts w:ascii="Times New Roman" w:hAnsi="Times New Roman"/>
                <w:b w:val="0"/>
                <w:sz w:val="24"/>
                <w:u w:val="none"/>
              </w:rPr>
              <w:t xml:space="preserve">articolo 52, paragrafo </w:t>
            </w:r>
            <w:r>
              <w:rPr>
                <w:rStyle w:val="InstructionsTabelleberschrift"/>
                <w:rFonts w:ascii="Times New Roman" w:hAnsi="Times New Roman"/>
                <w:b w:val="0"/>
                <w:sz w:val="24"/>
                <w:u w:val="none"/>
              </w:rPr>
              <w:t>1, lettere q) o r), del CRR o all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articolo 63, lettere o) o p), del CRR, a seconda dei casi.</w:t>
            </w:r>
          </w:p>
        </w:tc>
      </w:tr>
      <w:tr w:rsidR="00BF0637" w:rsidRPr="00661595" w:rsidTr="00672D2A">
        <w:tc>
          <w:tcPr>
            <w:tcW w:w="1012" w:type="dxa"/>
          </w:tcPr>
          <w:p w:rsidR="00BF0637" w:rsidRPr="00661595" w:rsidRDefault="00BF0637" w:rsidP="00115052">
            <w:pPr>
              <w:pStyle w:val="InstructionsText"/>
              <w:rPr>
                <w:rStyle w:val="InstructionsTabelleText"/>
                <w:rFonts w:ascii="Times New Roman" w:hAnsi="Times New Roman"/>
                <w:sz w:val="24"/>
              </w:rPr>
            </w:pPr>
            <w:r>
              <w:rPr>
                <w:rStyle w:val="InstructionsTabelleText"/>
                <w:rFonts w:ascii="Times New Roman" w:hAnsi="Times New Roman"/>
                <w:sz w:val="24"/>
              </w:rPr>
              <w:t>0064</w:t>
            </w:r>
          </w:p>
        </w:tc>
        <w:tc>
          <w:tcPr>
            <w:tcW w:w="7478" w:type="dxa"/>
          </w:tcPr>
          <w:p w:rsidR="00BF0637" w:rsidRPr="00661595" w:rsidRDefault="00BF0637" w:rsidP="00080A93">
            <w:pPr>
              <w:suppressAutoHyphens/>
              <w:spacing w:before="0"/>
              <w:rPr>
                <w:rStyle w:val="InstructionsTabelleberschrift"/>
                <w:rFonts w:ascii="Times New Roman" w:hAnsi="Times New Roman"/>
                <w:sz w:val="24"/>
              </w:rPr>
            </w:pPr>
            <w:r>
              <w:rPr>
                <w:rStyle w:val="InstructionsTabelleberschrift"/>
                <w:rFonts w:ascii="Times New Roman" w:hAnsi="Times New Roman"/>
                <w:sz w:val="24"/>
              </w:rPr>
              <w:t>1.1.4.2*</w:t>
            </w:r>
            <w:r w:rsidRPr="002B5704">
              <w:rPr>
                <w:u w:val="single"/>
              </w:rPr>
              <w:tab/>
            </w:r>
            <w:r>
              <w:rPr>
                <w:rStyle w:val="InstructionsTabelleberschrift"/>
                <w:rFonts w:ascii="Times New Roman" w:hAnsi="Times New Roman"/>
                <w:sz w:val="24"/>
              </w:rPr>
              <w:t>di cui: Strumenti disciplinati dal diritto di paesi terzi senza esercizio effettivo ed esecutivo dei poteri di cui all</w:t>
            </w:r>
            <w:r w:rsidR="000878EC">
              <w:rPr>
                <w:rStyle w:val="InstructionsTabelleberschrift"/>
                <w:rFonts w:ascii="Times New Roman" w:hAnsi="Times New Roman"/>
                <w:sz w:val="24"/>
              </w:rPr>
              <w:t>'</w:t>
            </w:r>
            <w:r>
              <w:rPr>
                <w:rStyle w:val="InstructionsTabelleberschrift"/>
                <w:rFonts w:ascii="Times New Roman" w:hAnsi="Times New Roman"/>
                <w:sz w:val="24"/>
              </w:rPr>
              <w:t>articolo 59 della BRRD</w:t>
            </w:r>
          </w:p>
          <w:p w:rsidR="00BF0637" w:rsidRPr="00661595" w:rsidRDefault="00BF0637" w:rsidP="00080A93">
            <w:pPr>
              <w:suppressAutoHyphens/>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494 ter, articolo 52, paragrafo 1, lettera q), e articolo 63, lettera o), del CRR</w:t>
            </w:r>
          </w:p>
          <w:p w:rsidR="00BF0637" w:rsidRPr="00661595" w:rsidRDefault="00BF0637" w:rsidP="00080A93">
            <w:pPr>
              <w:suppressAutoHyphens/>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 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importo degli strumenti rientranti nell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ambito di applicazione dell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articolo 494 ter del CRR che non soddisfano i criteri di ammissibilità di</w:t>
            </w:r>
            <w:r w:rsidR="00C35276">
              <w:rPr>
                <w:rStyle w:val="InstructionsTabelleberschrift"/>
                <w:rFonts w:ascii="Times New Roman" w:hAnsi="Times New Roman"/>
                <w:b w:val="0"/>
                <w:sz w:val="24"/>
                <w:u w:val="none"/>
              </w:rPr>
              <w:t xml:space="preserve"> cui all</w:t>
            </w:r>
            <w:r w:rsidR="000878EC">
              <w:rPr>
                <w:rStyle w:val="InstructionsTabelleberschrift"/>
                <w:rFonts w:ascii="Times New Roman" w:hAnsi="Times New Roman"/>
                <w:b w:val="0"/>
                <w:sz w:val="24"/>
                <w:u w:val="none"/>
              </w:rPr>
              <w:t>'</w:t>
            </w:r>
            <w:r w:rsidR="00C35276">
              <w:rPr>
                <w:rStyle w:val="InstructionsTabelleberschrift"/>
                <w:rFonts w:ascii="Times New Roman" w:hAnsi="Times New Roman"/>
                <w:b w:val="0"/>
                <w:sz w:val="24"/>
                <w:u w:val="none"/>
              </w:rPr>
              <w:t>articolo 52, paragrafo 1, lettera q), o all</w:t>
            </w:r>
            <w:r w:rsidR="000878EC">
              <w:rPr>
                <w:rStyle w:val="InstructionsTabelleberschrift"/>
                <w:rFonts w:ascii="Times New Roman" w:hAnsi="Times New Roman"/>
                <w:b w:val="0"/>
                <w:sz w:val="24"/>
                <w:u w:val="none"/>
              </w:rPr>
              <w:t>'</w:t>
            </w:r>
            <w:r w:rsidR="00C35276">
              <w:rPr>
                <w:rStyle w:val="InstructionsTabelleberschrift"/>
                <w:rFonts w:ascii="Times New Roman" w:hAnsi="Times New Roman"/>
                <w:b w:val="0"/>
                <w:sz w:val="24"/>
                <w:u w:val="none"/>
              </w:rPr>
              <w:t xml:space="preserve">articolo </w:t>
            </w:r>
            <w:r>
              <w:rPr>
                <w:rStyle w:val="InstructionsTabelleberschrift"/>
                <w:rFonts w:ascii="Times New Roman" w:hAnsi="Times New Roman"/>
                <w:b w:val="0"/>
                <w:sz w:val="24"/>
                <w:u w:val="none"/>
              </w:rPr>
              <w:t>63, lettera o), del CRR, a seconda dei casi.</w:t>
            </w:r>
          </w:p>
          <w:p w:rsidR="00BF0637" w:rsidRPr="00661595" w:rsidRDefault="00BF0637" w:rsidP="00080A93">
            <w:pPr>
              <w:suppressAutoHyphens/>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Sono compresi anche gli strumenti che non soddisfano inoltre i criteri di am</w:t>
            </w:r>
            <w:r w:rsidR="00C35276">
              <w:rPr>
                <w:rStyle w:val="InstructionsTabelleberschrift"/>
                <w:rFonts w:ascii="Times New Roman" w:hAnsi="Times New Roman"/>
                <w:b w:val="0"/>
                <w:sz w:val="24"/>
                <w:u w:val="none"/>
              </w:rPr>
              <w:t>missibilità di cui all</w:t>
            </w:r>
            <w:r w:rsidR="000878EC">
              <w:rPr>
                <w:rStyle w:val="InstructionsTabelleberschrift"/>
                <w:rFonts w:ascii="Times New Roman" w:hAnsi="Times New Roman"/>
                <w:b w:val="0"/>
                <w:sz w:val="24"/>
                <w:u w:val="none"/>
              </w:rPr>
              <w:t>'</w:t>
            </w:r>
            <w:r w:rsidR="00C35276">
              <w:rPr>
                <w:rStyle w:val="InstructionsTabelleberschrift"/>
                <w:rFonts w:ascii="Times New Roman" w:hAnsi="Times New Roman"/>
                <w:b w:val="0"/>
                <w:sz w:val="24"/>
                <w:u w:val="none"/>
              </w:rPr>
              <w:t xml:space="preserve">articolo 52, paragrafo </w:t>
            </w:r>
            <w:r>
              <w:rPr>
                <w:rStyle w:val="InstructionsTabelleberschrift"/>
                <w:rFonts w:ascii="Times New Roman" w:hAnsi="Times New Roman"/>
                <w:b w:val="0"/>
                <w:sz w:val="24"/>
                <w:u w:val="none"/>
              </w:rPr>
              <w:t>1, lettere p) o r), del CRR o all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articolo 63, lettere n) o p), del CRR, a seconda dei casi.</w:t>
            </w:r>
          </w:p>
        </w:tc>
      </w:tr>
      <w:tr w:rsidR="00BF0637" w:rsidRPr="00661595" w:rsidTr="00672D2A">
        <w:tc>
          <w:tcPr>
            <w:tcW w:w="1012" w:type="dxa"/>
          </w:tcPr>
          <w:p w:rsidR="00BF0637" w:rsidRPr="00661595" w:rsidRDefault="00BA1BF6" w:rsidP="00115052">
            <w:pPr>
              <w:pStyle w:val="InstructionsText"/>
              <w:rPr>
                <w:rStyle w:val="InstructionsTabelleText"/>
                <w:rFonts w:ascii="Times New Roman" w:hAnsi="Times New Roman"/>
                <w:sz w:val="24"/>
              </w:rPr>
            </w:pPr>
            <w:r>
              <w:rPr>
                <w:rStyle w:val="InstructionsTabelleText"/>
                <w:rFonts w:ascii="Times New Roman" w:hAnsi="Times New Roman"/>
                <w:sz w:val="24"/>
              </w:rPr>
              <w:t>0065</w:t>
            </w:r>
          </w:p>
        </w:tc>
        <w:tc>
          <w:tcPr>
            <w:tcW w:w="7478" w:type="dxa"/>
          </w:tcPr>
          <w:p w:rsidR="00BF0637" w:rsidRPr="00661595" w:rsidRDefault="00BF0637" w:rsidP="00C35276">
            <w:pPr>
              <w:keepNext/>
              <w:keepLines/>
              <w:suppressAutoHyphens/>
              <w:spacing w:before="0"/>
              <w:rPr>
                <w:rStyle w:val="InstructionsTabelleberschrift"/>
                <w:rFonts w:ascii="Times New Roman" w:hAnsi="Times New Roman"/>
                <w:sz w:val="24"/>
              </w:rPr>
            </w:pPr>
            <w:r>
              <w:rPr>
                <w:rStyle w:val="InstructionsTabelleberschrift"/>
                <w:rFonts w:ascii="Times New Roman" w:hAnsi="Times New Roman"/>
                <w:sz w:val="24"/>
              </w:rPr>
              <w:t>1.1.4.3*</w:t>
            </w:r>
            <w:r w:rsidRPr="002B5704">
              <w:rPr>
                <w:u w:val="single"/>
              </w:rPr>
              <w:tab/>
            </w:r>
            <w:r>
              <w:rPr>
                <w:rStyle w:val="InstructionsTabelleberschrift"/>
                <w:rFonts w:ascii="Times New Roman" w:hAnsi="Times New Roman"/>
                <w:sz w:val="24"/>
              </w:rPr>
              <w:t>di cui: Strumenti soggetti ad accordi di compensazione o di netting</w:t>
            </w:r>
          </w:p>
          <w:p w:rsidR="00BF0637" w:rsidRPr="00661595" w:rsidRDefault="00533D84" w:rsidP="00C35276">
            <w:pPr>
              <w:keepNext/>
              <w:keepLines/>
              <w:suppressAutoHyphens/>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494 ter, articolo 52, paragrafo 1, lettera r), e articolo 63, lettera p), del CRR</w:t>
            </w:r>
          </w:p>
          <w:p w:rsidR="00BF0637" w:rsidRPr="00661595" w:rsidRDefault="00BF0637" w:rsidP="00C35276">
            <w:pPr>
              <w:keepNext/>
              <w:keepLines/>
              <w:suppressAutoHyphens/>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 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importo degli strumenti rientranti nell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ambito di applicazione dell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articolo 494 ter del CRR che non soddisfano i criteri di ammissibilità di cui all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articolo 52, paragrafo 1, lettera r), del CRR o all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articolo 63, lettera p), del CRR, a seconda dei casi.</w:t>
            </w:r>
          </w:p>
          <w:p w:rsidR="00BF0637" w:rsidRPr="00661595" w:rsidRDefault="00BF0637" w:rsidP="00C35276">
            <w:pPr>
              <w:keepNext/>
              <w:keepLines/>
              <w:suppressAutoHyphens/>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Sono compresi anche gli strumenti che non soddisfano inoltre i criteri di am</w:t>
            </w:r>
            <w:r w:rsidR="00790AA1">
              <w:rPr>
                <w:rStyle w:val="InstructionsTabelleberschrift"/>
                <w:rFonts w:ascii="Times New Roman" w:hAnsi="Times New Roman"/>
                <w:b w:val="0"/>
                <w:sz w:val="24"/>
                <w:u w:val="none"/>
              </w:rPr>
              <w:t>missibilità di cui all</w:t>
            </w:r>
            <w:r w:rsidR="000878EC">
              <w:rPr>
                <w:rStyle w:val="InstructionsTabelleberschrift"/>
                <w:rFonts w:ascii="Times New Roman" w:hAnsi="Times New Roman"/>
                <w:b w:val="0"/>
                <w:sz w:val="24"/>
                <w:u w:val="none"/>
              </w:rPr>
              <w:t>'</w:t>
            </w:r>
            <w:r w:rsidR="00790AA1">
              <w:rPr>
                <w:rStyle w:val="InstructionsTabelleberschrift"/>
                <w:rFonts w:ascii="Times New Roman" w:hAnsi="Times New Roman"/>
                <w:b w:val="0"/>
                <w:sz w:val="24"/>
                <w:u w:val="none"/>
              </w:rPr>
              <w:t xml:space="preserve">articolo 52, paragrafo </w:t>
            </w:r>
            <w:r>
              <w:rPr>
                <w:rStyle w:val="InstructionsTabelleberschrift"/>
                <w:rFonts w:ascii="Times New Roman" w:hAnsi="Times New Roman"/>
                <w:b w:val="0"/>
                <w:sz w:val="24"/>
                <w:u w:val="none"/>
              </w:rPr>
              <w:t>1, lettere p) o q), del CRR o all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articolo 63, lettere n) o o), del CRR, a seconda dei casi.</w:t>
            </w:r>
          </w:p>
        </w:tc>
      </w:tr>
      <w:tr w:rsidR="00BF0637" w:rsidRPr="00661595" w:rsidTr="00672D2A">
        <w:tc>
          <w:tcPr>
            <w:tcW w:w="1012" w:type="dxa"/>
          </w:tcPr>
          <w:p w:rsidR="00BF0637" w:rsidRPr="00661595" w:rsidRDefault="00BA1BF6" w:rsidP="00115052">
            <w:pPr>
              <w:pStyle w:val="InstructionsText"/>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rsidR="00BF0637" w:rsidRPr="00661595" w:rsidRDefault="00BF0637" w:rsidP="00115052">
            <w:pPr>
              <w:pStyle w:val="InstructionsText"/>
              <w:rPr>
                <w:rStyle w:val="InstructionsTabelleText"/>
                <w:rFonts w:ascii="Times New Roman" w:hAnsi="Times New Roman"/>
                <w:b/>
                <w:sz w:val="24"/>
                <w:u w:val="single"/>
              </w:rPr>
            </w:pPr>
            <w:r>
              <w:rPr>
                <w:rStyle w:val="InstructionsTabelleberschrift"/>
                <w:rFonts w:ascii="Times New Roman" w:hAnsi="Times New Roman"/>
                <w:sz w:val="24"/>
              </w:rPr>
              <w:t>1.2</w:t>
            </w:r>
            <w:r w:rsidRPr="00BD1A14">
              <w:rPr>
                <w:u w:val="single"/>
              </w:rPr>
              <w:tab/>
            </w:r>
            <w:r>
              <w:rPr>
                <w:rStyle w:val="InstructionsTabelleberschrift"/>
                <w:rFonts w:ascii="Times New Roman" w:hAnsi="Times New Roman"/>
                <w:sz w:val="24"/>
              </w:rPr>
              <w:t>Interessi di minoranza ed equivalenti</w:t>
            </w:r>
          </w:p>
          <w:p w:rsidR="00BF0637" w:rsidRPr="00661595" w:rsidRDefault="00BF0637" w:rsidP="00080A93">
            <w:pPr>
              <w:suppressAutoHyphens/>
              <w:spacing w:before="0"/>
              <w:rPr>
                <w:rStyle w:val="InstructionsTabelleText"/>
                <w:rFonts w:ascii="Times New Roman" w:hAnsi="Times New Roman"/>
                <w:sz w:val="24"/>
              </w:rPr>
            </w:pPr>
            <w:r>
              <w:rPr>
                <w:rStyle w:val="InstructionsTabelleText"/>
                <w:rFonts w:ascii="Times New Roman" w:hAnsi="Times New Roman"/>
                <w:sz w:val="24"/>
              </w:rPr>
              <w:t>Articoli 479 e 480 del CRR</w:t>
            </w:r>
          </w:p>
          <w:p w:rsidR="00BF0637" w:rsidRPr="00661595" w:rsidRDefault="00BF0637" w:rsidP="00080A93">
            <w:pPr>
              <w:suppressAutoHyphens/>
              <w:spacing w:before="0"/>
              <w:rPr>
                <w:rStyle w:val="InstructionsTabelleText"/>
                <w:rFonts w:ascii="Times New Roman" w:hAnsi="Times New Roman"/>
                <w:sz w:val="24"/>
              </w:rPr>
            </w:pPr>
            <w:r>
              <w:rPr>
                <w:rStyle w:val="InstructionsTabelleText"/>
                <w:rFonts w:ascii="Times New Roman" w:hAnsi="Times New Roman"/>
                <w:sz w:val="24"/>
              </w:rPr>
              <w:t>Questa riga indica gli effetti delle disposizioni transitorie su: interessi di minoranza ammissibili come capitale primario di classe 1; strumenti ammessi di classe 1 ammissibili come capitale aggiuntivo di classe 1 consolidato; fondi propri ammessi ammissibili come capitale di classe 2 consolidato.</w:t>
            </w:r>
          </w:p>
        </w:tc>
      </w:tr>
      <w:tr w:rsidR="00BF0637" w:rsidRPr="00661595" w:rsidTr="00672D2A">
        <w:tc>
          <w:tcPr>
            <w:tcW w:w="1012" w:type="dxa"/>
          </w:tcPr>
          <w:p w:rsidR="00BF0637" w:rsidRPr="00661595" w:rsidRDefault="00BA1BF6" w:rsidP="00115052">
            <w:pPr>
              <w:pStyle w:val="InstructionsText"/>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rsidR="00BF0637" w:rsidRPr="00661595" w:rsidRDefault="00BF0637" w:rsidP="00115052">
            <w:pPr>
              <w:pStyle w:val="InstructionsText"/>
              <w:rPr>
                <w:rStyle w:val="InstructionsTabelleberschrift"/>
                <w:rFonts w:ascii="Times New Roman" w:hAnsi="Times New Roman"/>
                <w:bCs w:val="0"/>
                <w:sz w:val="24"/>
              </w:rPr>
            </w:pPr>
            <w:r>
              <w:rPr>
                <w:rStyle w:val="InstructionsTabelleberschrift"/>
                <w:rFonts w:ascii="Times New Roman" w:hAnsi="Times New Roman"/>
                <w:sz w:val="24"/>
              </w:rPr>
              <w:t>1.2.1</w:t>
            </w:r>
            <w:r w:rsidRPr="00BD1A14">
              <w:rPr>
                <w:u w:val="single"/>
              </w:rPr>
              <w:tab/>
            </w:r>
            <w:r>
              <w:rPr>
                <w:rStyle w:val="InstructionsTabelleberschrift"/>
                <w:rFonts w:ascii="Times New Roman" w:hAnsi="Times New Roman"/>
                <w:sz w:val="24"/>
              </w:rPr>
              <w:t>Strumenti ed elementi di capitale non ammessi come interessi di minoranza</w:t>
            </w:r>
          </w:p>
          <w:p w:rsidR="00BF0637" w:rsidRPr="00661595" w:rsidRDefault="00BF0637" w:rsidP="00115052">
            <w:pPr>
              <w:pStyle w:val="InstructionsText"/>
              <w:rPr>
                <w:rStyle w:val="InstructionsTabelleText"/>
                <w:rFonts w:ascii="Times New Roman" w:hAnsi="Times New Roman"/>
                <w:bCs/>
                <w:sz w:val="24"/>
              </w:rPr>
            </w:pPr>
            <w:r>
              <w:rPr>
                <w:rStyle w:val="InstructionsTabelleText"/>
                <w:rFonts w:ascii="Times New Roman" w:hAnsi="Times New Roman"/>
                <w:sz w:val="24"/>
              </w:rPr>
              <w:t>Articolo 479 del CRR</w:t>
            </w:r>
          </w:p>
          <w:p w:rsidR="00BF0637" w:rsidRPr="00661595" w:rsidRDefault="00BF0637" w:rsidP="00115052">
            <w:pPr>
              <w:pStyle w:val="InstructionsText"/>
              <w:rPr>
                <w:rStyle w:val="InstructionsTabelleText"/>
                <w:rFonts w:ascii="Times New Roman" w:hAnsi="Times New Roman"/>
                <w:bCs/>
                <w:sz w:val="24"/>
              </w:rPr>
            </w:pPr>
            <w:r>
              <w:rPr>
                <w:rStyle w:val="InstructionsTabelleText"/>
                <w:rFonts w:ascii="Times New Roman" w:hAnsi="Times New Roman"/>
                <w:sz w:val="24"/>
              </w:rPr>
              <w:t>L</w:t>
            </w:r>
            <w:r w:rsidR="000878EC">
              <w:rPr>
                <w:rStyle w:val="InstructionsTabelleText"/>
                <w:rFonts w:ascii="Times New Roman" w:hAnsi="Times New Roman"/>
                <w:sz w:val="24"/>
              </w:rPr>
              <w:t>'</w:t>
            </w:r>
            <w:r>
              <w:rPr>
                <w:rStyle w:val="InstructionsTabelleText"/>
                <w:rFonts w:ascii="Times New Roman" w:hAnsi="Times New Roman"/>
                <w:sz w:val="24"/>
              </w:rPr>
              <w:t>importo da segnalare nella colonna 060 di questa riga è l</w:t>
            </w:r>
            <w:r w:rsidR="000878EC">
              <w:rPr>
                <w:rStyle w:val="InstructionsTabelleText"/>
                <w:rFonts w:ascii="Times New Roman" w:hAnsi="Times New Roman"/>
                <w:sz w:val="24"/>
              </w:rPr>
              <w:t>'</w:t>
            </w:r>
            <w:r>
              <w:rPr>
                <w:rStyle w:val="InstructionsTabelleText"/>
                <w:rFonts w:ascii="Times New Roman" w:hAnsi="Times New Roman"/>
                <w:sz w:val="24"/>
              </w:rPr>
              <w:t xml:space="preserve">importo ammesso come riserve consolidate conformemente alla normativa precedente. </w:t>
            </w:r>
          </w:p>
        </w:tc>
      </w:tr>
      <w:tr w:rsidR="00BF0637" w:rsidRPr="00661595" w:rsidTr="00672D2A">
        <w:tc>
          <w:tcPr>
            <w:tcW w:w="1012" w:type="dxa"/>
          </w:tcPr>
          <w:p w:rsidR="00BF0637" w:rsidRPr="00661595" w:rsidRDefault="00BA1BF6" w:rsidP="00115052">
            <w:pPr>
              <w:pStyle w:val="InstructionsText"/>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rsidR="00BF0637" w:rsidRPr="00661595" w:rsidRDefault="00BF0637" w:rsidP="0011505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1.2.2</w:t>
            </w:r>
            <w:r w:rsidRPr="00BD1A14">
              <w:rPr>
                <w:u w:val="single"/>
              </w:rPr>
              <w:tab/>
            </w:r>
            <w:r>
              <w:rPr>
                <w:rStyle w:val="InstructionsTabelleberschrift"/>
                <w:rFonts w:ascii="Times New Roman" w:hAnsi="Times New Roman"/>
                <w:sz w:val="24"/>
              </w:rPr>
              <w:t>Inclusione transitoria degli interessi di minoranza nei fondi propri consolidati</w:t>
            </w:r>
          </w:p>
          <w:p w:rsidR="00BF0637" w:rsidRPr="00661595" w:rsidRDefault="00BF0637" w:rsidP="00115052">
            <w:pPr>
              <w:pStyle w:val="InstructionsText"/>
              <w:rPr>
                <w:rStyle w:val="InstructionsTabelleText"/>
                <w:rFonts w:ascii="Times New Roman" w:hAnsi="Times New Roman"/>
                <w:sz w:val="24"/>
              </w:rPr>
            </w:pPr>
            <w:r>
              <w:rPr>
                <w:rStyle w:val="InstructionsTabelleText"/>
                <w:rFonts w:ascii="Times New Roman" w:hAnsi="Times New Roman"/>
                <w:sz w:val="24"/>
              </w:rPr>
              <w:t>Articoli 84 e 480 del CRR</w:t>
            </w:r>
          </w:p>
          <w:p w:rsidR="00BF0637" w:rsidRPr="00661595" w:rsidRDefault="00BF0637" w:rsidP="00115052">
            <w:pPr>
              <w:pStyle w:val="InstructionsText"/>
              <w:rPr>
                <w:rStyle w:val="InstructionsTabelleberschrift"/>
                <w:rFonts w:ascii="Times New Roman" w:hAnsi="Times New Roman"/>
                <w:b w:val="0"/>
                <w:bCs w:val="0"/>
                <w:sz w:val="24"/>
                <w:u w:val="none"/>
              </w:rPr>
            </w:pPr>
            <w:r>
              <w:rPr>
                <w:rStyle w:val="InstructionsTabelleText"/>
                <w:rFonts w:ascii="Times New Roman" w:hAnsi="Times New Roman"/>
                <w:sz w:val="24"/>
              </w:rPr>
              <w:t>L</w:t>
            </w:r>
            <w:r w:rsidR="000878EC">
              <w:rPr>
                <w:rStyle w:val="InstructionsTabelleText"/>
                <w:rFonts w:ascii="Times New Roman" w:hAnsi="Times New Roman"/>
                <w:sz w:val="24"/>
              </w:rPr>
              <w:t>'</w:t>
            </w:r>
            <w:r>
              <w:rPr>
                <w:rStyle w:val="InstructionsTabelleText"/>
                <w:rFonts w:ascii="Times New Roman" w:hAnsi="Times New Roman"/>
                <w:sz w:val="24"/>
              </w:rPr>
              <w:t>importo da segnalare nella colonna 0060 di questa riga è l</w:t>
            </w:r>
            <w:r w:rsidR="000878EC">
              <w:rPr>
                <w:rStyle w:val="InstructionsTabelleText"/>
                <w:rFonts w:ascii="Times New Roman" w:hAnsi="Times New Roman"/>
                <w:sz w:val="24"/>
              </w:rPr>
              <w:t>'</w:t>
            </w:r>
            <w:r>
              <w:rPr>
                <w:rStyle w:val="InstructionsTabelleText"/>
                <w:rFonts w:ascii="Times New Roman" w:hAnsi="Times New Roman"/>
                <w:sz w:val="24"/>
              </w:rPr>
              <w:t>importo ammissibile senza disposizioni transitorie.</w:t>
            </w:r>
          </w:p>
        </w:tc>
      </w:tr>
      <w:tr w:rsidR="00BF0637" w:rsidRPr="00661595" w:rsidTr="00672D2A">
        <w:tc>
          <w:tcPr>
            <w:tcW w:w="1012" w:type="dxa"/>
          </w:tcPr>
          <w:p w:rsidR="00BF0637" w:rsidRPr="00661595" w:rsidRDefault="00BA1BF6" w:rsidP="00115052">
            <w:pPr>
              <w:pStyle w:val="InstructionsText"/>
              <w:rPr>
                <w:rStyle w:val="InstructionsTabelleText"/>
                <w:rFonts w:ascii="Times New Roman" w:hAnsi="Times New Roman"/>
                <w:sz w:val="24"/>
              </w:rPr>
            </w:pPr>
            <w:r>
              <w:rPr>
                <w:rStyle w:val="InstructionsTabelleText"/>
                <w:rFonts w:ascii="Times New Roman" w:hAnsi="Times New Roman"/>
                <w:sz w:val="24"/>
              </w:rPr>
              <w:t>0091</w:t>
            </w:r>
          </w:p>
        </w:tc>
        <w:tc>
          <w:tcPr>
            <w:tcW w:w="7478" w:type="dxa"/>
          </w:tcPr>
          <w:p w:rsidR="00BF0637" w:rsidRPr="00661595" w:rsidRDefault="00BF0637"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1.2.3</w:t>
            </w:r>
            <w:r w:rsidRPr="00BD1A14">
              <w:rPr>
                <w:u w:val="single"/>
              </w:rPr>
              <w:tab/>
            </w:r>
            <w:r w:rsidRPr="00BD1A14">
              <w:rPr>
                <w:rStyle w:val="InstructionsTabelleberschrift"/>
                <w:rFonts w:ascii="Times New Roman" w:hAnsi="Times New Roman"/>
                <w:sz w:val="24"/>
              </w:rPr>
              <w:t>I</w:t>
            </w:r>
            <w:r>
              <w:rPr>
                <w:rStyle w:val="InstructionsTabelleberschrift"/>
                <w:rFonts w:ascii="Times New Roman" w:hAnsi="Times New Roman"/>
                <w:sz w:val="24"/>
              </w:rPr>
              <w:t>nclusione transitoria del capitale aggiuntivo di classe 1 ammissibile nei fondi propri consolidati</w:t>
            </w:r>
          </w:p>
          <w:p w:rsidR="00BF0637" w:rsidRPr="00661595" w:rsidRDefault="00BF0637" w:rsidP="00115052">
            <w:pPr>
              <w:pStyle w:val="InstructionsText"/>
              <w:rPr>
                <w:rStyle w:val="InstructionsTabelleText"/>
                <w:rFonts w:ascii="Times New Roman" w:hAnsi="Times New Roman"/>
                <w:sz w:val="24"/>
              </w:rPr>
            </w:pPr>
            <w:r>
              <w:rPr>
                <w:rStyle w:val="InstructionsTabelleText"/>
                <w:rFonts w:ascii="Times New Roman" w:hAnsi="Times New Roman"/>
                <w:sz w:val="24"/>
              </w:rPr>
              <w:t>Articoli 85 e 480 del CRR</w:t>
            </w:r>
          </w:p>
          <w:p w:rsidR="00BF0637" w:rsidRPr="00661595" w:rsidRDefault="00BF0637" w:rsidP="00115052">
            <w:pPr>
              <w:pStyle w:val="InstructionsText"/>
              <w:rPr>
                <w:rStyle w:val="InstructionsTabelleText"/>
                <w:rFonts w:ascii="Times New Roman" w:hAnsi="Times New Roman"/>
                <w:sz w:val="24"/>
              </w:rPr>
            </w:pPr>
            <w:r>
              <w:rPr>
                <w:rStyle w:val="InstructionsTabelleText"/>
                <w:rFonts w:ascii="Times New Roman" w:hAnsi="Times New Roman"/>
                <w:sz w:val="24"/>
              </w:rPr>
              <w:t>L</w:t>
            </w:r>
            <w:r w:rsidR="000878EC">
              <w:rPr>
                <w:rStyle w:val="InstructionsTabelleText"/>
                <w:rFonts w:ascii="Times New Roman" w:hAnsi="Times New Roman"/>
                <w:sz w:val="24"/>
              </w:rPr>
              <w:t>'</w:t>
            </w:r>
            <w:r>
              <w:rPr>
                <w:rStyle w:val="InstructionsTabelleText"/>
                <w:rFonts w:ascii="Times New Roman" w:hAnsi="Times New Roman"/>
                <w:sz w:val="24"/>
              </w:rPr>
              <w:t>importo da segnalare nella colonna 0060 di questa riga è l</w:t>
            </w:r>
            <w:r w:rsidR="000878EC">
              <w:rPr>
                <w:rStyle w:val="InstructionsTabelleText"/>
                <w:rFonts w:ascii="Times New Roman" w:hAnsi="Times New Roman"/>
                <w:sz w:val="24"/>
              </w:rPr>
              <w:t>'</w:t>
            </w:r>
            <w:r>
              <w:rPr>
                <w:rStyle w:val="InstructionsTabelleText"/>
                <w:rFonts w:ascii="Times New Roman" w:hAnsi="Times New Roman"/>
                <w:sz w:val="24"/>
              </w:rPr>
              <w:t>importo ammissibile senza disposizioni transitorie.</w:t>
            </w:r>
          </w:p>
        </w:tc>
      </w:tr>
      <w:tr w:rsidR="00BF0637" w:rsidRPr="00661595" w:rsidTr="00672D2A">
        <w:tc>
          <w:tcPr>
            <w:tcW w:w="1012" w:type="dxa"/>
          </w:tcPr>
          <w:p w:rsidR="00BF0637" w:rsidRPr="00661595" w:rsidRDefault="00BA1BF6" w:rsidP="00115052">
            <w:pPr>
              <w:pStyle w:val="InstructionsText"/>
              <w:rPr>
                <w:rStyle w:val="InstructionsTabelleText"/>
                <w:rFonts w:ascii="Times New Roman" w:hAnsi="Times New Roman"/>
                <w:sz w:val="24"/>
              </w:rPr>
            </w:pPr>
            <w:r>
              <w:rPr>
                <w:rStyle w:val="InstructionsTabelleText"/>
                <w:rFonts w:ascii="Times New Roman" w:hAnsi="Times New Roman"/>
                <w:sz w:val="24"/>
              </w:rPr>
              <w:t>0092</w:t>
            </w:r>
          </w:p>
        </w:tc>
        <w:tc>
          <w:tcPr>
            <w:tcW w:w="7478" w:type="dxa"/>
          </w:tcPr>
          <w:p w:rsidR="00BF0637" w:rsidRPr="00661595" w:rsidRDefault="00BF0637"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1.2.4</w:t>
            </w:r>
            <w:r w:rsidRPr="00BD1A14">
              <w:rPr>
                <w:u w:val="single"/>
              </w:rPr>
              <w:tab/>
            </w:r>
            <w:r>
              <w:rPr>
                <w:rStyle w:val="InstructionsTabelleberschrift"/>
                <w:rFonts w:ascii="Times New Roman" w:hAnsi="Times New Roman"/>
                <w:sz w:val="24"/>
              </w:rPr>
              <w:t>Inclusione transitoria del capitale di classe 2 ammissibile nei fondi propri consolidati</w:t>
            </w:r>
          </w:p>
          <w:p w:rsidR="00BF0637" w:rsidRPr="00661595" w:rsidRDefault="00BF0637" w:rsidP="00115052">
            <w:pPr>
              <w:pStyle w:val="InstructionsText"/>
              <w:rPr>
                <w:rStyle w:val="InstructionsTabelleText"/>
                <w:rFonts w:ascii="Times New Roman" w:hAnsi="Times New Roman"/>
                <w:sz w:val="24"/>
              </w:rPr>
            </w:pPr>
            <w:r>
              <w:rPr>
                <w:rStyle w:val="InstructionsTabelleText"/>
                <w:rFonts w:ascii="Times New Roman" w:hAnsi="Times New Roman"/>
                <w:sz w:val="24"/>
              </w:rPr>
              <w:t>Articoli 87 e 480 del CRR</w:t>
            </w:r>
          </w:p>
          <w:p w:rsidR="00BF0637" w:rsidRPr="00661595" w:rsidRDefault="00BF0637" w:rsidP="00115052">
            <w:pPr>
              <w:pStyle w:val="InstructionsText"/>
              <w:rPr>
                <w:rStyle w:val="InstructionsTabelleText"/>
                <w:rFonts w:ascii="Times New Roman" w:hAnsi="Times New Roman"/>
                <w:sz w:val="24"/>
              </w:rPr>
            </w:pPr>
            <w:r>
              <w:rPr>
                <w:rStyle w:val="InstructionsTabelleText"/>
                <w:rFonts w:ascii="Times New Roman" w:hAnsi="Times New Roman"/>
                <w:sz w:val="24"/>
              </w:rPr>
              <w:t>L</w:t>
            </w:r>
            <w:r w:rsidR="000878EC">
              <w:rPr>
                <w:rStyle w:val="InstructionsTabelleText"/>
                <w:rFonts w:ascii="Times New Roman" w:hAnsi="Times New Roman"/>
                <w:sz w:val="24"/>
              </w:rPr>
              <w:t>'</w:t>
            </w:r>
            <w:r>
              <w:rPr>
                <w:rStyle w:val="InstructionsTabelleText"/>
                <w:rFonts w:ascii="Times New Roman" w:hAnsi="Times New Roman"/>
                <w:sz w:val="24"/>
              </w:rPr>
              <w:t>importo da segnalare nella colonna 0060 di questa riga è l</w:t>
            </w:r>
            <w:r w:rsidR="000878EC">
              <w:rPr>
                <w:rStyle w:val="InstructionsTabelleText"/>
                <w:rFonts w:ascii="Times New Roman" w:hAnsi="Times New Roman"/>
                <w:sz w:val="24"/>
              </w:rPr>
              <w:t>'</w:t>
            </w:r>
            <w:r>
              <w:rPr>
                <w:rStyle w:val="InstructionsTabelleText"/>
                <w:rFonts w:ascii="Times New Roman" w:hAnsi="Times New Roman"/>
                <w:sz w:val="24"/>
              </w:rPr>
              <w:t>importo ammissibile senza disposizioni transitorie.</w:t>
            </w:r>
          </w:p>
        </w:tc>
      </w:tr>
      <w:tr w:rsidR="00BF0637" w:rsidRPr="00661595" w:rsidTr="00672D2A">
        <w:tc>
          <w:tcPr>
            <w:tcW w:w="1012" w:type="dxa"/>
          </w:tcPr>
          <w:p w:rsidR="00BF0637" w:rsidRPr="00661595" w:rsidRDefault="00BA1BF6" w:rsidP="00115052">
            <w:pPr>
              <w:pStyle w:val="InstructionsText"/>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rsidR="00BF0637" w:rsidRPr="00661595" w:rsidRDefault="00BF0637" w:rsidP="0011505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w:t>
            </w:r>
            <w:r w:rsidRPr="00BD1A14">
              <w:rPr>
                <w:u w:val="single"/>
              </w:rPr>
              <w:tab/>
            </w:r>
            <w:r>
              <w:rPr>
                <w:rStyle w:val="InstructionsTabelleberschrift"/>
                <w:rFonts w:ascii="Times New Roman" w:hAnsi="Times New Roman"/>
                <w:sz w:val="24"/>
              </w:rPr>
              <w:t>Altri aggiustamenti transitori</w:t>
            </w:r>
          </w:p>
          <w:p w:rsidR="00BF0637" w:rsidRPr="00661595" w:rsidRDefault="00BF0637" w:rsidP="00790AA1">
            <w:pPr>
              <w:keepNext/>
              <w:keepLines/>
              <w:suppressAutoHyphens/>
              <w:spacing w:before="0"/>
              <w:rPr>
                <w:rStyle w:val="InstructionsTabelleText"/>
                <w:rFonts w:ascii="Times New Roman" w:hAnsi="Times New Roman"/>
                <w:sz w:val="24"/>
              </w:rPr>
            </w:pPr>
            <w:r>
              <w:rPr>
                <w:rStyle w:val="InstructionsTabelleText"/>
                <w:rFonts w:ascii="Times New Roman" w:hAnsi="Times New Roman"/>
                <w:sz w:val="24"/>
              </w:rPr>
              <w:t>Articoli da 468 a 478 e articolo 481 del CRR</w:t>
            </w:r>
          </w:p>
          <w:p w:rsidR="00BF0637" w:rsidRPr="00661595" w:rsidRDefault="00BF0637" w:rsidP="00790AA1">
            <w:pPr>
              <w:keepNext/>
              <w:keepLines/>
              <w:suppressAutoHyphens/>
              <w:spacing w:before="0"/>
              <w:rPr>
                <w:rStyle w:val="InstructionsTabelleText"/>
                <w:rFonts w:ascii="Times New Roman" w:hAnsi="Times New Roman"/>
                <w:sz w:val="24"/>
              </w:rPr>
            </w:pPr>
            <w:r>
              <w:rPr>
                <w:rStyle w:val="InstructionsTabelleText"/>
                <w:rFonts w:ascii="Times New Roman" w:hAnsi="Times New Roman"/>
                <w:sz w:val="24"/>
              </w:rPr>
              <w:t>Questa riga indica l</w:t>
            </w:r>
            <w:r w:rsidR="000878EC">
              <w:rPr>
                <w:rStyle w:val="InstructionsTabelleText"/>
                <w:rFonts w:ascii="Times New Roman" w:hAnsi="Times New Roman"/>
                <w:sz w:val="24"/>
              </w:rPr>
              <w:t>'</w:t>
            </w:r>
            <w:r>
              <w:rPr>
                <w:rStyle w:val="InstructionsTabelleText"/>
                <w:rFonts w:ascii="Times New Roman" w:hAnsi="Times New Roman"/>
                <w:sz w:val="24"/>
              </w:rPr>
              <w:t>effetto complessivo degli aggiustamenti transitori su deduzioni dai diversi tipi di capitale, profitti e perdite non realizzati, filtri e deduzioni aggiuntivi, più gli importi ponderati per il rischio che ne derivano.</w:t>
            </w:r>
          </w:p>
        </w:tc>
      </w:tr>
      <w:tr w:rsidR="00FA67D6" w:rsidRPr="00661595" w:rsidTr="00672D2A">
        <w:tc>
          <w:tcPr>
            <w:tcW w:w="1012" w:type="dxa"/>
          </w:tcPr>
          <w:p w:rsidR="00FA67D6" w:rsidRPr="00661595" w:rsidRDefault="00FA67D6" w:rsidP="00115052">
            <w:pPr>
              <w:pStyle w:val="InstructionsText"/>
              <w:rPr>
                <w:rStyle w:val="InstructionsTabelleText"/>
                <w:rFonts w:ascii="Times New Roman" w:hAnsi="Times New Roman"/>
                <w:sz w:val="24"/>
              </w:rPr>
            </w:pPr>
            <w:r>
              <w:rPr>
                <w:rStyle w:val="InstructionsTabelleText"/>
                <w:rFonts w:ascii="Times New Roman" w:hAnsi="Times New Roman"/>
                <w:sz w:val="24"/>
              </w:rPr>
              <w:t>0111</w:t>
            </w:r>
          </w:p>
        </w:tc>
        <w:tc>
          <w:tcPr>
            <w:tcW w:w="7478" w:type="dxa"/>
          </w:tcPr>
          <w:p w:rsidR="00FA67D6" w:rsidRDefault="00FA67D6"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 Profitti e perdite non realizzati da talune esposizioni debitorie verso amministrazioni centrali, amministrazioni regionali, autorità locali e organismi del settore pubblico</w:t>
            </w:r>
          </w:p>
          <w:p w:rsidR="00FA67D6" w:rsidRPr="00661595" w:rsidRDefault="00FA67D6" w:rsidP="00115052">
            <w:pPr>
              <w:pStyle w:val="InstructionsText"/>
              <w:rPr>
                <w:rStyle w:val="InstructionsTabelleberschrift"/>
                <w:rFonts w:ascii="Times New Roman" w:hAnsi="Times New Roman"/>
                <w:sz w:val="24"/>
              </w:rPr>
            </w:pPr>
            <w:r>
              <w:rPr>
                <w:rStyle w:val="InstructionsTabelleText"/>
                <w:rFonts w:ascii="Times New Roman" w:hAnsi="Times New Roman"/>
                <w:bCs/>
                <w:sz w:val="24"/>
              </w:rPr>
              <w:t>Articolo 468 del CRR</w:t>
            </w:r>
          </w:p>
        </w:tc>
      </w:tr>
      <w:tr w:rsidR="00FA67D6" w:rsidRPr="00661595" w:rsidTr="00672D2A">
        <w:tc>
          <w:tcPr>
            <w:tcW w:w="1012" w:type="dxa"/>
          </w:tcPr>
          <w:p w:rsidR="00FA67D6" w:rsidRPr="00661595" w:rsidRDefault="00FA67D6" w:rsidP="00115052">
            <w:pPr>
              <w:pStyle w:val="InstructionsText"/>
              <w:rPr>
                <w:rStyle w:val="InstructionsTabelleText"/>
                <w:rFonts w:ascii="Times New Roman" w:hAnsi="Times New Roman"/>
                <w:sz w:val="24"/>
              </w:rPr>
            </w:pPr>
            <w:r>
              <w:rPr>
                <w:rStyle w:val="InstructionsTabelleText"/>
                <w:rFonts w:ascii="Times New Roman" w:hAnsi="Times New Roman"/>
                <w:sz w:val="24"/>
              </w:rPr>
              <w:t>0112</w:t>
            </w:r>
          </w:p>
        </w:tc>
        <w:tc>
          <w:tcPr>
            <w:tcW w:w="7478" w:type="dxa"/>
          </w:tcPr>
          <w:p w:rsidR="00FA67D6" w:rsidRDefault="00FA67D6"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1.3.1.6.1 di cui: importo A</w:t>
            </w:r>
          </w:p>
          <w:p w:rsidR="00FA67D6" w:rsidRPr="00487A02" w:rsidRDefault="00FA67D6" w:rsidP="00115052">
            <w:pPr>
              <w:pStyle w:val="InstructionsText"/>
              <w:rPr>
                <w:rStyle w:val="InstructionsTabelleberschrift"/>
                <w:rFonts w:ascii="Times New Roman" w:hAnsi="Times New Roman"/>
                <w:sz w:val="24"/>
                <w:u w:val="none"/>
              </w:rPr>
            </w:pPr>
            <w:r>
              <w:rPr>
                <w:rStyle w:val="InstructionsTabelleberschrift"/>
                <w:rFonts w:ascii="Times New Roman" w:hAnsi="Times New Roman"/>
                <w:b w:val="0"/>
                <w:sz w:val="24"/>
                <w:u w:val="none"/>
              </w:rPr>
              <w:t>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importo A, calcolato secondo</w:t>
            </w:r>
            <w:r w:rsidR="00790AA1">
              <w:rPr>
                <w:rStyle w:val="InstructionsTabelleberschrift"/>
                <w:rFonts w:ascii="Times New Roman" w:hAnsi="Times New Roman"/>
                <w:b w:val="0"/>
                <w:sz w:val="24"/>
                <w:u w:val="none"/>
              </w:rPr>
              <w:t xml:space="preserve"> la formula di cui all</w:t>
            </w:r>
            <w:r w:rsidR="000878EC">
              <w:rPr>
                <w:rStyle w:val="InstructionsTabelleberschrift"/>
                <w:rFonts w:ascii="Times New Roman" w:hAnsi="Times New Roman"/>
                <w:b w:val="0"/>
                <w:sz w:val="24"/>
                <w:u w:val="none"/>
              </w:rPr>
              <w:t>'</w:t>
            </w:r>
            <w:r w:rsidR="00790AA1">
              <w:rPr>
                <w:rStyle w:val="InstructionsTabelleberschrift"/>
                <w:rFonts w:ascii="Times New Roman" w:hAnsi="Times New Roman"/>
                <w:b w:val="0"/>
                <w:sz w:val="24"/>
                <w:u w:val="none"/>
              </w:rPr>
              <w:t xml:space="preserve">articolo </w:t>
            </w:r>
            <w:r>
              <w:rPr>
                <w:rStyle w:val="InstructionsTabelleberschrift"/>
                <w:rFonts w:ascii="Times New Roman" w:hAnsi="Times New Roman"/>
                <w:b w:val="0"/>
                <w:sz w:val="24"/>
                <w:u w:val="none"/>
              </w:rPr>
              <w:t>468, paragrafo 1, del CRR</w:t>
            </w:r>
          </w:p>
        </w:tc>
      </w:tr>
      <w:tr w:rsidR="00BF0637" w:rsidRPr="00661595" w:rsidTr="00672D2A">
        <w:tc>
          <w:tcPr>
            <w:tcW w:w="1012" w:type="dxa"/>
          </w:tcPr>
          <w:p w:rsidR="00BF0637" w:rsidRPr="00661595" w:rsidRDefault="00BA1BF6" w:rsidP="00115052">
            <w:pPr>
              <w:pStyle w:val="InstructionsText"/>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rsidR="00BF0637" w:rsidRPr="00661595" w:rsidRDefault="00BF0637" w:rsidP="0011505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w:t>
            </w:r>
            <w:r w:rsidRPr="00BD1A14">
              <w:rPr>
                <w:u w:val="single"/>
              </w:rPr>
              <w:tab/>
            </w:r>
            <w:r>
              <w:rPr>
                <w:rStyle w:val="InstructionsTabelleberschrift"/>
                <w:rFonts w:ascii="Times New Roman" w:hAnsi="Times New Roman"/>
                <w:sz w:val="24"/>
              </w:rPr>
              <w:t>Deduzioni</w:t>
            </w:r>
          </w:p>
          <w:p w:rsidR="00BF0637" w:rsidRPr="00661595" w:rsidRDefault="00BF0637" w:rsidP="00080A93">
            <w:pPr>
              <w:suppressAutoHyphens/>
              <w:spacing w:before="0"/>
              <w:rPr>
                <w:rStyle w:val="InstructionsTabelleText"/>
                <w:rFonts w:ascii="Times New Roman" w:hAnsi="Times New Roman"/>
                <w:sz w:val="24"/>
              </w:rPr>
            </w:pPr>
            <w:r>
              <w:rPr>
                <w:rStyle w:val="InstructionsTabelleText"/>
                <w:rFonts w:ascii="Times New Roman" w:hAnsi="Times New Roman"/>
                <w:sz w:val="24"/>
              </w:rPr>
              <w:t>Articolo 36, paragrafo 1, e articoli da 469 a 478 del CRR</w:t>
            </w:r>
          </w:p>
          <w:p w:rsidR="00BF0637" w:rsidRPr="00661595" w:rsidRDefault="00BF0637" w:rsidP="00080A93">
            <w:pPr>
              <w:suppressAutoHyphens/>
              <w:spacing w:before="0"/>
              <w:rPr>
                <w:rStyle w:val="InstructionsTabelleText"/>
                <w:rFonts w:ascii="Times New Roman" w:hAnsi="Times New Roman"/>
                <w:sz w:val="24"/>
              </w:rPr>
            </w:pPr>
            <w:r>
              <w:rPr>
                <w:rStyle w:val="InstructionsTabelleText"/>
                <w:rFonts w:ascii="Times New Roman" w:hAnsi="Times New Roman"/>
                <w:sz w:val="24"/>
              </w:rPr>
              <w:t>Questa riga indica l</w:t>
            </w:r>
            <w:r w:rsidR="000878EC">
              <w:rPr>
                <w:rStyle w:val="InstructionsTabelleText"/>
                <w:rFonts w:ascii="Times New Roman" w:hAnsi="Times New Roman"/>
                <w:sz w:val="24"/>
              </w:rPr>
              <w:t>'</w:t>
            </w:r>
            <w:r>
              <w:rPr>
                <w:rStyle w:val="InstructionsTabelleText"/>
                <w:rFonts w:ascii="Times New Roman" w:hAnsi="Times New Roman"/>
                <w:sz w:val="24"/>
              </w:rPr>
              <w:t>effetto complessivo delle disposizioni transitorie sulle deduzioni.</w:t>
            </w:r>
          </w:p>
        </w:tc>
      </w:tr>
      <w:tr w:rsidR="00BF0637" w:rsidRPr="00661595" w:rsidTr="00672D2A">
        <w:tc>
          <w:tcPr>
            <w:tcW w:w="1012" w:type="dxa"/>
          </w:tcPr>
          <w:p w:rsidR="00BF0637" w:rsidRPr="00661595" w:rsidRDefault="00BA1BF6" w:rsidP="00115052">
            <w:pPr>
              <w:pStyle w:val="InstructionsText"/>
              <w:rPr>
                <w:rStyle w:val="InstructionsTabelleText"/>
                <w:rFonts w:ascii="Times New Roman" w:hAnsi="Times New Roman"/>
                <w:sz w:val="24"/>
              </w:rPr>
            </w:pPr>
            <w:r>
              <w:rPr>
                <w:rStyle w:val="InstructionsTabelleText"/>
                <w:rFonts w:ascii="Times New Roman" w:hAnsi="Times New Roman"/>
                <w:sz w:val="24"/>
              </w:rPr>
              <w:t>0170</w:t>
            </w:r>
          </w:p>
        </w:tc>
        <w:tc>
          <w:tcPr>
            <w:tcW w:w="7478" w:type="dxa"/>
          </w:tcPr>
          <w:p w:rsidR="00BF0637" w:rsidRPr="00661595" w:rsidRDefault="00BF0637"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1.3.2.3.</w:t>
            </w:r>
            <w:r w:rsidRPr="00BD1A14">
              <w:rPr>
                <w:u w:val="single"/>
              </w:rPr>
              <w:tab/>
            </w:r>
            <w:r>
              <w:rPr>
                <w:rStyle w:val="InstructionsTabelleberschrift"/>
                <w:rFonts w:ascii="Times New Roman" w:hAnsi="Times New Roman"/>
                <w:sz w:val="24"/>
              </w:rPr>
              <w:t>Attività fiscali differite che si basano sulla redditività futura e non derivano da differenze temporanee</w:t>
            </w:r>
          </w:p>
          <w:p w:rsidR="00BF0637" w:rsidRPr="00661595" w:rsidRDefault="00BF0637" w:rsidP="00115052">
            <w:pPr>
              <w:pStyle w:val="InstructionsText"/>
              <w:rPr>
                <w:rStyle w:val="InstructionsTabelleText"/>
                <w:rFonts w:ascii="Times New Roman" w:hAnsi="Times New Roman"/>
                <w:sz w:val="24"/>
              </w:rPr>
            </w:pPr>
            <w:r>
              <w:rPr>
                <w:rStyle w:val="InstructionsTabelleText"/>
                <w:rFonts w:ascii="Times New Roman" w:hAnsi="Times New Roman"/>
                <w:sz w:val="24"/>
              </w:rPr>
              <w:t>Articolo 36, paragrafo 1, lettera c), articolo 469, paragrafo 1, articolo 472, paragrafo 5, e articolo 478 del CRR</w:t>
            </w:r>
          </w:p>
          <w:p w:rsidR="00BF0637" w:rsidRPr="00661595" w:rsidRDefault="00BF0637" w:rsidP="00115052">
            <w:pPr>
              <w:pStyle w:val="InstructionsText"/>
              <w:rPr>
                <w:rStyle w:val="InstructionsTabelleText"/>
                <w:rFonts w:ascii="Times New Roman" w:hAnsi="Times New Roman"/>
                <w:sz w:val="24"/>
              </w:rPr>
            </w:pPr>
            <w:r>
              <w:rPr>
                <w:rStyle w:val="InstructionsTabelleText"/>
                <w:rFonts w:ascii="Times New Roman" w:hAnsi="Times New Roman"/>
                <w:sz w:val="24"/>
              </w:rPr>
              <w:t>Per stabilire l</w:t>
            </w:r>
            <w:r w:rsidR="000878EC">
              <w:rPr>
                <w:rStyle w:val="InstructionsTabelleText"/>
                <w:rFonts w:ascii="Times New Roman" w:hAnsi="Times New Roman"/>
                <w:sz w:val="24"/>
              </w:rPr>
              <w:t>'</w:t>
            </w:r>
            <w:r>
              <w:rPr>
                <w:rStyle w:val="InstructionsTabelleText"/>
                <w:rFonts w:ascii="Times New Roman" w:hAnsi="Times New Roman"/>
                <w:sz w:val="24"/>
              </w:rPr>
              <w:t>importo delle succitate attività fiscali differite da dedurre, l</w:t>
            </w:r>
            <w:r w:rsidR="000878EC">
              <w:rPr>
                <w:rStyle w:val="InstructionsTabelleText"/>
                <w:rFonts w:ascii="Times New Roman" w:hAnsi="Times New Roman"/>
                <w:sz w:val="24"/>
              </w:rPr>
              <w:t>'</w:t>
            </w:r>
            <w:r>
              <w:rPr>
                <w:rStyle w:val="InstructionsTabelleText"/>
                <w:rFonts w:ascii="Times New Roman" w:hAnsi="Times New Roman"/>
                <w:sz w:val="24"/>
              </w:rPr>
              <w:t>ente tiene conto delle disposizioni dell</w:t>
            </w:r>
            <w:r w:rsidR="000878EC">
              <w:rPr>
                <w:rStyle w:val="InstructionsTabelleText"/>
                <w:rFonts w:ascii="Times New Roman" w:hAnsi="Times New Roman"/>
                <w:sz w:val="24"/>
              </w:rPr>
              <w:t>'</w:t>
            </w:r>
            <w:r>
              <w:rPr>
                <w:rStyle w:val="InstructionsTabelleText"/>
                <w:rFonts w:ascii="Times New Roman" w:hAnsi="Times New Roman"/>
                <w:sz w:val="24"/>
              </w:rPr>
              <w:t>articolo 38 del CRR relative alla riduzione di tali attività per effetto delle passività fiscali differite.</w:t>
            </w:r>
          </w:p>
          <w:p w:rsidR="00BF0637" w:rsidRPr="00661595" w:rsidRDefault="00BF0637" w:rsidP="00115052">
            <w:pPr>
              <w:pStyle w:val="InstructionsText"/>
              <w:rPr>
                <w:rStyle w:val="InstructionsTabelleText"/>
                <w:rFonts w:ascii="Times New Roman" w:hAnsi="Times New Roman"/>
                <w:sz w:val="24"/>
              </w:rPr>
            </w:pPr>
            <w:r>
              <w:rPr>
                <w:rStyle w:val="InstructionsTabelleText"/>
                <w:rFonts w:ascii="Times New Roman" w:hAnsi="Times New Roman"/>
                <w:sz w:val="24"/>
              </w:rPr>
              <w:t>Importo da segnalare nella colonna 0060 di questa riga: importo complessivo conformemente all</w:t>
            </w:r>
            <w:r w:rsidR="000878EC">
              <w:rPr>
                <w:rStyle w:val="InstructionsTabelleText"/>
                <w:rFonts w:ascii="Times New Roman" w:hAnsi="Times New Roman"/>
                <w:sz w:val="24"/>
              </w:rPr>
              <w:t>'</w:t>
            </w:r>
            <w:r>
              <w:rPr>
                <w:rStyle w:val="InstructionsTabelleText"/>
                <w:rFonts w:ascii="Times New Roman" w:hAnsi="Times New Roman"/>
                <w:sz w:val="24"/>
              </w:rPr>
              <w:t>articolo 469, paragrafo 1, del CRR.</w:t>
            </w:r>
          </w:p>
        </w:tc>
      </w:tr>
      <w:tr w:rsidR="00BF0637" w:rsidRPr="00661595" w:rsidTr="00672D2A">
        <w:tc>
          <w:tcPr>
            <w:tcW w:w="1012" w:type="dxa"/>
          </w:tcPr>
          <w:p w:rsidR="00BF0637" w:rsidRPr="00661595" w:rsidDel="00E41E4F" w:rsidRDefault="00BA1BF6" w:rsidP="00115052">
            <w:pPr>
              <w:pStyle w:val="InstructionsText"/>
              <w:rPr>
                <w:rStyle w:val="InstructionsTabelleText"/>
                <w:rFonts w:ascii="Times New Roman" w:hAnsi="Times New Roman"/>
                <w:sz w:val="24"/>
              </w:rPr>
            </w:pPr>
            <w:r>
              <w:rPr>
                <w:rStyle w:val="InstructionsTabelleText"/>
                <w:rFonts w:ascii="Times New Roman" w:hAnsi="Times New Roman"/>
                <w:sz w:val="24"/>
              </w:rPr>
              <w:t>0380</w:t>
            </w:r>
          </w:p>
        </w:tc>
        <w:tc>
          <w:tcPr>
            <w:tcW w:w="7478" w:type="dxa"/>
          </w:tcPr>
          <w:p w:rsidR="00BF0637" w:rsidRPr="00661595" w:rsidRDefault="00BF0637" w:rsidP="0011505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1.3.2.9</w:t>
            </w:r>
            <w:r>
              <w:tab/>
            </w:r>
            <w:r>
              <w:rPr>
                <w:rStyle w:val="InstructionsTabelleberschrift"/>
                <w:rFonts w:ascii="Times New Roman" w:hAnsi="Times New Roman"/>
                <w:sz w:val="24"/>
              </w:rPr>
              <w:t>Attività fiscali differite che dipendono dalla redditività futura e derivano da differenze temporanee e strumenti di capitale primario di classe 1 di soggetti del settore finanziario in cui l</w:t>
            </w:r>
            <w:r w:rsidR="000878EC">
              <w:rPr>
                <w:rStyle w:val="InstructionsTabelleberschrift"/>
                <w:rFonts w:ascii="Times New Roman" w:hAnsi="Times New Roman"/>
                <w:sz w:val="24"/>
              </w:rPr>
              <w:t>'</w:t>
            </w:r>
            <w:r>
              <w:rPr>
                <w:rStyle w:val="InstructionsTabelleberschrift"/>
                <w:rFonts w:ascii="Times New Roman" w:hAnsi="Times New Roman"/>
                <w:sz w:val="24"/>
              </w:rPr>
              <w:t>ente ha un investimento significativo</w:t>
            </w:r>
          </w:p>
          <w:p w:rsidR="00BF0637" w:rsidRPr="00661595" w:rsidRDefault="00BF0637" w:rsidP="00115052">
            <w:pPr>
              <w:pStyle w:val="InstructionsText"/>
              <w:rPr>
                <w:rStyle w:val="InstructionsTabelleText"/>
                <w:rFonts w:ascii="Times New Roman" w:hAnsi="Times New Roman"/>
                <w:sz w:val="24"/>
              </w:rPr>
            </w:pPr>
            <w:r>
              <w:rPr>
                <w:rStyle w:val="InstructionsTabelleText"/>
                <w:rFonts w:ascii="Times New Roman" w:hAnsi="Times New Roman"/>
                <w:sz w:val="24"/>
              </w:rPr>
              <w:t>Articolo 470, paragrafi 2 e 3, del CRR</w:t>
            </w:r>
          </w:p>
          <w:p w:rsidR="00BF0637" w:rsidRPr="00661595" w:rsidRDefault="00BF0637" w:rsidP="00115052">
            <w:pPr>
              <w:pStyle w:val="InstructionsText"/>
              <w:rPr>
                <w:rStyle w:val="InstructionsTabelleText"/>
                <w:rFonts w:ascii="Times New Roman" w:hAnsi="Times New Roman"/>
                <w:sz w:val="24"/>
              </w:rPr>
            </w:pPr>
            <w:r>
              <w:rPr>
                <w:rStyle w:val="InstructionsTabelleText"/>
                <w:rFonts w:ascii="Times New Roman" w:hAnsi="Times New Roman"/>
                <w:sz w:val="24"/>
              </w:rPr>
              <w:t>Importo da segnalare nella colonna 0060 di questa riga: articolo 470, paragrafo 1, del CRR</w:t>
            </w:r>
          </w:p>
        </w:tc>
      </w:tr>
      <w:tr w:rsidR="00BF0637" w:rsidRPr="00661595" w:rsidTr="00672D2A">
        <w:tc>
          <w:tcPr>
            <w:tcW w:w="1012" w:type="dxa"/>
          </w:tcPr>
          <w:p w:rsidR="00BF0637" w:rsidRPr="00661595" w:rsidRDefault="00BA1BF6" w:rsidP="00115052">
            <w:pPr>
              <w:pStyle w:val="InstructionsText"/>
              <w:rPr>
                <w:rStyle w:val="InstructionsTabelleText"/>
                <w:rFonts w:ascii="Times New Roman" w:hAnsi="Times New Roman"/>
                <w:sz w:val="24"/>
              </w:rPr>
            </w:pPr>
            <w:r>
              <w:rPr>
                <w:rStyle w:val="InstructionsTabelleText"/>
                <w:rFonts w:ascii="Times New Roman" w:hAnsi="Times New Roman"/>
                <w:sz w:val="24"/>
              </w:rPr>
              <w:t>0385</w:t>
            </w:r>
          </w:p>
        </w:tc>
        <w:tc>
          <w:tcPr>
            <w:tcW w:w="7478" w:type="dxa"/>
          </w:tcPr>
          <w:p w:rsidR="00BF0637" w:rsidRPr="00661595" w:rsidRDefault="00BF0637" w:rsidP="0011505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Attività fiscali differite che dipendono dalla redditività futura e derivano da differenze temporanee</w:t>
            </w:r>
          </w:p>
          <w:p w:rsidR="00BF0637" w:rsidRPr="00661595" w:rsidRDefault="00BF0637" w:rsidP="00115052">
            <w:pPr>
              <w:pStyle w:val="InstructionsText"/>
              <w:rPr>
                <w:rStyle w:val="InstructionsTabelleText"/>
                <w:rFonts w:ascii="Times New Roman" w:hAnsi="Times New Roman"/>
                <w:bCs/>
                <w:sz w:val="24"/>
              </w:rPr>
            </w:pPr>
            <w:r>
              <w:rPr>
                <w:rStyle w:val="InstructionsTabelleText"/>
                <w:rFonts w:ascii="Times New Roman" w:hAnsi="Times New Roman"/>
                <w:bCs/>
                <w:sz w:val="24"/>
              </w:rPr>
              <w:t>Articolo 469, paragrafo 1, lettera c), articolo 472, paragrafo 5, e articolo 478 del CRR</w:t>
            </w:r>
          </w:p>
          <w:p w:rsidR="00BF0637" w:rsidRPr="00661595" w:rsidRDefault="00BF0637" w:rsidP="00115052">
            <w:pPr>
              <w:pStyle w:val="InstructionsText"/>
              <w:rPr>
                <w:rStyle w:val="InstructionsTabelleberschrift"/>
                <w:rFonts w:ascii="Times New Roman" w:hAnsi="Times New Roman"/>
                <w:b w:val="0"/>
                <w:sz w:val="24"/>
                <w:u w:val="none"/>
              </w:rPr>
            </w:pPr>
            <w:r>
              <w:rPr>
                <w:rStyle w:val="InstructionsTabelleText"/>
                <w:rFonts w:ascii="Times New Roman" w:hAnsi="Times New Roman"/>
                <w:bCs/>
                <w:sz w:val="24"/>
              </w:rPr>
              <w:t>Parte delle attività fiscali differite che si basano sulla redditività futura e derivano da differenze temporanee che supera la soglia del 10 % di cui all</w:t>
            </w:r>
            <w:r w:rsidR="000878EC">
              <w:rPr>
                <w:rStyle w:val="InstructionsTabelleText"/>
                <w:rFonts w:ascii="Times New Roman" w:hAnsi="Times New Roman"/>
                <w:bCs/>
                <w:sz w:val="24"/>
              </w:rPr>
              <w:t>'</w:t>
            </w:r>
            <w:r>
              <w:rPr>
                <w:rStyle w:val="InstructionsTabelleText"/>
                <w:rFonts w:ascii="Times New Roman" w:hAnsi="Times New Roman"/>
                <w:bCs/>
                <w:sz w:val="24"/>
              </w:rPr>
              <w:t>articolo 470, paragrafo 2, lettera a), del CRR.</w:t>
            </w:r>
          </w:p>
        </w:tc>
      </w:tr>
      <w:tr w:rsidR="00BF0637" w:rsidRPr="00661595" w:rsidTr="00672D2A">
        <w:tc>
          <w:tcPr>
            <w:tcW w:w="1012" w:type="dxa"/>
          </w:tcPr>
          <w:p w:rsidR="00BF0637" w:rsidRPr="00661595" w:rsidRDefault="00BA1BF6" w:rsidP="00115052">
            <w:pPr>
              <w:pStyle w:val="InstructionsText"/>
              <w:rPr>
                <w:rStyle w:val="InstructionsTabelleText"/>
                <w:rFonts w:ascii="Times New Roman" w:hAnsi="Times New Roman"/>
                <w:sz w:val="24"/>
              </w:rPr>
            </w:pPr>
            <w:r>
              <w:rPr>
                <w:rStyle w:val="InstructionsTabelleText"/>
                <w:rFonts w:ascii="Times New Roman" w:hAnsi="Times New Roman"/>
                <w:sz w:val="24"/>
              </w:rPr>
              <w:t>0425</w:t>
            </w:r>
          </w:p>
        </w:tc>
        <w:tc>
          <w:tcPr>
            <w:tcW w:w="7478" w:type="dxa"/>
          </w:tcPr>
          <w:p w:rsidR="00BF0637" w:rsidRPr="00661595" w:rsidRDefault="00BF0637"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1.3.2.11</w:t>
            </w:r>
            <w:r w:rsidRPr="00BD1A14">
              <w:rPr>
                <w:u w:val="single"/>
              </w:rPr>
              <w:tab/>
            </w:r>
            <w:r>
              <w:rPr>
                <w:rStyle w:val="InstructionsTabelleberschrift"/>
                <w:rFonts w:ascii="Times New Roman" w:hAnsi="Times New Roman"/>
                <w:sz w:val="24"/>
              </w:rPr>
              <w:t>Esenzione dalla deduzione delle partecipazioni in imprese di assicurazione dagli elementi del capitale primario di classe 1</w:t>
            </w:r>
          </w:p>
          <w:p w:rsidR="00BF0637" w:rsidRPr="00661595" w:rsidRDefault="00BF0637" w:rsidP="0011505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471 del CRR</w:t>
            </w:r>
          </w:p>
        </w:tc>
      </w:tr>
      <w:tr w:rsidR="00BF0637" w:rsidRPr="00661595" w:rsidTr="00672D2A">
        <w:tc>
          <w:tcPr>
            <w:tcW w:w="1012" w:type="dxa"/>
          </w:tcPr>
          <w:p w:rsidR="00BF0637" w:rsidRPr="00661595" w:rsidRDefault="00BA1BF6" w:rsidP="00115052">
            <w:pPr>
              <w:pStyle w:val="InstructionsText"/>
              <w:rPr>
                <w:rStyle w:val="InstructionsTabelleText"/>
                <w:rFonts w:ascii="Times New Roman" w:hAnsi="Times New Roman"/>
                <w:sz w:val="24"/>
              </w:rPr>
            </w:pPr>
            <w:r>
              <w:rPr>
                <w:rStyle w:val="InstructionsTabelleText"/>
                <w:rFonts w:ascii="Times New Roman" w:hAnsi="Times New Roman"/>
                <w:sz w:val="24"/>
              </w:rPr>
              <w:t>0430</w:t>
            </w:r>
          </w:p>
        </w:tc>
        <w:tc>
          <w:tcPr>
            <w:tcW w:w="7478" w:type="dxa"/>
          </w:tcPr>
          <w:p w:rsidR="00BF0637" w:rsidRPr="00661595" w:rsidRDefault="00BF0637" w:rsidP="00115052">
            <w:pPr>
              <w:pStyle w:val="InstructionsText"/>
              <w:rPr>
                <w:rStyle w:val="InstructionsTabelleText"/>
                <w:rFonts w:ascii="Times New Roman" w:hAnsi="Times New Roman"/>
                <w:b/>
                <w:bCs/>
                <w:sz w:val="24"/>
                <w:u w:val="single"/>
              </w:rPr>
            </w:pPr>
            <w:r>
              <w:rPr>
                <w:rStyle w:val="InstructionsTabelleberschrift"/>
                <w:rFonts w:ascii="Times New Roman" w:hAnsi="Times New Roman"/>
                <w:sz w:val="24"/>
              </w:rPr>
              <w:t>1.3.3</w:t>
            </w:r>
            <w:r w:rsidRPr="00BD1A14">
              <w:rPr>
                <w:u w:val="single"/>
              </w:rPr>
              <w:tab/>
            </w:r>
            <w:r>
              <w:rPr>
                <w:rStyle w:val="InstructionsTabelleberschrift"/>
                <w:rFonts w:ascii="Times New Roman" w:hAnsi="Times New Roman"/>
                <w:sz w:val="24"/>
              </w:rPr>
              <w:t>Filtri e deduzioni aggiuntivi</w:t>
            </w:r>
          </w:p>
          <w:p w:rsidR="00BF0637" w:rsidRPr="00661595" w:rsidRDefault="00BF0637" w:rsidP="00080A93">
            <w:pPr>
              <w:suppressAutoHyphens/>
              <w:spacing w:before="0"/>
              <w:rPr>
                <w:rStyle w:val="InstructionsTabelleText"/>
                <w:rFonts w:ascii="Times New Roman" w:hAnsi="Times New Roman"/>
                <w:sz w:val="24"/>
              </w:rPr>
            </w:pPr>
            <w:r>
              <w:rPr>
                <w:rStyle w:val="InstructionsTabelleText"/>
                <w:rFonts w:ascii="Times New Roman" w:hAnsi="Times New Roman"/>
                <w:sz w:val="24"/>
              </w:rPr>
              <w:t>Articolo 481 del CRR</w:t>
            </w:r>
          </w:p>
          <w:p w:rsidR="00BF0637" w:rsidRPr="00661595" w:rsidRDefault="00BF0637" w:rsidP="00115052">
            <w:pPr>
              <w:pStyle w:val="InstructionsText"/>
              <w:rPr>
                <w:rStyle w:val="InstructionsTabelleText"/>
                <w:rFonts w:ascii="Times New Roman" w:hAnsi="Times New Roman"/>
                <w:sz w:val="24"/>
              </w:rPr>
            </w:pPr>
            <w:r>
              <w:rPr>
                <w:rStyle w:val="InstructionsTabelleText"/>
                <w:rFonts w:ascii="Times New Roman" w:hAnsi="Times New Roman"/>
                <w:sz w:val="24"/>
              </w:rPr>
              <w:t>Questa riga riporta l</w:t>
            </w:r>
            <w:r w:rsidR="000878EC">
              <w:rPr>
                <w:rStyle w:val="InstructionsTabelleText"/>
                <w:rFonts w:ascii="Times New Roman" w:hAnsi="Times New Roman"/>
                <w:sz w:val="24"/>
              </w:rPr>
              <w:t>'</w:t>
            </w:r>
            <w:r>
              <w:rPr>
                <w:rStyle w:val="InstructionsTabelleText"/>
                <w:rFonts w:ascii="Times New Roman" w:hAnsi="Times New Roman"/>
                <w:sz w:val="24"/>
              </w:rPr>
              <w:t>effetto complessivo delle disposizioni transitorie sui filtri e deduzioni aggiuntivi.</w:t>
            </w:r>
          </w:p>
          <w:p w:rsidR="00BF0637" w:rsidRPr="00661595" w:rsidRDefault="00BF0637" w:rsidP="00115052">
            <w:pPr>
              <w:pStyle w:val="InstructionsText"/>
              <w:rPr>
                <w:rStyle w:val="InstructionsTabelleText"/>
                <w:rFonts w:ascii="Times New Roman" w:hAnsi="Times New Roman"/>
                <w:sz w:val="24"/>
              </w:rPr>
            </w:pPr>
            <w:r>
              <w:rPr>
                <w:rStyle w:val="InstructionsTabelleText"/>
                <w:rFonts w:ascii="Times New Roman" w:hAnsi="Times New Roman"/>
                <w:sz w:val="24"/>
              </w:rPr>
              <w:t>Conformemente all</w:t>
            </w:r>
            <w:r w:rsidR="000878EC">
              <w:rPr>
                <w:rStyle w:val="InstructionsTabelleText"/>
                <w:rFonts w:ascii="Times New Roman" w:hAnsi="Times New Roman"/>
                <w:sz w:val="24"/>
              </w:rPr>
              <w:t>'</w:t>
            </w:r>
            <w:r>
              <w:rPr>
                <w:rStyle w:val="InstructionsTabelleText"/>
                <w:rFonts w:ascii="Times New Roman" w:hAnsi="Times New Roman"/>
                <w:sz w:val="24"/>
              </w:rPr>
              <w:t xml:space="preserve">articolo 481 del CRR, gli enti segnalano nella voce 1.3.3 informazioni relative ai filtri e deduzioni prescritti dalle disposizioni nazionali di recepimento degli articoli 57 e 66 della direttiva 2006/48/CE e degli articoli 13 e 16 della direttiva 2006/49/CE e che non sono richiesti ai sensi della parte due. </w:t>
            </w:r>
          </w:p>
        </w:tc>
      </w:tr>
      <w:tr w:rsidR="00BF0637" w:rsidRPr="00661595" w:rsidTr="00672D2A">
        <w:tc>
          <w:tcPr>
            <w:tcW w:w="1012" w:type="dxa"/>
          </w:tcPr>
          <w:p w:rsidR="00BF0637" w:rsidRPr="00661595" w:rsidRDefault="00BA1BF6" w:rsidP="00115052">
            <w:pPr>
              <w:pStyle w:val="InstructionsText"/>
              <w:rPr>
                <w:rStyle w:val="InstructionsTabelleText"/>
                <w:rFonts w:ascii="Times New Roman" w:hAnsi="Times New Roman"/>
                <w:sz w:val="24"/>
              </w:rPr>
            </w:pPr>
            <w:r>
              <w:rPr>
                <w:rStyle w:val="InstructionsTabelleText"/>
                <w:rFonts w:ascii="Times New Roman" w:hAnsi="Times New Roman"/>
                <w:sz w:val="24"/>
              </w:rPr>
              <w:t>0440</w:t>
            </w:r>
          </w:p>
        </w:tc>
        <w:tc>
          <w:tcPr>
            <w:tcW w:w="7478" w:type="dxa"/>
          </w:tcPr>
          <w:p w:rsidR="00BF0637" w:rsidRPr="00661595" w:rsidRDefault="00BF0637"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1.3.4</w:t>
            </w:r>
            <w:r w:rsidRPr="00BD1A14">
              <w:rPr>
                <w:u w:val="single"/>
              </w:rPr>
              <w:tab/>
            </w:r>
            <w:r>
              <w:rPr>
                <w:rStyle w:val="InstructionsTabelleberschrift"/>
                <w:rFonts w:ascii="Times New Roman" w:hAnsi="Times New Roman"/>
                <w:sz w:val="24"/>
              </w:rPr>
              <w:t>Aggiustamenti dovuti alle disposizioni transitorie dell</w:t>
            </w:r>
            <w:r w:rsidR="000878EC">
              <w:rPr>
                <w:rStyle w:val="InstructionsTabelleberschrift"/>
                <w:rFonts w:ascii="Times New Roman" w:hAnsi="Times New Roman"/>
                <w:sz w:val="24"/>
              </w:rPr>
              <w:t>'</w:t>
            </w:r>
            <w:r>
              <w:rPr>
                <w:rStyle w:val="InstructionsTabelleberschrift"/>
                <w:rFonts w:ascii="Times New Roman" w:hAnsi="Times New Roman"/>
                <w:sz w:val="24"/>
              </w:rPr>
              <w:t>IFRS 9</w:t>
            </w:r>
          </w:p>
          <w:p w:rsidR="00BF0637" w:rsidRPr="00661595" w:rsidRDefault="00BF0637" w:rsidP="0011505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473 bis del CRR</w:t>
            </w:r>
          </w:p>
          <w:p w:rsidR="00BF0637" w:rsidRPr="00661595" w:rsidRDefault="00BF0637" w:rsidP="0011505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Gli enti segnalano le informazioni inerenti alle disposizioni transitorie dell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IFRS 9 conformemente alle disposizioni di legge applicabili.</w:t>
            </w:r>
          </w:p>
        </w:tc>
      </w:tr>
      <w:tr w:rsidR="0022311E" w:rsidRPr="00661595" w:rsidTr="001F1B80">
        <w:tc>
          <w:tcPr>
            <w:tcW w:w="1012" w:type="dxa"/>
          </w:tcPr>
          <w:p w:rsidR="0022311E" w:rsidRPr="00661595" w:rsidRDefault="0022311E" w:rsidP="00115052">
            <w:pPr>
              <w:pStyle w:val="InstructionsText"/>
              <w:rPr>
                <w:rStyle w:val="InstructionsTabelleText"/>
                <w:rFonts w:ascii="Times New Roman" w:hAnsi="Times New Roman"/>
                <w:sz w:val="24"/>
              </w:rPr>
            </w:pPr>
            <w:r>
              <w:rPr>
                <w:rStyle w:val="InstructionsTabelleText"/>
                <w:rFonts w:ascii="Times New Roman" w:hAnsi="Times New Roman"/>
                <w:sz w:val="24"/>
              </w:rPr>
              <w:t>0441</w:t>
            </w:r>
          </w:p>
        </w:tc>
        <w:tc>
          <w:tcPr>
            <w:tcW w:w="7478" w:type="dxa"/>
          </w:tcPr>
          <w:p w:rsidR="0022311E" w:rsidRPr="00D633B1" w:rsidRDefault="0022311E"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Voce per memoria: Impatto del componente statico sulle ECL </w:t>
            </w:r>
          </w:p>
          <w:p w:rsidR="0022311E" w:rsidRDefault="0022311E" w:rsidP="0011505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Somma di A </w:t>
            </w:r>
            <w:r>
              <w:rPr>
                <w:rStyle w:val="InstructionsTabelleberschrift"/>
                <w:rFonts w:ascii="Times New Roman" w:hAnsi="Times New Roman"/>
                <w:b w:val="0"/>
                <w:sz w:val="24"/>
                <w:u w:val="none"/>
                <w:vertAlign w:val="subscript"/>
              </w:rPr>
              <w:t>2, SA</w:t>
            </w:r>
            <w:r>
              <w:rPr>
                <w:rStyle w:val="InstructionsTabelleberschrift"/>
                <w:rFonts w:ascii="Times New Roman" w:hAnsi="Times New Roman"/>
                <w:b w:val="0"/>
                <w:sz w:val="24"/>
                <w:u w:val="none"/>
              </w:rPr>
              <w:t xml:space="preserve"> e A </w:t>
            </w:r>
            <w:r>
              <w:rPr>
                <w:rStyle w:val="InstructionsTabelleberschrift"/>
                <w:rFonts w:ascii="Times New Roman" w:hAnsi="Times New Roman"/>
                <w:b w:val="0"/>
                <w:sz w:val="24"/>
                <w:u w:val="none"/>
                <w:vertAlign w:val="subscript"/>
              </w:rPr>
              <w:t>2, IRB</w:t>
            </w:r>
            <w:r>
              <w:rPr>
                <w:rStyle w:val="InstructionsTabelleberschrift"/>
                <w:rFonts w:ascii="Times New Roman" w:hAnsi="Times New Roman"/>
                <w:b w:val="0"/>
                <w:sz w:val="24"/>
                <w:u w:val="none"/>
              </w:rPr>
              <w:t xml:space="preserve"> di cui all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articolo 473 bis, paragrafo 1, del CRR</w:t>
            </w:r>
          </w:p>
          <w:p w:rsidR="0022311E" w:rsidRPr="00D633B1" w:rsidRDefault="0022311E" w:rsidP="0011505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Nel caso di A </w:t>
            </w:r>
            <w:r>
              <w:rPr>
                <w:rStyle w:val="InstructionsTabelleberschrift"/>
                <w:rFonts w:ascii="Times New Roman" w:hAnsi="Times New Roman"/>
                <w:b w:val="0"/>
                <w:sz w:val="24"/>
                <w:u w:val="none"/>
                <w:vertAlign w:val="subscript"/>
              </w:rPr>
              <w:t>2, IRB</w:t>
            </w:r>
            <w:r>
              <w:rPr>
                <w:rStyle w:val="InstructionsTabelleberschrift"/>
                <w:rFonts w:ascii="Times New Roman" w:hAnsi="Times New Roman"/>
                <w:b w:val="0"/>
                <w:sz w:val="24"/>
                <w:u w:val="none"/>
              </w:rPr>
              <w:t xml:space="preserve"> 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importo segnalato è 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importo al netto della perdita attesa di cui all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articolo 473 bis, paragrafo 5, lettera a), del CRR.</w:t>
            </w:r>
          </w:p>
        </w:tc>
      </w:tr>
      <w:tr w:rsidR="0022311E" w:rsidRPr="00661595" w:rsidTr="001F1B80">
        <w:tc>
          <w:tcPr>
            <w:tcW w:w="1012" w:type="dxa"/>
          </w:tcPr>
          <w:p w:rsidR="0022311E" w:rsidRDefault="0022311E" w:rsidP="00115052">
            <w:pPr>
              <w:pStyle w:val="InstructionsText"/>
              <w:rPr>
                <w:rStyle w:val="InstructionsTabelleText"/>
                <w:rFonts w:ascii="Times New Roman" w:hAnsi="Times New Roman"/>
                <w:sz w:val="24"/>
              </w:rPr>
            </w:pPr>
            <w:r>
              <w:rPr>
                <w:rStyle w:val="InstructionsTabelleText"/>
                <w:rFonts w:ascii="Times New Roman" w:hAnsi="Times New Roman"/>
                <w:sz w:val="24"/>
              </w:rPr>
              <w:t>0442</w:t>
            </w:r>
          </w:p>
        </w:tc>
        <w:tc>
          <w:tcPr>
            <w:tcW w:w="7478" w:type="dxa"/>
          </w:tcPr>
          <w:p w:rsidR="0022311E" w:rsidRPr="00D633B1" w:rsidRDefault="0022311E"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Voce per memoria: Impatto della componente dinamica sulle ECL per il periodo 1/1/2018-31/12/2019</w:t>
            </w:r>
          </w:p>
          <w:p w:rsidR="0022311E" w:rsidRPr="00661595" w:rsidRDefault="0022311E" w:rsidP="0011505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Somma di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SA</m:t>
                  </m:r>
                </m:sub>
                <m:sup>
                  <m:r>
                    <w:rPr>
                      <w:rStyle w:val="InstructionsTabelleberschrift"/>
                      <w:rFonts w:ascii="Cambria Math" w:hAnsi="Cambria Math"/>
                      <w:sz w:val="24"/>
                      <w:u w:val="none"/>
                    </w:rPr>
                    <m:t>old</m:t>
                  </m:r>
                </m:sup>
              </m:sSubSup>
            </m:oMath>
            <w:r w:rsidR="000878EC">
              <w:rPr>
                <w:rStyle w:val="InstructionsTabelleberschrift"/>
                <w:rFonts w:ascii="Times New Roman" w:hAnsi="Times New Roman"/>
                <w:b w:val="0"/>
                <w:sz w:val="24"/>
                <w:u w:val="none"/>
              </w:rPr>
              <w:t xml:space="preserve"> </w:t>
            </w:r>
            <w:r>
              <w:rPr>
                <w:rStyle w:val="InstructionsTabelleberschrift"/>
                <w:rFonts w:ascii="Times New Roman" w:hAnsi="Times New Roman"/>
                <w:b w:val="0"/>
                <w:sz w:val="24"/>
                <w:u w:val="none"/>
              </w:rPr>
              <w:t xml:space="preserve">e </w:t>
            </w:r>
            <m:oMath>
              <m:sSubSup>
                <m:sSubSupPr>
                  <m:ctrlPr>
                    <w:rPr>
                      <w:rStyle w:val="InstructionsTabelleberschrift"/>
                      <w:rFonts w:ascii="Cambria Math" w:hAnsi="Cambria Math"/>
                      <w:b w:val="0"/>
                      <w:bCs w:val="0"/>
                      <w:i/>
                      <w:sz w:val="24"/>
                      <w:u w:val="none"/>
                    </w:rPr>
                  </m:ctrlPr>
                </m:sSubSupPr>
                <m:e>
                  <m:r>
                    <w:rPr>
                      <w:rStyle w:val="InstructionsTabelleberschrift"/>
                      <w:rFonts w:ascii="Cambria Math" w:hAnsi="Cambria Math"/>
                      <w:sz w:val="24"/>
                      <w:u w:val="none"/>
                    </w:rPr>
                    <m:t>A</m:t>
                  </m:r>
                </m:e>
                <m:sub>
                  <m:r>
                    <w:rPr>
                      <w:rStyle w:val="InstructionsTabelleberschrift"/>
                      <w:rFonts w:ascii="Cambria Math" w:hAnsi="Cambria Math"/>
                      <w:sz w:val="24"/>
                      <w:u w:val="none"/>
                    </w:rPr>
                    <m:t>IRB</m:t>
                  </m:r>
                </m:sub>
                <m:sup>
                  <m:r>
                    <w:rPr>
                      <w:rStyle w:val="InstructionsTabelleberschrift"/>
                      <w:rFonts w:ascii="Cambria Math" w:hAnsi="Cambria Math"/>
                      <w:sz w:val="24"/>
                      <w:u w:val="none"/>
                    </w:rPr>
                    <m:t>old</m:t>
                  </m:r>
                </m:sup>
              </m:sSubSup>
            </m:oMath>
            <w:r>
              <w:rPr>
                <w:rStyle w:val="InstructionsTabelleberschrift"/>
                <w:rFonts w:ascii="Times New Roman" w:hAnsi="Times New Roman"/>
                <w:b w:val="0"/>
                <w:sz w:val="24"/>
                <w:u w:val="none"/>
              </w:rPr>
              <w:t>di cui all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articolo 473 bis, paragrafo 1, del CRR </w:t>
            </w:r>
          </w:p>
        </w:tc>
      </w:tr>
      <w:tr w:rsidR="0022311E" w:rsidRPr="00661595" w:rsidTr="001F1B80">
        <w:tc>
          <w:tcPr>
            <w:tcW w:w="1012" w:type="dxa"/>
          </w:tcPr>
          <w:p w:rsidR="0022311E" w:rsidRDefault="0022311E" w:rsidP="00115052">
            <w:pPr>
              <w:pStyle w:val="InstructionsText"/>
              <w:rPr>
                <w:rStyle w:val="InstructionsTabelleText"/>
                <w:rFonts w:ascii="Times New Roman" w:hAnsi="Times New Roman"/>
                <w:sz w:val="24"/>
              </w:rPr>
            </w:pPr>
            <w:r>
              <w:rPr>
                <w:rStyle w:val="InstructionsTabelleText"/>
                <w:rFonts w:ascii="Times New Roman" w:hAnsi="Times New Roman"/>
                <w:sz w:val="24"/>
              </w:rPr>
              <w:t>0443</w:t>
            </w:r>
          </w:p>
        </w:tc>
        <w:tc>
          <w:tcPr>
            <w:tcW w:w="7478" w:type="dxa"/>
          </w:tcPr>
          <w:p w:rsidR="0022311E" w:rsidRPr="00D633B1" w:rsidRDefault="0022311E"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Voce per memoria: Impatto della componente dinamica sulle ECL per il periodo che inizia l</w:t>
            </w:r>
            <w:r w:rsidR="000878EC">
              <w:rPr>
                <w:rStyle w:val="InstructionsTabelleberschrift"/>
                <w:rFonts w:ascii="Times New Roman" w:hAnsi="Times New Roman"/>
                <w:sz w:val="24"/>
              </w:rPr>
              <w:t>'</w:t>
            </w:r>
            <w:r>
              <w:rPr>
                <w:rStyle w:val="InstructionsTabelleberschrift"/>
                <w:rFonts w:ascii="Times New Roman" w:hAnsi="Times New Roman"/>
                <w:sz w:val="24"/>
              </w:rPr>
              <w:t>1/1/2020</w:t>
            </w:r>
          </w:p>
          <w:p w:rsidR="0022311E" w:rsidRDefault="0022311E" w:rsidP="0011505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Somma di A </w:t>
            </w:r>
            <w:r>
              <w:rPr>
                <w:rStyle w:val="InstructionsTabelleberschrift"/>
                <w:rFonts w:ascii="Times New Roman" w:hAnsi="Times New Roman"/>
                <w:b w:val="0"/>
                <w:sz w:val="24"/>
                <w:u w:val="none"/>
                <w:vertAlign w:val="subscript"/>
              </w:rPr>
              <w:t>4, SA</w:t>
            </w:r>
            <w:r>
              <w:rPr>
                <w:rStyle w:val="InstructionsTabelleberschrift"/>
                <w:rFonts w:ascii="Times New Roman" w:hAnsi="Times New Roman"/>
                <w:b w:val="0"/>
                <w:sz w:val="24"/>
                <w:u w:val="none"/>
              </w:rPr>
              <w:t xml:space="preserve"> e A </w:t>
            </w:r>
            <w:r>
              <w:rPr>
                <w:rStyle w:val="InstructionsTabelleberschrift"/>
                <w:rFonts w:ascii="Times New Roman" w:hAnsi="Times New Roman"/>
                <w:b w:val="0"/>
                <w:sz w:val="24"/>
                <w:u w:val="none"/>
                <w:vertAlign w:val="subscript"/>
              </w:rPr>
              <w:t>4, IRB</w:t>
            </w:r>
            <w:r>
              <w:rPr>
                <w:rStyle w:val="InstructionsTabelleberschrift"/>
                <w:rFonts w:ascii="Times New Roman" w:hAnsi="Times New Roman"/>
                <w:b w:val="0"/>
                <w:sz w:val="24"/>
                <w:u w:val="none"/>
              </w:rPr>
              <w:t xml:space="preserve"> di cui all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articolo 473 bis, paragrafo 1, del CRR</w:t>
            </w:r>
          </w:p>
          <w:p w:rsidR="0022311E" w:rsidRPr="00661595" w:rsidRDefault="0022311E" w:rsidP="0011505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Nel caso di A </w:t>
            </w:r>
            <w:r>
              <w:rPr>
                <w:rStyle w:val="InstructionsTabelleberschrift"/>
                <w:rFonts w:ascii="Times New Roman" w:hAnsi="Times New Roman"/>
                <w:b w:val="0"/>
                <w:sz w:val="24"/>
                <w:u w:val="none"/>
                <w:vertAlign w:val="subscript"/>
              </w:rPr>
              <w:t>4, IRB</w:t>
            </w:r>
            <w:r>
              <w:rPr>
                <w:rStyle w:val="InstructionsTabelleberschrift"/>
                <w:rFonts w:ascii="Times New Roman" w:hAnsi="Times New Roman"/>
                <w:b w:val="0"/>
                <w:sz w:val="24"/>
                <w:u w:val="none"/>
              </w:rPr>
              <w:t xml:space="preserve"> 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importo segnalato è 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importo al netto della perdita attesa di cui all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articolo 473 bis, paragrafo 5, lettere b) e c), del CRR.</w:t>
            </w:r>
          </w:p>
        </w:tc>
      </w:tr>
    </w:tbl>
    <w:p w:rsidR="002648B0" w:rsidRPr="00661595" w:rsidRDefault="002648B0" w:rsidP="00D946DB">
      <w:pPr>
        <w:spacing w:after="0"/>
        <w:rPr>
          <w:rFonts w:ascii="Times New Roman" w:hAnsi="Times New Roman"/>
          <w:sz w:val="24"/>
        </w:rPr>
      </w:pPr>
    </w:p>
    <w:p w:rsidR="002648B0" w:rsidRPr="000A46E0" w:rsidRDefault="00125707" w:rsidP="000A46E0">
      <w:pPr>
        <w:pStyle w:val="Instructionsberschrift2"/>
        <w:numPr>
          <w:ilvl w:val="0"/>
          <w:numId w:val="0"/>
        </w:numPr>
        <w:ind w:left="357" w:hanging="357"/>
        <w:rPr>
          <w:rFonts w:ascii="Times New Roman" w:hAnsi="Times New Roman" w:cs="Times New Roman"/>
          <w:sz w:val="24"/>
          <w:u w:val="none"/>
        </w:rPr>
      </w:pPr>
      <w:bookmarkStart w:id="81" w:name="_Toc361666252"/>
      <w:bookmarkStart w:id="82" w:name="_Toc308175839"/>
      <w:bookmarkStart w:id="83" w:name="_Toc473560885"/>
      <w:bookmarkStart w:id="84" w:name="_Toc360188337"/>
      <w:bookmarkStart w:id="85" w:name="_Toc58915728"/>
      <w:bookmarkEnd w:id="81"/>
      <w:r>
        <w:rPr>
          <w:rFonts w:ascii="Times New Roman" w:hAnsi="Times New Roman"/>
          <w:sz w:val="24"/>
          <w:u w:val="none"/>
        </w:rPr>
        <w:t>1.6.3</w:t>
      </w:r>
      <w:r w:rsidRPr="003A1F17">
        <w:rPr>
          <w:u w:val="none"/>
        </w:rPr>
        <w:tab/>
      </w:r>
      <w:r>
        <w:rPr>
          <w:rFonts w:ascii="Times New Roman" w:hAnsi="Times New Roman"/>
          <w:sz w:val="24"/>
        </w:rPr>
        <w:t>C 05.02 — STRUMENTI SOGGETTI ALLA CLAUSOLA GRANDFATHERING: STRUMENTI CHE NON COSTITUISCONO AIUTI DI STATO (CA5.2)</w:t>
      </w:r>
      <w:bookmarkEnd w:id="82"/>
      <w:bookmarkEnd w:id="83"/>
      <w:bookmarkEnd w:id="85"/>
      <w:r>
        <w:rPr>
          <w:rFonts w:ascii="Times New Roman" w:hAnsi="Times New Roman"/>
          <w:sz w:val="24"/>
          <w:u w:val="none"/>
        </w:rPr>
        <w:t xml:space="preserve"> </w:t>
      </w:r>
      <w:bookmarkEnd w:id="84"/>
    </w:p>
    <w:p w:rsidR="00783881" w:rsidRPr="00661595" w:rsidRDefault="00A971CA" w:rsidP="00BD1A14">
      <w:pPr>
        <w:pStyle w:val="InstructionsText2"/>
        <w:numPr>
          <w:ilvl w:val="0"/>
          <w:numId w:val="0"/>
        </w:numPr>
        <w:ind w:left="1800" w:hanging="360"/>
      </w:pPr>
      <w:r>
        <w:fldChar w:fldCharType="begin"/>
      </w:r>
      <w:r>
        <w:instrText xml:space="preserve"> seq paragraphs </w:instrText>
      </w:r>
      <w:r>
        <w:fldChar w:fldCharType="separate"/>
      </w:r>
      <w:r w:rsidR="00D11E4C">
        <w:rPr>
          <w:noProof/>
        </w:rPr>
        <w:t>26</w:t>
      </w:r>
      <w:r>
        <w:rPr>
          <w:noProof/>
        </w:rPr>
        <w:fldChar w:fldCharType="end"/>
      </w:r>
      <w:r w:rsidR="00D11E4C">
        <w:t>.</w:t>
      </w:r>
      <w:r w:rsidR="00D11E4C">
        <w:tab/>
        <w:t>Gli enti segnalano informazioni inerenti alle disposizioni transitorie relative agli strumenti soggetti alla clausola grandfathering che non costituiscono aiuti di Stato (articoli da 484 a 491 del CRR).</w:t>
      </w:r>
    </w:p>
    <w:p w:rsidR="002648B0" w:rsidRPr="000A46E0" w:rsidRDefault="00125707" w:rsidP="00D27D87">
      <w:pPr>
        <w:pStyle w:val="Instructionsberschrift2"/>
        <w:keepLines/>
        <w:numPr>
          <w:ilvl w:val="0"/>
          <w:numId w:val="0"/>
        </w:numPr>
        <w:ind w:left="357" w:hanging="357"/>
        <w:rPr>
          <w:rFonts w:ascii="Times New Roman" w:hAnsi="Times New Roman" w:cs="Times New Roman"/>
          <w:sz w:val="24"/>
          <w:u w:val="none"/>
        </w:rPr>
      </w:pPr>
      <w:bookmarkStart w:id="86" w:name="_Toc360188338"/>
      <w:bookmarkStart w:id="87" w:name="_Toc473560886"/>
      <w:bookmarkStart w:id="88" w:name="_Toc58915729"/>
      <w:r>
        <w:rPr>
          <w:rFonts w:ascii="Times New Roman" w:hAnsi="Times New Roman"/>
          <w:sz w:val="24"/>
          <w:u w:val="none"/>
        </w:rPr>
        <w:t>1.6.3.1</w:t>
      </w:r>
      <w:r>
        <w:tab/>
      </w:r>
      <w:r>
        <w:rPr>
          <w:rFonts w:ascii="Times New Roman" w:hAnsi="Times New Roman"/>
          <w:sz w:val="24"/>
        </w:rPr>
        <w:t>Istruzioni relative a posizioni specifiche</w:t>
      </w:r>
      <w:bookmarkEnd w:id="86"/>
      <w:bookmarkEnd w:id="87"/>
      <w:bookmarkEnd w:id="88"/>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661595" w:rsidTr="00672D2A">
        <w:tc>
          <w:tcPr>
            <w:tcW w:w="8181" w:type="dxa"/>
            <w:gridSpan w:val="2"/>
            <w:shd w:val="clear" w:color="auto" w:fill="D9D9D9"/>
          </w:tcPr>
          <w:p w:rsidR="005643EA" w:rsidRPr="00661595" w:rsidRDefault="002648B0" w:rsidP="007328DD">
            <w:pPr>
              <w:pStyle w:val="body"/>
              <w:keepNext/>
              <w:keepLines/>
              <w:suppressAutoHyphens/>
              <w:rPr>
                <w:rStyle w:val="InstructionsTabelleText"/>
                <w:rFonts w:ascii="Times New Roman" w:hAnsi="Times New Roman"/>
                <w:sz w:val="24"/>
              </w:rPr>
            </w:pPr>
            <w:r>
              <w:rPr>
                <w:rStyle w:val="InstructionsTabelleText"/>
                <w:rFonts w:ascii="Times New Roman" w:hAnsi="Times New Roman"/>
                <w:sz w:val="24"/>
              </w:rPr>
              <w:t>Colonne</w:t>
            </w:r>
          </w:p>
        </w:tc>
      </w:tr>
      <w:tr w:rsidR="002648B0" w:rsidRPr="00661595" w:rsidTr="00672D2A">
        <w:tc>
          <w:tcPr>
            <w:tcW w:w="703" w:type="dxa"/>
          </w:tcPr>
          <w:p w:rsidR="002648B0" w:rsidRPr="00661595" w:rsidRDefault="00606735" w:rsidP="007328DD">
            <w:pPr>
              <w:pStyle w:val="body"/>
              <w:suppressAutoHyphens/>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rsidR="002648B0" w:rsidRPr="00661595" w:rsidRDefault="002648B0" w:rsidP="007328DD">
            <w:pPr>
              <w:pStyle w:val="body"/>
              <w:suppressAutoHyphens/>
              <w:rPr>
                <w:rStyle w:val="InstructionsTabelleberschrift"/>
                <w:rFonts w:ascii="Times New Roman" w:hAnsi="Times New Roman"/>
                <w:sz w:val="24"/>
              </w:rPr>
            </w:pPr>
            <w:r>
              <w:rPr>
                <w:rStyle w:val="InstructionsTabelleberschrift"/>
                <w:rFonts w:ascii="Times New Roman" w:hAnsi="Times New Roman"/>
                <w:sz w:val="24"/>
              </w:rPr>
              <w:t>Importo degli strumenti + relativo sovrapprezzo azioni</w:t>
            </w:r>
          </w:p>
          <w:p w:rsidR="002648B0" w:rsidRPr="00661595" w:rsidRDefault="00167619" w:rsidP="007328DD">
            <w:pPr>
              <w:pStyle w:val="body"/>
              <w:suppressAutoHyphens/>
              <w:rPr>
                <w:rStyle w:val="InstructionsTabelleText"/>
                <w:rFonts w:ascii="Times New Roman" w:hAnsi="Times New Roman"/>
                <w:sz w:val="24"/>
              </w:rPr>
            </w:pPr>
            <w:r>
              <w:rPr>
                <w:rStyle w:val="InstructionsTabelleText"/>
                <w:rFonts w:ascii="Times New Roman" w:hAnsi="Times New Roman"/>
                <w:sz w:val="24"/>
              </w:rPr>
              <w:t>Articolo 484, paragrafi 3, 4 e 5, del CRR</w:t>
            </w:r>
          </w:p>
          <w:p w:rsidR="002648B0" w:rsidRPr="00661595" w:rsidRDefault="002648B0" w:rsidP="007328DD">
            <w:pPr>
              <w:pStyle w:val="body"/>
              <w:suppressAutoHyphens/>
              <w:rPr>
                <w:rStyle w:val="InstructionsTabelleText"/>
                <w:rFonts w:ascii="Times New Roman" w:hAnsi="Times New Roman"/>
                <w:sz w:val="24"/>
              </w:rPr>
            </w:pPr>
            <w:r>
              <w:rPr>
                <w:rStyle w:val="InstructionsTabelleText"/>
                <w:rFonts w:ascii="Times New Roman" w:hAnsi="Times New Roman"/>
                <w:sz w:val="24"/>
              </w:rPr>
              <w:t>Strumenti ammissibili per ciascuna riga, compresi i relativi sovrapprezzi azioni.</w:t>
            </w:r>
          </w:p>
        </w:tc>
      </w:tr>
      <w:tr w:rsidR="002648B0" w:rsidRPr="00661595" w:rsidTr="00672D2A">
        <w:tc>
          <w:tcPr>
            <w:tcW w:w="703" w:type="dxa"/>
          </w:tcPr>
          <w:p w:rsidR="002648B0" w:rsidRPr="00661595" w:rsidRDefault="00606735" w:rsidP="007328DD">
            <w:pPr>
              <w:pStyle w:val="body"/>
              <w:suppressAutoHyphens/>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rsidR="002648B0" w:rsidRPr="00661595" w:rsidRDefault="002648B0" w:rsidP="007328DD">
            <w:pPr>
              <w:pStyle w:val="body"/>
              <w:suppressAutoHyphens/>
              <w:rPr>
                <w:rStyle w:val="InstructionsTabelleberschrift"/>
                <w:rFonts w:ascii="Times New Roman" w:hAnsi="Times New Roman"/>
                <w:sz w:val="24"/>
              </w:rPr>
            </w:pPr>
            <w:r>
              <w:rPr>
                <w:rStyle w:val="InstructionsTabelleberschrift"/>
                <w:rFonts w:ascii="Times New Roman" w:hAnsi="Times New Roman"/>
                <w:sz w:val="24"/>
              </w:rPr>
              <w:t>Base per il calcolo del limite</w:t>
            </w:r>
          </w:p>
          <w:p w:rsidR="002648B0" w:rsidRPr="00661595" w:rsidRDefault="00167619" w:rsidP="007328DD">
            <w:pPr>
              <w:pStyle w:val="body"/>
              <w:suppressAutoHyphens/>
              <w:rPr>
                <w:rStyle w:val="InstructionsTabelleText"/>
                <w:rFonts w:ascii="Times New Roman" w:hAnsi="Times New Roman"/>
                <w:sz w:val="24"/>
              </w:rPr>
            </w:pPr>
            <w:r>
              <w:rPr>
                <w:rStyle w:val="InstructionsTabelleText"/>
                <w:rFonts w:ascii="Times New Roman" w:hAnsi="Times New Roman"/>
                <w:sz w:val="24"/>
              </w:rPr>
              <w:t>Articolo 486, paragrafi 2, 3 e 4, del CRR</w:t>
            </w:r>
          </w:p>
        </w:tc>
      </w:tr>
      <w:tr w:rsidR="002648B0" w:rsidRPr="00661595" w:rsidTr="00672D2A">
        <w:tc>
          <w:tcPr>
            <w:tcW w:w="703" w:type="dxa"/>
          </w:tcPr>
          <w:p w:rsidR="002648B0" w:rsidRPr="00661595" w:rsidRDefault="00606735" w:rsidP="007328DD">
            <w:pPr>
              <w:pStyle w:val="body"/>
              <w:suppressAutoHyphens/>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rsidR="002648B0" w:rsidRPr="00661595" w:rsidRDefault="002648B0" w:rsidP="007328DD">
            <w:pPr>
              <w:pStyle w:val="body"/>
              <w:suppressAutoHyphens/>
              <w:rPr>
                <w:rStyle w:val="InstructionsTabelleberschrift"/>
                <w:rFonts w:ascii="Times New Roman" w:hAnsi="Times New Roman"/>
                <w:sz w:val="24"/>
              </w:rPr>
            </w:pPr>
            <w:r>
              <w:rPr>
                <w:rStyle w:val="InstructionsTabelleberschrift"/>
                <w:rFonts w:ascii="Times New Roman" w:hAnsi="Times New Roman"/>
                <w:sz w:val="24"/>
              </w:rPr>
              <w:t>Percentuale applicabile</w:t>
            </w:r>
          </w:p>
          <w:p w:rsidR="002648B0" w:rsidRPr="00661595" w:rsidRDefault="002648B0" w:rsidP="007328DD">
            <w:pPr>
              <w:pStyle w:val="body"/>
              <w:suppressAutoHyphens/>
              <w:rPr>
                <w:rStyle w:val="InstructionsTabelleText"/>
                <w:rFonts w:ascii="Times New Roman" w:hAnsi="Times New Roman"/>
                <w:sz w:val="24"/>
              </w:rPr>
            </w:pPr>
            <w:r>
              <w:rPr>
                <w:rStyle w:val="InstructionsTabelleText"/>
                <w:rFonts w:ascii="Times New Roman" w:hAnsi="Times New Roman"/>
                <w:sz w:val="24"/>
              </w:rPr>
              <w:t>Articolo 486, paragrafo 5, del CRR</w:t>
            </w:r>
          </w:p>
        </w:tc>
      </w:tr>
      <w:tr w:rsidR="002648B0" w:rsidRPr="00661595" w:rsidTr="00672D2A">
        <w:tc>
          <w:tcPr>
            <w:tcW w:w="703" w:type="dxa"/>
          </w:tcPr>
          <w:p w:rsidR="002648B0" w:rsidRPr="00661595" w:rsidRDefault="00606735" w:rsidP="007328DD">
            <w:pPr>
              <w:pStyle w:val="body"/>
              <w:suppressAutoHyphens/>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rsidR="002648B0" w:rsidRPr="00661595" w:rsidRDefault="002648B0" w:rsidP="007328DD">
            <w:pPr>
              <w:pStyle w:val="body"/>
              <w:suppressAutoHyphens/>
              <w:rPr>
                <w:rStyle w:val="InstructionsTabelleberschrift"/>
                <w:rFonts w:ascii="Times New Roman" w:hAnsi="Times New Roman"/>
                <w:sz w:val="24"/>
              </w:rPr>
            </w:pPr>
            <w:r>
              <w:rPr>
                <w:rStyle w:val="InstructionsTabelleberschrift"/>
                <w:rFonts w:ascii="Times New Roman" w:hAnsi="Times New Roman"/>
                <w:sz w:val="24"/>
              </w:rPr>
              <w:t>Limite</w:t>
            </w:r>
          </w:p>
          <w:p w:rsidR="002648B0" w:rsidRPr="00661595" w:rsidRDefault="00167619" w:rsidP="007328DD">
            <w:pPr>
              <w:pStyle w:val="body"/>
              <w:suppressAutoHyphens/>
              <w:rPr>
                <w:rStyle w:val="InstructionsTabelleText"/>
                <w:rFonts w:ascii="Times New Roman" w:hAnsi="Times New Roman"/>
                <w:sz w:val="24"/>
              </w:rPr>
            </w:pPr>
            <w:r>
              <w:rPr>
                <w:rStyle w:val="InstructionsTabelleText"/>
                <w:rFonts w:ascii="Times New Roman" w:hAnsi="Times New Roman"/>
                <w:sz w:val="24"/>
              </w:rPr>
              <w:t>Articolo 486, paragrafi da 2 a 5, del CRR</w:t>
            </w:r>
          </w:p>
        </w:tc>
      </w:tr>
      <w:tr w:rsidR="002648B0" w:rsidRPr="00661595" w:rsidTr="00672D2A">
        <w:tc>
          <w:tcPr>
            <w:tcW w:w="703" w:type="dxa"/>
          </w:tcPr>
          <w:p w:rsidR="002648B0" w:rsidRPr="00661595" w:rsidRDefault="00606735" w:rsidP="007328DD">
            <w:pPr>
              <w:pStyle w:val="body"/>
              <w:suppressAutoHyphens/>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rsidR="002648B0" w:rsidRPr="00661595" w:rsidRDefault="002648B0" w:rsidP="007328DD">
            <w:pPr>
              <w:pStyle w:val="body"/>
              <w:suppressAutoHyphens/>
              <w:rPr>
                <w:rStyle w:val="InstructionsTabelleberschrift"/>
                <w:rFonts w:ascii="Times New Roman" w:hAnsi="Times New Roman"/>
                <w:sz w:val="24"/>
              </w:rPr>
            </w:pPr>
            <w:r>
              <w:rPr>
                <w:rStyle w:val="InstructionsTabelleberschrift"/>
                <w:rFonts w:ascii="Times New Roman" w:hAnsi="Times New Roman"/>
                <w:sz w:val="24"/>
              </w:rPr>
              <w:t>(-) Importo eccedente i limiti della clausola grandfathering</w:t>
            </w:r>
          </w:p>
          <w:p w:rsidR="002648B0" w:rsidRPr="00661595" w:rsidRDefault="00167619" w:rsidP="007328DD">
            <w:pPr>
              <w:pStyle w:val="body"/>
              <w:suppressAutoHyphens/>
              <w:rPr>
                <w:rStyle w:val="InstructionsTabelleText"/>
                <w:rFonts w:ascii="Times New Roman" w:hAnsi="Times New Roman"/>
                <w:sz w:val="24"/>
              </w:rPr>
            </w:pPr>
            <w:r>
              <w:rPr>
                <w:rStyle w:val="InstructionsTabelleText"/>
                <w:rFonts w:ascii="Times New Roman" w:hAnsi="Times New Roman"/>
                <w:sz w:val="24"/>
              </w:rPr>
              <w:t>Articolo 486, paragrafi da 2 a 5, del CRR</w:t>
            </w:r>
          </w:p>
        </w:tc>
      </w:tr>
      <w:tr w:rsidR="002648B0" w:rsidRPr="00661595" w:rsidTr="00672D2A">
        <w:tc>
          <w:tcPr>
            <w:tcW w:w="703" w:type="dxa"/>
          </w:tcPr>
          <w:p w:rsidR="002648B0" w:rsidRPr="00661595" w:rsidRDefault="00606735" w:rsidP="007328DD">
            <w:pPr>
              <w:pStyle w:val="body"/>
              <w:suppressAutoHyphens/>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rsidR="002648B0" w:rsidRPr="00661595" w:rsidRDefault="002648B0" w:rsidP="007328DD">
            <w:pPr>
              <w:pStyle w:val="body"/>
              <w:suppressAutoHyphens/>
              <w:rPr>
                <w:rStyle w:val="InstructionsTabelleberschrift"/>
                <w:rFonts w:ascii="Times New Roman" w:hAnsi="Times New Roman"/>
                <w:sz w:val="24"/>
              </w:rPr>
            </w:pPr>
            <w:r>
              <w:rPr>
                <w:rStyle w:val="InstructionsTabelleberschrift"/>
                <w:rFonts w:ascii="Times New Roman" w:hAnsi="Times New Roman"/>
                <w:sz w:val="24"/>
              </w:rPr>
              <w:t>Importo totale soggetto alla clausola grandfathering</w:t>
            </w:r>
          </w:p>
          <w:p w:rsidR="002648B0" w:rsidRPr="00661595" w:rsidRDefault="002648B0" w:rsidP="007328DD">
            <w:pPr>
              <w:pStyle w:val="body"/>
              <w:suppressAutoHyphens/>
              <w:rPr>
                <w:rStyle w:val="InstructionsTabelleText"/>
                <w:rFonts w:ascii="Times New Roman" w:hAnsi="Times New Roman"/>
                <w:sz w:val="24"/>
              </w:rPr>
            </w:pPr>
            <w:r>
              <w:rPr>
                <w:rStyle w:val="InstructionsTabelleText"/>
                <w:rFonts w:ascii="Times New Roman" w:hAnsi="Times New Roman"/>
                <w:sz w:val="24"/>
              </w:rPr>
              <w:t>L</w:t>
            </w:r>
            <w:r w:rsidR="000878EC">
              <w:rPr>
                <w:rStyle w:val="InstructionsTabelleText"/>
                <w:rFonts w:ascii="Times New Roman" w:hAnsi="Times New Roman"/>
                <w:sz w:val="24"/>
              </w:rPr>
              <w:t>'</w:t>
            </w:r>
            <w:r>
              <w:rPr>
                <w:rStyle w:val="InstructionsTabelleText"/>
                <w:rFonts w:ascii="Times New Roman" w:hAnsi="Times New Roman"/>
                <w:sz w:val="24"/>
              </w:rPr>
              <w:t>importo da segnalare è uguale agli importi segnalati nelle rispettive colonne della riga 060 del modello CA5.1.</w:t>
            </w:r>
          </w:p>
        </w:tc>
      </w:tr>
    </w:tbl>
    <w:p w:rsidR="002648B0" w:rsidRPr="00661595" w:rsidRDefault="002648B0" w:rsidP="000911FE">
      <w:pPr>
        <w:pStyle w:val="body"/>
      </w:pP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3"/>
        <w:gridCol w:w="7478"/>
      </w:tblGrid>
      <w:tr w:rsidR="002648B0" w:rsidRPr="00661595" w:rsidTr="00672D2A">
        <w:tc>
          <w:tcPr>
            <w:tcW w:w="8181" w:type="dxa"/>
            <w:gridSpan w:val="2"/>
            <w:shd w:val="clear" w:color="auto" w:fill="D9D9D9"/>
          </w:tcPr>
          <w:p w:rsidR="005643EA" w:rsidRPr="00661595" w:rsidRDefault="002648B0" w:rsidP="005E0D2D">
            <w:pPr>
              <w:pStyle w:val="body"/>
              <w:suppressAutoHyphens/>
            </w:pPr>
            <w:r>
              <w:t>Riga</w:t>
            </w:r>
          </w:p>
        </w:tc>
      </w:tr>
      <w:tr w:rsidR="002648B0" w:rsidRPr="00661595" w:rsidTr="00672D2A">
        <w:tc>
          <w:tcPr>
            <w:tcW w:w="703" w:type="dxa"/>
          </w:tcPr>
          <w:p w:rsidR="002648B0" w:rsidRPr="00661595" w:rsidRDefault="00606735" w:rsidP="005E0D2D">
            <w:pPr>
              <w:pStyle w:val="body"/>
              <w:suppressAutoHyphens/>
              <w:rPr>
                <w:rStyle w:val="InstructionsTabelleText"/>
                <w:rFonts w:ascii="Times New Roman" w:hAnsi="Times New Roman"/>
                <w:sz w:val="24"/>
              </w:rPr>
            </w:pPr>
            <w:r>
              <w:rPr>
                <w:rStyle w:val="InstructionsTabelleText"/>
                <w:rFonts w:ascii="Times New Roman" w:hAnsi="Times New Roman"/>
                <w:sz w:val="24"/>
              </w:rPr>
              <w:t>0010</w:t>
            </w:r>
          </w:p>
        </w:tc>
        <w:tc>
          <w:tcPr>
            <w:tcW w:w="7478" w:type="dxa"/>
          </w:tcPr>
          <w:p w:rsidR="005643EA" w:rsidRPr="00661595" w:rsidRDefault="00C66473" w:rsidP="005E0D2D">
            <w:pPr>
              <w:pStyle w:val="body"/>
              <w:suppressAutoHyphens/>
              <w:rPr>
                <w:rStyle w:val="InstructionsTabelleberschrift"/>
                <w:rFonts w:ascii="Times New Roman" w:hAnsi="Times New Roman"/>
                <w:sz w:val="24"/>
              </w:rPr>
            </w:pPr>
            <w:r>
              <w:rPr>
                <w:rStyle w:val="InstructionsTabelleberschrift"/>
                <w:rFonts w:ascii="Times New Roman" w:hAnsi="Times New Roman"/>
                <w:sz w:val="24"/>
              </w:rPr>
              <w:t>1.</w:t>
            </w:r>
            <w:r w:rsidRPr="00CD3018">
              <w:rPr>
                <w:u w:val="single"/>
              </w:rPr>
              <w:tab/>
            </w:r>
            <w:r>
              <w:rPr>
                <w:rStyle w:val="InstructionsTabelleberschrift"/>
                <w:rFonts w:ascii="Times New Roman" w:hAnsi="Times New Roman"/>
                <w:sz w:val="24"/>
              </w:rPr>
              <w:t>Strumenti ammissibili ai sensi dell</w:t>
            </w:r>
            <w:r w:rsidR="000878EC">
              <w:rPr>
                <w:rStyle w:val="InstructionsTabelleberschrift"/>
                <w:rFonts w:ascii="Times New Roman" w:hAnsi="Times New Roman"/>
                <w:sz w:val="24"/>
              </w:rPr>
              <w:t>'</w:t>
            </w:r>
            <w:r>
              <w:rPr>
                <w:rStyle w:val="InstructionsTabelleberschrift"/>
                <w:rFonts w:ascii="Times New Roman" w:hAnsi="Times New Roman"/>
                <w:sz w:val="24"/>
              </w:rPr>
              <w:t>articolo 57, lettera a), della direttiva 2006/48/CE</w:t>
            </w:r>
          </w:p>
          <w:p w:rsidR="002648B0" w:rsidRPr="00661595" w:rsidRDefault="002648B0" w:rsidP="005E0D2D">
            <w:pPr>
              <w:pStyle w:val="body"/>
              <w:suppressAutoHyphens/>
              <w:rPr>
                <w:rStyle w:val="InstructionsTabelleText"/>
                <w:rFonts w:ascii="Times New Roman" w:hAnsi="Times New Roman"/>
                <w:sz w:val="24"/>
              </w:rPr>
            </w:pPr>
            <w:r>
              <w:rPr>
                <w:rStyle w:val="InstructionsTabelleText"/>
                <w:rFonts w:ascii="Times New Roman" w:hAnsi="Times New Roman"/>
                <w:sz w:val="24"/>
              </w:rPr>
              <w:t>Articolo 484, paragrafo 3, del CRR</w:t>
            </w:r>
          </w:p>
          <w:p w:rsidR="002648B0" w:rsidRPr="00661595" w:rsidRDefault="002648B0" w:rsidP="005E0D2D">
            <w:pPr>
              <w:pStyle w:val="body"/>
              <w:suppressAutoHyphens/>
              <w:rPr>
                <w:rStyle w:val="InstructionsTabelleText"/>
                <w:rFonts w:ascii="Times New Roman" w:hAnsi="Times New Roman"/>
                <w:sz w:val="24"/>
              </w:rPr>
            </w:pPr>
            <w:r>
              <w:rPr>
                <w:rStyle w:val="InstructionsTabelleText"/>
                <w:rFonts w:ascii="Times New Roman" w:hAnsi="Times New Roman"/>
                <w:sz w:val="24"/>
              </w:rPr>
              <w:t>L</w:t>
            </w:r>
            <w:r w:rsidR="000878EC">
              <w:rPr>
                <w:rStyle w:val="InstructionsTabelleText"/>
                <w:rFonts w:ascii="Times New Roman" w:hAnsi="Times New Roman"/>
                <w:sz w:val="24"/>
              </w:rPr>
              <w:t>'</w:t>
            </w:r>
            <w:r>
              <w:rPr>
                <w:rStyle w:val="InstructionsTabelleText"/>
                <w:rFonts w:ascii="Times New Roman" w:hAnsi="Times New Roman"/>
                <w:sz w:val="24"/>
              </w:rPr>
              <w:t>importo da segnalare comprende le relative riserve sovrapprezzo azioni.</w:t>
            </w:r>
          </w:p>
        </w:tc>
      </w:tr>
      <w:tr w:rsidR="002648B0" w:rsidRPr="00661595" w:rsidTr="00672D2A">
        <w:tc>
          <w:tcPr>
            <w:tcW w:w="703" w:type="dxa"/>
          </w:tcPr>
          <w:p w:rsidR="002648B0" w:rsidRPr="00661595" w:rsidRDefault="00606735" w:rsidP="005E0D2D">
            <w:pPr>
              <w:pStyle w:val="body"/>
              <w:suppressAutoHyphens/>
              <w:rPr>
                <w:rStyle w:val="InstructionsTabelleText"/>
                <w:rFonts w:ascii="Times New Roman" w:hAnsi="Times New Roman"/>
                <w:sz w:val="24"/>
              </w:rPr>
            </w:pPr>
            <w:r>
              <w:rPr>
                <w:rStyle w:val="InstructionsTabelleText"/>
                <w:rFonts w:ascii="Times New Roman" w:hAnsi="Times New Roman"/>
                <w:sz w:val="24"/>
              </w:rPr>
              <w:t>0020</w:t>
            </w:r>
          </w:p>
        </w:tc>
        <w:tc>
          <w:tcPr>
            <w:tcW w:w="7478" w:type="dxa"/>
          </w:tcPr>
          <w:p w:rsidR="005643EA" w:rsidRPr="00661595" w:rsidRDefault="00C66473" w:rsidP="005E0D2D">
            <w:pPr>
              <w:pStyle w:val="body"/>
              <w:suppressAutoHyphens/>
              <w:rPr>
                <w:rStyle w:val="InstructionsTabelleText"/>
                <w:rFonts w:ascii="Times New Roman" w:hAnsi="Times New Roman"/>
                <w:b/>
                <w:sz w:val="24"/>
                <w:u w:val="single"/>
              </w:rPr>
            </w:pPr>
            <w:r>
              <w:rPr>
                <w:rStyle w:val="InstructionsTabelleberschrift"/>
                <w:rFonts w:ascii="Times New Roman" w:hAnsi="Times New Roman"/>
                <w:sz w:val="24"/>
              </w:rPr>
              <w:t>2</w:t>
            </w:r>
            <w:r w:rsidRPr="00CD3018">
              <w:rPr>
                <w:u w:val="single"/>
              </w:rPr>
              <w:tab/>
            </w:r>
            <w:r>
              <w:rPr>
                <w:rStyle w:val="InstructionsTabelleberschrift"/>
                <w:rFonts w:ascii="Times New Roman" w:hAnsi="Times New Roman"/>
                <w:sz w:val="24"/>
              </w:rPr>
              <w:t>Strumenti ammissibili ai sensi dell</w:t>
            </w:r>
            <w:r w:rsidR="000878EC">
              <w:rPr>
                <w:rStyle w:val="InstructionsTabelleberschrift"/>
                <w:rFonts w:ascii="Times New Roman" w:hAnsi="Times New Roman"/>
                <w:sz w:val="24"/>
              </w:rPr>
              <w:t>'</w:t>
            </w:r>
            <w:r>
              <w:rPr>
                <w:rStyle w:val="InstructionsTabelleberschrift"/>
                <w:rFonts w:ascii="Times New Roman" w:hAnsi="Times New Roman"/>
                <w:sz w:val="24"/>
              </w:rPr>
              <w:t>articolo 57, lettera c bis), e dell</w:t>
            </w:r>
            <w:r w:rsidR="000878EC">
              <w:rPr>
                <w:rStyle w:val="InstructionsTabelleberschrift"/>
                <w:rFonts w:ascii="Times New Roman" w:hAnsi="Times New Roman"/>
                <w:sz w:val="24"/>
              </w:rPr>
              <w:t>'</w:t>
            </w:r>
            <w:r>
              <w:rPr>
                <w:rStyle w:val="InstructionsTabelleberschrift"/>
                <w:rFonts w:ascii="Times New Roman" w:hAnsi="Times New Roman"/>
                <w:sz w:val="24"/>
              </w:rPr>
              <w:t>articolo 154, paragrafi 8 e 9, della direttiva 2006/48/CE, fatto salvo il limite di cui all</w:t>
            </w:r>
            <w:r w:rsidR="000878EC">
              <w:rPr>
                <w:rStyle w:val="InstructionsTabelleberschrift"/>
                <w:rFonts w:ascii="Times New Roman" w:hAnsi="Times New Roman"/>
                <w:sz w:val="24"/>
              </w:rPr>
              <w:t>'</w:t>
            </w:r>
            <w:r>
              <w:rPr>
                <w:rStyle w:val="InstructionsTabelleberschrift"/>
                <w:rFonts w:ascii="Times New Roman" w:hAnsi="Times New Roman"/>
                <w:sz w:val="24"/>
              </w:rPr>
              <w:t>articolo 489 del CRR</w:t>
            </w:r>
          </w:p>
          <w:p w:rsidR="002648B0" w:rsidRPr="00661595" w:rsidRDefault="002648B0" w:rsidP="005E0D2D">
            <w:pPr>
              <w:pStyle w:val="body"/>
              <w:suppressAutoHyphens/>
              <w:rPr>
                <w:rStyle w:val="InstructionsTabelleText"/>
                <w:rFonts w:ascii="Times New Roman" w:hAnsi="Times New Roman"/>
                <w:sz w:val="24"/>
              </w:rPr>
            </w:pPr>
            <w:r>
              <w:rPr>
                <w:rStyle w:val="InstructionsTabelleText"/>
                <w:rFonts w:ascii="Times New Roman" w:hAnsi="Times New Roman"/>
                <w:sz w:val="24"/>
              </w:rPr>
              <w:t>Articolo 484, paragrafo 4, del CRR</w:t>
            </w:r>
          </w:p>
        </w:tc>
      </w:tr>
      <w:tr w:rsidR="002648B0" w:rsidRPr="00661595" w:rsidTr="00672D2A">
        <w:tc>
          <w:tcPr>
            <w:tcW w:w="703" w:type="dxa"/>
          </w:tcPr>
          <w:p w:rsidR="002648B0" w:rsidRPr="00661595" w:rsidRDefault="00606735" w:rsidP="005E0D2D">
            <w:pPr>
              <w:pStyle w:val="body"/>
              <w:suppressAutoHyphens/>
              <w:rPr>
                <w:rStyle w:val="InstructionsTabelleText"/>
                <w:rFonts w:ascii="Times New Roman" w:hAnsi="Times New Roman"/>
                <w:sz w:val="24"/>
              </w:rPr>
            </w:pPr>
            <w:r>
              <w:rPr>
                <w:rStyle w:val="InstructionsTabelleText"/>
                <w:rFonts w:ascii="Times New Roman" w:hAnsi="Times New Roman"/>
                <w:sz w:val="24"/>
              </w:rPr>
              <w:t>0030</w:t>
            </w:r>
          </w:p>
        </w:tc>
        <w:tc>
          <w:tcPr>
            <w:tcW w:w="7478" w:type="dxa"/>
          </w:tcPr>
          <w:p w:rsidR="00496C53" w:rsidRPr="00661595" w:rsidRDefault="002648B0" w:rsidP="005E0D2D">
            <w:pPr>
              <w:pStyle w:val="body"/>
              <w:suppressAutoHyphens/>
              <w:rPr>
                <w:rStyle w:val="InstructionsTabelleText"/>
                <w:rFonts w:ascii="Times New Roman" w:hAnsi="Times New Roman"/>
                <w:b/>
                <w:sz w:val="24"/>
                <w:u w:val="single"/>
              </w:rPr>
            </w:pPr>
            <w:r>
              <w:rPr>
                <w:rStyle w:val="InstructionsTabelleberschrift"/>
                <w:rFonts w:ascii="Times New Roman" w:hAnsi="Times New Roman"/>
                <w:sz w:val="24"/>
              </w:rPr>
              <w:t>2.1</w:t>
            </w:r>
            <w:r w:rsidRPr="00CD3018">
              <w:rPr>
                <w:u w:val="single"/>
              </w:rPr>
              <w:tab/>
            </w:r>
            <w:r>
              <w:rPr>
                <w:rStyle w:val="InstructionsTabelleberschrift"/>
                <w:rFonts w:ascii="Times New Roman" w:hAnsi="Times New Roman"/>
                <w:sz w:val="24"/>
              </w:rPr>
              <w:t>Strumenti totali senza opzione call o incentivo al rimborso</w:t>
            </w:r>
          </w:p>
          <w:p w:rsidR="002648B0" w:rsidRPr="00661595" w:rsidRDefault="002648B0" w:rsidP="005E0D2D">
            <w:pPr>
              <w:pStyle w:val="body"/>
              <w:suppressAutoHyphens/>
              <w:rPr>
                <w:rStyle w:val="InstructionsTabelleText"/>
                <w:rFonts w:ascii="Times New Roman" w:hAnsi="Times New Roman"/>
                <w:bCs/>
                <w:sz w:val="24"/>
              </w:rPr>
            </w:pPr>
            <w:r>
              <w:rPr>
                <w:rStyle w:val="InstructionsTabelleText"/>
                <w:rFonts w:ascii="Times New Roman" w:hAnsi="Times New Roman"/>
                <w:sz w:val="24"/>
              </w:rPr>
              <w:t>Articolo 484, paragrafo 4, e articolo 489 del CRR</w:t>
            </w:r>
          </w:p>
          <w:p w:rsidR="002648B0" w:rsidRPr="00661595" w:rsidRDefault="002648B0" w:rsidP="005E0D2D">
            <w:pPr>
              <w:pStyle w:val="body"/>
              <w:suppressAutoHyphens/>
              <w:rPr>
                <w:rStyle w:val="InstructionsTabelleText"/>
                <w:rFonts w:ascii="Times New Roman" w:hAnsi="Times New Roman"/>
                <w:sz w:val="24"/>
              </w:rPr>
            </w:pPr>
            <w:r>
              <w:rPr>
                <w:rStyle w:val="InstructionsTabelleText"/>
                <w:rFonts w:ascii="Times New Roman" w:hAnsi="Times New Roman"/>
                <w:sz w:val="24"/>
              </w:rPr>
              <w:t>L</w:t>
            </w:r>
            <w:r w:rsidR="000878EC">
              <w:rPr>
                <w:rStyle w:val="InstructionsTabelleText"/>
                <w:rFonts w:ascii="Times New Roman" w:hAnsi="Times New Roman"/>
                <w:sz w:val="24"/>
              </w:rPr>
              <w:t>'</w:t>
            </w:r>
            <w:r>
              <w:rPr>
                <w:rStyle w:val="InstructionsTabelleText"/>
                <w:rFonts w:ascii="Times New Roman" w:hAnsi="Times New Roman"/>
                <w:sz w:val="24"/>
              </w:rPr>
              <w:t>importo da segnalare comprende le relative riserve sovrapprezzo azioni.</w:t>
            </w:r>
          </w:p>
        </w:tc>
      </w:tr>
      <w:tr w:rsidR="002648B0" w:rsidRPr="00661595" w:rsidTr="00672D2A">
        <w:tc>
          <w:tcPr>
            <w:tcW w:w="703" w:type="dxa"/>
          </w:tcPr>
          <w:p w:rsidR="002648B0" w:rsidRPr="00661595" w:rsidRDefault="00606735" w:rsidP="005E0D2D">
            <w:pPr>
              <w:pStyle w:val="body"/>
              <w:suppressAutoHyphens/>
              <w:rPr>
                <w:rStyle w:val="InstructionsTabelleText"/>
                <w:rFonts w:ascii="Times New Roman" w:hAnsi="Times New Roman"/>
                <w:sz w:val="24"/>
              </w:rPr>
            </w:pPr>
            <w:r>
              <w:rPr>
                <w:rStyle w:val="InstructionsTabelleText"/>
                <w:rFonts w:ascii="Times New Roman" w:hAnsi="Times New Roman"/>
                <w:sz w:val="24"/>
              </w:rPr>
              <w:t>0040</w:t>
            </w:r>
          </w:p>
        </w:tc>
        <w:tc>
          <w:tcPr>
            <w:tcW w:w="7478" w:type="dxa"/>
          </w:tcPr>
          <w:p w:rsidR="005643EA" w:rsidRPr="00661595" w:rsidRDefault="002648B0" w:rsidP="005E0D2D">
            <w:pPr>
              <w:pStyle w:val="body"/>
              <w:suppressAutoHyphens/>
              <w:rPr>
                <w:rStyle w:val="InstructionsTabelleText"/>
                <w:rFonts w:ascii="Times New Roman" w:hAnsi="Times New Roman"/>
                <w:b/>
                <w:sz w:val="24"/>
                <w:u w:val="single"/>
              </w:rPr>
            </w:pPr>
            <w:r>
              <w:rPr>
                <w:rStyle w:val="InstructionsTabelleberschrift"/>
                <w:rFonts w:ascii="Times New Roman" w:hAnsi="Times New Roman"/>
                <w:sz w:val="24"/>
              </w:rPr>
              <w:t>2.2</w:t>
            </w:r>
            <w:r w:rsidRPr="00CD3018">
              <w:rPr>
                <w:u w:val="single"/>
              </w:rPr>
              <w:tab/>
            </w:r>
            <w:r>
              <w:rPr>
                <w:rStyle w:val="InstructionsTabelleberschrift"/>
                <w:rFonts w:ascii="Times New Roman" w:hAnsi="Times New Roman"/>
                <w:sz w:val="24"/>
              </w:rPr>
              <w:t>Strumenti con opzione call e incentivo al rimborso soggetti alla clausola grandfathering</w:t>
            </w:r>
          </w:p>
          <w:p w:rsidR="005643EA" w:rsidRPr="00661595" w:rsidRDefault="002648B0" w:rsidP="005E0D2D">
            <w:pPr>
              <w:pStyle w:val="body"/>
              <w:suppressAutoHyphens/>
              <w:rPr>
                <w:rStyle w:val="InstructionsTabelleText"/>
                <w:rFonts w:ascii="Times New Roman" w:hAnsi="Times New Roman"/>
                <w:bCs/>
                <w:sz w:val="24"/>
              </w:rPr>
            </w:pPr>
            <w:r>
              <w:rPr>
                <w:rStyle w:val="InstructionsTabelleText"/>
                <w:rFonts w:ascii="Times New Roman" w:hAnsi="Times New Roman"/>
                <w:sz w:val="24"/>
              </w:rPr>
              <w:t>Articolo 489 del CRR</w:t>
            </w:r>
          </w:p>
        </w:tc>
      </w:tr>
      <w:tr w:rsidR="002648B0" w:rsidRPr="00661595" w:rsidTr="00672D2A">
        <w:tc>
          <w:tcPr>
            <w:tcW w:w="703" w:type="dxa"/>
          </w:tcPr>
          <w:p w:rsidR="002648B0" w:rsidRPr="00661595" w:rsidRDefault="00606735" w:rsidP="005E0D2D">
            <w:pPr>
              <w:pStyle w:val="body"/>
              <w:suppressAutoHyphens/>
              <w:rPr>
                <w:rStyle w:val="InstructionsTabelleText"/>
                <w:rFonts w:ascii="Times New Roman" w:hAnsi="Times New Roman"/>
                <w:sz w:val="24"/>
              </w:rPr>
            </w:pPr>
            <w:r>
              <w:rPr>
                <w:rStyle w:val="InstructionsTabelleText"/>
                <w:rFonts w:ascii="Times New Roman" w:hAnsi="Times New Roman"/>
                <w:sz w:val="24"/>
              </w:rPr>
              <w:t>0050</w:t>
            </w:r>
          </w:p>
        </w:tc>
        <w:tc>
          <w:tcPr>
            <w:tcW w:w="7478" w:type="dxa"/>
          </w:tcPr>
          <w:p w:rsidR="005643EA" w:rsidRPr="00661595" w:rsidRDefault="002648B0" w:rsidP="005E0D2D">
            <w:pPr>
              <w:pStyle w:val="body"/>
              <w:suppressAutoHyphens/>
              <w:rPr>
                <w:rStyle w:val="InstructionsTabelleText"/>
                <w:rFonts w:ascii="Times New Roman" w:hAnsi="Times New Roman"/>
                <w:b/>
                <w:bCs/>
                <w:sz w:val="24"/>
                <w:u w:val="single"/>
              </w:rPr>
            </w:pPr>
            <w:r>
              <w:rPr>
                <w:rStyle w:val="InstructionsTabelleberschrift"/>
                <w:rFonts w:ascii="Times New Roman" w:hAnsi="Times New Roman"/>
                <w:sz w:val="24"/>
              </w:rPr>
              <w:t>2.2.1</w:t>
            </w:r>
            <w:r w:rsidRPr="00CD3018">
              <w:rPr>
                <w:u w:val="single"/>
              </w:rPr>
              <w:tab/>
            </w:r>
            <w:r>
              <w:rPr>
                <w:rStyle w:val="InstructionsTabelleberschrift"/>
                <w:rFonts w:ascii="Times New Roman" w:hAnsi="Times New Roman"/>
                <w:sz w:val="24"/>
              </w:rPr>
              <w:t>Strumenti con opzione call esercitabile dopo la data di riferimento per le segnalazioni che soddisfano le condizioni di cui all</w:t>
            </w:r>
            <w:r w:rsidR="000878EC">
              <w:rPr>
                <w:rStyle w:val="InstructionsTabelleberschrift"/>
                <w:rFonts w:ascii="Times New Roman" w:hAnsi="Times New Roman"/>
                <w:sz w:val="24"/>
              </w:rPr>
              <w:t>'</w:t>
            </w:r>
            <w:r>
              <w:rPr>
                <w:rStyle w:val="InstructionsTabelleberschrift"/>
                <w:rFonts w:ascii="Times New Roman" w:hAnsi="Times New Roman"/>
                <w:sz w:val="24"/>
              </w:rPr>
              <w:t>articolo 52 del CRR dopo la data di scadenza effettiva</w:t>
            </w:r>
          </w:p>
          <w:p w:rsidR="005643EA" w:rsidRPr="00661595" w:rsidRDefault="002648B0" w:rsidP="005E0D2D">
            <w:pPr>
              <w:pStyle w:val="body"/>
              <w:suppressAutoHyphens/>
              <w:rPr>
                <w:rStyle w:val="InstructionsTabelleText"/>
                <w:rFonts w:ascii="Times New Roman" w:hAnsi="Times New Roman"/>
                <w:sz w:val="24"/>
              </w:rPr>
            </w:pPr>
            <w:r>
              <w:rPr>
                <w:rStyle w:val="InstructionsTabelleText"/>
                <w:rFonts w:ascii="Times New Roman" w:hAnsi="Times New Roman"/>
                <w:sz w:val="24"/>
              </w:rPr>
              <w:t>Articolo 489, paragrafo 3, e articolo 491, lettera a), del CRR</w:t>
            </w:r>
          </w:p>
          <w:p w:rsidR="002648B0" w:rsidRPr="00661595" w:rsidRDefault="002648B0" w:rsidP="005E0D2D">
            <w:pPr>
              <w:pStyle w:val="body"/>
              <w:suppressAutoHyphens/>
              <w:rPr>
                <w:rStyle w:val="InstructionsTabelleText"/>
                <w:rFonts w:ascii="Times New Roman" w:hAnsi="Times New Roman"/>
                <w:sz w:val="24"/>
              </w:rPr>
            </w:pPr>
            <w:r>
              <w:rPr>
                <w:rStyle w:val="InstructionsTabelleText"/>
                <w:rFonts w:ascii="Times New Roman" w:hAnsi="Times New Roman"/>
                <w:sz w:val="24"/>
              </w:rPr>
              <w:t>L</w:t>
            </w:r>
            <w:r w:rsidR="000878EC">
              <w:rPr>
                <w:rStyle w:val="InstructionsTabelleText"/>
                <w:rFonts w:ascii="Times New Roman" w:hAnsi="Times New Roman"/>
                <w:sz w:val="24"/>
              </w:rPr>
              <w:t>'</w:t>
            </w:r>
            <w:r>
              <w:rPr>
                <w:rStyle w:val="InstructionsTabelleText"/>
                <w:rFonts w:ascii="Times New Roman" w:hAnsi="Times New Roman"/>
                <w:sz w:val="24"/>
              </w:rPr>
              <w:t>importo da segnalare comprende le relative riserve sovrapprezzo azioni.</w:t>
            </w:r>
          </w:p>
        </w:tc>
      </w:tr>
      <w:tr w:rsidR="002648B0" w:rsidRPr="00661595" w:rsidTr="00672D2A">
        <w:tc>
          <w:tcPr>
            <w:tcW w:w="703" w:type="dxa"/>
          </w:tcPr>
          <w:p w:rsidR="002648B0" w:rsidRPr="00661595" w:rsidRDefault="00606735" w:rsidP="005E0D2D">
            <w:pPr>
              <w:pStyle w:val="body"/>
              <w:suppressAutoHyphens/>
              <w:rPr>
                <w:rStyle w:val="InstructionsTabelleText"/>
                <w:rFonts w:ascii="Times New Roman" w:hAnsi="Times New Roman"/>
                <w:sz w:val="24"/>
              </w:rPr>
            </w:pPr>
            <w:r>
              <w:rPr>
                <w:rStyle w:val="InstructionsTabelleText"/>
                <w:rFonts w:ascii="Times New Roman" w:hAnsi="Times New Roman"/>
                <w:sz w:val="24"/>
              </w:rPr>
              <w:t>0060</w:t>
            </w:r>
          </w:p>
        </w:tc>
        <w:tc>
          <w:tcPr>
            <w:tcW w:w="7478" w:type="dxa"/>
          </w:tcPr>
          <w:p w:rsidR="005643EA" w:rsidRPr="00661595" w:rsidRDefault="002648B0" w:rsidP="005E0D2D">
            <w:pPr>
              <w:pStyle w:val="body"/>
              <w:suppressAutoHyphens/>
              <w:rPr>
                <w:rStyle w:val="InstructionsTabelleText"/>
                <w:rFonts w:ascii="Times New Roman" w:hAnsi="Times New Roman"/>
                <w:b/>
                <w:sz w:val="24"/>
                <w:u w:val="single"/>
              </w:rPr>
            </w:pPr>
            <w:r>
              <w:rPr>
                <w:rStyle w:val="InstructionsTabelleberschrift"/>
                <w:rFonts w:ascii="Times New Roman" w:hAnsi="Times New Roman"/>
                <w:sz w:val="24"/>
              </w:rPr>
              <w:t>2.2.2</w:t>
            </w:r>
            <w:r w:rsidRPr="00CD3018">
              <w:rPr>
                <w:u w:val="single"/>
              </w:rPr>
              <w:tab/>
            </w:r>
            <w:r>
              <w:rPr>
                <w:rStyle w:val="InstructionsTabelleberschrift"/>
                <w:rFonts w:ascii="Times New Roman" w:hAnsi="Times New Roman"/>
                <w:sz w:val="24"/>
              </w:rPr>
              <w:t>Strumenti con opzione call esercitabile dopo la data di riferimento per le segnalazioni che non soddisfano le condizioni di cui all</w:t>
            </w:r>
            <w:r w:rsidR="000878EC">
              <w:rPr>
                <w:rStyle w:val="InstructionsTabelleberschrift"/>
                <w:rFonts w:ascii="Times New Roman" w:hAnsi="Times New Roman"/>
                <w:sz w:val="24"/>
              </w:rPr>
              <w:t>'</w:t>
            </w:r>
            <w:r>
              <w:rPr>
                <w:rStyle w:val="InstructionsTabelleberschrift"/>
                <w:rFonts w:ascii="Times New Roman" w:hAnsi="Times New Roman"/>
                <w:sz w:val="24"/>
              </w:rPr>
              <w:t>articolo 52 del CRR dopo la data di scadenza effettiva</w:t>
            </w:r>
          </w:p>
          <w:p w:rsidR="009F1550" w:rsidRPr="00661595" w:rsidRDefault="009F1550" w:rsidP="005E0D2D">
            <w:pPr>
              <w:pStyle w:val="body"/>
              <w:suppressAutoHyphens/>
              <w:rPr>
                <w:rStyle w:val="InstructionsTabelleText"/>
                <w:rFonts w:ascii="Times New Roman" w:hAnsi="Times New Roman"/>
                <w:sz w:val="24"/>
              </w:rPr>
            </w:pPr>
            <w:r>
              <w:rPr>
                <w:rStyle w:val="InstructionsTabelleText"/>
                <w:rFonts w:ascii="Times New Roman" w:hAnsi="Times New Roman"/>
                <w:sz w:val="24"/>
              </w:rPr>
              <w:t>Articolo 489, paragrafo 5, e articolo 491, lettera a), del CRR</w:t>
            </w:r>
          </w:p>
          <w:p w:rsidR="002648B0" w:rsidRPr="00661595" w:rsidRDefault="002648B0" w:rsidP="005E0D2D">
            <w:pPr>
              <w:pStyle w:val="body"/>
              <w:suppressAutoHyphens/>
              <w:rPr>
                <w:rStyle w:val="InstructionsTabelleText"/>
                <w:rFonts w:ascii="Times New Roman" w:hAnsi="Times New Roman"/>
                <w:sz w:val="24"/>
              </w:rPr>
            </w:pPr>
            <w:r>
              <w:rPr>
                <w:rStyle w:val="InstructionsTabelleText"/>
                <w:rFonts w:ascii="Times New Roman" w:hAnsi="Times New Roman"/>
                <w:sz w:val="24"/>
              </w:rPr>
              <w:t>L</w:t>
            </w:r>
            <w:r w:rsidR="000878EC">
              <w:rPr>
                <w:rStyle w:val="InstructionsTabelleText"/>
                <w:rFonts w:ascii="Times New Roman" w:hAnsi="Times New Roman"/>
                <w:sz w:val="24"/>
              </w:rPr>
              <w:t>'</w:t>
            </w:r>
            <w:r>
              <w:rPr>
                <w:rStyle w:val="InstructionsTabelleText"/>
                <w:rFonts w:ascii="Times New Roman" w:hAnsi="Times New Roman"/>
                <w:sz w:val="24"/>
              </w:rPr>
              <w:t>importo da segnalare comprende le relative riserve sovrapprezzo azioni.</w:t>
            </w:r>
          </w:p>
        </w:tc>
      </w:tr>
      <w:tr w:rsidR="002648B0" w:rsidRPr="00661595" w:rsidTr="00672D2A">
        <w:tc>
          <w:tcPr>
            <w:tcW w:w="703" w:type="dxa"/>
          </w:tcPr>
          <w:p w:rsidR="002648B0" w:rsidRPr="00661595" w:rsidRDefault="00606735" w:rsidP="005E0D2D">
            <w:pPr>
              <w:pStyle w:val="body"/>
              <w:suppressAutoHyphens/>
              <w:rPr>
                <w:rStyle w:val="InstructionsTabelleText"/>
                <w:rFonts w:ascii="Times New Roman" w:hAnsi="Times New Roman"/>
                <w:sz w:val="24"/>
              </w:rPr>
            </w:pPr>
            <w:r>
              <w:rPr>
                <w:rStyle w:val="InstructionsTabelleText"/>
                <w:rFonts w:ascii="Times New Roman" w:hAnsi="Times New Roman"/>
                <w:sz w:val="24"/>
              </w:rPr>
              <w:t>0070</w:t>
            </w:r>
          </w:p>
        </w:tc>
        <w:tc>
          <w:tcPr>
            <w:tcW w:w="7478" w:type="dxa"/>
          </w:tcPr>
          <w:p w:rsidR="005643EA" w:rsidRPr="00661595" w:rsidRDefault="002648B0" w:rsidP="005E0D2D">
            <w:pPr>
              <w:pStyle w:val="body"/>
              <w:suppressAutoHyphens/>
              <w:rPr>
                <w:rStyle w:val="InstructionsTabelleText"/>
                <w:rFonts w:ascii="Times New Roman" w:hAnsi="Times New Roman"/>
                <w:b/>
                <w:sz w:val="24"/>
                <w:u w:val="single"/>
              </w:rPr>
            </w:pPr>
            <w:r>
              <w:rPr>
                <w:rStyle w:val="InstructionsTabelleberschrift"/>
                <w:rFonts w:ascii="Times New Roman" w:hAnsi="Times New Roman"/>
                <w:sz w:val="24"/>
              </w:rPr>
              <w:t>2.2.3</w:t>
            </w:r>
            <w:r w:rsidRPr="00CD3018">
              <w:rPr>
                <w:u w:val="single"/>
              </w:rPr>
              <w:tab/>
            </w:r>
            <w:r>
              <w:rPr>
                <w:rStyle w:val="InstructionsTabelleberschrift"/>
                <w:rFonts w:ascii="Times New Roman" w:hAnsi="Times New Roman"/>
                <w:sz w:val="24"/>
              </w:rPr>
              <w:t>Strumenti con opzione call esercitabile prima del o il 20 luglio 2011 che non soddisfano le condizioni di cui all</w:t>
            </w:r>
            <w:r w:rsidR="000878EC">
              <w:rPr>
                <w:rStyle w:val="InstructionsTabelleberschrift"/>
                <w:rFonts w:ascii="Times New Roman" w:hAnsi="Times New Roman"/>
                <w:sz w:val="24"/>
              </w:rPr>
              <w:t>'</w:t>
            </w:r>
            <w:r>
              <w:rPr>
                <w:rStyle w:val="InstructionsTabelleberschrift"/>
                <w:rFonts w:ascii="Times New Roman" w:hAnsi="Times New Roman"/>
                <w:sz w:val="24"/>
              </w:rPr>
              <w:t>articolo 52 del CRR dopo la data di scadenza effettiva</w:t>
            </w:r>
          </w:p>
          <w:p w:rsidR="009F1550" w:rsidRPr="00661595" w:rsidRDefault="009F1550" w:rsidP="005E0D2D">
            <w:pPr>
              <w:pStyle w:val="body"/>
              <w:suppressAutoHyphens/>
              <w:rPr>
                <w:rStyle w:val="InstructionsTabelleText"/>
                <w:rFonts w:ascii="Times New Roman" w:hAnsi="Times New Roman"/>
                <w:sz w:val="24"/>
              </w:rPr>
            </w:pPr>
            <w:r>
              <w:rPr>
                <w:rStyle w:val="InstructionsTabelleText"/>
                <w:rFonts w:ascii="Times New Roman" w:hAnsi="Times New Roman"/>
                <w:sz w:val="24"/>
              </w:rPr>
              <w:t>Articolo 489, paragrafo 6, e articolo 491, lettera c), del CRR</w:t>
            </w:r>
          </w:p>
          <w:p w:rsidR="002648B0" w:rsidRPr="00661595" w:rsidRDefault="002648B0" w:rsidP="005E0D2D">
            <w:pPr>
              <w:pStyle w:val="body"/>
              <w:suppressAutoHyphens/>
              <w:rPr>
                <w:rStyle w:val="InstructionsTabelleText"/>
                <w:rFonts w:ascii="Times New Roman" w:hAnsi="Times New Roman"/>
                <w:sz w:val="24"/>
              </w:rPr>
            </w:pPr>
            <w:r>
              <w:rPr>
                <w:rStyle w:val="InstructionsTabelleText"/>
                <w:rFonts w:ascii="Times New Roman" w:hAnsi="Times New Roman"/>
                <w:sz w:val="24"/>
              </w:rPr>
              <w:t>L</w:t>
            </w:r>
            <w:r w:rsidR="000878EC">
              <w:rPr>
                <w:rStyle w:val="InstructionsTabelleText"/>
                <w:rFonts w:ascii="Times New Roman" w:hAnsi="Times New Roman"/>
                <w:sz w:val="24"/>
              </w:rPr>
              <w:t>'</w:t>
            </w:r>
            <w:r>
              <w:rPr>
                <w:rStyle w:val="InstructionsTabelleText"/>
                <w:rFonts w:ascii="Times New Roman" w:hAnsi="Times New Roman"/>
                <w:sz w:val="24"/>
              </w:rPr>
              <w:t>importo da segnalare comprende le relative riserve sovrapprezzo azioni.</w:t>
            </w:r>
          </w:p>
        </w:tc>
      </w:tr>
      <w:tr w:rsidR="002648B0" w:rsidRPr="00661595" w:rsidTr="00672D2A">
        <w:tc>
          <w:tcPr>
            <w:tcW w:w="703" w:type="dxa"/>
          </w:tcPr>
          <w:p w:rsidR="002648B0" w:rsidRPr="00661595" w:rsidRDefault="00606735" w:rsidP="00CD3018">
            <w:pPr>
              <w:pStyle w:val="body"/>
              <w:keepNext/>
              <w:keepLines/>
              <w:suppressAutoHyphens/>
              <w:rPr>
                <w:rStyle w:val="InstructionsTabelleText"/>
                <w:rFonts w:ascii="Times New Roman" w:hAnsi="Times New Roman"/>
                <w:sz w:val="24"/>
              </w:rPr>
            </w:pPr>
            <w:r>
              <w:rPr>
                <w:rStyle w:val="InstructionsTabelleText"/>
                <w:rFonts w:ascii="Times New Roman" w:hAnsi="Times New Roman"/>
                <w:sz w:val="24"/>
              </w:rPr>
              <w:t>0080</w:t>
            </w:r>
          </w:p>
        </w:tc>
        <w:tc>
          <w:tcPr>
            <w:tcW w:w="7478" w:type="dxa"/>
          </w:tcPr>
          <w:p w:rsidR="005643EA" w:rsidRPr="00661595" w:rsidRDefault="002648B0" w:rsidP="00CD3018">
            <w:pPr>
              <w:pStyle w:val="body"/>
              <w:keepNext/>
              <w:keepLines/>
              <w:suppressAutoHyphens/>
              <w:rPr>
                <w:rStyle w:val="InstructionsTabelleText"/>
                <w:rFonts w:ascii="Times New Roman" w:hAnsi="Times New Roman"/>
                <w:b/>
                <w:bCs/>
                <w:sz w:val="24"/>
                <w:u w:val="single"/>
              </w:rPr>
            </w:pPr>
            <w:r>
              <w:rPr>
                <w:rStyle w:val="InstructionsTabelleberschrift"/>
                <w:rFonts w:ascii="Times New Roman" w:hAnsi="Times New Roman"/>
                <w:sz w:val="24"/>
              </w:rPr>
              <w:t>2.3</w:t>
            </w:r>
            <w:r w:rsidRPr="00CD3018">
              <w:rPr>
                <w:u w:val="single"/>
              </w:rPr>
              <w:tab/>
            </w:r>
            <w:r>
              <w:rPr>
                <w:rStyle w:val="InstructionsTabelleberschrift"/>
                <w:rFonts w:ascii="Times New Roman" w:hAnsi="Times New Roman"/>
                <w:sz w:val="24"/>
              </w:rPr>
              <w:t>Eccesso rispetto al limite degli strumenti di capitale primario di classe 1 soggetti alla clausola grandfathering</w:t>
            </w:r>
          </w:p>
          <w:p w:rsidR="002648B0" w:rsidRPr="00661595" w:rsidRDefault="002648B0" w:rsidP="00CD3018">
            <w:pPr>
              <w:pStyle w:val="body"/>
              <w:keepNext/>
              <w:keepLines/>
              <w:suppressAutoHyphens/>
              <w:rPr>
                <w:rStyle w:val="InstructionsTabelleText"/>
                <w:rFonts w:ascii="Times New Roman" w:hAnsi="Times New Roman"/>
                <w:sz w:val="24"/>
              </w:rPr>
            </w:pPr>
            <w:r>
              <w:rPr>
                <w:rStyle w:val="InstructionsTabelleText"/>
                <w:rFonts w:ascii="Times New Roman" w:hAnsi="Times New Roman"/>
                <w:sz w:val="24"/>
              </w:rPr>
              <w:t>Articolo 487, paragrafo 1, del CRR</w:t>
            </w:r>
          </w:p>
          <w:p w:rsidR="002648B0" w:rsidRPr="00661595" w:rsidRDefault="002648B0" w:rsidP="00CD3018">
            <w:pPr>
              <w:pStyle w:val="body"/>
              <w:keepNext/>
              <w:keepLines/>
              <w:suppressAutoHyphens/>
              <w:rPr>
                <w:rStyle w:val="InstructionsTabelleText"/>
                <w:rFonts w:ascii="Times New Roman" w:hAnsi="Times New Roman"/>
                <w:sz w:val="24"/>
              </w:rPr>
            </w:pPr>
            <w:r>
              <w:rPr>
                <w:rStyle w:val="InstructionsTabelleText"/>
                <w:rFonts w:ascii="Times New Roman" w:hAnsi="Times New Roman"/>
                <w:sz w:val="24"/>
              </w:rPr>
              <w:t>L</w:t>
            </w:r>
            <w:r w:rsidR="000878EC">
              <w:rPr>
                <w:rStyle w:val="InstructionsTabelleText"/>
                <w:rFonts w:ascii="Times New Roman" w:hAnsi="Times New Roman"/>
                <w:sz w:val="24"/>
              </w:rPr>
              <w:t>'</w:t>
            </w:r>
            <w:r>
              <w:rPr>
                <w:rStyle w:val="InstructionsTabelleText"/>
                <w:rFonts w:ascii="Times New Roman" w:hAnsi="Times New Roman"/>
                <w:sz w:val="24"/>
              </w:rPr>
              <w:t>importo eccedente il limite degli strumenti di capitale primario di classe 1 soggetti alla clausola grandfathering può essere trattato alla stregua degli strumenti assoggettabili alla clausola grandfathering come strumenti di capitale aggiuntivo di classe 1.</w:t>
            </w:r>
          </w:p>
        </w:tc>
      </w:tr>
      <w:tr w:rsidR="002648B0" w:rsidRPr="00661595" w:rsidTr="00672D2A">
        <w:tc>
          <w:tcPr>
            <w:tcW w:w="703" w:type="dxa"/>
          </w:tcPr>
          <w:p w:rsidR="002648B0" w:rsidRPr="00661595" w:rsidRDefault="00606735" w:rsidP="005E0D2D">
            <w:pPr>
              <w:pStyle w:val="body"/>
              <w:suppressAutoHyphens/>
              <w:rPr>
                <w:rStyle w:val="InstructionsTabelleText"/>
                <w:rFonts w:ascii="Times New Roman" w:hAnsi="Times New Roman"/>
                <w:sz w:val="24"/>
              </w:rPr>
            </w:pPr>
            <w:r>
              <w:rPr>
                <w:rStyle w:val="InstructionsTabelleText"/>
                <w:rFonts w:ascii="Times New Roman" w:hAnsi="Times New Roman"/>
                <w:sz w:val="24"/>
              </w:rPr>
              <w:t>0090</w:t>
            </w:r>
          </w:p>
        </w:tc>
        <w:tc>
          <w:tcPr>
            <w:tcW w:w="7478" w:type="dxa"/>
          </w:tcPr>
          <w:p w:rsidR="005643EA" w:rsidRPr="00661595" w:rsidRDefault="00C66473" w:rsidP="005E0D2D">
            <w:pPr>
              <w:pStyle w:val="body"/>
              <w:suppressAutoHyphens/>
              <w:rPr>
                <w:rStyle w:val="InstructionsTabelleText"/>
                <w:rFonts w:ascii="Times New Roman" w:hAnsi="Times New Roman"/>
                <w:b/>
                <w:sz w:val="24"/>
                <w:u w:val="single"/>
              </w:rPr>
            </w:pPr>
            <w:r>
              <w:rPr>
                <w:rStyle w:val="InstructionsTabelleberschrift"/>
                <w:rFonts w:ascii="Times New Roman" w:hAnsi="Times New Roman"/>
                <w:sz w:val="24"/>
              </w:rPr>
              <w:t>3</w:t>
            </w:r>
            <w:r w:rsidRPr="00CD3018">
              <w:rPr>
                <w:u w:val="single"/>
              </w:rPr>
              <w:tab/>
            </w:r>
            <w:r>
              <w:rPr>
                <w:rStyle w:val="InstructionsTabelleberschrift"/>
                <w:rFonts w:ascii="Times New Roman" w:hAnsi="Times New Roman"/>
                <w:sz w:val="24"/>
              </w:rPr>
              <w:t>Elementi ammissibili ai sensi dell</w:t>
            </w:r>
            <w:r w:rsidR="000878EC">
              <w:rPr>
                <w:rStyle w:val="InstructionsTabelleberschrift"/>
                <w:rFonts w:ascii="Times New Roman" w:hAnsi="Times New Roman"/>
                <w:sz w:val="24"/>
              </w:rPr>
              <w:t>'</w:t>
            </w:r>
            <w:r>
              <w:rPr>
                <w:rStyle w:val="InstructionsTabelleberschrift"/>
                <w:rFonts w:ascii="Times New Roman" w:hAnsi="Times New Roman"/>
                <w:sz w:val="24"/>
              </w:rPr>
              <w:t>articolo 57, lettere e), f), g) o h), della direttiva 2006/48/CE, fatto salvo il limite di cui all</w:t>
            </w:r>
            <w:r w:rsidR="000878EC">
              <w:rPr>
                <w:rStyle w:val="InstructionsTabelleberschrift"/>
                <w:rFonts w:ascii="Times New Roman" w:hAnsi="Times New Roman"/>
                <w:sz w:val="24"/>
              </w:rPr>
              <w:t>'</w:t>
            </w:r>
            <w:r>
              <w:rPr>
                <w:rStyle w:val="InstructionsTabelleberschrift"/>
                <w:rFonts w:ascii="Times New Roman" w:hAnsi="Times New Roman"/>
                <w:sz w:val="24"/>
              </w:rPr>
              <w:t>articolo 490 del CRR</w:t>
            </w:r>
          </w:p>
          <w:p w:rsidR="005643EA" w:rsidRPr="00661595" w:rsidRDefault="002648B0" w:rsidP="005E0D2D">
            <w:pPr>
              <w:pStyle w:val="body"/>
              <w:suppressAutoHyphens/>
              <w:rPr>
                <w:rStyle w:val="InstructionsTabelleText"/>
                <w:rFonts w:ascii="Times New Roman" w:hAnsi="Times New Roman"/>
                <w:bCs/>
                <w:sz w:val="24"/>
              </w:rPr>
            </w:pPr>
            <w:r>
              <w:rPr>
                <w:rStyle w:val="InstructionsTabelleText"/>
                <w:rFonts w:ascii="Times New Roman" w:hAnsi="Times New Roman"/>
                <w:sz w:val="24"/>
              </w:rPr>
              <w:t>Articolo 484, paragrafo 5, del CRR</w:t>
            </w:r>
          </w:p>
        </w:tc>
      </w:tr>
      <w:tr w:rsidR="002648B0" w:rsidRPr="00661595" w:rsidTr="00672D2A">
        <w:tc>
          <w:tcPr>
            <w:tcW w:w="703" w:type="dxa"/>
          </w:tcPr>
          <w:p w:rsidR="002648B0" w:rsidRPr="00661595" w:rsidRDefault="00606735" w:rsidP="005E0D2D">
            <w:pPr>
              <w:pStyle w:val="body"/>
              <w:suppressAutoHyphens/>
              <w:rPr>
                <w:rStyle w:val="InstructionsTabelleText"/>
                <w:rFonts w:ascii="Times New Roman" w:hAnsi="Times New Roman"/>
                <w:sz w:val="24"/>
              </w:rPr>
            </w:pPr>
            <w:r>
              <w:rPr>
                <w:rStyle w:val="InstructionsTabelleText"/>
                <w:rFonts w:ascii="Times New Roman" w:hAnsi="Times New Roman"/>
                <w:sz w:val="24"/>
              </w:rPr>
              <w:t>0100</w:t>
            </w:r>
          </w:p>
        </w:tc>
        <w:tc>
          <w:tcPr>
            <w:tcW w:w="7478" w:type="dxa"/>
          </w:tcPr>
          <w:p w:rsidR="005643EA" w:rsidRPr="00661595" w:rsidRDefault="002648B0" w:rsidP="005E0D2D">
            <w:pPr>
              <w:pStyle w:val="body"/>
              <w:suppressAutoHyphens/>
              <w:rPr>
                <w:rStyle w:val="InstructionsTabelleText"/>
                <w:rFonts w:ascii="Times New Roman" w:hAnsi="Times New Roman"/>
                <w:b/>
                <w:bCs/>
                <w:sz w:val="24"/>
                <w:u w:val="single"/>
              </w:rPr>
            </w:pPr>
            <w:r>
              <w:rPr>
                <w:rStyle w:val="InstructionsTabelleberschrift"/>
                <w:rFonts w:ascii="Times New Roman" w:hAnsi="Times New Roman"/>
                <w:sz w:val="24"/>
              </w:rPr>
              <w:t>3.1</w:t>
            </w:r>
            <w:r w:rsidRPr="00CD3018">
              <w:rPr>
                <w:u w:val="single"/>
              </w:rPr>
              <w:tab/>
            </w:r>
            <w:r>
              <w:rPr>
                <w:rStyle w:val="InstructionsTabelleberschrift"/>
                <w:rFonts w:ascii="Times New Roman" w:hAnsi="Times New Roman"/>
                <w:sz w:val="24"/>
              </w:rPr>
              <w:t>Elementi totali senza incentivo al rimborso</w:t>
            </w:r>
          </w:p>
          <w:p w:rsidR="005643EA" w:rsidRPr="00661595" w:rsidRDefault="002648B0" w:rsidP="005E0D2D">
            <w:pPr>
              <w:pStyle w:val="body"/>
              <w:suppressAutoHyphens/>
              <w:rPr>
                <w:rStyle w:val="InstructionsTabelleText"/>
                <w:rFonts w:ascii="Times New Roman" w:hAnsi="Times New Roman"/>
                <w:sz w:val="24"/>
              </w:rPr>
            </w:pPr>
            <w:r>
              <w:rPr>
                <w:rStyle w:val="InstructionsTabelleText"/>
                <w:rFonts w:ascii="Times New Roman" w:hAnsi="Times New Roman"/>
                <w:sz w:val="24"/>
              </w:rPr>
              <w:t>Articolo 490 del CRR</w:t>
            </w:r>
          </w:p>
        </w:tc>
      </w:tr>
      <w:tr w:rsidR="002648B0" w:rsidRPr="00661595" w:rsidTr="00672D2A">
        <w:tc>
          <w:tcPr>
            <w:tcW w:w="703" w:type="dxa"/>
          </w:tcPr>
          <w:p w:rsidR="002648B0" w:rsidRPr="00661595" w:rsidRDefault="00606735" w:rsidP="005E0D2D">
            <w:pPr>
              <w:pStyle w:val="body"/>
              <w:suppressAutoHyphens/>
              <w:rPr>
                <w:rStyle w:val="InstructionsTabelleText"/>
                <w:rFonts w:ascii="Times New Roman" w:hAnsi="Times New Roman"/>
                <w:sz w:val="24"/>
              </w:rPr>
            </w:pPr>
            <w:r>
              <w:rPr>
                <w:rStyle w:val="InstructionsTabelleText"/>
                <w:rFonts w:ascii="Times New Roman" w:hAnsi="Times New Roman"/>
                <w:sz w:val="24"/>
              </w:rPr>
              <w:t>0110</w:t>
            </w:r>
          </w:p>
        </w:tc>
        <w:tc>
          <w:tcPr>
            <w:tcW w:w="7478" w:type="dxa"/>
          </w:tcPr>
          <w:p w:rsidR="005643EA" w:rsidRPr="00661595" w:rsidRDefault="002648B0" w:rsidP="005E0D2D">
            <w:pPr>
              <w:pStyle w:val="body"/>
              <w:suppressAutoHyphens/>
              <w:rPr>
                <w:rStyle w:val="InstructionsTabelleText"/>
                <w:rFonts w:ascii="Times New Roman" w:hAnsi="Times New Roman"/>
                <w:b/>
                <w:bCs/>
                <w:sz w:val="24"/>
                <w:u w:val="single"/>
              </w:rPr>
            </w:pPr>
            <w:r>
              <w:rPr>
                <w:rStyle w:val="InstructionsTabelleberschrift"/>
                <w:rFonts w:ascii="Times New Roman" w:hAnsi="Times New Roman"/>
                <w:sz w:val="24"/>
              </w:rPr>
              <w:t>3.2</w:t>
            </w:r>
            <w:r w:rsidRPr="00CD3018">
              <w:rPr>
                <w:u w:val="single"/>
              </w:rPr>
              <w:tab/>
            </w:r>
            <w:r>
              <w:rPr>
                <w:rStyle w:val="InstructionsTabelleberschrift"/>
                <w:rFonts w:ascii="Times New Roman" w:hAnsi="Times New Roman"/>
                <w:sz w:val="24"/>
              </w:rPr>
              <w:t>Elementi con incentivo al rimborso soggetti alla clausola grandfathering</w:t>
            </w:r>
          </w:p>
          <w:p w:rsidR="005643EA" w:rsidRPr="00661595" w:rsidRDefault="002648B0" w:rsidP="005E0D2D">
            <w:pPr>
              <w:pStyle w:val="body"/>
              <w:suppressAutoHyphens/>
              <w:rPr>
                <w:rStyle w:val="InstructionsTabelleText"/>
                <w:rFonts w:ascii="Times New Roman" w:hAnsi="Times New Roman"/>
                <w:sz w:val="24"/>
              </w:rPr>
            </w:pPr>
            <w:r>
              <w:rPr>
                <w:rStyle w:val="InstructionsTabelleText"/>
                <w:rFonts w:ascii="Times New Roman" w:hAnsi="Times New Roman"/>
                <w:sz w:val="24"/>
              </w:rPr>
              <w:t>Articolo 490 del CRR</w:t>
            </w:r>
          </w:p>
        </w:tc>
      </w:tr>
      <w:tr w:rsidR="002648B0" w:rsidRPr="00661595" w:rsidTr="00672D2A">
        <w:tc>
          <w:tcPr>
            <w:tcW w:w="703" w:type="dxa"/>
          </w:tcPr>
          <w:p w:rsidR="002648B0" w:rsidRPr="00661595" w:rsidRDefault="00606735" w:rsidP="005E0D2D">
            <w:pPr>
              <w:pStyle w:val="body"/>
              <w:suppressAutoHyphens/>
              <w:rPr>
                <w:rStyle w:val="InstructionsTabelleText"/>
                <w:rFonts w:ascii="Times New Roman" w:hAnsi="Times New Roman"/>
                <w:sz w:val="24"/>
              </w:rPr>
            </w:pPr>
            <w:r>
              <w:rPr>
                <w:rStyle w:val="InstructionsTabelleText"/>
                <w:rFonts w:ascii="Times New Roman" w:hAnsi="Times New Roman"/>
                <w:sz w:val="24"/>
              </w:rPr>
              <w:t>0120</w:t>
            </w:r>
          </w:p>
        </w:tc>
        <w:tc>
          <w:tcPr>
            <w:tcW w:w="7478" w:type="dxa"/>
          </w:tcPr>
          <w:p w:rsidR="005643EA" w:rsidRPr="00661595" w:rsidRDefault="002648B0" w:rsidP="005E0D2D">
            <w:pPr>
              <w:pStyle w:val="body"/>
              <w:suppressAutoHyphens/>
              <w:rPr>
                <w:rStyle w:val="InstructionsTabelleText"/>
                <w:rFonts w:ascii="Times New Roman" w:hAnsi="Times New Roman"/>
                <w:b/>
                <w:bCs/>
                <w:sz w:val="24"/>
                <w:u w:val="single"/>
              </w:rPr>
            </w:pPr>
            <w:r>
              <w:rPr>
                <w:rStyle w:val="InstructionsTabelleberschrift"/>
                <w:rFonts w:ascii="Times New Roman" w:hAnsi="Times New Roman"/>
                <w:sz w:val="24"/>
              </w:rPr>
              <w:t>3.2.1</w:t>
            </w:r>
            <w:r w:rsidRPr="00CD3018">
              <w:rPr>
                <w:u w:val="single"/>
              </w:rPr>
              <w:tab/>
            </w:r>
            <w:r>
              <w:rPr>
                <w:rStyle w:val="InstructionsTabelleberschrift"/>
                <w:rFonts w:ascii="Times New Roman" w:hAnsi="Times New Roman"/>
                <w:sz w:val="24"/>
              </w:rPr>
              <w:t>Elementi con opzione call esercitabile dopo la data di riferimento per le segnalazioni che soddisfano le condizioni di cui all</w:t>
            </w:r>
            <w:r w:rsidR="000878EC">
              <w:rPr>
                <w:rStyle w:val="InstructionsTabelleberschrift"/>
                <w:rFonts w:ascii="Times New Roman" w:hAnsi="Times New Roman"/>
                <w:sz w:val="24"/>
              </w:rPr>
              <w:t>'</w:t>
            </w:r>
            <w:r>
              <w:rPr>
                <w:rStyle w:val="InstructionsTabelleberschrift"/>
                <w:rFonts w:ascii="Times New Roman" w:hAnsi="Times New Roman"/>
                <w:sz w:val="24"/>
              </w:rPr>
              <w:t>articolo 63 del CRR dopo la data di scadenza effettiva</w:t>
            </w:r>
          </w:p>
          <w:p w:rsidR="002648B0" w:rsidRPr="00661595" w:rsidRDefault="002648B0" w:rsidP="005E0D2D">
            <w:pPr>
              <w:pStyle w:val="body"/>
              <w:suppressAutoHyphens/>
              <w:rPr>
                <w:rStyle w:val="InstructionsTabelleText"/>
                <w:rFonts w:ascii="Times New Roman" w:hAnsi="Times New Roman"/>
                <w:sz w:val="24"/>
              </w:rPr>
            </w:pPr>
            <w:r>
              <w:rPr>
                <w:rStyle w:val="InstructionsTabelleText"/>
                <w:rFonts w:ascii="Times New Roman" w:hAnsi="Times New Roman"/>
                <w:sz w:val="24"/>
              </w:rPr>
              <w:t>Articolo 490, paragrafo 3, e articolo 491, lettera a), del CRR</w:t>
            </w:r>
          </w:p>
          <w:p w:rsidR="002648B0" w:rsidRPr="00661595" w:rsidRDefault="002648B0" w:rsidP="005E0D2D">
            <w:pPr>
              <w:pStyle w:val="body"/>
              <w:suppressAutoHyphens/>
              <w:rPr>
                <w:rStyle w:val="InstructionsTabelleText"/>
                <w:rFonts w:ascii="Times New Roman" w:hAnsi="Times New Roman"/>
                <w:sz w:val="24"/>
              </w:rPr>
            </w:pPr>
            <w:r>
              <w:rPr>
                <w:rStyle w:val="InstructionsTabelleText"/>
                <w:rFonts w:ascii="Times New Roman" w:hAnsi="Times New Roman"/>
                <w:sz w:val="24"/>
              </w:rPr>
              <w:t>L</w:t>
            </w:r>
            <w:r w:rsidR="000878EC">
              <w:rPr>
                <w:rStyle w:val="InstructionsTabelleText"/>
                <w:rFonts w:ascii="Times New Roman" w:hAnsi="Times New Roman"/>
                <w:sz w:val="24"/>
              </w:rPr>
              <w:t>'</w:t>
            </w:r>
            <w:r>
              <w:rPr>
                <w:rStyle w:val="InstructionsTabelleText"/>
                <w:rFonts w:ascii="Times New Roman" w:hAnsi="Times New Roman"/>
                <w:sz w:val="24"/>
              </w:rPr>
              <w:t>importo da segnalare comprende le relative riserve sovrapprezzo azioni.</w:t>
            </w:r>
          </w:p>
        </w:tc>
      </w:tr>
      <w:tr w:rsidR="002648B0" w:rsidRPr="00661595" w:rsidTr="00672D2A">
        <w:tc>
          <w:tcPr>
            <w:tcW w:w="703" w:type="dxa"/>
          </w:tcPr>
          <w:p w:rsidR="002648B0" w:rsidRPr="00661595" w:rsidRDefault="00606735" w:rsidP="005E0D2D">
            <w:pPr>
              <w:pStyle w:val="body"/>
              <w:suppressAutoHyphens/>
              <w:rPr>
                <w:rStyle w:val="InstructionsTabelleText"/>
                <w:rFonts w:ascii="Times New Roman" w:hAnsi="Times New Roman"/>
                <w:sz w:val="24"/>
              </w:rPr>
            </w:pPr>
            <w:r>
              <w:rPr>
                <w:rStyle w:val="InstructionsTabelleText"/>
                <w:rFonts w:ascii="Times New Roman" w:hAnsi="Times New Roman"/>
                <w:sz w:val="24"/>
              </w:rPr>
              <w:t>0130</w:t>
            </w:r>
          </w:p>
        </w:tc>
        <w:tc>
          <w:tcPr>
            <w:tcW w:w="7478" w:type="dxa"/>
          </w:tcPr>
          <w:p w:rsidR="005643EA" w:rsidRPr="00661595" w:rsidRDefault="002648B0" w:rsidP="005E0D2D">
            <w:pPr>
              <w:pStyle w:val="body"/>
              <w:suppressAutoHyphens/>
              <w:rPr>
                <w:rStyle w:val="InstructionsTabelleText"/>
                <w:rFonts w:ascii="Times New Roman" w:hAnsi="Times New Roman"/>
                <w:b/>
                <w:sz w:val="24"/>
                <w:u w:val="single"/>
              </w:rPr>
            </w:pPr>
            <w:r>
              <w:rPr>
                <w:rStyle w:val="InstructionsTabelleberschrift"/>
                <w:rFonts w:ascii="Times New Roman" w:hAnsi="Times New Roman"/>
                <w:sz w:val="24"/>
              </w:rPr>
              <w:t>3.2.2</w:t>
            </w:r>
            <w:r w:rsidRPr="00CD3018">
              <w:rPr>
                <w:u w:val="single"/>
              </w:rPr>
              <w:tab/>
            </w:r>
            <w:r>
              <w:rPr>
                <w:rStyle w:val="InstructionsTabelleberschrift"/>
                <w:rFonts w:ascii="Times New Roman" w:hAnsi="Times New Roman"/>
                <w:sz w:val="24"/>
              </w:rPr>
              <w:t>Elementi con opzione call esercitabile dopo la data di riferimento per le segnalazioni che non soddisfano le condizioni di cui all</w:t>
            </w:r>
            <w:r w:rsidR="000878EC">
              <w:rPr>
                <w:rStyle w:val="InstructionsTabelleberschrift"/>
                <w:rFonts w:ascii="Times New Roman" w:hAnsi="Times New Roman"/>
                <w:sz w:val="24"/>
              </w:rPr>
              <w:t>'</w:t>
            </w:r>
            <w:r>
              <w:rPr>
                <w:rStyle w:val="InstructionsTabelleberschrift"/>
                <w:rFonts w:ascii="Times New Roman" w:hAnsi="Times New Roman"/>
                <w:sz w:val="24"/>
              </w:rPr>
              <w:t>articolo 63 del CRR dopo la data di scadenza effettiva</w:t>
            </w:r>
          </w:p>
          <w:p w:rsidR="009F1550" w:rsidRPr="00661595" w:rsidRDefault="009F1550" w:rsidP="005E0D2D">
            <w:pPr>
              <w:pStyle w:val="body"/>
              <w:suppressAutoHyphens/>
              <w:rPr>
                <w:rStyle w:val="InstructionsTabelleText"/>
                <w:rFonts w:ascii="Times New Roman" w:hAnsi="Times New Roman"/>
                <w:sz w:val="24"/>
              </w:rPr>
            </w:pPr>
            <w:r>
              <w:rPr>
                <w:rStyle w:val="InstructionsTabelleText"/>
                <w:rFonts w:ascii="Times New Roman" w:hAnsi="Times New Roman"/>
                <w:sz w:val="24"/>
              </w:rPr>
              <w:t>Articolo 490, paragrafo 5, e articolo 491, lettera a), del CRR</w:t>
            </w:r>
          </w:p>
          <w:p w:rsidR="002648B0" w:rsidRPr="00661595" w:rsidRDefault="007C3B71" w:rsidP="005E0D2D">
            <w:pPr>
              <w:pStyle w:val="body"/>
              <w:suppressAutoHyphens/>
              <w:rPr>
                <w:rStyle w:val="InstructionsTabelleText"/>
                <w:rFonts w:ascii="Times New Roman" w:hAnsi="Times New Roman"/>
                <w:sz w:val="24"/>
              </w:rPr>
            </w:pPr>
            <w:r>
              <w:rPr>
                <w:rStyle w:val="InstructionsTabelleText"/>
                <w:rFonts w:ascii="Times New Roman" w:hAnsi="Times New Roman"/>
                <w:sz w:val="24"/>
              </w:rPr>
              <w:t>L</w:t>
            </w:r>
            <w:r w:rsidR="000878EC">
              <w:rPr>
                <w:rStyle w:val="InstructionsTabelleText"/>
                <w:rFonts w:ascii="Times New Roman" w:hAnsi="Times New Roman"/>
                <w:sz w:val="24"/>
              </w:rPr>
              <w:t>'</w:t>
            </w:r>
            <w:r>
              <w:rPr>
                <w:rStyle w:val="InstructionsTabelleText"/>
                <w:rFonts w:ascii="Times New Roman" w:hAnsi="Times New Roman"/>
                <w:sz w:val="24"/>
              </w:rPr>
              <w:t>importo da segnalare comprende le relative riserve sovrapprezzo azioni.</w:t>
            </w:r>
          </w:p>
        </w:tc>
      </w:tr>
      <w:tr w:rsidR="002648B0" w:rsidRPr="00661595" w:rsidTr="00672D2A">
        <w:tc>
          <w:tcPr>
            <w:tcW w:w="703" w:type="dxa"/>
          </w:tcPr>
          <w:p w:rsidR="002648B0" w:rsidRPr="00661595" w:rsidRDefault="00606735" w:rsidP="005E0D2D">
            <w:pPr>
              <w:pStyle w:val="body"/>
              <w:suppressAutoHyphens/>
              <w:rPr>
                <w:rStyle w:val="InstructionsTabelleText"/>
                <w:rFonts w:ascii="Times New Roman" w:hAnsi="Times New Roman"/>
                <w:sz w:val="24"/>
              </w:rPr>
            </w:pPr>
            <w:r>
              <w:rPr>
                <w:rStyle w:val="InstructionsTabelleText"/>
                <w:rFonts w:ascii="Times New Roman" w:hAnsi="Times New Roman"/>
                <w:sz w:val="24"/>
              </w:rPr>
              <w:t>0140</w:t>
            </w:r>
          </w:p>
        </w:tc>
        <w:tc>
          <w:tcPr>
            <w:tcW w:w="7478" w:type="dxa"/>
          </w:tcPr>
          <w:p w:rsidR="00496C53" w:rsidRPr="00661595" w:rsidRDefault="002648B0" w:rsidP="005E0D2D">
            <w:pPr>
              <w:pStyle w:val="body"/>
              <w:suppressAutoHyphens/>
              <w:rPr>
                <w:rStyle w:val="InstructionsTabelleberschrift"/>
                <w:rFonts w:ascii="Times New Roman" w:hAnsi="Times New Roman"/>
                <w:bCs w:val="0"/>
                <w:sz w:val="24"/>
              </w:rPr>
            </w:pPr>
            <w:r>
              <w:rPr>
                <w:rStyle w:val="InstructionsTabelleberschrift"/>
                <w:rFonts w:ascii="Times New Roman" w:hAnsi="Times New Roman"/>
                <w:sz w:val="24"/>
              </w:rPr>
              <w:t>3.2.3</w:t>
            </w:r>
            <w:r w:rsidRPr="00CD3018">
              <w:rPr>
                <w:u w:val="single"/>
              </w:rPr>
              <w:tab/>
            </w:r>
            <w:r>
              <w:rPr>
                <w:rStyle w:val="InstructionsTabelleberschrift"/>
                <w:rFonts w:ascii="Times New Roman" w:hAnsi="Times New Roman"/>
                <w:sz w:val="24"/>
              </w:rPr>
              <w:t>Elementi con opzione call esercitabile prima del o il 20 luglio 2011 che non soddisfano le condizioni di cui all</w:t>
            </w:r>
            <w:r w:rsidR="000878EC">
              <w:rPr>
                <w:rStyle w:val="InstructionsTabelleberschrift"/>
                <w:rFonts w:ascii="Times New Roman" w:hAnsi="Times New Roman"/>
                <w:sz w:val="24"/>
              </w:rPr>
              <w:t>'</w:t>
            </w:r>
            <w:r>
              <w:rPr>
                <w:rStyle w:val="InstructionsTabelleberschrift"/>
                <w:rFonts w:ascii="Times New Roman" w:hAnsi="Times New Roman"/>
                <w:sz w:val="24"/>
              </w:rPr>
              <w:t>articolo 63 del CRR dopo la data di scadenza effettiva</w:t>
            </w:r>
          </w:p>
          <w:p w:rsidR="009F1550" w:rsidRPr="00661595" w:rsidRDefault="009F1550" w:rsidP="005E0D2D">
            <w:pPr>
              <w:pStyle w:val="body"/>
              <w:suppressAutoHyphens/>
              <w:rPr>
                <w:rStyle w:val="InstructionsTabelleText"/>
                <w:rFonts w:ascii="Times New Roman" w:hAnsi="Times New Roman"/>
                <w:sz w:val="24"/>
              </w:rPr>
            </w:pPr>
            <w:r>
              <w:rPr>
                <w:rStyle w:val="InstructionsTabelleText"/>
                <w:rFonts w:ascii="Times New Roman" w:hAnsi="Times New Roman"/>
                <w:sz w:val="24"/>
              </w:rPr>
              <w:t>Articolo 490, paragrafo 6, e articolo 491, lettera c), del CRR</w:t>
            </w:r>
          </w:p>
          <w:p w:rsidR="002648B0" w:rsidRPr="00661595" w:rsidRDefault="002648B0" w:rsidP="005E0D2D">
            <w:pPr>
              <w:pStyle w:val="body"/>
              <w:suppressAutoHyphens/>
              <w:rPr>
                <w:rStyle w:val="InstructionsTabelleText"/>
                <w:rFonts w:ascii="Times New Roman" w:hAnsi="Times New Roman"/>
                <w:sz w:val="24"/>
              </w:rPr>
            </w:pPr>
            <w:r>
              <w:rPr>
                <w:rStyle w:val="InstructionsTabelleText"/>
                <w:rFonts w:ascii="Times New Roman" w:hAnsi="Times New Roman"/>
                <w:sz w:val="24"/>
              </w:rPr>
              <w:t>L</w:t>
            </w:r>
            <w:r w:rsidR="000878EC">
              <w:rPr>
                <w:rStyle w:val="InstructionsTabelleText"/>
                <w:rFonts w:ascii="Times New Roman" w:hAnsi="Times New Roman"/>
                <w:sz w:val="24"/>
              </w:rPr>
              <w:t>'</w:t>
            </w:r>
            <w:r>
              <w:rPr>
                <w:rStyle w:val="InstructionsTabelleText"/>
                <w:rFonts w:ascii="Times New Roman" w:hAnsi="Times New Roman"/>
                <w:sz w:val="24"/>
              </w:rPr>
              <w:t>importo da segnalare comprende le relative riserve sovrapprezzo azioni.</w:t>
            </w:r>
          </w:p>
        </w:tc>
      </w:tr>
      <w:tr w:rsidR="002648B0" w:rsidRPr="00661595" w:rsidTr="00672D2A">
        <w:tc>
          <w:tcPr>
            <w:tcW w:w="703" w:type="dxa"/>
          </w:tcPr>
          <w:p w:rsidR="002648B0" w:rsidRPr="00661595" w:rsidRDefault="00606735" w:rsidP="005E0D2D">
            <w:pPr>
              <w:pStyle w:val="body"/>
              <w:suppressAutoHyphens/>
              <w:rPr>
                <w:rStyle w:val="InstructionsTabelleText"/>
                <w:rFonts w:ascii="Times New Roman" w:hAnsi="Times New Roman"/>
                <w:sz w:val="24"/>
              </w:rPr>
            </w:pPr>
            <w:r>
              <w:rPr>
                <w:rStyle w:val="InstructionsTabelleText"/>
                <w:rFonts w:ascii="Times New Roman" w:hAnsi="Times New Roman"/>
                <w:sz w:val="24"/>
              </w:rPr>
              <w:t>0150</w:t>
            </w:r>
          </w:p>
        </w:tc>
        <w:tc>
          <w:tcPr>
            <w:tcW w:w="7478" w:type="dxa"/>
          </w:tcPr>
          <w:p w:rsidR="005643EA" w:rsidRPr="00661595" w:rsidRDefault="002648B0" w:rsidP="005E0D2D">
            <w:pPr>
              <w:pStyle w:val="body"/>
              <w:suppressAutoHyphens/>
              <w:rPr>
                <w:rStyle w:val="InstructionsTabelleberschrift"/>
                <w:rFonts w:ascii="Times New Roman" w:hAnsi="Times New Roman"/>
                <w:sz w:val="24"/>
              </w:rPr>
            </w:pPr>
            <w:r>
              <w:rPr>
                <w:rStyle w:val="InstructionsTabelleberschrift"/>
                <w:rFonts w:ascii="Times New Roman" w:hAnsi="Times New Roman"/>
                <w:sz w:val="24"/>
              </w:rPr>
              <w:t>3.3</w:t>
            </w:r>
            <w:r w:rsidRPr="00CD3018">
              <w:rPr>
                <w:u w:val="single"/>
              </w:rPr>
              <w:tab/>
            </w:r>
            <w:r>
              <w:rPr>
                <w:rStyle w:val="InstructionsTabelleberschrift"/>
                <w:rFonts w:ascii="Times New Roman" w:hAnsi="Times New Roman"/>
                <w:sz w:val="24"/>
              </w:rPr>
              <w:t>Eccesso rispetto al limite degli strumenti di capitale aggiuntivo di classe 1 soggetti alla clausola grandfathering</w:t>
            </w:r>
          </w:p>
          <w:p w:rsidR="002648B0" w:rsidRPr="00661595" w:rsidRDefault="002648B0" w:rsidP="005E0D2D">
            <w:pPr>
              <w:pStyle w:val="body"/>
              <w:suppressAutoHyphens/>
              <w:rPr>
                <w:rStyle w:val="InstructionsTabelleText"/>
                <w:rFonts w:ascii="Times New Roman" w:hAnsi="Times New Roman"/>
                <w:sz w:val="24"/>
              </w:rPr>
            </w:pPr>
            <w:r>
              <w:rPr>
                <w:rStyle w:val="InstructionsTabelleText"/>
                <w:rFonts w:ascii="Times New Roman" w:hAnsi="Times New Roman"/>
                <w:sz w:val="24"/>
              </w:rPr>
              <w:t xml:space="preserve">Articolo 487, paragrafo 2, del CRR </w:t>
            </w:r>
          </w:p>
          <w:p w:rsidR="002648B0" w:rsidRPr="00661595" w:rsidRDefault="002648B0" w:rsidP="005E0D2D">
            <w:pPr>
              <w:pStyle w:val="body"/>
              <w:suppressAutoHyphens/>
              <w:rPr>
                <w:rStyle w:val="InstructionsTabelleText"/>
                <w:rFonts w:ascii="Times New Roman" w:hAnsi="Times New Roman"/>
                <w:sz w:val="24"/>
              </w:rPr>
            </w:pPr>
            <w:r>
              <w:rPr>
                <w:rStyle w:val="InstructionsTabelleText"/>
                <w:rFonts w:ascii="Times New Roman" w:hAnsi="Times New Roman"/>
                <w:sz w:val="24"/>
              </w:rPr>
              <w:t>L</w:t>
            </w:r>
            <w:r w:rsidR="000878EC">
              <w:rPr>
                <w:rStyle w:val="InstructionsTabelleText"/>
                <w:rFonts w:ascii="Times New Roman" w:hAnsi="Times New Roman"/>
                <w:sz w:val="24"/>
              </w:rPr>
              <w:t>'</w:t>
            </w:r>
            <w:r>
              <w:rPr>
                <w:rStyle w:val="InstructionsTabelleText"/>
                <w:rFonts w:ascii="Times New Roman" w:hAnsi="Times New Roman"/>
                <w:sz w:val="24"/>
              </w:rPr>
              <w:t>importo eccedente il limite degli strumenti di capitale aggiuntivo di classe 1 soggetti alla clausola grandfathering può essere trattato alla stregua degli strumenti assoggettabili alla clausola grandfathering come strumenti di classe 2.</w:t>
            </w:r>
          </w:p>
        </w:tc>
      </w:tr>
    </w:tbl>
    <w:p w:rsidR="00464F34" w:rsidRPr="00661595" w:rsidRDefault="00464F34" w:rsidP="000911FE">
      <w:pPr>
        <w:pStyle w:val="body"/>
        <w:rPr>
          <w:u w:val="single"/>
        </w:rPr>
      </w:pPr>
      <w:bookmarkStart w:id="89" w:name="_Toc239157372"/>
      <w:bookmarkStart w:id="90" w:name="_Toc295829844"/>
      <w:bookmarkStart w:id="91" w:name="_Toc330394185"/>
      <w:bookmarkEnd w:id="0"/>
      <w:bookmarkEnd w:id="1"/>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92" w:name="_Toc473560887"/>
      <w:bookmarkStart w:id="93" w:name="_Toc58915730"/>
      <w:bookmarkEnd w:id="89"/>
      <w:bookmarkEnd w:id="90"/>
      <w:bookmarkEnd w:id="91"/>
      <w:r>
        <w:rPr>
          <w:rFonts w:ascii="Times New Roman" w:hAnsi="Times New Roman"/>
          <w:sz w:val="24"/>
          <w:u w:val="none"/>
        </w:rPr>
        <w:t>2.</w:t>
      </w:r>
      <w:r w:rsidRPr="00CD3018">
        <w:rPr>
          <w:u w:val="none"/>
        </w:rPr>
        <w:tab/>
      </w:r>
      <w:r>
        <w:rPr>
          <w:rFonts w:ascii="Times New Roman" w:hAnsi="Times New Roman"/>
          <w:sz w:val="24"/>
        </w:rPr>
        <w:t xml:space="preserve">SOLVIBILITÀ DEL GRUPPO: </w:t>
      </w:r>
      <w:bookmarkStart w:id="94" w:name="_Toc360188339"/>
      <w:r>
        <w:rPr>
          <w:rFonts w:ascii="Times New Roman" w:hAnsi="Times New Roman"/>
          <w:sz w:val="24"/>
        </w:rPr>
        <w:t>INFORMAZIONI SULLE AFFILIATE (GS</w:t>
      </w:r>
      <w:bookmarkEnd w:id="94"/>
      <w:r>
        <w:rPr>
          <w:rFonts w:ascii="Times New Roman" w:hAnsi="Times New Roman"/>
          <w:sz w:val="24"/>
        </w:rPr>
        <w:t>)</w:t>
      </w:r>
      <w:bookmarkEnd w:id="92"/>
      <w:bookmarkEnd w:id="93"/>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95" w:name="_Toc264038416"/>
      <w:bookmarkStart w:id="96" w:name="_Toc295829845"/>
      <w:bookmarkStart w:id="97" w:name="_Toc310415011"/>
      <w:bookmarkStart w:id="98" w:name="_Toc330394186"/>
      <w:bookmarkStart w:id="99" w:name="_Toc360188340"/>
      <w:bookmarkStart w:id="100" w:name="_Toc473560888"/>
      <w:bookmarkStart w:id="101" w:name="_Toc58915731"/>
      <w:r>
        <w:rPr>
          <w:rFonts w:ascii="Times New Roman" w:hAnsi="Times New Roman"/>
          <w:sz w:val="24"/>
          <w:u w:val="none"/>
        </w:rPr>
        <w:t>2.1.</w:t>
      </w:r>
      <w:r w:rsidRPr="00CD3018">
        <w:rPr>
          <w:u w:val="none"/>
        </w:rPr>
        <w:tab/>
      </w:r>
      <w:r>
        <w:rPr>
          <w:rFonts w:ascii="Times New Roman" w:hAnsi="Times New Roman"/>
          <w:sz w:val="24"/>
        </w:rPr>
        <w:t>Osservazioni di carattere generale</w:t>
      </w:r>
      <w:bookmarkEnd w:id="95"/>
      <w:bookmarkEnd w:id="96"/>
      <w:bookmarkEnd w:id="97"/>
      <w:bookmarkEnd w:id="98"/>
      <w:bookmarkEnd w:id="99"/>
      <w:bookmarkEnd w:id="100"/>
      <w:bookmarkEnd w:id="101"/>
    </w:p>
    <w:p w:rsidR="00464F34" w:rsidRPr="00661595" w:rsidRDefault="00A971CA" w:rsidP="00BD1A14">
      <w:pPr>
        <w:pStyle w:val="InstructionsText2"/>
        <w:numPr>
          <w:ilvl w:val="0"/>
          <w:numId w:val="0"/>
        </w:numPr>
        <w:ind w:left="1800" w:hanging="360"/>
      </w:pPr>
      <w:r>
        <w:fldChar w:fldCharType="begin"/>
      </w:r>
      <w:r>
        <w:instrText xml:space="preserve"> seq paragraphs </w:instrText>
      </w:r>
      <w:r>
        <w:fldChar w:fldCharType="separate"/>
      </w:r>
      <w:r w:rsidR="00D11E4C">
        <w:rPr>
          <w:noProof/>
        </w:rPr>
        <w:t>27</w:t>
      </w:r>
      <w:r>
        <w:rPr>
          <w:noProof/>
        </w:rPr>
        <w:fldChar w:fldCharType="end"/>
      </w:r>
      <w:r w:rsidR="00D11E4C">
        <w:t>.</w:t>
      </w:r>
      <w:r w:rsidR="00D11E4C">
        <w:tab/>
        <w:t>I modelli C 06.01 e C 06.02 sono compilati se i requisiti di fondi propri sono calcolati su base consolidata. Il modello C 06.02 consta di quattro parti e raccoglie informazioni diverse su tutti i singoli soggetti (compreso l</w:t>
      </w:r>
      <w:r w:rsidR="000878EC">
        <w:t>'</w:t>
      </w:r>
      <w:r w:rsidR="00D11E4C">
        <w:t>ente segnalante) inclusi nel consolidamento:</w:t>
      </w:r>
    </w:p>
    <w:p w:rsidR="00C93697" w:rsidRPr="00661595" w:rsidRDefault="00125707" w:rsidP="00BD1A14">
      <w:pPr>
        <w:pStyle w:val="InstructionsText2"/>
        <w:numPr>
          <w:ilvl w:val="0"/>
          <w:numId w:val="0"/>
        </w:numPr>
        <w:ind w:left="1800" w:hanging="360"/>
      </w:pPr>
      <w:r>
        <w:t>a)</w:t>
      </w:r>
      <w:r>
        <w:tab/>
        <w:t>soggetti inclusi nel consolidamento;</w:t>
      </w:r>
    </w:p>
    <w:p w:rsidR="00C93697" w:rsidRPr="00661595" w:rsidRDefault="00125707" w:rsidP="00BD1A14">
      <w:pPr>
        <w:pStyle w:val="InstructionsText2"/>
        <w:numPr>
          <w:ilvl w:val="0"/>
          <w:numId w:val="0"/>
        </w:numPr>
        <w:ind w:left="1800" w:hanging="360"/>
      </w:pPr>
      <w:r>
        <w:t>b)</w:t>
      </w:r>
      <w:r>
        <w:tab/>
        <w:t>informazioni dettagliate sulla solvibilità del gruppo;</w:t>
      </w:r>
    </w:p>
    <w:p w:rsidR="00C93697" w:rsidRPr="00661595" w:rsidRDefault="00125707" w:rsidP="00BD1A14">
      <w:pPr>
        <w:pStyle w:val="InstructionsText2"/>
        <w:numPr>
          <w:ilvl w:val="0"/>
          <w:numId w:val="0"/>
        </w:numPr>
        <w:ind w:left="1800" w:hanging="360"/>
      </w:pPr>
      <w:r>
        <w:t>c)</w:t>
      </w:r>
      <w:r>
        <w:tab/>
        <w:t>informazioni sul contributo dei singoli soggetti alla solvibilità del gruppo;</w:t>
      </w:r>
    </w:p>
    <w:p w:rsidR="00C93697" w:rsidRPr="00661595" w:rsidRDefault="00125707" w:rsidP="00BD1A14">
      <w:pPr>
        <w:pStyle w:val="InstructionsText2"/>
        <w:numPr>
          <w:ilvl w:val="0"/>
          <w:numId w:val="0"/>
        </w:numPr>
        <w:ind w:left="1800" w:hanging="360"/>
      </w:pPr>
      <w:r>
        <w:t>d)</w:t>
      </w:r>
      <w:r>
        <w:tab/>
        <w:t>informazioni sulle riserve di capitale.</w:t>
      </w:r>
    </w:p>
    <w:p w:rsidR="00464F34" w:rsidRPr="00661595" w:rsidRDefault="00A971CA" w:rsidP="00BD1A14">
      <w:pPr>
        <w:pStyle w:val="InstructionsText2"/>
        <w:numPr>
          <w:ilvl w:val="0"/>
          <w:numId w:val="0"/>
        </w:numPr>
        <w:ind w:left="1800" w:hanging="360"/>
      </w:pPr>
      <w:r>
        <w:fldChar w:fldCharType="begin"/>
      </w:r>
      <w:r>
        <w:instrText xml:space="preserve"> seq paragraphs </w:instrText>
      </w:r>
      <w:r>
        <w:fldChar w:fldCharType="separate"/>
      </w:r>
      <w:r w:rsidR="00D11E4C">
        <w:rPr>
          <w:noProof/>
        </w:rPr>
        <w:t>28</w:t>
      </w:r>
      <w:r>
        <w:rPr>
          <w:noProof/>
        </w:rPr>
        <w:fldChar w:fldCharType="end"/>
      </w:r>
      <w:r w:rsidR="00D11E4C">
        <w:t>.</w:t>
      </w:r>
      <w:r w:rsidR="00D11E4C">
        <w:tab/>
        <w:t>Gli enti che hanno ottenuto la deroga di cui all</w:t>
      </w:r>
      <w:r w:rsidR="000878EC">
        <w:t>'</w:t>
      </w:r>
      <w:r w:rsidR="00D11E4C">
        <w:t>articolo 7 del CRR compilano soltanto le colonne da 0010 a 0060 e da 0250 a 0400.</w:t>
      </w:r>
    </w:p>
    <w:p w:rsidR="004C0508" w:rsidRPr="00661595" w:rsidRDefault="00A971CA" w:rsidP="00BD1A14">
      <w:pPr>
        <w:pStyle w:val="InstructionsText2"/>
        <w:numPr>
          <w:ilvl w:val="0"/>
          <w:numId w:val="0"/>
        </w:numPr>
        <w:ind w:left="1800" w:hanging="360"/>
      </w:pPr>
      <w:r>
        <w:fldChar w:fldCharType="begin"/>
      </w:r>
      <w:r>
        <w:instrText xml:space="preserve"> seq paragraphs </w:instrText>
      </w:r>
      <w:r>
        <w:fldChar w:fldCharType="separate"/>
      </w:r>
      <w:r w:rsidR="00D11E4C">
        <w:rPr>
          <w:noProof/>
        </w:rPr>
        <w:t>29</w:t>
      </w:r>
      <w:r>
        <w:rPr>
          <w:noProof/>
        </w:rPr>
        <w:fldChar w:fldCharType="end"/>
      </w:r>
      <w:r w:rsidR="00D11E4C">
        <w:t>.</w:t>
      </w:r>
      <w:r w:rsidR="00D11E4C">
        <w:tab/>
        <w:t>I dati indicati tengono conto di tutte le disposizioni transitorie del CRR applicabili alla relativa data di riferimento per le segnalazioni.</w:t>
      </w:r>
    </w:p>
    <w:p w:rsidR="00C93697" w:rsidRPr="00661595" w:rsidRDefault="00125707" w:rsidP="0023700C">
      <w:pPr>
        <w:pStyle w:val="Instructionsberschrift2"/>
        <w:numPr>
          <w:ilvl w:val="0"/>
          <w:numId w:val="0"/>
        </w:numPr>
        <w:ind w:left="357" w:hanging="357"/>
        <w:rPr>
          <w:rFonts w:ascii="Times New Roman" w:hAnsi="Times New Roman" w:cs="Times New Roman"/>
          <w:sz w:val="24"/>
        </w:rPr>
      </w:pPr>
      <w:bookmarkStart w:id="102" w:name="_Toc360188341"/>
      <w:bookmarkStart w:id="103" w:name="_Toc473560889"/>
      <w:bookmarkStart w:id="104" w:name="_Toc58915732"/>
      <w:r>
        <w:rPr>
          <w:rFonts w:ascii="Times New Roman" w:hAnsi="Times New Roman"/>
          <w:sz w:val="24"/>
          <w:u w:val="none"/>
        </w:rPr>
        <w:t>2.2.</w:t>
      </w:r>
      <w:r w:rsidRPr="00F332B0">
        <w:rPr>
          <w:u w:val="none"/>
        </w:rPr>
        <w:tab/>
      </w:r>
      <w:r>
        <w:rPr>
          <w:rFonts w:ascii="Times New Roman" w:hAnsi="Times New Roman"/>
          <w:sz w:val="24"/>
        </w:rPr>
        <w:t>Informazioni dettagliate sulla solvibilità del gruppo</w:t>
      </w:r>
      <w:bookmarkEnd w:id="102"/>
      <w:bookmarkEnd w:id="103"/>
      <w:bookmarkEnd w:id="104"/>
    </w:p>
    <w:p w:rsidR="00464F34" w:rsidRPr="00661595" w:rsidRDefault="00A971CA" w:rsidP="00BD1A14">
      <w:pPr>
        <w:pStyle w:val="InstructionsText2"/>
        <w:numPr>
          <w:ilvl w:val="0"/>
          <w:numId w:val="0"/>
        </w:numPr>
        <w:ind w:left="1800" w:hanging="480"/>
      </w:pPr>
      <w:r>
        <w:fldChar w:fldCharType="begin"/>
      </w:r>
      <w:r>
        <w:instrText xml:space="preserve"> seq paragraphs </w:instrText>
      </w:r>
      <w:r>
        <w:fldChar w:fldCharType="separate"/>
      </w:r>
      <w:r w:rsidR="00D11E4C">
        <w:rPr>
          <w:noProof/>
        </w:rPr>
        <w:t>30</w:t>
      </w:r>
      <w:r>
        <w:rPr>
          <w:noProof/>
        </w:rPr>
        <w:fldChar w:fldCharType="end"/>
      </w:r>
      <w:r w:rsidR="00D11E4C">
        <w:t>.</w:t>
      </w:r>
      <w:r w:rsidR="00D11E4C">
        <w:tab/>
        <w:t>La seconda parte del modello C 06.02 (informazioni dettagliate sulla solvibilità del gruppo) raccoglie, nelle colonne da 0070 a 0210, informazioni sugli enti creditizi e sugli altri enti finanziari regolamentati che sono effettivamente soggetti a particolari requisiti di solvibilità su base individuale. Per ciascuno dei soggetti inclusi nell</w:t>
      </w:r>
      <w:r w:rsidR="000878EC">
        <w:t>'</w:t>
      </w:r>
      <w:r w:rsidR="00D11E4C">
        <w:t xml:space="preserve">ambito di segnalazione il modello indica i requisiti di fondi propri per ciascuna categoria di rischio e i fondi propri a fini di solvibilità. </w:t>
      </w:r>
    </w:p>
    <w:p w:rsidR="00464F34" w:rsidRPr="00661595" w:rsidRDefault="00A971CA" w:rsidP="00BD1A14">
      <w:pPr>
        <w:pStyle w:val="InstructionsText2"/>
        <w:numPr>
          <w:ilvl w:val="0"/>
          <w:numId w:val="0"/>
        </w:numPr>
        <w:ind w:left="1800" w:hanging="480"/>
      </w:pPr>
      <w:r>
        <w:fldChar w:fldCharType="begin"/>
      </w:r>
      <w:r>
        <w:instrText xml:space="preserve"> seq paragraphs </w:instrText>
      </w:r>
      <w:r>
        <w:fldChar w:fldCharType="separate"/>
      </w:r>
      <w:r w:rsidR="00D11E4C">
        <w:rPr>
          <w:noProof/>
        </w:rPr>
        <w:t>31</w:t>
      </w:r>
      <w:r>
        <w:rPr>
          <w:noProof/>
        </w:rPr>
        <w:fldChar w:fldCharType="end"/>
      </w:r>
      <w:r w:rsidR="00D11E4C">
        <w:t>.</w:t>
      </w:r>
      <w:r w:rsidR="00D11E4C">
        <w:tab/>
        <w:t>In caso di consolidamento proporzionale delle partecipazioni, le cifre relative ai requisiti di fondi propri e ai fondi propri riflettono i rispettivi importi proporzionali.</w:t>
      </w:r>
    </w:p>
    <w:p w:rsidR="00C93697" w:rsidRPr="00661595" w:rsidRDefault="00125707" w:rsidP="0023700C">
      <w:pPr>
        <w:pStyle w:val="Instructionsberschrift2"/>
        <w:numPr>
          <w:ilvl w:val="0"/>
          <w:numId w:val="0"/>
        </w:numPr>
        <w:ind w:left="357" w:hanging="357"/>
        <w:rPr>
          <w:rFonts w:ascii="Times New Roman" w:hAnsi="Times New Roman" w:cs="Times New Roman"/>
          <w:sz w:val="24"/>
        </w:rPr>
      </w:pPr>
      <w:bookmarkStart w:id="105" w:name="_Toc360188342"/>
      <w:bookmarkStart w:id="106" w:name="_Toc473560890"/>
      <w:bookmarkStart w:id="107" w:name="_Toc58915733"/>
      <w:r>
        <w:rPr>
          <w:rFonts w:ascii="Times New Roman" w:hAnsi="Times New Roman"/>
          <w:sz w:val="24"/>
          <w:u w:val="none"/>
        </w:rPr>
        <w:t>2.3.</w:t>
      </w:r>
      <w:r w:rsidRPr="00F332B0">
        <w:rPr>
          <w:u w:val="none"/>
        </w:rPr>
        <w:tab/>
      </w:r>
      <w:r>
        <w:rPr>
          <w:rFonts w:ascii="Times New Roman" w:hAnsi="Times New Roman"/>
          <w:sz w:val="24"/>
        </w:rPr>
        <w:t>Informazioni sul contributo dei singoli soggetti alla solvibilità del gruppo</w:t>
      </w:r>
      <w:bookmarkEnd w:id="105"/>
      <w:bookmarkEnd w:id="106"/>
      <w:bookmarkEnd w:id="107"/>
    </w:p>
    <w:p w:rsidR="00464F34" w:rsidRPr="00661595" w:rsidRDefault="00A971CA" w:rsidP="00BD1A14">
      <w:pPr>
        <w:pStyle w:val="InstructionsText2"/>
        <w:numPr>
          <w:ilvl w:val="0"/>
          <w:numId w:val="0"/>
        </w:numPr>
        <w:ind w:left="1800" w:hanging="480"/>
      </w:pPr>
      <w:r>
        <w:fldChar w:fldCharType="begin"/>
      </w:r>
      <w:r>
        <w:instrText xml:space="preserve"> seq paragraphs </w:instrText>
      </w:r>
      <w:r>
        <w:fldChar w:fldCharType="separate"/>
      </w:r>
      <w:r w:rsidR="00D11E4C">
        <w:rPr>
          <w:noProof/>
        </w:rPr>
        <w:t>32</w:t>
      </w:r>
      <w:r>
        <w:rPr>
          <w:noProof/>
        </w:rPr>
        <w:fldChar w:fldCharType="end"/>
      </w:r>
      <w:r w:rsidR="00D11E4C">
        <w:t>.</w:t>
      </w:r>
      <w:r w:rsidR="00D11E4C">
        <w:tab/>
        <w:t>La terza parte del modello C 06.02 e del modello C 06.01 (informazioni sul contributo alla solvibilità del gruppo di tutti i soggetti inclusi nell</w:t>
      </w:r>
      <w:r w:rsidR="000878EC">
        <w:t>'</w:t>
      </w:r>
      <w:r w:rsidR="00D11E4C">
        <w:t xml:space="preserve">ambito di consolidamento del CRR, inclusi i soggetti cui non si applicano particolari requisiti di solvibilità su base individuale) hanno lo scopo di individuare, nelle colonne da 0250 a 0400, i soggetti del gruppo che generano i rischi e raccolgono fondi propri sul mercato, sulla scorta di dati che sono prontamente disponibili o possono essere facilmente riprocessati senza dover rideterminare il coefficiente di capitale su base individuale o subconsolidata. A livello di singolo soggetto, i dati relativi sia al rischio che ai fondi propri costituiscono contributi ai dati del gruppo, non elementi di un coefficiente di solvibilità su base individuale. Per tale motivo questi dati non devono essere confrontati tra loro. </w:t>
      </w:r>
    </w:p>
    <w:p w:rsidR="00464F34" w:rsidRPr="00661595" w:rsidRDefault="00A971CA" w:rsidP="00BD1A14">
      <w:pPr>
        <w:pStyle w:val="InstructionsText2"/>
        <w:numPr>
          <w:ilvl w:val="0"/>
          <w:numId w:val="0"/>
        </w:numPr>
        <w:ind w:left="1800" w:hanging="480"/>
      </w:pPr>
      <w:r>
        <w:fldChar w:fldCharType="begin"/>
      </w:r>
      <w:r>
        <w:instrText xml:space="preserve"> seq paragraphs </w:instrText>
      </w:r>
      <w:r>
        <w:fldChar w:fldCharType="separate"/>
      </w:r>
      <w:r w:rsidR="00D11E4C">
        <w:rPr>
          <w:noProof/>
        </w:rPr>
        <w:t>33</w:t>
      </w:r>
      <w:r>
        <w:rPr>
          <w:noProof/>
        </w:rPr>
        <w:fldChar w:fldCharType="end"/>
      </w:r>
      <w:r w:rsidR="00D11E4C">
        <w:t>.</w:t>
      </w:r>
      <w:r w:rsidR="00D11E4C">
        <w:tab/>
        <w:t>La terza parte comprende anche gli importi degli interessi di minoranza, così come del capitale aggiuntivo di classe 1 ammissibile e del capitale di classe 2 ammissibile inclusi nei fondi propri consolidati.</w:t>
      </w:r>
    </w:p>
    <w:p w:rsidR="00464F34" w:rsidRPr="00661595" w:rsidRDefault="00A971CA" w:rsidP="00BD1A14">
      <w:pPr>
        <w:pStyle w:val="InstructionsText2"/>
        <w:numPr>
          <w:ilvl w:val="0"/>
          <w:numId w:val="0"/>
        </w:numPr>
        <w:ind w:left="1800" w:hanging="480"/>
      </w:pPr>
      <w:r>
        <w:fldChar w:fldCharType="begin"/>
      </w:r>
      <w:r>
        <w:instrText xml:space="preserve"> seq paragraphs </w:instrText>
      </w:r>
      <w:r>
        <w:fldChar w:fldCharType="separate"/>
      </w:r>
      <w:r w:rsidR="00D11E4C">
        <w:rPr>
          <w:noProof/>
        </w:rPr>
        <w:t>34</w:t>
      </w:r>
      <w:r>
        <w:rPr>
          <w:noProof/>
        </w:rPr>
        <w:fldChar w:fldCharType="end"/>
      </w:r>
      <w:r w:rsidR="00D11E4C">
        <w:t>.</w:t>
      </w:r>
      <w:r w:rsidR="00D11E4C">
        <w:tab/>
        <w:t xml:space="preserve">Poiché la terza parte del modello si riferisce a </w:t>
      </w:r>
      <w:r w:rsidR="000878EC">
        <w:t>"</w:t>
      </w:r>
      <w:r w:rsidR="00D11E4C">
        <w:t>contributi</w:t>
      </w:r>
      <w:r w:rsidR="000878EC">
        <w:t>"</w:t>
      </w:r>
      <w:r w:rsidR="00D11E4C">
        <w:t>, gli importi da segnalarvi sono diversi, ove del caso, dagli importi indicati nelle colonne che si riferiscono alle informazioni dettagliate sulla solvibilità del gruppo.</w:t>
      </w:r>
    </w:p>
    <w:p w:rsidR="00464F34" w:rsidRPr="00661595" w:rsidRDefault="00A971CA" w:rsidP="00BD1A14">
      <w:pPr>
        <w:pStyle w:val="InstructionsText2"/>
        <w:numPr>
          <w:ilvl w:val="0"/>
          <w:numId w:val="0"/>
        </w:numPr>
        <w:ind w:left="1800" w:hanging="480"/>
      </w:pPr>
      <w:r>
        <w:fldChar w:fldCharType="begin"/>
      </w:r>
      <w:r>
        <w:instrText xml:space="preserve"> seq paragraphs </w:instrText>
      </w:r>
      <w:r>
        <w:fldChar w:fldCharType="separate"/>
      </w:r>
      <w:r w:rsidR="00D11E4C">
        <w:rPr>
          <w:noProof/>
        </w:rPr>
        <w:t>35</w:t>
      </w:r>
      <w:r>
        <w:rPr>
          <w:noProof/>
        </w:rPr>
        <w:fldChar w:fldCharType="end"/>
      </w:r>
      <w:r w:rsidR="00D11E4C">
        <w:t>.</w:t>
      </w:r>
      <w:r w:rsidR="00D11E4C">
        <w:tab/>
        <w:t>Lo scopo è di annullare le esposizioni incrociate all</w:t>
      </w:r>
      <w:r w:rsidR="000878EC">
        <w:t>'</w:t>
      </w:r>
      <w:r w:rsidR="00D11E4C">
        <w:t>interno di un medesimo gruppo secondo un principio omogeneo in termini sia di rischi che di fondi propri, per coprire gli importi segnalati nel modello CA consolidato del gruppo aggiungendo gli importi segnalati per ciascun soggetto nel modello della solvibilità del gruppo. Non è possibile un collegamento diretto al modello CA nei casi in cui non è superata la soglia dell</w:t>
      </w:r>
      <w:r w:rsidR="000878EC">
        <w:t>'</w:t>
      </w:r>
      <w:r w:rsidR="00D11E4C">
        <w:t>1 %.</w:t>
      </w:r>
    </w:p>
    <w:p w:rsidR="00464F34" w:rsidRPr="00661595" w:rsidRDefault="00A971CA" w:rsidP="00BD1A14">
      <w:pPr>
        <w:pStyle w:val="InstructionsText2"/>
        <w:numPr>
          <w:ilvl w:val="0"/>
          <w:numId w:val="0"/>
        </w:numPr>
        <w:ind w:left="1800" w:hanging="480"/>
      </w:pPr>
      <w:r>
        <w:fldChar w:fldCharType="begin"/>
      </w:r>
      <w:r>
        <w:instrText xml:space="preserve"> seq paragraphs </w:instrText>
      </w:r>
      <w:r>
        <w:fldChar w:fldCharType="separate"/>
      </w:r>
      <w:r w:rsidR="00D11E4C">
        <w:rPr>
          <w:noProof/>
        </w:rPr>
        <w:t>36</w:t>
      </w:r>
      <w:r>
        <w:rPr>
          <w:noProof/>
        </w:rPr>
        <w:fldChar w:fldCharType="end"/>
      </w:r>
      <w:r w:rsidR="00D11E4C">
        <w:t>.</w:t>
      </w:r>
      <w:r w:rsidR="00D11E4C">
        <w:tab/>
        <w:t>Gli enti stabiliscono il metodo di ripartizione tra i singoli soggetti più idoneo a tener conto dei possibili effetti di diversificazione per il rischio di mercato e il rischio operativo.</w:t>
      </w:r>
    </w:p>
    <w:p w:rsidR="00464F34" w:rsidRPr="00661595" w:rsidRDefault="00A971CA" w:rsidP="00BD1A14">
      <w:pPr>
        <w:pStyle w:val="InstructionsText2"/>
        <w:numPr>
          <w:ilvl w:val="0"/>
          <w:numId w:val="0"/>
        </w:numPr>
        <w:ind w:left="1800" w:hanging="480"/>
      </w:pPr>
      <w:r>
        <w:fldChar w:fldCharType="begin"/>
      </w:r>
      <w:r>
        <w:instrText xml:space="preserve"> seq paragraphs </w:instrText>
      </w:r>
      <w:r>
        <w:fldChar w:fldCharType="separate"/>
      </w:r>
      <w:r w:rsidR="00D11E4C">
        <w:rPr>
          <w:noProof/>
        </w:rPr>
        <w:t>37</w:t>
      </w:r>
      <w:r>
        <w:rPr>
          <w:noProof/>
        </w:rPr>
        <w:fldChar w:fldCharType="end"/>
      </w:r>
      <w:r w:rsidR="00D11E4C">
        <w:t>.</w:t>
      </w:r>
      <w:r w:rsidR="00D11E4C">
        <w:tab/>
        <w:t>È possibile che un gruppo consolidato faccia parte di un altro gruppo consolidato. Questo significa che i soggetti di un sottogruppo sono segnalati uno per uno nel GS dell</w:t>
      </w:r>
      <w:r w:rsidR="000878EC">
        <w:t>'</w:t>
      </w:r>
      <w:r w:rsidR="00D11E4C">
        <w:t xml:space="preserve">intero gruppo anche se il sottogruppo è a sua volta soggetto a obblighi di segnalazione. Il sottogruppo soggetto a obblighi di segnalazione compila altresì il modello GS per ciascun soggetto, sebbene tali informazioni dettagliate siano inserite nel modello GS relativo al gruppo consolidato di rango superiore. </w:t>
      </w:r>
    </w:p>
    <w:p w:rsidR="00464F34" w:rsidRPr="00661595" w:rsidRDefault="00A971CA" w:rsidP="00BD1A14">
      <w:pPr>
        <w:pStyle w:val="InstructionsText2"/>
        <w:numPr>
          <w:ilvl w:val="0"/>
          <w:numId w:val="0"/>
        </w:numPr>
        <w:ind w:left="1800" w:hanging="480"/>
      </w:pPr>
      <w:r>
        <w:fldChar w:fldCharType="begin"/>
      </w:r>
      <w:r>
        <w:instrText xml:space="preserve"> seq paragraphs </w:instrText>
      </w:r>
      <w:r>
        <w:fldChar w:fldCharType="separate"/>
      </w:r>
      <w:r w:rsidR="00D11E4C">
        <w:rPr>
          <w:noProof/>
        </w:rPr>
        <w:t>38</w:t>
      </w:r>
      <w:r>
        <w:rPr>
          <w:noProof/>
        </w:rPr>
        <w:fldChar w:fldCharType="end"/>
      </w:r>
      <w:r w:rsidR="00D11E4C">
        <w:t>.</w:t>
      </w:r>
      <w:r w:rsidR="00D11E4C">
        <w:tab/>
        <w:t>L</w:t>
      </w:r>
      <w:r w:rsidR="000878EC">
        <w:t>'</w:t>
      </w:r>
      <w:r w:rsidR="00D11E4C">
        <w:t>ente segnala i dati relativi al contributo di un soggetto quando il contributo di tale soggetto all</w:t>
      </w:r>
      <w:r w:rsidR="000878EC">
        <w:t>'</w:t>
      </w:r>
      <w:r w:rsidR="00D11E4C">
        <w:t>importo complessivo dell</w:t>
      </w:r>
      <w:r w:rsidR="000878EC">
        <w:t>'</w:t>
      </w:r>
      <w:r w:rsidR="00D11E4C">
        <w:t>esposizione al rischio è superiore all</w:t>
      </w:r>
      <w:r w:rsidR="000878EC">
        <w:t>'</w:t>
      </w:r>
      <w:r w:rsidR="00D11E4C">
        <w:t>1 % dell</w:t>
      </w:r>
      <w:r w:rsidR="000878EC">
        <w:t>'</w:t>
      </w:r>
      <w:r w:rsidR="00D11E4C">
        <w:t>importo complessivo dell</w:t>
      </w:r>
      <w:r w:rsidR="000878EC">
        <w:t>'</w:t>
      </w:r>
      <w:r w:rsidR="00D11E4C">
        <w:t>esposizione al rischio del gruppo, o quando il contributo al totale dei fondi propri è superiore all</w:t>
      </w:r>
      <w:r w:rsidR="000878EC">
        <w:t>'</w:t>
      </w:r>
      <w:r w:rsidR="00D11E4C">
        <w:t>1 % del totale dei fondi propri del gruppo. Detta soglia non vale per le filiazioni o i sottogruppi che apportano al gruppo fondi propri (sotto forma di interessi di minoranza oppure di strumenti aggiuntivi di classe 1 ammis</w:t>
      </w:r>
      <w:r w:rsidR="004312D0">
        <w:t>sibili o di strumenti di classe </w:t>
      </w:r>
      <w:r w:rsidR="00D11E4C">
        <w:t>2 ammissibili inclusi nei fondi propri).</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08" w:name="_Toc473560891"/>
      <w:bookmarkStart w:id="109" w:name="_Toc58915734"/>
      <w:r>
        <w:rPr>
          <w:rFonts w:ascii="Times New Roman" w:hAnsi="Times New Roman"/>
          <w:sz w:val="24"/>
          <w:u w:val="none"/>
        </w:rPr>
        <w:t>2.4.</w:t>
      </w:r>
      <w:r w:rsidRPr="00D9100A">
        <w:rPr>
          <w:u w:val="none"/>
        </w:rPr>
        <w:tab/>
      </w:r>
      <w:r>
        <w:rPr>
          <w:rFonts w:ascii="Times New Roman" w:hAnsi="Times New Roman"/>
          <w:sz w:val="24"/>
        </w:rPr>
        <w:t>C 06.01 – SOLVIBILITÀ DEL GRUPPO: INFORMAZIONI SULLE AFFILIATE — Totale (Totale GS)</w:t>
      </w:r>
      <w:bookmarkEnd w:id="108"/>
      <w:bookmarkEnd w:id="10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661595" w:rsidTr="00672D2A">
        <w:tc>
          <w:tcPr>
            <w:tcW w:w="1188" w:type="dxa"/>
            <w:shd w:val="clear" w:color="auto" w:fill="CCCCCC"/>
          </w:tcPr>
          <w:p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Colonne</w:t>
            </w:r>
          </w:p>
        </w:tc>
        <w:tc>
          <w:tcPr>
            <w:tcW w:w="8640" w:type="dxa"/>
            <w:shd w:val="clear" w:color="auto" w:fill="CCCCCC"/>
          </w:tcPr>
          <w:p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Istruzioni</w:t>
            </w:r>
          </w:p>
        </w:tc>
      </w:tr>
      <w:tr w:rsidR="00D85AC7" w:rsidRPr="00661595" w:rsidTr="00672D2A">
        <w:tc>
          <w:tcPr>
            <w:tcW w:w="1188" w:type="dxa"/>
          </w:tcPr>
          <w:p w:rsidR="00D85AC7" w:rsidRPr="00661595" w:rsidRDefault="00ED20CB" w:rsidP="00F535E7">
            <w:pPr>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rsidR="00D85AC7" w:rsidRPr="00661595"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SOGGETTI INCLUSI NEL CONSOLIDAMENTO</w:t>
            </w:r>
          </w:p>
          <w:p w:rsidR="00D85AC7" w:rsidRPr="00661595" w:rsidRDefault="00D85AC7" w:rsidP="00FF36A5">
            <w:pPr>
              <w:rPr>
                <w:rStyle w:val="InstructionsTabelleberschrift"/>
                <w:rFonts w:ascii="Times New Roman" w:hAnsi="Times New Roman"/>
                <w:b w:val="0"/>
                <w:bCs w:val="0"/>
                <w:sz w:val="24"/>
              </w:rPr>
            </w:pPr>
            <w:r>
              <w:rPr>
                <w:rStyle w:val="InstructionsTabelleText"/>
                <w:rFonts w:ascii="Times New Roman" w:hAnsi="Times New Roman"/>
                <w:sz w:val="24"/>
              </w:rPr>
              <w:t>Cfr. le istruzioni per C 06.02</w:t>
            </w:r>
          </w:p>
        </w:tc>
      </w:tr>
      <w:tr w:rsidR="00D85AC7" w:rsidRPr="00661595" w:rsidTr="00672D2A">
        <w:tc>
          <w:tcPr>
            <w:tcW w:w="1188" w:type="dxa"/>
            <w:tcBorders>
              <w:top w:val="single" w:sz="4" w:space="0" w:color="auto"/>
              <w:left w:val="single" w:sz="4" w:space="0" w:color="auto"/>
              <w:bottom w:val="single" w:sz="4" w:space="0" w:color="auto"/>
              <w:right w:val="single" w:sz="4" w:space="0" w:color="auto"/>
            </w:tcBorders>
          </w:tcPr>
          <w:p w:rsidR="00D85AC7" w:rsidRPr="00661595" w:rsidRDefault="00ED20CB" w:rsidP="00FF36A5">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Borders>
              <w:top w:val="single" w:sz="4" w:space="0" w:color="auto"/>
              <w:left w:val="single" w:sz="4" w:space="0" w:color="auto"/>
              <w:bottom w:val="single" w:sz="4" w:space="0" w:color="auto"/>
              <w:right w:val="single" w:sz="4" w:space="0" w:color="auto"/>
            </w:tcBorders>
          </w:tcPr>
          <w:p w:rsidR="00D85AC7" w:rsidRPr="00661595"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RISERVE DI CAPITALE</w:t>
            </w:r>
          </w:p>
          <w:p w:rsidR="00D85AC7" w:rsidRPr="00661595" w:rsidRDefault="00D85AC7" w:rsidP="00FF36A5">
            <w:pPr>
              <w:rPr>
                <w:rStyle w:val="InstructionsTabelleberschrift"/>
                <w:rFonts w:ascii="Times New Roman" w:hAnsi="Times New Roman"/>
                <w:sz w:val="24"/>
              </w:rPr>
            </w:pPr>
            <w:r>
              <w:rPr>
                <w:rStyle w:val="InstructionsTabelleText"/>
                <w:rFonts w:ascii="Times New Roman" w:hAnsi="Times New Roman"/>
                <w:sz w:val="24"/>
              </w:rPr>
              <w:t>Cfr. le istruzioni per C 06.02</w:t>
            </w:r>
          </w:p>
        </w:tc>
      </w:tr>
    </w:tbl>
    <w:p w:rsidR="00D85AC7" w:rsidRPr="00661595" w:rsidRDefault="00D85AC7" w:rsidP="0011505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D85AC7" w:rsidRPr="00661595" w:rsidTr="00672D2A">
        <w:tc>
          <w:tcPr>
            <w:tcW w:w="1188" w:type="dxa"/>
            <w:shd w:val="clear" w:color="auto" w:fill="CCCCCC"/>
          </w:tcPr>
          <w:p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Righe</w:t>
            </w:r>
          </w:p>
        </w:tc>
        <w:tc>
          <w:tcPr>
            <w:tcW w:w="8640" w:type="dxa"/>
            <w:shd w:val="clear" w:color="auto" w:fill="CCCCCC"/>
          </w:tcPr>
          <w:p w:rsidR="00D85AC7" w:rsidRPr="00661595" w:rsidRDefault="00D85AC7" w:rsidP="00FF36A5">
            <w:pPr>
              <w:rPr>
                <w:rStyle w:val="InstructionsTabelleText"/>
                <w:rFonts w:ascii="Times New Roman" w:hAnsi="Times New Roman"/>
                <w:sz w:val="24"/>
              </w:rPr>
            </w:pPr>
            <w:r>
              <w:rPr>
                <w:rStyle w:val="InstructionsTabelleText"/>
                <w:rFonts w:ascii="Times New Roman" w:hAnsi="Times New Roman"/>
                <w:sz w:val="24"/>
              </w:rPr>
              <w:t>Istruzioni</w:t>
            </w:r>
          </w:p>
        </w:tc>
      </w:tr>
      <w:tr w:rsidR="00D85AC7" w:rsidRPr="00661595" w:rsidTr="00672D2A">
        <w:tc>
          <w:tcPr>
            <w:tcW w:w="1188" w:type="dxa"/>
          </w:tcPr>
          <w:p w:rsidR="00D85AC7" w:rsidRPr="00661595" w:rsidRDefault="00ED20CB" w:rsidP="00FF36A5">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rsidR="00D85AC7" w:rsidRPr="00661595" w:rsidRDefault="00D85AC7" w:rsidP="00FF36A5">
            <w:pPr>
              <w:rPr>
                <w:rStyle w:val="InstructionsTabelleberschrift"/>
                <w:rFonts w:ascii="Times New Roman" w:hAnsi="Times New Roman"/>
                <w:sz w:val="24"/>
              </w:rPr>
            </w:pPr>
            <w:r>
              <w:rPr>
                <w:rStyle w:val="InstructionsTabelleberschrift"/>
                <w:rFonts w:ascii="Times New Roman" w:hAnsi="Times New Roman"/>
                <w:sz w:val="24"/>
              </w:rPr>
              <w:t>TOTALE</w:t>
            </w:r>
          </w:p>
          <w:p w:rsidR="00D85AC7" w:rsidRPr="00661595" w:rsidRDefault="00D85AC7" w:rsidP="00D85AC7">
            <w:pPr>
              <w:rPr>
                <w:rStyle w:val="InstructionsTabelleberschrift"/>
                <w:rFonts w:ascii="Times New Roman" w:hAnsi="Times New Roman"/>
                <w:b w:val="0"/>
                <w:bCs w:val="0"/>
                <w:sz w:val="24"/>
              </w:rPr>
            </w:pPr>
            <w:r>
              <w:rPr>
                <w:rStyle w:val="InstructionsTabelleText"/>
                <w:rFonts w:ascii="Times New Roman" w:hAnsi="Times New Roman"/>
                <w:sz w:val="24"/>
              </w:rPr>
              <w:t>Il Totale rappresenta la somma dei valori segnalati in tutte le righe del modello C 06.02.</w:t>
            </w:r>
          </w:p>
        </w:tc>
      </w:tr>
    </w:tbl>
    <w:p w:rsidR="00D85AC7" w:rsidRPr="00661595" w:rsidRDefault="00D85AC7" w:rsidP="00115052">
      <w:pPr>
        <w:pStyle w:val="InstructionsText"/>
      </w:pPr>
    </w:p>
    <w:p w:rsidR="00D85AC7" w:rsidRPr="00661595" w:rsidRDefault="00125707" w:rsidP="00BD1A14">
      <w:pPr>
        <w:pStyle w:val="Instructionsberschrift2"/>
        <w:keepLines/>
        <w:numPr>
          <w:ilvl w:val="0"/>
          <w:numId w:val="0"/>
        </w:numPr>
        <w:ind w:left="357" w:hanging="357"/>
        <w:rPr>
          <w:rFonts w:ascii="Times New Roman" w:hAnsi="Times New Roman" w:cs="Times New Roman"/>
          <w:sz w:val="24"/>
        </w:rPr>
      </w:pPr>
      <w:bookmarkStart w:id="110" w:name="_Toc473560892"/>
      <w:bookmarkStart w:id="111" w:name="_Toc58915735"/>
      <w:r>
        <w:rPr>
          <w:rFonts w:ascii="Times New Roman" w:hAnsi="Times New Roman"/>
          <w:sz w:val="24"/>
          <w:u w:val="none"/>
        </w:rPr>
        <w:t>2.5.</w:t>
      </w:r>
      <w:r w:rsidRPr="00D9100A">
        <w:rPr>
          <w:u w:val="none"/>
        </w:rPr>
        <w:tab/>
      </w:r>
      <w:r>
        <w:rPr>
          <w:rFonts w:ascii="Times New Roman" w:hAnsi="Times New Roman"/>
          <w:sz w:val="24"/>
        </w:rPr>
        <w:t>C 06.02 – SOLVIBILITÀ DEL GRUPPO: INFORMAZIONI SULLE AFFILIATE (GS)</w:t>
      </w:r>
      <w:bookmarkEnd w:id="110"/>
      <w:bookmarkEnd w:id="111"/>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661595" w:rsidTr="00672D2A">
        <w:tc>
          <w:tcPr>
            <w:tcW w:w="1188" w:type="dxa"/>
            <w:shd w:val="clear" w:color="auto" w:fill="CCCCCC"/>
          </w:tcPr>
          <w:p w:rsidR="00464F34" w:rsidRPr="00661595" w:rsidRDefault="00464F34" w:rsidP="00BD1A14">
            <w:pPr>
              <w:keepNext/>
              <w:keepLines/>
              <w:rPr>
                <w:rStyle w:val="InstructionsTabelleText"/>
                <w:rFonts w:ascii="Times New Roman" w:hAnsi="Times New Roman"/>
                <w:sz w:val="24"/>
              </w:rPr>
            </w:pPr>
            <w:r>
              <w:rPr>
                <w:rStyle w:val="InstructionsTabelleText"/>
                <w:rFonts w:ascii="Times New Roman" w:hAnsi="Times New Roman"/>
                <w:sz w:val="24"/>
              </w:rPr>
              <w:t>Colonne</w:t>
            </w:r>
          </w:p>
        </w:tc>
        <w:tc>
          <w:tcPr>
            <w:tcW w:w="8640" w:type="dxa"/>
            <w:shd w:val="clear" w:color="auto" w:fill="CCCCCC"/>
          </w:tcPr>
          <w:p w:rsidR="00464F34" w:rsidRPr="00661595" w:rsidRDefault="00464F34" w:rsidP="00BD1A14">
            <w:pPr>
              <w:keepNext/>
              <w:keepLines/>
              <w:suppressAutoHyphens/>
              <w:rPr>
                <w:rStyle w:val="InstructionsTabelleText"/>
                <w:rFonts w:ascii="Times New Roman" w:hAnsi="Times New Roman"/>
                <w:sz w:val="24"/>
              </w:rPr>
            </w:pPr>
            <w:r>
              <w:rPr>
                <w:rStyle w:val="InstructionsTabelleText"/>
                <w:rFonts w:ascii="Times New Roman" w:hAnsi="Times New Roman"/>
                <w:sz w:val="24"/>
              </w:rPr>
              <w:t>Istruzioni</w:t>
            </w:r>
          </w:p>
        </w:tc>
      </w:tr>
      <w:tr w:rsidR="00464F34" w:rsidRPr="00661595" w:rsidTr="00672D2A">
        <w:tc>
          <w:tcPr>
            <w:tcW w:w="1188" w:type="dxa"/>
          </w:tcPr>
          <w:p w:rsidR="00464F34" w:rsidRPr="00661595" w:rsidRDefault="00ED20CB" w:rsidP="00464F34">
            <w:pPr>
              <w:rPr>
                <w:rStyle w:val="InstructionsTabelleText"/>
                <w:rFonts w:ascii="Times New Roman" w:hAnsi="Times New Roman"/>
                <w:sz w:val="24"/>
              </w:rPr>
            </w:pPr>
            <w:r>
              <w:rPr>
                <w:rStyle w:val="InstructionsTabelleText"/>
                <w:rFonts w:ascii="Times New Roman" w:hAnsi="Times New Roman"/>
                <w:sz w:val="24"/>
              </w:rPr>
              <w:t>0010-0060</w:t>
            </w:r>
          </w:p>
        </w:tc>
        <w:tc>
          <w:tcPr>
            <w:tcW w:w="8640" w:type="dxa"/>
          </w:tcPr>
          <w:p w:rsidR="00464F34" w:rsidRPr="00661595" w:rsidRDefault="00464F34" w:rsidP="00731C8A">
            <w:pPr>
              <w:suppressAutoHyphens/>
              <w:rPr>
                <w:rStyle w:val="InstructionsTabelleberschrift"/>
                <w:rFonts w:ascii="Times New Roman" w:hAnsi="Times New Roman"/>
                <w:sz w:val="24"/>
              </w:rPr>
            </w:pPr>
            <w:r>
              <w:rPr>
                <w:rStyle w:val="InstructionsTabelleberschrift"/>
                <w:rFonts w:ascii="Times New Roman" w:hAnsi="Times New Roman"/>
                <w:sz w:val="24"/>
              </w:rPr>
              <w:t>SOGGETTI INCLUSI NEL CONSOLIDAMENTO</w:t>
            </w:r>
          </w:p>
          <w:p w:rsidR="00464F34" w:rsidRPr="00661595" w:rsidRDefault="00464F34" w:rsidP="00731C8A">
            <w:pPr>
              <w:suppressAutoHyphens/>
              <w:rPr>
                <w:rStyle w:val="InstructionsTabelleberschrift"/>
                <w:rFonts w:ascii="Times New Roman" w:hAnsi="Times New Roman"/>
                <w:b w:val="0"/>
                <w:bCs w:val="0"/>
                <w:sz w:val="24"/>
              </w:rPr>
            </w:pPr>
            <w:r>
              <w:rPr>
                <w:rStyle w:val="InstructionsTabelleText"/>
                <w:rFonts w:ascii="Times New Roman" w:hAnsi="Times New Roman"/>
                <w:sz w:val="24"/>
              </w:rPr>
              <w:t>Questo modello serve a raccogliere informazioni distinte per singolo soggetto riguardanti tutti i soggetti inclusi nel consolidamento ai sensi della</w:t>
            </w:r>
            <w:r>
              <w:rPr>
                <w:rFonts w:ascii="Times New Roman" w:hAnsi="Times New Roman"/>
                <w:sz w:val="24"/>
              </w:rPr>
              <w:t xml:space="preserve"> parte uno, titolo II, capo 2, </w:t>
            </w:r>
            <w:r>
              <w:rPr>
                <w:rStyle w:val="InstructionsTabelleText"/>
                <w:rFonts w:ascii="Times New Roman" w:hAnsi="Times New Roman"/>
                <w:sz w:val="24"/>
              </w:rPr>
              <w:t xml:space="preserve">del CRR. </w:t>
            </w:r>
          </w:p>
        </w:tc>
      </w:tr>
      <w:tr w:rsidR="00464F34" w:rsidRPr="00661595" w:rsidTr="00672D2A">
        <w:tc>
          <w:tcPr>
            <w:tcW w:w="1188" w:type="dxa"/>
          </w:tcPr>
          <w:p w:rsidR="00464F34" w:rsidRPr="00661595" w:rsidRDefault="00ED20CB" w:rsidP="00464F34">
            <w:pPr>
              <w:rPr>
                <w:rStyle w:val="InstructionsTabelleText"/>
                <w:rFonts w:ascii="Times New Roman" w:hAnsi="Times New Roman"/>
                <w:sz w:val="24"/>
              </w:rPr>
            </w:pPr>
            <w:r>
              <w:rPr>
                <w:rStyle w:val="InstructionsTabelleText"/>
                <w:rFonts w:ascii="Times New Roman" w:hAnsi="Times New Roman"/>
                <w:sz w:val="24"/>
              </w:rPr>
              <w:t>0011</w:t>
            </w:r>
          </w:p>
        </w:tc>
        <w:tc>
          <w:tcPr>
            <w:tcW w:w="8640" w:type="dxa"/>
          </w:tcPr>
          <w:p w:rsidR="00464F34" w:rsidRPr="00661595" w:rsidRDefault="00464F34" w:rsidP="00731C8A">
            <w:pPr>
              <w:suppressAutoHyphens/>
              <w:rPr>
                <w:rStyle w:val="InstructionsTabelleberschrift"/>
                <w:rFonts w:ascii="Times New Roman" w:hAnsi="Times New Roman"/>
                <w:sz w:val="24"/>
              </w:rPr>
            </w:pPr>
            <w:r>
              <w:rPr>
                <w:rStyle w:val="InstructionsTabelleberschrift"/>
                <w:rFonts w:ascii="Times New Roman" w:hAnsi="Times New Roman"/>
                <w:sz w:val="24"/>
              </w:rPr>
              <w:t>NOME</w:t>
            </w:r>
          </w:p>
          <w:p w:rsidR="00464F34" w:rsidRPr="00661595" w:rsidRDefault="00464F34" w:rsidP="00731C8A">
            <w:pPr>
              <w:suppressAutoHyphens/>
              <w:rPr>
                <w:rStyle w:val="InstructionsTabelleText"/>
                <w:rFonts w:ascii="Times New Roman" w:hAnsi="Times New Roman"/>
                <w:sz w:val="24"/>
              </w:rPr>
            </w:pPr>
            <w:r>
              <w:rPr>
                <w:rStyle w:val="InstructionsTabelleText"/>
                <w:rFonts w:ascii="Times New Roman" w:hAnsi="Times New Roman"/>
                <w:sz w:val="24"/>
              </w:rPr>
              <w:t>Nome del soggetto incluso nel consolidamento.</w:t>
            </w:r>
          </w:p>
        </w:tc>
      </w:tr>
      <w:tr w:rsidR="00464F34" w:rsidRPr="00661595" w:rsidTr="00672D2A">
        <w:tc>
          <w:tcPr>
            <w:tcW w:w="1188" w:type="dxa"/>
          </w:tcPr>
          <w:p w:rsidR="00464F34" w:rsidRPr="00661595" w:rsidRDefault="00ED20CB" w:rsidP="00464F34">
            <w:pPr>
              <w:rPr>
                <w:rStyle w:val="InstructionsTabelleText"/>
                <w:rFonts w:ascii="Times New Roman" w:hAnsi="Times New Roman"/>
                <w:sz w:val="24"/>
              </w:rPr>
            </w:pPr>
            <w:r>
              <w:rPr>
                <w:rStyle w:val="InstructionsTabelleText"/>
                <w:rFonts w:ascii="Times New Roman" w:hAnsi="Times New Roman"/>
                <w:sz w:val="24"/>
              </w:rPr>
              <w:t>0021</w:t>
            </w:r>
          </w:p>
        </w:tc>
        <w:tc>
          <w:tcPr>
            <w:tcW w:w="8640" w:type="dxa"/>
          </w:tcPr>
          <w:p w:rsidR="00464F34" w:rsidRPr="00661595" w:rsidRDefault="00464F34" w:rsidP="00731C8A">
            <w:pPr>
              <w:suppressAutoHyphens/>
              <w:rPr>
                <w:rStyle w:val="InstructionsTabelleberschrift"/>
                <w:rFonts w:ascii="Times New Roman" w:hAnsi="Times New Roman"/>
                <w:sz w:val="24"/>
              </w:rPr>
            </w:pPr>
            <w:r>
              <w:rPr>
                <w:rStyle w:val="InstructionsTabelleberschrift"/>
                <w:rFonts w:ascii="Times New Roman" w:hAnsi="Times New Roman"/>
                <w:sz w:val="24"/>
              </w:rPr>
              <w:t>CODICE</w:t>
            </w:r>
          </w:p>
          <w:p w:rsidR="00464F34" w:rsidRPr="00661595" w:rsidRDefault="00BF0637" w:rsidP="00115052">
            <w:pPr>
              <w:pStyle w:val="InstructionsText"/>
              <w:rPr>
                <w:rStyle w:val="InstructionsTabelleText"/>
                <w:rFonts w:ascii="Times New Roman" w:hAnsi="Times New Roman"/>
                <w:sz w:val="24"/>
              </w:rPr>
            </w:pPr>
            <w:r>
              <w:rPr>
                <w:rStyle w:val="InstructionsTabelleText"/>
                <w:rFonts w:ascii="Times New Roman" w:hAnsi="Times New Roman"/>
                <w:sz w:val="24"/>
              </w:rPr>
              <w:t>Il codice come parte di un identificativo di riga deve essere unico per ciascuna entità segnalata. Per gli enti e le imprese di assicurazione il codice è il codice LEI. Per le altre entità il codice è il codice LEI o, se non disponibile, un codice nazionale. Il codice è unico e utilizzato in modo coerente nei modelli e nel tempo. Il codice deve sempre contenere un valore.</w:t>
            </w:r>
          </w:p>
        </w:tc>
      </w:tr>
      <w:tr w:rsidR="00464F34" w:rsidRPr="00661595" w:rsidTr="00672D2A">
        <w:tc>
          <w:tcPr>
            <w:tcW w:w="1188" w:type="dxa"/>
          </w:tcPr>
          <w:p w:rsidR="00464F34" w:rsidRPr="00661595" w:rsidRDefault="00ED20CB" w:rsidP="00B035B8">
            <w:pPr>
              <w:keepNext/>
              <w:keepLines/>
              <w:rPr>
                <w:rStyle w:val="InstructionsTabelleText"/>
                <w:rFonts w:ascii="Times New Roman" w:hAnsi="Times New Roman"/>
                <w:sz w:val="24"/>
              </w:rPr>
            </w:pPr>
            <w:r>
              <w:rPr>
                <w:rStyle w:val="InstructionsTabelleText"/>
                <w:rFonts w:ascii="Times New Roman" w:hAnsi="Times New Roman"/>
                <w:sz w:val="24"/>
              </w:rPr>
              <w:t>0026</w:t>
            </w:r>
          </w:p>
        </w:tc>
        <w:tc>
          <w:tcPr>
            <w:tcW w:w="8640" w:type="dxa"/>
          </w:tcPr>
          <w:p w:rsidR="00464F34" w:rsidRPr="00661595" w:rsidRDefault="00BF0637" w:rsidP="00B035B8">
            <w:pPr>
              <w:keepNext/>
              <w:keepLines/>
              <w:suppressAutoHyphens/>
              <w:rPr>
                <w:rStyle w:val="InstructionsTabelleberschrift"/>
                <w:rFonts w:ascii="Times New Roman" w:hAnsi="Times New Roman"/>
                <w:sz w:val="24"/>
              </w:rPr>
            </w:pPr>
            <w:r>
              <w:rPr>
                <w:rStyle w:val="InstructionsTabelleberschrift"/>
                <w:rFonts w:ascii="Times New Roman" w:hAnsi="Times New Roman"/>
                <w:sz w:val="24"/>
              </w:rPr>
              <w:t>TIPO DI CODICE</w:t>
            </w:r>
          </w:p>
          <w:p w:rsidR="00464F34" w:rsidRPr="00661595" w:rsidRDefault="00BF0637" w:rsidP="00B035B8">
            <w:pPr>
              <w:keepNext/>
              <w:keepLines/>
              <w:suppressAutoHyphens/>
              <w:rPr>
                <w:rStyle w:val="InstructionsTabelleberschrift"/>
                <w:rFonts w:ascii="Times New Roman" w:hAnsi="Times New Roman"/>
                <w:sz w:val="24"/>
              </w:rPr>
            </w:pPr>
            <w:r>
              <w:rPr>
                <w:rStyle w:val="InstructionsTabelleText"/>
                <w:rFonts w:ascii="Times New Roman" w:hAnsi="Times New Roman"/>
                <w:sz w:val="24"/>
              </w:rPr>
              <w:t>L</w:t>
            </w:r>
            <w:r w:rsidR="000878EC">
              <w:rPr>
                <w:rStyle w:val="InstructionsTabelleText"/>
                <w:rFonts w:ascii="Times New Roman" w:hAnsi="Times New Roman"/>
                <w:sz w:val="24"/>
              </w:rPr>
              <w:t>'</w:t>
            </w:r>
            <w:r>
              <w:rPr>
                <w:rStyle w:val="InstructionsTabelleText"/>
                <w:rFonts w:ascii="Times New Roman" w:hAnsi="Times New Roman"/>
                <w:sz w:val="24"/>
              </w:rPr>
              <w:t>ente identifica il tipo di codice segnalato nella</w:t>
            </w:r>
            <w:r>
              <w:rPr>
                <w:rFonts w:ascii="Times New Roman" w:hAnsi="Times New Roman"/>
                <w:sz w:val="24"/>
              </w:rPr>
              <w:t xml:space="preserve"> </w:t>
            </w:r>
            <w:r>
              <w:rPr>
                <w:rStyle w:val="FormatvorlageInstructionsTabelleText"/>
                <w:rFonts w:ascii="Times New Roman" w:hAnsi="Times New Roman"/>
                <w:sz w:val="24"/>
              </w:rPr>
              <w:t xml:space="preserve">colonna 0021 come </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codice LEI</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 xml:space="preserve"> o </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codice non-LEI</w:t>
            </w:r>
            <w:r w:rsidR="000878EC">
              <w:rPr>
                <w:rStyle w:val="FormatvorlageInstructionsTabelleText"/>
                <w:rFonts w:ascii="Times New Roman" w:hAnsi="Times New Roman"/>
                <w:sz w:val="24"/>
              </w:rPr>
              <w:t>"</w:t>
            </w:r>
            <w:r>
              <w:rPr>
                <w:rFonts w:ascii="Times New Roman" w:hAnsi="Times New Roman"/>
                <w:sz w:val="24"/>
              </w:rPr>
              <w:t>.</w:t>
            </w:r>
            <w:r>
              <w:rPr>
                <w:rStyle w:val="FormatvorlageInstructionsTabelleText"/>
                <w:rFonts w:ascii="Times New Roman" w:hAnsi="Times New Roman"/>
                <w:sz w:val="24"/>
              </w:rPr>
              <w:t xml:space="preserve"> Indicare sempre il tipo di codice.</w:t>
            </w:r>
          </w:p>
        </w:tc>
      </w:tr>
      <w:tr w:rsidR="00BF0637" w:rsidRPr="00661595" w:rsidTr="00672D2A">
        <w:tc>
          <w:tcPr>
            <w:tcW w:w="1188" w:type="dxa"/>
          </w:tcPr>
          <w:p w:rsidR="00BF0637" w:rsidRPr="00661595" w:rsidDel="00BF0637" w:rsidRDefault="00ED20CB" w:rsidP="00BF0637">
            <w:pPr>
              <w:rPr>
                <w:rStyle w:val="InstructionsTabelleText"/>
                <w:rFonts w:ascii="Times New Roman" w:hAnsi="Times New Roman"/>
                <w:sz w:val="24"/>
              </w:rPr>
            </w:pPr>
            <w:r>
              <w:rPr>
                <w:rStyle w:val="InstructionsTabelleText"/>
                <w:rFonts w:ascii="Times New Roman" w:hAnsi="Times New Roman"/>
                <w:sz w:val="24"/>
              </w:rPr>
              <w:t>0027</w:t>
            </w:r>
          </w:p>
        </w:tc>
        <w:tc>
          <w:tcPr>
            <w:tcW w:w="8640" w:type="dxa"/>
          </w:tcPr>
          <w:p w:rsidR="00BF0637" w:rsidRPr="00661595" w:rsidRDefault="00BF0637" w:rsidP="00731C8A">
            <w:pPr>
              <w:suppressAutoHyphens/>
              <w:rPr>
                <w:rStyle w:val="InstructionsTabelleberschrift"/>
                <w:rFonts w:ascii="Times New Roman" w:hAnsi="Times New Roman"/>
                <w:sz w:val="24"/>
              </w:rPr>
            </w:pPr>
            <w:r>
              <w:rPr>
                <w:rStyle w:val="InstructionsTabelleberschrift"/>
                <w:rFonts w:ascii="Times New Roman" w:hAnsi="Times New Roman"/>
                <w:sz w:val="24"/>
              </w:rPr>
              <w:t>CODICE NAZIONALE</w:t>
            </w:r>
          </w:p>
          <w:p w:rsidR="00BF0637" w:rsidRPr="00661595" w:rsidDel="00BF0637" w:rsidRDefault="00BF0637" w:rsidP="00731C8A">
            <w:pPr>
              <w:suppressAutoHyphens/>
              <w:rPr>
                <w:rStyle w:val="InstructionsTabelleberschrift"/>
                <w:rFonts w:ascii="Times New Roman" w:hAnsi="Times New Roman"/>
                <w:sz w:val="24"/>
              </w:rPr>
            </w:pPr>
            <w:r>
              <w:rPr>
                <w:rFonts w:ascii="Times New Roman" w:hAnsi="Times New Roman"/>
                <w:sz w:val="24"/>
              </w:rPr>
              <w:t xml:space="preserve">Gli enti possono altresì segnalare il codice nazionale quando segnalano il codice LEI come identificativo nella colonna </w:t>
            </w:r>
            <w:r w:rsidR="000878EC">
              <w:rPr>
                <w:rFonts w:ascii="Times New Roman" w:hAnsi="Times New Roman"/>
                <w:sz w:val="24"/>
              </w:rPr>
              <w:t>"</w:t>
            </w:r>
            <w:r>
              <w:rPr>
                <w:rFonts w:ascii="Times New Roman" w:hAnsi="Times New Roman"/>
                <w:sz w:val="24"/>
              </w:rPr>
              <w:t>Codice</w:t>
            </w:r>
            <w:r w:rsidR="000878EC">
              <w:rPr>
                <w:rFonts w:ascii="Times New Roman" w:hAnsi="Times New Roman"/>
                <w:sz w:val="24"/>
              </w:rPr>
              <w:t>"</w:t>
            </w:r>
            <w:r>
              <w:rPr>
                <w:rFonts w:ascii="Times New Roman" w:hAnsi="Times New Roman"/>
                <w:sz w:val="24"/>
              </w:rPr>
              <w:t>.</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0030</w:t>
            </w:r>
          </w:p>
        </w:tc>
        <w:tc>
          <w:tcPr>
            <w:tcW w:w="8640" w:type="dxa"/>
          </w:tcPr>
          <w:p w:rsidR="00BF0637" w:rsidRPr="00661595" w:rsidRDefault="00BF0637" w:rsidP="00731C8A">
            <w:pPr>
              <w:suppressAutoHyphens/>
              <w:rPr>
                <w:rStyle w:val="InstructionsTabelleberschrift"/>
                <w:rFonts w:ascii="Times New Roman" w:hAnsi="Times New Roman"/>
                <w:sz w:val="24"/>
              </w:rPr>
            </w:pPr>
            <w:r>
              <w:rPr>
                <w:rStyle w:val="InstructionsTabelleberschrift"/>
                <w:rFonts w:ascii="Times New Roman" w:hAnsi="Times New Roman"/>
                <w:sz w:val="24"/>
              </w:rPr>
              <w:t>ENTE O EQUIVALENTE (SÌ/NO)</w:t>
            </w:r>
          </w:p>
          <w:p w:rsidR="00BF0637" w:rsidRPr="00661595" w:rsidRDefault="00BF0637" w:rsidP="00731C8A">
            <w:pPr>
              <w:suppressAutoHyphens/>
              <w:rPr>
                <w:rStyle w:val="InstructionsTabelleText"/>
                <w:rFonts w:ascii="Times New Roman" w:hAnsi="Times New Roman"/>
                <w:sz w:val="24"/>
              </w:rPr>
            </w:pPr>
            <w:r>
              <w:rPr>
                <w:rStyle w:val="InstructionsTabelleText"/>
                <w:rFonts w:ascii="Times New Roman" w:hAnsi="Times New Roman"/>
                <w:sz w:val="24"/>
              </w:rPr>
              <w:t xml:space="preserve">È indicato </w:t>
            </w:r>
            <w:r w:rsidR="000878EC">
              <w:rPr>
                <w:rStyle w:val="InstructionsTabelleText"/>
                <w:rFonts w:ascii="Times New Roman" w:hAnsi="Times New Roman"/>
                <w:sz w:val="24"/>
              </w:rPr>
              <w:t>"</w:t>
            </w:r>
            <w:r>
              <w:rPr>
                <w:rStyle w:val="InstructionsTabelleText"/>
                <w:rFonts w:ascii="Times New Roman" w:hAnsi="Times New Roman"/>
                <w:sz w:val="24"/>
              </w:rPr>
              <w:t>SÌ</w:t>
            </w:r>
            <w:r w:rsidR="000878EC">
              <w:rPr>
                <w:rStyle w:val="InstructionsTabelleText"/>
                <w:rFonts w:ascii="Times New Roman" w:hAnsi="Times New Roman"/>
                <w:sz w:val="24"/>
              </w:rPr>
              <w:t>"</w:t>
            </w:r>
            <w:r>
              <w:rPr>
                <w:rStyle w:val="InstructionsTabelleText"/>
                <w:rFonts w:ascii="Times New Roman" w:hAnsi="Times New Roman"/>
                <w:sz w:val="24"/>
              </w:rPr>
              <w:t xml:space="preserve"> quando al soggetto in questione si applicano requisiti di fondi propri conformemente al CRR e alla CRD o a disposizioni quanto meno equivalenti alle norme di Basilea.</w:t>
            </w:r>
          </w:p>
          <w:p w:rsidR="00BF0637" w:rsidRPr="00661595" w:rsidRDefault="00BF0637" w:rsidP="00731C8A">
            <w:pPr>
              <w:suppressAutoHyphens/>
              <w:rPr>
                <w:rStyle w:val="InstructionsTabelleText"/>
                <w:rFonts w:ascii="Times New Roman" w:hAnsi="Times New Roman"/>
                <w:sz w:val="24"/>
              </w:rPr>
            </w:pPr>
            <w:r>
              <w:rPr>
                <w:rStyle w:val="InstructionsTabelleText"/>
                <w:rFonts w:ascii="Times New Roman" w:hAnsi="Times New Roman"/>
                <w:sz w:val="24"/>
              </w:rPr>
              <w:t xml:space="preserve">Negli altri casi si indica </w:t>
            </w:r>
            <w:r w:rsidR="000878EC">
              <w:rPr>
                <w:rStyle w:val="InstructionsTabelleText"/>
                <w:rFonts w:ascii="Times New Roman" w:hAnsi="Times New Roman"/>
                <w:sz w:val="24"/>
              </w:rPr>
              <w:t>"</w:t>
            </w:r>
            <w:r>
              <w:rPr>
                <w:rStyle w:val="InstructionsTabelleText"/>
                <w:rFonts w:ascii="Times New Roman" w:hAnsi="Times New Roman"/>
                <w:sz w:val="24"/>
              </w:rPr>
              <w:t>NO</w:t>
            </w:r>
            <w:r w:rsidR="000878EC">
              <w:rPr>
                <w:rStyle w:val="InstructionsTabelleText"/>
                <w:rFonts w:ascii="Times New Roman" w:hAnsi="Times New Roman"/>
                <w:sz w:val="24"/>
              </w:rPr>
              <w:t>"</w:t>
            </w:r>
            <w:r>
              <w:rPr>
                <w:rStyle w:val="InstructionsTabelleText"/>
                <w:rFonts w:ascii="Times New Roman" w:hAnsi="Times New Roman"/>
                <w:sz w:val="24"/>
              </w:rPr>
              <w:t>.</w:t>
            </w:r>
          </w:p>
          <w:p w:rsidR="00BF0637" w:rsidRPr="00661595" w:rsidRDefault="00BF0637" w:rsidP="00731C8A">
            <w:pPr>
              <w:suppressAutoHyphens/>
              <w:rPr>
                <w:rStyle w:val="InstructionsTabelleText"/>
                <w:rFonts w:ascii="Times New Roman" w:hAnsi="Times New Roman"/>
                <w:sz w:val="24"/>
              </w:rPr>
            </w:pPr>
          </w:p>
          <w:p w:rsidR="00BF0637" w:rsidRPr="00661595" w:rsidRDefault="00BF0637" w:rsidP="00731C8A">
            <w:pPr>
              <w:suppressAutoHyphens/>
              <w:ind w:left="372" w:hanging="360"/>
              <w:contextualSpacing/>
              <w:rPr>
                <w:rStyle w:val="InstructionsTabelleText"/>
                <w:rFonts w:ascii="Times New Roman" w:hAnsi="Times New Roman"/>
                <w:sz w:val="24"/>
              </w:rPr>
            </w:pPr>
            <w:r>
              <w:rPr>
                <w:rStyle w:val="InstructionsTabelleText"/>
                <w:rFonts w:ascii="Wingdings" w:hAnsi="Wingdings"/>
                <w:sz w:val="24"/>
              </w:rPr>
              <w:t></w:t>
            </w:r>
            <w:r>
              <w:tab/>
            </w:r>
            <w:r>
              <w:rPr>
                <w:rStyle w:val="InstructionsTabelleText"/>
                <w:rFonts w:ascii="Times New Roman" w:hAnsi="Times New Roman"/>
                <w:sz w:val="24"/>
              </w:rPr>
              <w:t>Interessi di minoranza:</w:t>
            </w:r>
          </w:p>
          <w:p w:rsidR="00BF0637" w:rsidRPr="00661595" w:rsidRDefault="00BF0637" w:rsidP="00731C8A">
            <w:pPr>
              <w:suppressAutoHyphens/>
              <w:rPr>
                <w:rStyle w:val="InstructionsTabelleText"/>
                <w:rFonts w:ascii="Times New Roman" w:hAnsi="Times New Roman"/>
                <w:sz w:val="24"/>
              </w:rPr>
            </w:pPr>
            <w:r>
              <w:rPr>
                <w:rFonts w:ascii="Times New Roman" w:hAnsi="Times New Roman"/>
                <w:sz w:val="24"/>
              </w:rPr>
              <w:t xml:space="preserve">articolo 81, paragrafo 1, lettera a), punto ii), e articolo 82, paragrafo </w:t>
            </w:r>
            <w:r w:rsidR="00B035B8">
              <w:rPr>
                <w:rFonts w:ascii="Times New Roman" w:hAnsi="Times New Roman"/>
                <w:sz w:val="24"/>
              </w:rPr>
              <w:t>1, lettera a), punto </w:t>
            </w:r>
            <w:r>
              <w:rPr>
                <w:rFonts w:ascii="Times New Roman" w:hAnsi="Times New Roman"/>
                <w:sz w:val="24"/>
              </w:rPr>
              <w:t>ii), del CRR.</w:t>
            </w:r>
          </w:p>
          <w:p w:rsidR="00BF0637" w:rsidRPr="00661595" w:rsidRDefault="00BF0637" w:rsidP="00731C8A">
            <w:pPr>
              <w:suppressAutoHyphens/>
              <w:rPr>
                <w:rStyle w:val="InstructionsTabelleText"/>
                <w:rFonts w:ascii="Times New Roman" w:hAnsi="Times New Roman"/>
                <w:sz w:val="24"/>
              </w:rPr>
            </w:pPr>
            <w:r>
              <w:rPr>
                <w:rFonts w:ascii="Times New Roman" w:hAnsi="Times New Roman"/>
                <w:sz w:val="24"/>
              </w:rPr>
              <w:t>Ai fini degli interessi di minoranza e degli strumenti di capitale aggiuntivo di classe 1 e di capitale di classe 2 emessi dalle filiazioni, le filiazioni i cui strumenti possono essere ammissibili sono enti o imprese soggetti ai requisiti del CRR in virtù della legislazione nazionale applicabile.</w:t>
            </w:r>
          </w:p>
        </w:tc>
      </w:tr>
      <w:tr w:rsidR="00BF0637" w:rsidRPr="00661595" w:rsidTr="00672D2A">
        <w:tc>
          <w:tcPr>
            <w:tcW w:w="1188" w:type="dxa"/>
          </w:tcPr>
          <w:p w:rsidR="00BF0637" w:rsidRPr="00661595" w:rsidRDefault="00ED20CB" w:rsidP="00BD1A14">
            <w:pPr>
              <w:keepNext/>
              <w:keepLines/>
              <w:rPr>
                <w:rStyle w:val="InstructionsTabelleText"/>
                <w:rFonts w:ascii="Times New Roman" w:hAnsi="Times New Roman"/>
                <w:sz w:val="24"/>
              </w:rPr>
            </w:pPr>
            <w:r>
              <w:rPr>
                <w:rStyle w:val="InstructionsTabelleText"/>
                <w:rFonts w:ascii="Times New Roman" w:hAnsi="Times New Roman"/>
                <w:sz w:val="24"/>
              </w:rPr>
              <w:t>0035</w:t>
            </w:r>
          </w:p>
        </w:tc>
        <w:tc>
          <w:tcPr>
            <w:tcW w:w="8640" w:type="dxa"/>
          </w:tcPr>
          <w:p w:rsidR="00BF0637" w:rsidRPr="00661595" w:rsidRDefault="00BF0637" w:rsidP="00BD1A14">
            <w:pPr>
              <w:keepNext/>
              <w:keepLines/>
              <w:suppressAutoHyphens/>
              <w:rPr>
                <w:rStyle w:val="InstructionsTabelleberschrift"/>
                <w:rFonts w:ascii="Times New Roman" w:hAnsi="Times New Roman"/>
                <w:sz w:val="24"/>
              </w:rPr>
            </w:pPr>
            <w:r>
              <w:rPr>
                <w:rStyle w:val="InstructionsTabelleberschrift"/>
                <w:rFonts w:ascii="Times New Roman" w:hAnsi="Times New Roman"/>
                <w:sz w:val="24"/>
              </w:rPr>
              <w:t>TIPO DI SOGGETTO</w:t>
            </w:r>
          </w:p>
          <w:p w:rsidR="00BF0637" w:rsidRPr="00661595" w:rsidRDefault="00BF0637" w:rsidP="00BD1A14">
            <w:pPr>
              <w:keepNext/>
              <w:keepLines/>
              <w:suppressAutoHyphens/>
              <w:rPr>
                <w:rStyle w:val="InstructionsTabelleText"/>
                <w:rFonts w:ascii="Times New Roman" w:hAnsi="Times New Roman"/>
                <w:bCs/>
                <w:sz w:val="24"/>
              </w:rPr>
            </w:pPr>
            <w:r>
              <w:rPr>
                <w:rStyle w:val="InstructionsTabelleText"/>
                <w:rFonts w:ascii="Times New Roman" w:hAnsi="Times New Roman"/>
                <w:bCs/>
                <w:sz w:val="24"/>
              </w:rPr>
              <w:t>Per la segnalazione del tipo di soggetto sono utilizzate le seguenti categorie:</w:t>
            </w:r>
          </w:p>
          <w:p w:rsidR="00BF0637" w:rsidRPr="00661595" w:rsidRDefault="00BF0637" w:rsidP="00BD1A14">
            <w:pPr>
              <w:keepNext/>
              <w:keepLines/>
              <w:tabs>
                <w:tab w:val="left" w:pos="372"/>
              </w:tabs>
              <w:suppressAutoHyphens/>
              <w:rPr>
                <w:rStyle w:val="InstructionsTabelleText"/>
                <w:rFonts w:ascii="Times New Roman" w:hAnsi="Times New Roman"/>
                <w:sz w:val="24"/>
              </w:rPr>
            </w:pPr>
            <w:r>
              <w:rPr>
                <w:rStyle w:val="InstructionsTabelleText"/>
                <w:rFonts w:ascii="Times New Roman" w:hAnsi="Times New Roman"/>
                <w:sz w:val="24"/>
              </w:rPr>
              <w:t>a)</w:t>
            </w:r>
            <w:r>
              <w:tab/>
            </w:r>
            <w:r>
              <w:rPr>
                <w:rStyle w:val="InstructionsTabelleText"/>
                <w:rFonts w:ascii="Times New Roman" w:hAnsi="Times New Roman"/>
                <w:sz w:val="24"/>
              </w:rPr>
              <w:t>ente creditizio</w:t>
            </w:r>
          </w:p>
          <w:p w:rsidR="00BF0637" w:rsidRPr="00661595" w:rsidRDefault="00BF0637" w:rsidP="00BD1A14">
            <w:pPr>
              <w:keepNext/>
              <w:keepLines/>
              <w:tabs>
                <w:tab w:val="left" w:pos="372"/>
              </w:tabs>
              <w:suppressAutoHyphens/>
              <w:rPr>
                <w:rStyle w:val="InstructionsTabelleText"/>
                <w:rFonts w:ascii="Times New Roman" w:hAnsi="Times New Roman"/>
                <w:sz w:val="24"/>
              </w:rPr>
            </w:pPr>
            <w:r>
              <w:tab/>
            </w:r>
            <w:r>
              <w:rPr>
                <w:rStyle w:val="InstructionsTabelleText"/>
                <w:rFonts w:ascii="Times New Roman" w:hAnsi="Times New Roman"/>
                <w:sz w:val="24"/>
              </w:rPr>
              <w:t>articolo 4, paragrafo 1, punto 1, del CRR;</w:t>
            </w:r>
          </w:p>
          <w:p w:rsidR="00BF0637" w:rsidRPr="00661595" w:rsidRDefault="00BF0637" w:rsidP="00BD1A14">
            <w:pPr>
              <w:keepNext/>
              <w:keepLines/>
              <w:tabs>
                <w:tab w:val="left" w:pos="372"/>
              </w:tabs>
              <w:suppressAutoHyphens/>
              <w:rPr>
                <w:rStyle w:val="InstructionsTabelleText"/>
                <w:rFonts w:ascii="Times New Roman" w:hAnsi="Times New Roman"/>
                <w:bCs/>
                <w:sz w:val="24"/>
              </w:rPr>
            </w:pPr>
            <w:r>
              <w:rPr>
                <w:rStyle w:val="InstructionsTabelleText"/>
                <w:rFonts w:ascii="Times New Roman" w:hAnsi="Times New Roman"/>
                <w:sz w:val="24"/>
              </w:rPr>
              <w:t>b)</w:t>
            </w:r>
            <w:r>
              <w:tab/>
            </w:r>
            <w:r>
              <w:rPr>
                <w:rStyle w:val="InstructionsTabelleText"/>
                <w:rFonts w:ascii="Times New Roman" w:hAnsi="Times New Roman"/>
                <w:sz w:val="24"/>
              </w:rPr>
              <w:t>impresa di investimento</w:t>
            </w:r>
          </w:p>
          <w:p w:rsidR="00BF0637" w:rsidRPr="00661595" w:rsidRDefault="00BF0637" w:rsidP="00BD1A14">
            <w:pPr>
              <w:keepNext/>
              <w:keepLines/>
              <w:tabs>
                <w:tab w:val="left" w:pos="372"/>
              </w:tabs>
              <w:suppressAutoHyphens/>
              <w:rPr>
                <w:rStyle w:val="InstructionsTabelleText"/>
                <w:rFonts w:ascii="Times New Roman" w:hAnsi="Times New Roman"/>
                <w:bCs/>
                <w:sz w:val="24"/>
              </w:rPr>
            </w:pPr>
            <w:r>
              <w:tab/>
            </w:r>
            <w:r>
              <w:rPr>
                <w:rStyle w:val="InstructionsTabelleText"/>
                <w:rFonts w:ascii="Times New Roman" w:hAnsi="Times New Roman"/>
                <w:bCs/>
                <w:sz w:val="24"/>
              </w:rPr>
              <w:t>articolo 4, paragrafo 1, punto 2, del CRR;</w:t>
            </w:r>
          </w:p>
          <w:p w:rsidR="00BF0637" w:rsidRPr="00661595" w:rsidRDefault="00BF0637" w:rsidP="00BD1A14">
            <w:pPr>
              <w:keepNext/>
              <w:keepLines/>
              <w:tabs>
                <w:tab w:val="left" w:pos="372"/>
              </w:tabs>
              <w:suppressAutoHyphens/>
              <w:rPr>
                <w:rStyle w:val="InstructionsTabelleText"/>
                <w:rFonts w:ascii="Times New Roman" w:hAnsi="Times New Roman"/>
                <w:bCs/>
                <w:sz w:val="24"/>
              </w:rPr>
            </w:pPr>
            <w:r>
              <w:rPr>
                <w:rStyle w:val="InstructionsTabelleText"/>
                <w:rFonts w:ascii="Times New Roman" w:hAnsi="Times New Roman"/>
                <w:sz w:val="24"/>
              </w:rPr>
              <w:t>c)</w:t>
            </w:r>
            <w:r>
              <w:tab/>
            </w:r>
            <w:r>
              <w:rPr>
                <w:rStyle w:val="InstructionsTabelleText"/>
                <w:rFonts w:ascii="Times New Roman" w:hAnsi="Times New Roman"/>
                <w:sz w:val="24"/>
              </w:rPr>
              <w:t>ente finanziario (altro)</w:t>
            </w:r>
          </w:p>
          <w:p w:rsidR="00BF0637" w:rsidRPr="00661595" w:rsidRDefault="00BF0637" w:rsidP="00BD1A14">
            <w:pPr>
              <w:keepNext/>
              <w:keepLines/>
              <w:tabs>
                <w:tab w:val="left" w:pos="372"/>
              </w:tabs>
              <w:suppressAutoHyphens/>
              <w:rPr>
                <w:rStyle w:val="InstructionsTabelleText"/>
                <w:rFonts w:ascii="Times New Roman" w:hAnsi="Times New Roman"/>
                <w:bCs/>
                <w:sz w:val="24"/>
              </w:rPr>
            </w:pPr>
            <w:r>
              <w:tab/>
            </w:r>
            <w:r>
              <w:rPr>
                <w:rStyle w:val="InstructionsTabelleText"/>
                <w:rFonts w:ascii="Times New Roman" w:hAnsi="Times New Roman"/>
                <w:bCs/>
                <w:sz w:val="24"/>
              </w:rPr>
              <w:t>articolo 4, paragrafo 1, punti 20, 21 e 26, del CRR;</w:t>
            </w:r>
          </w:p>
          <w:p w:rsidR="00BF0637" w:rsidRPr="00661595" w:rsidRDefault="00BF0637" w:rsidP="00BD1A14">
            <w:pPr>
              <w:keepNext/>
              <w:keepLines/>
              <w:tabs>
                <w:tab w:val="left" w:pos="372"/>
              </w:tabs>
              <w:suppressAutoHyphens/>
              <w:ind w:left="399" w:hanging="399"/>
              <w:rPr>
                <w:rStyle w:val="InstructionsTabelleText"/>
                <w:rFonts w:ascii="Times New Roman" w:hAnsi="Times New Roman"/>
                <w:bCs/>
                <w:sz w:val="24"/>
              </w:rPr>
            </w:pPr>
            <w:r>
              <w:tab/>
            </w:r>
            <w:r>
              <w:rPr>
                <w:rStyle w:val="InstructionsTabelleText"/>
                <w:rFonts w:ascii="Times New Roman" w:hAnsi="Times New Roman"/>
                <w:bCs/>
                <w:sz w:val="24"/>
              </w:rPr>
              <w:t>gli enti finanziari ai sensi dell</w:t>
            </w:r>
            <w:r w:rsidR="000878EC">
              <w:rPr>
                <w:rStyle w:val="InstructionsTabelleText"/>
                <w:rFonts w:ascii="Times New Roman" w:hAnsi="Times New Roman"/>
                <w:bCs/>
                <w:sz w:val="24"/>
              </w:rPr>
              <w:t>'</w:t>
            </w:r>
            <w:r>
              <w:rPr>
                <w:rStyle w:val="InstructionsTabelleText"/>
                <w:rFonts w:ascii="Times New Roman" w:hAnsi="Times New Roman"/>
                <w:bCs/>
                <w:sz w:val="24"/>
              </w:rPr>
              <w:t>articolo 4, paragrafo 1, punto 26, del CRR che non sono inclusi in una delle categorie d), f) o g);</w:t>
            </w:r>
          </w:p>
          <w:p w:rsidR="00BF0637" w:rsidRPr="00661595" w:rsidRDefault="00BF0637" w:rsidP="00BD1A14">
            <w:pPr>
              <w:keepNext/>
              <w:keepLines/>
              <w:tabs>
                <w:tab w:val="left" w:pos="372"/>
              </w:tabs>
              <w:suppressAutoHyphens/>
              <w:rPr>
                <w:rStyle w:val="InstructionsTabelleText"/>
                <w:rFonts w:ascii="Times New Roman" w:hAnsi="Times New Roman"/>
                <w:bCs/>
                <w:sz w:val="24"/>
              </w:rPr>
            </w:pPr>
            <w:r>
              <w:rPr>
                <w:rStyle w:val="InstructionsTabelleText"/>
                <w:rFonts w:ascii="Times New Roman" w:hAnsi="Times New Roman"/>
                <w:sz w:val="24"/>
              </w:rPr>
              <w:t>d)</w:t>
            </w:r>
            <w:r>
              <w:tab/>
            </w:r>
            <w:r>
              <w:rPr>
                <w:rStyle w:val="InstructionsTabelleText"/>
                <w:rFonts w:ascii="Times New Roman" w:hAnsi="Times New Roman"/>
                <w:sz w:val="24"/>
              </w:rPr>
              <w:t>società di partecipazione finanziaria (mista)</w:t>
            </w:r>
          </w:p>
          <w:p w:rsidR="00BF0637" w:rsidRPr="00661595" w:rsidRDefault="00BF0637" w:rsidP="00BD1A14">
            <w:pPr>
              <w:keepNext/>
              <w:keepLines/>
              <w:tabs>
                <w:tab w:val="left" w:pos="372"/>
              </w:tabs>
              <w:suppressAutoHyphens/>
              <w:rPr>
                <w:rStyle w:val="InstructionsTabelleText"/>
                <w:rFonts w:ascii="Times New Roman" w:hAnsi="Times New Roman"/>
                <w:bCs/>
                <w:sz w:val="24"/>
              </w:rPr>
            </w:pPr>
            <w:r>
              <w:tab/>
            </w:r>
            <w:r>
              <w:rPr>
                <w:rStyle w:val="InstructionsTabelleText"/>
                <w:rFonts w:ascii="Times New Roman" w:hAnsi="Times New Roman"/>
                <w:bCs/>
                <w:sz w:val="24"/>
              </w:rPr>
              <w:t>articolo 4, paragrafo 1, punti 20 e 21, del CRR;</w:t>
            </w:r>
          </w:p>
          <w:p w:rsidR="00BF0637" w:rsidRPr="00661595" w:rsidRDefault="00BF0637" w:rsidP="00BD1A14">
            <w:pPr>
              <w:keepNext/>
              <w:keepLines/>
              <w:tabs>
                <w:tab w:val="left" w:pos="372"/>
              </w:tabs>
              <w:suppressAutoHyphens/>
              <w:rPr>
                <w:rStyle w:val="InstructionsTabelleText"/>
                <w:rFonts w:ascii="Times New Roman" w:hAnsi="Times New Roman"/>
                <w:bCs/>
                <w:sz w:val="24"/>
              </w:rPr>
            </w:pPr>
            <w:r>
              <w:rPr>
                <w:rStyle w:val="InstructionsTabelleText"/>
                <w:rFonts w:ascii="Times New Roman" w:hAnsi="Times New Roman"/>
                <w:bCs/>
                <w:sz w:val="24"/>
              </w:rPr>
              <w:t>e)</w:t>
            </w:r>
            <w:r>
              <w:tab/>
            </w:r>
            <w:r>
              <w:rPr>
                <w:rStyle w:val="InstructionsTabelleText"/>
                <w:rFonts w:ascii="Times New Roman" w:hAnsi="Times New Roman"/>
                <w:sz w:val="24"/>
              </w:rPr>
              <w:t>impresa strumentale</w:t>
            </w:r>
          </w:p>
          <w:p w:rsidR="00BF0637" w:rsidRPr="00661595" w:rsidRDefault="00BF0637" w:rsidP="00BD1A14">
            <w:pPr>
              <w:keepNext/>
              <w:keepLines/>
              <w:tabs>
                <w:tab w:val="left" w:pos="372"/>
              </w:tabs>
              <w:suppressAutoHyphens/>
              <w:rPr>
                <w:rStyle w:val="InstructionsTabelleText"/>
                <w:rFonts w:ascii="Times New Roman" w:hAnsi="Times New Roman"/>
                <w:bCs/>
                <w:sz w:val="24"/>
              </w:rPr>
            </w:pPr>
            <w:r>
              <w:tab/>
            </w:r>
            <w:r>
              <w:rPr>
                <w:rStyle w:val="InstructionsTabelleText"/>
                <w:rFonts w:ascii="Times New Roman" w:hAnsi="Times New Roman"/>
                <w:bCs/>
                <w:sz w:val="24"/>
              </w:rPr>
              <w:t>articolo 4, paragrafo 1, punto 18, del CRR;</w:t>
            </w:r>
          </w:p>
          <w:p w:rsidR="00BF0637" w:rsidRPr="00661595" w:rsidRDefault="00BF0637" w:rsidP="00BD1A14">
            <w:pPr>
              <w:keepNext/>
              <w:keepLines/>
              <w:tabs>
                <w:tab w:val="left" w:pos="372"/>
              </w:tabs>
              <w:suppressAutoHyphens/>
              <w:rPr>
                <w:rStyle w:val="InstructionsTabelleText"/>
                <w:rFonts w:ascii="Times New Roman" w:hAnsi="Times New Roman"/>
                <w:bCs/>
                <w:sz w:val="24"/>
              </w:rPr>
            </w:pPr>
            <w:r>
              <w:rPr>
                <w:rStyle w:val="InstructionsTabelleText"/>
                <w:rFonts w:ascii="Times New Roman" w:hAnsi="Times New Roman"/>
                <w:sz w:val="24"/>
              </w:rPr>
              <w:t>f)</w:t>
            </w:r>
            <w:r>
              <w:tab/>
            </w:r>
            <w:r>
              <w:rPr>
                <w:rStyle w:val="InstructionsTabelleText"/>
                <w:rFonts w:ascii="Times New Roman" w:hAnsi="Times New Roman"/>
                <w:bCs/>
                <w:sz w:val="24"/>
              </w:rPr>
              <w:t>società veicolo per la cartolarizzazione (SSPE)</w:t>
            </w:r>
          </w:p>
          <w:p w:rsidR="00BF0637" w:rsidRPr="00661595" w:rsidRDefault="00BF0637" w:rsidP="00BD1A14">
            <w:pPr>
              <w:keepNext/>
              <w:keepLines/>
              <w:tabs>
                <w:tab w:val="left" w:pos="372"/>
              </w:tabs>
              <w:suppressAutoHyphens/>
              <w:rPr>
                <w:rStyle w:val="InstructionsTabelleText"/>
                <w:rFonts w:ascii="Times New Roman" w:hAnsi="Times New Roman"/>
                <w:bCs/>
                <w:sz w:val="24"/>
              </w:rPr>
            </w:pPr>
            <w:r>
              <w:tab/>
            </w:r>
            <w:r>
              <w:rPr>
                <w:rStyle w:val="InstructionsTabelleText"/>
                <w:rFonts w:ascii="Times New Roman" w:hAnsi="Times New Roman"/>
                <w:bCs/>
                <w:sz w:val="24"/>
              </w:rPr>
              <w:t>articolo 4, paragrafo 1, punto 66, del CRR;</w:t>
            </w:r>
          </w:p>
          <w:p w:rsidR="00BF0637" w:rsidRPr="00661595" w:rsidRDefault="00BF0637" w:rsidP="00BD1A14">
            <w:pPr>
              <w:keepNext/>
              <w:keepLines/>
              <w:tabs>
                <w:tab w:val="left" w:pos="372"/>
              </w:tabs>
              <w:suppressAutoHyphens/>
              <w:rPr>
                <w:rStyle w:val="InstructionsTabelleText"/>
                <w:rFonts w:ascii="Times New Roman" w:hAnsi="Times New Roman"/>
                <w:bCs/>
                <w:sz w:val="24"/>
              </w:rPr>
            </w:pPr>
            <w:r>
              <w:rPr>
                <w:rStyle w:val="InstructionsTabelleText"/>
                <w:rFonts w:ascii="Times New Roman" w:hAnsi="Times New Roman"/>
                <w:sz w:val="24"/>
              </w:rPr>
              <w:t>g)</w:t>
            </w:r>
            <w:r>
              <w:tab/>
            </w:r>
            <w:r>
              <w:rPr>
                <w:rStyle w:val="InstructionsTabelleText"/>
                <w:rFonts w:ascii="Times New Roman" w:hAnsi="Times New Roman"/>
                <w:sz w:val="24"/>
              </w:rPr>
              <w:t>società cessionaria per la garanzia di obbligazioni bancarie (società di covered bond)</w:t>
            </w:r>
          </w:p>
          <w:p w:rsidR="00BF0637" w:rsidRPr="00661595" w:rsidRDefault="00BF0637" w:rsidP="00BD1A14">
            <w:pPr>
              <w:keepNext/>
              <w:keepLines/>
              <w:tabs>
                <w:tab w:val="left" w:pos="372"/>
              </w:tabs>
              <w:suppressAutoHyphens/>
              <w:ind w:left="372"/>
              <w:rPr>
                <w:rStyle w:val="InstructionsTabelleText"/>
                <w:rFonts w:ascii="Times New Roman" w:hAnsi="Times New Roman"/>
                <w:bCs/>
                <w:sz w:val="24"/>
              </w:rPr>
            </w:pPr>
            <w:r>
              <w:rPr>
                <w:rStyle w:val="InstructionsTabelleText"/>
                <w:rFonts w:ascii="Times New Roman" w:hAnsi="Times New Roman"/>
                <w:bCs/>
                <w:sz w:val="24"/>
              </w:rPr>
              <w:t>soggetto costituito per l</w:t>
            </w:r>
            <w:r w:rsidR="000878EC">
              <w:rPr>
                <w:rStyle w:val="InstructionsTabelleText"/>
                <w:rFonts w:ascii="Times New Roman" w:hAnsi="Times New Roman"/>
                <w:bCs/>
                <w:sz w:val="24"/>
              </w:rPr>
              <w:t>'</w:t>
            </w:r>
            <w:r>
              <w:rPr>
                <w:rStyle w:val="InstructionsTabelleText"/>
                <w:rFonts w:ascii="Times New Roman" w:hAnsi="Times New Roman"/>
                <w:bCs/>
                <w:sz w:val="24"/>
              </w:rPr>
              <w:t>emissione di obbligazioni garantite o la detenzione della garanzia di tali obbligazioni, se non incluso nelle categorie a), b) o da d) a f) di cui sopra;</w:t>
            </w:r>
          </w:p>
          <w:p w:rsidR="00BF0637" w:rsidRPr="00661595" w:rsidRDefault="00BF0637" w:rsidP="00BD1A14">
            <w:pPr>
              <w:keepNext/>
              <w:keepLines/>
              <w:tabs>
                <w:tab w:val="left" w:pos="372"/>
              </w:tabs>
              <w:suppressAutoHyphens/>
              <w:rPr>
                <w:rStyle w:val="InstructionsTabelleText"/>
                <w:rFonts w:ascii="Times New Roman" w:hAnsi="Times New Roman"/>
                <w:sz w:val="24"/>
              </w:rPr>
            </w:pPr>
            <w:r>
              <w:rPr>
                <w:rStyle w:val="InstructionsTabelleText"/>
                <w:rFonts w:ascii="Times New Roman" w:hAnsi="Times New Roman"/>
                <w:bCs/>
                <w:sz w:val="24"/>
              </w:rPr>
              <w:t>h)</w:t>
            </w:r>
            <w:r>
              <w:tab/>
            </w:r>
            <w:r>
              <w:rPr>
                <w:rStyle w:val="InstructionsTabelleText"/>
                <w:rFonts w:ascii="Times New Roman" w:hAnsi="Times New Roman"/>
                <w:sz w:val="24"/>
              </w:rPr>
              <w:t>altro tipo di soggetto</w:t>
            </w:r>
          </w:p>
          <w:p w:rsidR="00BF0637" w:rsidRPr="00661595" w:rsidRDefault="00BF0637" w:rsidP="00BD1A14">
            <w:pPr>
              <w:keepNext/>
              <w:keepLines/>
              <w:tabs>
                <w:tab w:val="left" w:pos="372"/>
              </w:tabs>
              <w:suppressAutoHyphens/>
              <w:ind w:left="3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soggetto diverso da quelli di cui alle lettere da a) a g).</w:t>
            </w:r>
          </w:p>
          <w:p w:rsidR="00BF0637" w:rsidRPr="00661595" w:rsidRDefault="00BF0637" w:rsidP="00BD1A14">
            <w:pPr>
              <w:keepNext/>
              <w:keepLines/>
              <w:tabs>
                <w:tab w:val="left" w:pos="372"/>
              </w:tabs>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Se un soggetto non è sottoposto al CRR e alla CRD ma a disposizioni almeno equivalenti alle disposizioni di Basilea, la categoria pertinente è determinata con la massima diligenza possibile.</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0040</w:t>
            </w:r>
          </w:p>
        </w:tc>
        <w:tc>
          <w:tcPr>
            <w:tcW w:w="8640" w:type="dxa"/>
          </w:tcPr>
          <w:p w:rsidR="00BF0637" w:rsidRPr="00661595" w:rsidRDefault="00BF0637" w:rsidP="00731C8A">
            <w:pPr>
              <w:suppressAutoHyphens/>
              <w:rPr>
                <w:rFonts w:ascii="Times New Roman" w:hAnsi="Times New Roman"/>
                <w:b/>
                <w:sz w:val="24"/>
                <w:u w:val="single"/>
              </w:rPr>
            </w:pPr>
            <w:r>
              <w:rPr>
                <w:rFonts w:ascii="Times New Roman" w:hAnsi="Times New Roman"/>
                <w:b/>
                <w:sz w:val="24"/>
                <w:u w:val="single"/>
              </w:rPr>
              <w:t xml:space="preserve">AMBITO DEI DATI: </w:t>
            </w:r>
            <w:r>
              <w:rPr>
                <w:rFonts w:ascii="Times New Roman" w:hAnsi="Times New Roman"/>
                <w:b/>
                <w:caps/>
                <w:sz w:val="24"/>
                <w:u w:val="single"/>
              </w:rPr>
              <w:t>integralmente consolidato su base individuale (SF), O parzialmente consolidato su base individuale (SP)</w:t>
            </w:r>
          </w:p>
          <w:p w:rsidR="00BF0637" w:rsidRPr="00661595" w:rsidRDefault="00BF0637" w:rsidP="00731C8A">
            <w:pPr>
              <w:suppressAutoHyphens/>
              <w:rPr>
                <w:rStyle w:val="Heading1Char"/>
                <w:rFonts w:ascii="Times New Roman" w:hAnsi="Times New Roman"/>
                <w:sz w:val="24"/>
                <w:szCs w:val="24"/>
              </w:rPr>
            </w:pPr>
            <w:r>
              <w:rPr>
                <w:rFonts w:ascii="Times New Roman" w:hAnsi="Times New Roman"/>
                <w:sz w:val="24"/>
              </w:rPr>
              <w:t xml:space="preserve">Inserire </w:t>
            </w:r>
            <w:r w:rsidR="000878EC">
              <w:rPr>
                <w:rStyle w:val="InstructionsTabelleText"/>
                <w:rFonts w:ascii="Times New Roman" w:hAnsi="Times New Roman"/>
                <w:sz w:val="24"/>
              </w:rPr>
              <w:t>"</w:t>
            </w:r>
            <w:r>
              <w:rPr>
                <w:rStyle w:val="InstructionsTabelleText"/>
                <w:rFonts w:ascii="Times New Roman" w:hAnsi="Times New Roman"/>
                <w:sz w:val="24"/>
              </w:rPr>
              <w:t>SF</w:t>
            </w:r>
            <w:r w:rsidR="000878EC">
              <w:rPr>
                <w:rStyle w:val="InstructionsTabelleText"/>
                <w:rFonts w:ascii="Times New Roman" w:hAnsi="Times New Roman"/>
                <w:sz w:val="24"/>
              </w:rPr>
              <w:t>"</w:t>
            </w:r>
            <w:r>
              <w:rPr>
                <w:rFonts w:ascii="Times New Roman" w:hAnsi="Times New Roman"/>
                <w:sz w:val="24"/>
              </w:rPr>
              <w:t xml:space="preserve"> per le singole filiazioni consolidate integralmente.</w:t>
            </w:r>
            <w:r>
              <w:rPr>
                <w:rStyle w:val="Heading1Char"/>
                <w:rFonts w:ascii="Times New Roman" w:hAnsi="Times New Roman"/>
                <w:sz w:val="24"/>
                <w:szCs w:val="24"/>
              </w:rPr>
              <w:t xml:space="preserve"> </w:t>
            </w:r>
          </w:p>
          <w:p w:rsidR="00BF0637" w:rsidRPr="00661595" w:rsidRDefault="00BF0637" w:rsidP="00731C8A">
            <w:pPr>
              <w:suppressAutoHyphens/>
              <w:rPr>
                <w:rStyle w:val="InstructionsTabelleText"/>
                <w:rFonts w:ascii="Times New Roman" w:hAnsi="Times New Roman"/>
                <w:smallCaps/>
                <w:sz w:val="24"/>
              </w:rPr>
            </w:pPr>
            <w:r>
              <w:rPr>
                <w:rFonts w:ascii="Times New Roman" w:hAnsi="Times New Roman"/>
                <w:sz w:val="24"/>
              </w:rPr>
              <w:t xml:space="preserve">Inserire </w:t>
            </w:r>
            <w:r w:rsidR="000878EC">
              <w:rPr>
                <w:rStyle w:val="InstructionsTabelleText"/>
                <w:rFonts w:ascii="Times New Roman" w:hAnsi="Times New Roman"/>
                <w:sz w:val="24"/>
              </w:rPr>
              <w:t>"</w:t>
            </w:r>
            <w:r>
              <w:rPr>
                <w:rStyle w:val="InstructionsTabelleText"/>
                <w:rFonts w:ascii="Times New Roman" w:hAnsi="Times New Roman"/>
                <w:sz w:val="24"/>
              </w:rPr>
              <w:t>SP</w:t>
            </w:r>
            <w:r w:rsidR="000878EC">
              <w:rPr>
                <w:rStyle w:val="InstructionsTabelleText"/>
                <w:rFonts w:ascii="Times New Roman" w:hAnsi="Times New Roman"/>
                <w:sz w:val="24"/>
              </w:rPr>
              <w:t>"</w:t>
            </w:r>
            <w:r>
              <w:rPr>
                <w:rFonts w:ascii="Times New Roman" w:hAnsi="Times New Roman"/>
                <w:sz w:val="24"/>
              </w:rPr>
              <w:t xml:space="preserve"> per le singole filiazioni consolidate parzialmente.</w:t>
            </w:r>
            <w:r>
              <w:rPr>
                <w:rStyle w:val="InstructionsTabelleText"/>
                <w:rFonts w:ascii="Times New Roman" w:hAnsi="Times New Roman"/>
                <w:i/>
                <w:sz w:val="24"/>
              </w:rPr>
              <w:t xml:space="preserve">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0050</w:t>
            </w:r>
          </w:p>
        </w:tc>
        <w:tc>
          <w:tcPr>
            <w:tcW w:w="8640" w:type="dxa"/>
          </w:tcPr>
          <w:p w:rsidR="00BF0637" w:rsidRPr="00661595" w:rsidRDefault="00BF0637" w:rsidP="00731C8A">
            <w:pPr>
              <w:suppressAutoHyphens/>
              <w:rPr>
                <w:rFonts w:ascii="Times New Roman" w:hAnsi="Times New Roman"/>
                <w:b/>
                <w:sz w:val="24"/>
                <w:u w:val="single"/>
              </w:rPr>
            </w:pPr>
            <w:r>
              <w:rPr>
                <w:rFonts w:ascii="Times New Roman" w:hAnsi="Times New Roman"/>
                <w:b/>
                <w:sz w:val="24"/>
                <w:u w:val="single"/>
              </w:rPr>
              <w:t xml:space="preserve">CODICE DEL PAESE </w:t>
            </w:r>
          </w:p>
          <w:p w:rsidR="00BF0637" w:rsidRPr="00661595" w:rsidRDefault="00BF0637" w:rsidP="00731C8A">
            <w:pPr>
              <w:suppressAutoHyphens/>
              <w:rPr>
                <w:rStyle w:val="InstructionsTabelleText"/>
                <w:rFonts w:ascii="Times New Roman" w:hAnsi="Times New Roman"/>
                <w:sz w:val="24"/>
              </w:rPr>
            </w:pPr>
            <w:r>
              <w:rPr>
                <w:rStyle w:val="InstructionsTabelleText"/>
                <w:rFonts w:ascii="Times New Roman" w:hAnsi="Times New Roman"/>
                <w:sz w:val="24"/>
              </w:rPr>
              <w:t xml:space="preserve">Gli enti segnalano il codice a due lettere che identifica il paese di cui alla norma ISO 3166-2.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0060</w:t>
            </w:r>
          </w:p>
        </w:tc>
        <w:tc>
          <w:tcPr>
            <w:tcW w:w="8640" w:type="dxa"/>
          </w:tcPr>
          <w:p w:rsidR="00BF0637" w:rsidRPr="00661595" w:rsidRDefault="00BF0637" w:rsidP="00731C8A">
            <w:pPr>
              <w:suppressAutoHyphens/>
              <w:rPr>
                <w:rStyle w:val="InstructionsTabelleberschrift"/>
                <w:rFonts w:ascii="Times New Roman" w:hAnsi="Times New Roman"/>
                <w:sz w:val="24"/>
              </w:rPr>
            </w:pPr>
            <w:r>
              <w:rPr>
                <w:rStyle w:val="InstructionsTabelleberschrift"/>
                <w:rFonts w:ascii="Times New Roman" w:hAnsi="Times New Roman"/>
                <w:sz w:val="24"/>
              </w:rPr>
              <w:t>QUOTA DI PARTECIPAZIONE (%)</w:t>
            </w:r>
          </w:p>
          <w:p w:rsidR="00BF0637" w:rsidRPr="00661595" w:rsidRDefault="00BF0637" w:rsidP="00731C8A">
            <w:pPr>
              <w:suppressAutoHyphens/>
              <w:rPr>
                <w:rStyle w:val="InstructionsTabelleText"/>
                <w:rFonts w:ascii="Times New Roman" w:hAnsi="Times New Roman"/>
                <w:sz w:val="24"/>
              </w:rPr>
            </w:pPr>
            <w:r>
              <w:rPr>
                <w:rStyle w:val="InstructionsTabelleText"/>
                <w:rFonts w:ascii="Times New Roman" w:hAnsi="Times New Roman"/>
                <w:sz w:val="24"/>
              </w:rPr>
              <w:t>Questa percentuale è riferita alla quota effettiva di capitale detenuta dall</w:t>
            </w:r>
            <w:r w:rsidR="000878EC">
              <w:rPr>
                <w:rStyle w:val="InstructionsTabelleText"/>
                <w:rFonts w:ascii="Times New Roman" w:hAnsi="Times New Roman"/>
                <w:sz w:val="24"/>
              </w:rPr>
              <w:t>'</w:t>
            </w:r>
            <w:r>
              <w:rPr>
                <w:rStyle w:val="InstructionsTabelleText"/>
                <w:rFonts w:ascii="Times New Roman" w:hAnsi="Times New Roman"/>
                <w:sz w:val="24"/>
              </w:rPr>
              <w:t>impresa madre nelle filiazioni. In caso di consolidamento integrale di una filiazione diretta, la quota effettiva è ad esempio del 70 %. Conformemente all</w:t>
            </w:r>
            <w:r w:rsidR="000878EC">
              <w:rPr>
                <w:rStyle w:val="InstructionsTabelleText"/>
                <w:rFonts w:ascii="Times New Roman" w:hAnsi="Times New Roman"/>
                <w:sz w:val="24"/>
              </w:rPr>
              <w:t>'</w:t>
            </w:r>
            <w:r>
              <w:rPr>
                <w:rStyle w:val="InstructionsTabelleText"/>
                <w:rFonts w:ascii="Times New Roman" w:hAnsi="Times New Roman"/>
                <w:sz w:val="24"/>
              </w:rPr>
              <w:t>articolo 4, paragrafo 1, punto 16, del CRR, la quota di partecipazione di una filiazione da segnalare è il risultato della moltiplicazione delle quote tra le filiazioni in questione.</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0070-0240</w:t>
            </w:r>
          </w:p>
        </w:tc>
        <w:tc>
          <w:tcPr>
            <w:tcW w:w="8640" w:type="dxa"/>
          </w:tcPr>
          <w:p w:rsidR="00BF0637" w:rsidRPr="00661595" w:rsidRDefault="00BF0637" w:rsidP="00731C8A">
            <w:pPr>
              <w:suppressAutoHyphens/>
              <w:rPr>
                <w:rStyle w:val="InstructionsTabelleberschrift"/>
                <w:rFonts w:ascii="Times New Roman" w:hAnsi="Times New Roman"/>
                <w:sz w:val="24"/>
              </w:rPr>
            </w:pPr>
            <w:r>
              <w:rPr>
                <w:rStyle w:val="InstructionsTabelleberschrift"/>
                <w:rFonts w:ascii="Times New Roman" w:hAnsi="Times New Roman"/>
                <w:sz w:val="24"/>
              </w:rPr>
              <w:t>INFORMAZIONI SUI SOGGETTI CUI SI APPLICANO I REQUISITI DI FONDI PROPRI</w:t>
            </w:r>
          </w:p>
          <w:p w:rsidR="00BF0637" w:rsidRPr="00661595" w:rsidRDefault="00BF0637" w:rsidP="00731C8A">
            <w:pPr>
              <w:suppressAutoHyphens/>
              <w:rPr>
                <w:rStyle w:val="InstructionsTabelleText"/>
                <w:rFonts w:ascii="Times New Roman" w:hAnsi="Times New Roman"/>
                <w:sz w:val="24"/>
              </w:rPr>
            </w:pPr>
            <w:r>
              <w:rPr>
                <w:rStyle w:val="InstructionsTabelleText"/>
                <w:rFonts w:ascii="Times New Roman" w:hAnsi="Times New Roman"/>
                <w:sz w:val="24"/>
              </w:rPr>
              <w:t>La sezione relativa alle informazioni dettagliate (colonne da 0070 a 0240) contiene informazioni riguardanti unicamente i soggetti e i sottogruppi che, essendo inclusi nel consolidamento (</w:t>
            </w:r>
            <w:r>
              <w:rPr>
                <w:rFonts w:ascii="Times New Roman" w:hAnsi="Times New Roman"/>
                <w:sz w:val="24"/>
              </w:rPr>
              <w:t>parte uno, titolo II, capo 2, del CRR</w:t>
            </w:r>
            <w:r>
              <w:rPr>
                <w:rStyle w:val="InstructionsTabelleText"/>
                <w:rFonts w:ascii="Times New Roman" w:hAnsi="Times New Roman"/>
                <w:sz w:val="24"/>
              </w:rPr>
              <w:t xml:space="preserve">), sono effettivamente soggetti a requisiti di solvibilità stabiliti nel CRR o a disposizioni almeno equivalenti alle norme di Basilea (cioè quelli per cui è indicato </w:t>
            </w:r>
            <w:r w:rsidR="000878EC">
              <w:rPr>
                <w:rStyle w:val="InstructionsTabelleText"/>
                <w:rFonts w:ascii="Times New Roman" w:hAnsi="Times New Roman"/>
                <w:sz w:val="24"/>
              </w:rPr>
              <w:t>"</w:t>
            </w:r>
            <w:r>
              <w:rPr>
                <w:rStyle w:val="InstructionsTabelleText"/>
                <w:rFonts w:ascii="Times New Roman" w:hAnsi="Times New Roman"/>
                <w:sz w:val="24"/>
              </w:rPr>
              <w:t>sì</w:t>
            </w:r>
            <w:r w:rsidR="000878EC">
              <w:rPr>
                <w:rStyle w:val="InstructionsTabelleText"/>
                <w:rFonts w:ascii="Times New Roman" w:hAnsi="Times New Roman"/>
                <w:sz w:val="24"/>
              </w:rPr>
              <w:t>"</w:t>
            </w:r>
            <w:r>
              <w:rPr>
                <w:rStyle w:val="InstructionsTabelleText"/>
                <w:rFonts w:ascii="Times New Roman" w:hAnsi="Times New Roman"/>
                <w:sz w:val="24"/>
              </w:rPr>
              <w:t xml:space="preserve"> nella colonna 0030). </w:t>
            </w:r>
          </w:p>
          <w:p w:rsidR="00BF0637" w:rsidRPr="00661595" w:rsidRDefault="00BF0637" w:rsidP="00731C8A">
            <w:pPr>
              <w:suppressAutoHyphens/>
              <w:rPr>
                <w:rFonts w:ascii="Times New Roman" w:hAnsi="Times New Roman"/>
                <w:sz w:val="24"/>
              </w:rPr>
            </w:pPr>
            <w:r>
              <w:rPr>
                <w:rFonts w:ascii="Times New Roman" w:hAnsi="Times New Roman"/>
                <w:sz w:val="24"/>
              </w:rPr>
              <w:t xml:space="preserve">Sono segnalate informazioni riguardanti tutti i singoli enti di un gruppo consolidato ai quali si applicano requisiti di fondi propri, indipendentemente dal luogo in cui sono situati. </w:t>
            </w:r>
          </w:p>
          <w:p w:rsidR="00BF0637" w:rsidRPr="00661595" w:rsidRDefault="00BF0637" w:rsidP="00731C8A">
            <w:pPr>
              <w:suppressAutoHyphens/>
              <w:rPr>
                <w:rFonts w:ascii="Times New Roman" w:hAnsi="Times New Roman"/>
                <w:sz w:val="24"/>
              </w:rPr>
            </w:pPr>
            <w:r>
              <w:rPr>
                <w:rFonts w:ascii="Times New Roman" w:hAnsi="Times New Roman"/>
                <w:sz w:val="24"/>
              </w:rPr>
              <w:t>Le informazioni riportate in questa parte riflettono le norme locali sulla solvibilità della giurisdizione in cui l</w:t>
            </w:r>
            <w:r w:rsidR="000878EC">
              <w:rPr>
                <w:rFonts w:ascii="Times New Roman" w:hAnsi="Times New Roman"/>
                <w:sz w:val="24"/>
              </w:rPr>
              <w:t>'</w:t>
            </w:r>
            <w:r>
              <w:rPr>
                <w:rFonts w:ascii="Times New Roman" w:hAnsi="Times New Roman"/>
                <w:sz w:val="24"/>
              </w:rPr>
              <w:t>ente opera (per questo modello, quindi, non è necessario effettuare un doppio calcolo su base individuale conformemente alle regole dell</w:t>
            </w:r>
            <w:r w:rsidR="000878EC">
              <w:rPr>
                <w:rFonts w:ascii="Times New Roman" w:hAnsi="Times New Roman"/>
                <w:sz w:val="24"/>
              </w:rPr>
              <w:t>'</w:t>
            </w:r>
            <w:r>
              <w:rPr>
                <w:rFonts w:ascii="Times New Roman" w:hAnsi="Times New Roman"/>
                <w:sz w:val="24"/>
              </w:rPr>
              <w:t>ente impresa madre). Nei casi in cui le norme locali sulla solvibilità siano diverse dal CRR e non esista una ripartizione analoga, le informazioni sono integrate qualora siano disponibili dati nella rispettiva granularità. Questa parte del modello è pertanto strutturata come modello fattuale che riassume i calcoli eseguiti dai singoli enti di un gruppo, tenuto conto del fatto che alcuni di tali enti possono essere soggetti a norme di solvibilità diverse.</w:t>
            </w:r>
          </w:p>
          <w:p w:rsidR="00BF0637" w:rsidRPr="00661595" w:rsidRDefault="00BF0637" w:rsidP="00731C8A">
            <w:pPr>
              <w:suppressAutoHyphens/>
              <w:rPr>
                <w:rStyle w:val="InstructionsTabelleText"/>
                <w:rFonts w:ascii="Times New Roman" w:hAnsi="Times New Roman"/>
                <w:b/>
                <w:sz w:val="24"/>
                <w:u w:val="single"/>
              </w:rPr>
            </w:pPr>
            <w:r>
              <w:rPr>
                <w:rStyle w:val="InstructionsTabelleText"/>
                <w:rFonts w:ascii="Times New Roman" w:hAnsi="Times New Roman"/>
                <w:b/>
                <w:sz w:val="24"/>
                <w:u w:val="single"/>
              </w:rPr>
              <w:t>Segnalazione delle spese fisse generali delle imprese di investimento</w:t>
            </w:r>
          </w:p>
          <w:p w:rsidR="00BF0637" w:rsidRPr="00661595" w:rsidRDefault="00BF0637" w:rsidP="00731C8A">
            <w:pPr>
              <w:suppressAutoHyphens/>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Nel calcolo del coefficiente di capitale ai sensi degli articoli 95, 96, 97 e 98 del CRR le imprese di investimento includono i requisiti di fondi propri relativi alle spese fisse generali.</w:t>
            </w:r>
          </w:p>
          <w:p w:rsidR="00BF0637" w:rsidRPr="00661595" w:rsidRDefault="00BF0637" w:rsidP="00731C8A">
            <w:pPr>
              <w:suppressAutoHyphens/>
              <w:autoSpaceDE w:val="0"/>
              <w:autoSpaceDN w:val="0"/>
              <w:adjustRightInd w:val="0"/>
              <w:spacing w:after="0"/>
              <w:rPr>
                <w:rStyle w:val="InstructionsTabelleText"/>
                <w:rFonts w:ascii="Times New Roman" w:hAnsi="Times New Roman"/>
                <w:sz w:val="24"/>
              </w:rPr>
            </w:pPr>
            <w:r>
              <w:rPr>
                <w:rStyle w:val="InstructionsTabelleText"/>
                <w:rFonts w:ascii="Times New Roman" w:hAnsi="Times New Roman"/>
                <w:sz w:val="24"/>
              </w:rPr>
              <w:t>La parte dell</w:t>
            </w:r>
            <w:r w:rsidR="000878EC">
              <w:rPr>
                <w:rStyle w:val="InstructionsTabelleText"/>
                <w:rFonts w:ascii="Times New Roman" w:hAnsi="Times New Roman"/>
                <w:sz w:val="24"/>
              </w:rPr>
              <w:t>'</w:t>
            </w:r>
            <w:r>
              <w:rPr>
                <w:rStyle w:val="InstructionsTabelleText"/>
                <w:rFonts w:ascii="Times New Roman" w:hAnsi="Times New Roman"/>
                <w:sz w:val="24"/>
              </w:rPr>
              <w:t>importo complessivo dell</w:t>
            </w:r>
            <w:r w:rsidR="000878EC">
              <w:rPr>
                <w:rStyle w:val="InstructionsTabelleText"/>
                <w:rFonts w:ascii="Times New Roman" w:hAnsi="Times New Roman"/>
                <w:sz w:val="24"/>
              </w:rPr>
              <w:t>'</w:t>
            </w:r>
            <w:r>
              <w:rPr>
                <w:rStyle w:val="InstructionsTabelleText"/>
                <w:rFonts w:ascii="Times New Roman" w:hAnsi="Times New Roman"/>
                <w:sz w:val="24"/>
              </w:rPr>
              <w:t xml:space="preserve">esposizione al rischio relativa alle spese fisse generali è segnalata nella colonna 0100 di questo modello.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0070</w:t>
            </w:r>
          </w:p>
        </w:tc>
        <w:tc>
          <w:tcPr>
            <w:tcW w:w="8640" w:type="dxa"/>
          </w:tcPr>
          <w:p w:rsidR="00BF0637" w:rsidRPr="00661595" w:rsidRDefault="00BF0637" w:rsidP="00731C8A">
            <w:pPr>
              <w:suppressAutoHyphens/>
              <w:rPr>
                <w:rStyle w:val="InstructionsTabelleberschrift"/>
                <w:rFonts w:ascii="Times New Roman" w:hAnsi="Times New Roman"/>
                <w:sz w:val="24"/>
              </w:rPr>
            </w:pPr>
            <w:r>
              <w:rPr>
                <w:rStyle w:val="InstructionsTabelleberschrift"/>
                <w:rFonts w:ascii="Times New Roman" w:hAnsi="Times New Roman"/>
                <w:sz w:val="24"/>
              </w:rPr>
              <w:t>IMPORTO COMPLESSIVO DELL</w:t>
            </w:r>
            <w:r w:rsidR="000878EC">
              <w:rPr>
                <w:rStyle w:val="InstructionsTabelleberschrift"/>
                <w:rFonts w:ascii="Times New Roman" w:hAnsi="Times New Roman"/>
                <w:sz w:val="24"/>
              </w:rPr>
              <w:t>'</w:t>
            </w:r>
            <w:r>
              <w:rPr>
                <w:rStyle w:val="InstructionsTabelleberschrift"/>
                <w:rFonts w:ascii="Times New Roman" w:hAnsi="Times New Roman"/>
                <w:sz w:val="24"/>
              </w:rPr>
              <w:t xml:space="preserve">ESPOSIZIONE AL RISCHIO </w:t>
            </w:r>
          </w:p>
          <w:p w:rsidR="00BF0637" w:rsidRPr="00661595" w:rsidRDefault="00BF0637" w:rsidP="00731C8A">
            <w:pPr>
              <w:suppressAutoHyphens/>
              <w:rPr>
                <w:rStyle w:val="InstructionsTabelleberschrift"/>
                <w:rFonts w:ascii="Times New Roman" w:hAnsi="Times New Roman"/>
                <w:sz w:val="24"/>
              </w:rPr>
            </w:pPr>
            <w:r>
              <w:rPr>
                <w:rStyle w:val="InstructionsTabelleText"/>
                <w:rFonts w:ascii="Times New Roman" w:hAnsi="Times New Roman"/>
                <w:sz w:val="24"/>
              </w:rPr>
              <w:t>È segnalata la somma delle colonne da 0080 a 0110.</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0080</w:t>
            </w:r>
          </w:p>
        </w:tc>
        <w:tc>
          <w:tcPr>
            <w:tcW w:w="8640" w:type="dxa"/>
          </w:tcPr>
          <w:p w:rsidR="00BF0637" w:rsidRPr="00661595" w:rsidRDefault="00BF0637" w:rsidP="00731C8A">
            <w:pPr>
              <w:suppressAutoHyphens/>
              <w:rPr>
                <w:rStyle w:val="InstructionsTabelleberschrift"/>
                <w:rFonts w:ascii="Times New Roman" w:hAnsi="Times New Roman"/>
                <w:sz w:val="24"/>
              </w:rPr>
            </w:pPr>
            <w:r>
              <w:rPr>
                <w:rStyle w:val="InstructionsTabelleberschrift"/>
                <w:rFonts w:ascii="Times New Roman" w:hAnsi="Times New Roman"/>
                <w:sz w:val="24"/>
              </w:rPr>
              <w:t>RISCHIO DI CREDITO; RISCHIO DI CONTROPARTE; RISCHIO DI DILUIZIONE, OPERAZIONI CON REGOLAMENTO NON CONTESTUALE E RISCHIO DI REGOLAMENTO/CONSEGNA</w:t>
            </w:r>
          </w:p>
          <w:p w:rsidR="00BF0637" w:rsidRPr="00661595" w:rsidRDefault="00BF0637" w:rsidP="00731C8A">
            <w:pPr>
              <w:suppressAutoHyphens/>
              <w:rPr>
                <w:rStyle w:val="InstructionsTabelleText"/>
                <w:rFonts w:ascii="Times New Roman" w:hAnsi="Times New Roman"/>
                <w:sz w:val="24"/>
              </w:rPr>
            </w:pPr>
            <w:r>
              <w:rPr>
                <w:rStyle w:val="InstructionsTabelleText"/>
                <w:rFonts w:ascii="Times New Roman" w:hAnsi="Times New Roman"/>
                <w:sz w:val="24"/>
              </w:rPr>
              <w:t>L</w:t>
            </w:r>
            <w:r w:rsidR="000878EC">
              <w:rPr>
                <w:rStyle w:val="InstructionsTabelleText"/>
                <w:rFonts w:ascii="Times New Roman" w:hAnsi="Times New Roman"/>
                <w:sz w:val="24"/>
              </w:rPr>
              <w:t>'</w:t>
            </w:r>
            <w:r>
              <w:rPr>
                <w:rStyle w:val="InstructionsTabelleText"/>
                <w:rFonts w:ascii="Times New Roman" w:hAnsi="Times New Roman"/>
                <w:sz w:val="24"/>
              </w:rPr>
              <w:t xml:space="preserve">importo da segnalare in questa colonna è la somma degli importi delle esposizioni ponderati per il rischio, uguali o equivalenti a quelli da indicare nella riga 0040 </w:t>
            </w:r>
            <w:r w:rsidR="000878EC">
              <w:rPr>
                <w:rStyle w:val="InstructionsTabelleText"/>
                <w:rFonts w:ascii="Times New Roman" w:hAnsi="Times New Roman"/>
                <w:sz w:val="24"/>
              </w:rPr>
              <w:t>"</w:t>
            </w:r>
            <w:r>
              <w:rPr>
                <w:rStyle w:val="InstructionsTabelleberschrift"/>
                <w:rFonts w:ascii="Times New Roman" w:hAnsi="Times New Roman"/>
                <w:b w:val="0"/>
                <w:sz w:val="24"/>
                <w:u w:val="none"/>
              </w:rPr>
              <w:t>IMPORTI DELLE ESPOSIZIONI PONDERATI PER RISCHIO</w:t>
            </w:r>
            <w:r>
              <w:rPr>
                <w:rFonts w:ascii="Times New Roman" w:hAnsi="Times New Roman"/>
                <w:sz w:val="24"/>
              </w:rPr>
              <w:t xml:space="preserve"> </w:t>
            </w:r>
            <w:r>
              <w:rPr>
                <w:rStyle w:val="InstructionsTabelleText"/>
                <w:rFonts w:ascii="Times New Roman" w:hAnsi="Times New Roman"/>
                <w:sz w:val="24"/>
              </w:rPr>
              <w:t>DI CREDITO, RISCHIO DI CONTROPARTE E RISCHIO DI DILUIZIONE E OPERAZIONI CON REGOLAMENTO NON CONTESTUALE</w:t>
            </w:r>
            <w:r w:rsidR="000878EC">
              <w:rPr>
                <w:rStyle w:val="InstructionsTabelleText"/>
                <w:rFonts w:ascii="Times New Roman" w:hAnsi="Times New Roman"/>
                <w:sz w:val="24"/>
              </w:rPr>
              <w:t>"</w:t>
            </w:r>
            <w:r>
              <w:rPr>
                <w:rStyle w:val="InstructionsTabelleText"/>
                <w:rFonts w:ascii="Times New Roman" w:hAnsi="Times New Roman"/>
                <w:sz w:val="24"/>
              </w:rPr>
              <w:t xml:space="preserve">, e degli importi dei requisiti di fondi propri uguali o equivalenti a quelli da indicare nella riga 0490 </w:t>
            </w:r>
            <w:r w:rsidR="000878EC">
              <w:rPr>
                <w:rStyle w:val="InstructionsTabelleText"/>
                <w:rFonts w:ascii="Times New Roman" w:hAnsi="Times New Roman"/>
                <w:sz w:val="24"/>
              </w:rPr>
              <w:t>"</w:t>
            </w:r>
            <w:r>
              <w:rPr>
                <w:rStyle w:val="InstructionsTabelleText"/>
                <w:rFonts w:ascii="Times New Roman" w:hAnsi="Times New Roman"/>
                <w:sz w:val="24"/>
              </w:rPr>
              <w:t>IMPORTO COMPLESSIVO DELL</w:t>
            </w:r>
            <w:r w:rsidR="000878EC">
              <w:rPr>
                <w:rStyle w:val="InstructionsTabelleText"/>
                <w:rFonts w:ascii="Times New Roman" w:hAnsi="Times New Roman"/>
                <w:sz w:val="24"/>
              </w:rPr>
              <w:t>'</w:t>
            </w:r>
            <w:r>
              <w:rPr>
                <w:rStyle w:val="InstructionsTabelleText"/>
                <w:rFonts w:ascii="Times New Roman" w:hAnsi="Times New Roman"/>
                <w:sz w:val="24"/>
              </w:rPr>
              <w:t>ESPOSIZIONE AL RISCHIO DI RE</w:t>
            </w:r>
            <w:r w:rsidR="005E27EB">
              <w:rPr>
                <w:rStyle w:val="InstructionsTabelleText"/>
                <w:rFonts w:ascii="Times New Roman" w:hAnsi="Times New Roman"/>
                <w:sz w:val="24"/>
              </w:rPr>
              <w:t>GOLAMENTO/CONSEGNA</w:t>
            </w:r>
            <w:r w:rsidR="000878EC">
              <w:rPr>
                <w:rStyle w:val="InstructionsTabelleText"/>
                <w:rFonts w:ascii="Times New Roman" w:hAnsi="Times New Roman"/>
                <w:sz w:val="24"/>
              </w:rPr>
              <w:t>"</w:t>
            </w:r>
            <w:r w:rsidR="005E27EB">
              <w:rPr>
                <w:rStyle w:val="InstructionsTabelleText"/>
                <w:rFonts w:ascii="Times New Roman" w:hAnsi="Times New Roman"/>
                <w:sz w:val="24"/>
              </w:rPr>
              <w:t xml:space="preserve"> del modello </w:t>
            </w:r>
            <w:r>
              <w:rPr>
                <w:rStyle w:val="InstructionsTabelleText"/>
                <w:rFonts w:ascii="Times New Roman" w:hAnsi="Times New Roman"/>
                <w:sz w:val="24"/>
              </w:rPr>
              <w:t>CA2.</w:t>
            </w:r>
          </w:p>
        </w:tc>
      </w:tr>
      <w:tr w:rsidR="00BF0637" w:rsidRPr="00661595" w:rsidTr="00672D2A">
        <w:tc>
          <w:tcPr>
            <w:tcW w:w="1188" w:type="dxa"/>
          </w:tcPr>
          <w:p w:rsidR="00BF0637" w:rsidRPr="00661595" w:rsidRDefault="00ED20CB" w:rsidP="00BD1A14">
            <w:pPr>
              <w:keepNext/>
              <w:keepLines/>
              <w:rPr>
                <w:rStyle w:val="InstructionsTabelleText"/>
                <w:rFonts w:ascii="Times New Roman" w:hAnsi="Times New Roman"/>
                <w:sz w:val="24"/>
              </w:rPr>
            </w:pPr>
            <w:r>
              <w:rPr>
                <w:rStyle w:val="InstructionsTabelleText"/>
                <w:rFonts w:ascii="Times New Roman" w:hAnsi="Times New Roman"/>
                <w:sz w:val="24"/>
              </w:rPr>
              <w:t>0090</w:t>
            </w:r>
          </w:p>
        </w:tc>
        <w:tc>
          <w:tcPr>
            <w:tcW w:w="8640" w:type="dxa"/>
          </w:tcPr>
          <w:p w:rsidR="00BF0637" w:rsidRPr="00661595" w:rsidRDefault="00BF0637" w:rsidP="00BD1A14">
            <w:pPr>
              <w:keepNext/>
              <w:keepLines/>
              <w:suppressAutoHyphens/>
              <w:rPr>
                <w:rStyle w:val="InstructionsTabelleberschrift"/>
                <w:rFonts w:ascii="Times New Roman" w:hAnsi="Times New Roman"/>
                <w:sz w:val="24"/>
              </w:rPr>
            </w:pPr>
            <w:r>
              <w:rPr>
                <w:rStyle w:val="InstructionsTabelleberschrift"/>
                <w:rFonts w:ascii="Times New Roman" w:hAnsi="Times New Roman"/>
                <w:sz w:val="24"/>
              </w:rPr>
              <w:t>RISCHI DI POSIZIONE, DI CAMBIO E DI POSIZIONE IN MERCI</w:t>
            </w:r>
          </w:p>
          <w:p w:rsidR="00BF0637" w:rsidRPr="00661595" w:rsidRDefault="00BF0637" w:rsidP="00BD1A14">
            <w:pPr>
              <w:keepNext/>
              <w:keepLines/>
              <w:suppressAutoHyphens/>
              <w:rPr>
                <w:rStyle w:val="InstructionsTabelleText"/>
                <w:rFonts w:ascii="Times New Roman" w:hAnsi="Times New Roman"/>
                <w:sz w:val="24"/>
              </w:rPr>
            </w:pPr>
            <w:r>
              <w:rPr>
                <w:rStyle w:val="InstructionsTabelleText"/>
                <w:rFonts w:ascii="Times New Roman" w:hAnsi="Times New Roman"/>
                <w:sz w:val="24"/>
              </w:rPr>
              <w:t>L</w:t>
            </w:r>
            <w:r w:rsidR="000878EC">
              <w:rPr>
                <w:rStyle w:val="InstructionsTabelleText"/>
                <w:rFonts w:ascii="Times New Roman" w:hAnsi="Times New Roman"/>
                <w:sz w:val="24"/>
              </w:rPr>
              <w:t>'</w:t>
            </w:r>
            <w:r>
              <w:rPr>
                <w:rStyle w:val="InstructionsTabelleText"/>
                <w:rFonts w:ascii="Times New Roman" w:hAnsi="Times New Roman"/>
                <w:sz w:val="24"/>
              </w:rPr>
              <w:t>importo da segnalare in questa colonna è l</w:t>
            </w:r>
            <w:r w:rsidR="000878EC">
              <w:rPr>
                <w:rStyle w:val="InstructionsTabelleText"/>
                <w:rFonts w:ascii="Times New Roman" w:hAnsi="Times New Roman"/>
                <w:sz w:val="24"/>
              </w:rPr>
              <w:t>'</w:t>
            </w:r>
            <w:r>
              <w:rPr>
                <w:rStyle w:val="InstructionsTabelleText"/>
                <w:rFonts w:ascii="Times New Roman" w:hAnsi="Times New Roman"/>
                <w:sz w:val="24"/>
              </w:rPr>
              <w:t xml:space="preserve">importo dei requisiti di fondi propri uguali o equivalenti a quelli da indicare nella riga 0520 </w:t>
            </w:r>
            <w:r w:rsidR="000878EC">
              <w:rPr>
                <w:rStyle w:val="InstructionsTabelleText"/>
                <w:rFonts w:ascii="Times New Roman" w:hAnsi="Times New Roman"/>
                <w:sz w:val="24"/>
              </w:rPr>
              <w:t>"</w:t>
            </w:r>
            <w:r>
              <w:rPr>
                <w:rStyle w:val="InstructionsTabelleText"/>
                <w:rFonts w:ascii="Times New Roman" w:hAnsi="Times New Roman"/>
                <w:sz w:val="24"/>
              </w:rPr>
              <w:t>IMPORTO COMPLESSIVO DELL</w:t>
            </w:r>
            <w:r w:rsidR="000878EC">
              <w:rPr>
                <w:rStyle w:val="InstructionsTabelleText"/>
                <w:rFonts w:ascii="Times New Roman" w:hAnsi="Times New Roman"/>
                <w:sz w:val="24"/>
              </w:rPr>
              <w:t>'</w:t>
            </w:r>
            <w:r>
              <w:rPr>
                <w:rStyle w:val="InstructionsTabelleText"/>
                <w:rFonts w:ascii="Times New Roman" w:hAnsi="Times New Roman"/>
                <w:sz w:val="24"/>
              </w:rPr>
              <w:t>ESPOSIZIONE AI RISCHI DI POSIZIONE, DI CAMBIO E DI POSIZIONE IN MERCI</w:t>
            </w:r>
            <w:r w:rsidR="000878EC">
              <w:rPr>
                <w:rStyle w:val="InstructionsTabelleText"/>
                <w:rFonts w:ascii="Times New Roman" w:hAnsi="Times New Roman"/>
                <w:sz w:val="24"/>
              </w:rPr>
              <w:t>"</w:t>
            </w:r>
            <w:r>
              <w:rPr>
                <w:rStyle w:val="InstructionsTabelleText"/>
                <w:rFonts w:ascii="Times New Roman" w:hAnsi="Times New Roman"/>
                <w:sz w:val="24"/>
              </w:rPr>
              <w:t xml:space="preserve"> del modello CA2.</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0100</w:t>
            </w:r>
          </w:p>
        </w:tc>
        <w:tc>
          <w:tcPr>
            <w:tcW w:w="8640" w:type="dxa"/>
          </w:tcPr>
          <w:p w:rsidR="00BF0637" w:rsidRPr="00661595" w:rsidRDefault="00BF0637" w:rsidP="00731C8A">
            <w:pPr>
              <w:suppressAutoHyphens/>
              <w:rPr>
                <w:rStyle w:val="InstructionsTabelleberschrift"/>
                <w:rFonts w:ascii="Times New Roman" w:hAnsi="Times New Roman"/>
                <w:sz w:val="24"/>
              </w:rPr>
            </w:pPr>
            <w:r>
              <w:rPr>
                <w:rStyle w:val="InstructionsTabelleberschrift"/>
                <w:rFonts w:ascii="Times New Roman" w:hAnsi="Times New Roman"/>
                <w:sz w:val="24"/>
              </w:rPr>
              <w:t>RISCHIO OPERATIVO</w:t>
            </w:r>
          </w:p>
          <w:p w:rsidR="00BF0637" w:rsidRPr="00661595" w:rsidRDefault="00BF0637" w:rsidP="00731C8A">
            <w:pPr>
              <w:suppressAutoHyphens/>
              <w:rPr>
                <w:rStyle w:val="InstructionsTabelleText"/>
                <w:rFonts w:ascii="Times New Roman" w:hAnsi="Times New Roman"/>
                <w:sz w:val="24"/>
              </w:rPr>
            </w:pPr>
            <w:r>
              <w:rPr>
                <w:rStyle w:val="InstructionsTabelleText"/>
                <w:rFonts w:ascii="Times New Roman" w:hAnsi="Times New Roman"/>
                <w:sz w:val="24"/>
              </w:rPr>
              <w:t>L</w:t>
            </w:r>
            <w:r w:rsidR="000878EC">
              <w:rPr>
                <w:rStyle w:val="InstructionsTabelleText"/>
                <w:rFonts w:ascii="Times New Roman" w:hAnsi="Times New Roman"/>
                <w:sz w:val="24"/>
              </w:rPr>
              <w:t>'</w:t>
            </w:r>
            <w:r>
              <w:rPr>
                <w:rStyle w:val="InstructionsTabelleText"/>
                <w:rFonts w:ascii="Times New Roman" w:hAnsi="Times New Roman"/>
                <w:sz w:val="24"/>
              </w:rPr>
              <w:t>importo da segnalare in questa colonna è l</w:t>
            </w:r>
            <w:r w:rsidR="000878EC">
              <w:rPr>
                <w:rStyle w:val="InstructionsTabelleText"/>
                <w:rFonts w:ascii="Times New Roman" w:hAnsi="Times New Roman"/>
                <w:sz w:val="24"/>
              </w:rPr>
              <w:t>'</w:t>
            </w:r>
            <w:r>
              <w:rPr>
                <w:rStyle w:val="InstructionsTabelleText"/>
                <w:rFonts w:ascii="Times New Roman" w:hAnsi="Times New Roman"/>
                <w:sz w:val="24"/>
              </w:rPr>
              <w:t>importo dell</w:t>
            </w:r>
            <w:r w:rsidR="000878EC">
              <w:rPr>
                <w:rStyle w:val="InstructionsTabelleText"/>
                <w:rFonts w:ascii="Times New Roman" w:hAnsi="Times New Roman"/>
                <w:sz w:val="24"/>
              </w:rPr>
              <w:t>'</w:t>
            </w:r>
            <w:r>
              <w:rPr>
                <w:rStyle w:val="InstructionsTabelleText"/>
                <w:rFonts w:ascii="Times New Roman" w:hAnsi="Times New Roman"/>
                <w:sz w:val="24"/>
              </w:rPr>
              <w:t xml:space="preserve">esposizione al rischio uguale o equivalente a quello da indicare nella riga 0590 </w:t>
            </w:r>
            <w:r w:rsidR="000878EC">
              <w:rPr>
                <w:rStyle w:val="InstructionsTabelleText"/>
                <w:rFonts w:ascii="Times New Roman" w:hAnsi="Times New Roman"/>
                <w:sz w:val="24"/>
              </w:rPr>
              <w:t>"</w:t>
            </w:r>
            <w:r>
              <w:rPr>
                <w:rStyle w:val="InstructionsTabelleText"/>
                <w:rFonts w:ascii="Times New Roman" w:hAnsi="Times New Roman"/>
                <w:sz w:val="24"/>
              </w:rPr>
              <w:t>IMPORTO COMPLESSIVO DELL</w:t>
            </w:r>
            <w:r w:rsidR="000878EC">
              <w:rPr>
                <w:rStyle w:val="InstructionsTabelleText"/>
                <w:rFonts w:ascii="Times New Roman" w:hAnsi="Times New Roman"/>
                <w:sz w:val="24"/>
              </w:rPr>
              <w:t>'</w:t>
            </w:r>
            <w:r>
              <w:rPr>
                <w:rStyle w:val="InstructionsTabelleText"/>
                <w:rFonts w:ascii="Times New Roman" w:hAnsi="Times New Roman"/>
                <w:sz w:val="24"/>
              </w:rPr>
              <w:t>ESPOSIZIONE AL RISCHIO OPERATIVO (OpR)</w:t>
            </w:r>
            <w:r w:rsidR="000878EC">
              <w:rPr>
                <w:rStyle w:val="InstructionsTabelleText"/>
                <w:rFonts w:ascii="Times New Roman" w:hAnsi="Times New Roman"/>
                <w:sz w:val="24"/>
              </w:rPr>
              <w:t>"</w:t>
            </w:r>
            <w:r>
              <w:rPr>
                <w:rStyle w:val="InstructionsTabelleText"/>
                <w:rFonts w:ascii="Times New Roman" w:hAnsi="Times New Roman"/>
                <w:sz w:val="24"/>
              </w:rPr>
              <w:t xml:space="preserve"> del modello CA2.</w:t>
            </w:r>
          </w:p>
          <w:p w:rsidR="00BF0637" w:rsidRPr="00661595" w:rsidRDefault="00BF0637" w:rsidP="00731C8A">
            <w:pPr>
              <w:suppressAutoHyphens/>
              <w:rPr>
                <w:rStyle w:val="InstructionsTabelleText"/>
                <w:rFonts w:ascii="Times New Roman" w:hAnsi="Times New Roman"/>
                <w:sz w:val="24"/>
              </w:rPr>
            </w:pPr>
            <w:r>
              <w:rPr>
                <w:rStyle w:val="InstructionsTabelleText"/>
                <w:rFonts w:ascii="Times New Roman" w:hAnsi="Times New Roman"/>
                <w:sz w:val="24"/>
              </w:rPr>
              <w:t xml:space="preserve">Le spese fisse generali sono incluse in questa colonna, compresa la riga 0630 </w:t>
            </w:r>
            <w:r w:rsidR="000878EC">
              <w:rPr>
                <w:rStyle w:val="InstructionsTabelleText"/>
                <w:rFonts w:ascii="Times New Roman" w:hAnsi="Times New Roman"/>
                <w:sz w:val="24"/>
              </w:rPr>
              <w:t>"</w:t>
            </w:r>
            <w:r>
              <w:rPr>
                <w:rStyle w:val="InstructionsTabelleText"/>
                <w:rFonts w:ascii="Times New Roman" w:hAnsi="Times New Roman"/>
                <w:sz w:val="24"/>
              </w:rPr>
              <w:t>IMPORTO AGGIUNTIVO DELL</w:t>
            </w:r>
            <w:r w:rsidR="000878EC">
              <w:rPr>
                <w:rStyle w:val="InstructionsTabelleText"/>
                <w:rFonts w:ascii="Times New Roman" w:hAnsi="Times New Roman"/>
                <w:sz w:val="24"/>
              </w:rPr>
              <w:t>'</w:t>
            </w:r>
            <w:r>
              <w:rPr>
                <w:rStyle w:val="InstructionsTabelleText"/>
                <w:rFonts w:ascii="Times New Roman" w:hAnsi="Times New Roman"/>
                <w:sz w:val="24"/>
              </w:rPr>
              <w:t>ESPOSIZIONE AL RISCHIO DOVUTO ALLE SPESE FISSE GENERALI</w:t>
            </w:r>
            <w:r w:rsidR="000878EC">
              <w:rPr>
                <w:rStyle w:val="InstructionsTabelleText"/>
                <w:rFonts w:ascii="Times New Roman" w:hAnsi="Times New Roman"/>
                <w:sz w:val="24"/>
              </w:rPr>
              <w:t>"</w:t>
            </w:r>
            <w:r>
              <w:rPr>
                <w:rStyle w:val="InstructionsTabelleText"/>
                <w:rFonts w:ascii="Times New Roman" w:hAnsi="Times New Roman"/>
                <w:sz w:val="24"/>
              </w:rPr>
              <w:t xml:space="preserve"> del modello CA2.</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0110</w:t>
            </w:r>
          </w:p>
        </w:tc>
        <w:tc>
          <w:tcPr>
            <w:tcW w:w="8640" w:type="dxa"/>
          </w:tcPr>
          <w:p w:rsidR="00BF0637" w:rsidRPr="00661595" w:rsidRDefault="00BF0637" w:rsidP="00731C8A">
            <w:pPr>
              <w:suppressAutoHyphens/>
              <w:rPr>
                <w:rStyle w:val="InstructionsTabelleberschrift"/>
                <w:rFonts w:ascii="Times New Roman" w:hAnsi="Times New Roman"/>
                <w:sz w:val="24"/>
              </w:rPr>
            </w:pPr>
            <w:r>
              <w:rPr>
                <w:rStyle w:val="InstructionsTabelleberschrift"/>
                <w:rFonts w:ascii="Times New Roman" w:hAnsi="Times New Roman"/>
                <w:sz w:val="24"/>
              </w:rPr>
              <w:t>IMPORTI DELL</w:t>
            </w:r>
            <w:r w:rsidR="000878EC">
              <w:rPr>
                <w:rStyle w:val="InstructionsTabelleberschrift"/>
                <w:rFonts w:ascii="Times New Roman" w:hAnsi="Times New Roman"/>
                <w:sz w:val="24"/>
              </w:rPr>
              <w:t>'</w:t>
            </w:r>
            <w:r>
              <w:rPr>
                <w:rStyle w:val="InstructionsTabelleberschrift"/>
                <w:rFonts w:ascii="Times New Roman" w:hAnsi="Times New Roman"/>
                <w:sz w:val="24"/>
              </w:rPr>
              <w:t>ESPOSIZIONE AD ALTRI RISCHI</w:t>
            </w:r>
          </w:p>
          <w:p w:rsidR="00BF0637" w:rsidRPr="00661595" w:rsidRDefault="00BF0637" w:rsidP="00731C8A">
            <w:pPr>
              <w:suppressAutoHyphens/>
              <w:rPr>
                <w:rStyle w:val="InstructionsTabelleText"/>
                <w:rFonts w:ascii="Times New Roman" w:hAnsi="Times New Roman"/>
                <w:sz w:val="24"/>
              </w:rPr>
            </w:pPr>
            <w:r>
              <w:rPr>
                <w:rStyle w:val="InstructionsTabelleText"/>
                <w:rFonts w:ascii="Times New Roman" w:hAnsi="Times New Roman"/>
                <w:sz w:val="24"/>
              </w:rPr>
              <w:t>L</w:t>
            </w:r>
            <w:r w:rsidR="000878EC">
              <w:rPr>
                <w:rStyle w:val="InstructionsTabelleText"/>
                <w:rFonts w:ascii="Times New Roman" w:hAnsi="Times New Roman"/>
                <w:sz w:val="24"/>
              </w:rPr>
              <w:t>'</w:t>
            </w:r>
            <w:r>
              <w:rPr>
                <w:rStyle w:val="InstructionsTabelleText"/>
                <w:rFonts w:ascii="Times New Roman" w:hAnsi="Times New Roman"/>
                <w:sz w:val="24"/>
              </w:rPr>
              <w:t>importo da segnalare in questa colonna sono gli importi delle esposizioni ai rischi non elencati specificamente nelle voci precedenti. È la somma degli importi delle righe 0640, 0680 e 0690 del modello CA2.</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0120-0240</w:t>
            </w:r>
          </w:p>
        </w:tc>
        <w:tc>
          <w:tcPr>
            <w:tcW w:w="8640" w:type="dxa"/>
          </w:tcPr>
          <w:p w:rsidR="00BF0637" w:rsidRPr="00661595" w:rsidRDefault="00BF0637" w:rsidP="00731C8A">
            <w:pPr>
              <w:suppressAutoHyphens/>
              <w:rPr>
                <w:rStyle w:val="InstructionsTabelleberschrift"/>
                <w:rFonts w:ascii="Times New Roman" w:hAnsi="Times New Roman"/>
                <w:sz w:val="24"/>
              </w:rPr>
            </w:pPr>
            <w:r>
              <w:rPr>
                <w:rStyle w:val="InstructionsTabelleberschrift"/>
                <w:rFonts w:ascii="Times New Roman" w:hAnsi="Times New Roman"/>
                <w:sz w:val="24"/>
              </w:rPr>
              <w:t>INFORMAZIONI DETTAGLIATE SUI FONDI PROPRI RILEVANTI AI FINI DELLA SOLVIBILITÀ DEL GRUPPO</w:t>
            </w:r>
          </w:p>
          <w:p w:rsidR="00BF0637" w:rsidRPr="00661595" w:rsidRDefault="00BF0637" w:rsidP="00731C8A">
            <w:pPr>
              <w:suppressAutoHyphens/>
              <w:rPr>
                <w:rStyle w:val="InstructionsTabelleText"/>
                <w:rFonts w:ascii="Times New Roman" w:hAnsi="Times New Roman"/>
                <w:sz w:val="24"/>
              </w:rPr>
            </w:pPr>
            <w:r>
              <w:rPr>
                <w:rStyle w:val="InstructionsTabelleText"/>
                <w:rFonts w:ascii="Times New Roman" w:hAnsi="Times New Roman"/>
                <w:sz w:val="24"/>
              </w:rPr>
              <w:t>Le informazioni segnalate nelle colonne che seguono riflettono le norme locali di solvibilità dello Stato membro in cui opera il soggetto o il sottogruppo.</w:t>
            </w:r>
          </w:p>
        </w:tc>
      </w:tr>
      <w:tr w:rsidR="00BF0637" w:rsidRPr="00661595" w:rsidTr="00672D2A">
        <w:tc>
          <w:tcPr>
            <w:tcW w:w="1188" w:type="dxa"/>
          </w:tcPr>
          <w:p w:rsidR="00BF0637" w:rsidRPr="00661595" w:rsidRDefault="00ED20CB" w:rsidP="005E27EB">
            <w:pPr>
              <w:keepNext/>
              <w:keepLines/>
              <w:rPr>
                <w:rStyle w:val="InstructionsTabelleText"/>
                <w:rFonts w:ascii="Times New Roman" w:hAnsi="Times New Roman"/>
                <w:sz w:val="24"/>
              </w:rPr>
            </w:pPr>
            <w:r>
              <w:rPr>
                <w:rStyle w:val="InstructionsTabelleText"/>
                <w:rFonts w:ascii="Times New Roman" w:hAnsi="Times New Roman"/>
                <w:sz w:val="24"/>
              </w:rPr>
              <w:t>0120</w:t>
            </w:r>
          </w:p>
        </w:tc>
        <w:tc>
          <w:tcPr>
            <w:tcW w:w="8640" w:type="dxa"/>
          </w:tcPr>
          <w:p w:rsidR="00BF0637" w:rsidRPr="00661595" w:rsidRDefault="00BF0637" w:rsidP="005E27EB">
            <w:pPr>
              <w:keepNext/>
              <w:keepLines/>
              <w:suppressAutoHyphens/>
              <w:rPr>
                <w:rStyle w:val="InstructionsTabelleberschrift"/>
                <w:rFonts w:ascii="Times New Roman" w:hAnsi="Times New Roman"/>
                <w:sz w:val="24"/>
              </w:rPr>
            </w:pPr>
            <w:r>
              <w:rPr>
                <w:rStyle w:val="InstructionsTabelleberschrift"/>
                <w:rFonts w:ascii="Times New Roman" w:hAnsi="Times New Roman"/>
                <w:sz w:val="24"/>
              </w:rPr>
              <w:t>FONDI PROPRI</w:t>
            </w:r>
          </w:p>
          <w:p w:rsidR="00BF0637" w:rsidRPr="00661595" w:rsidRDefault="00BF0637" w:rsidP="005E27EB">
            <w:pPr>
              <w:keepNext/>
              <w:keepLines/>
              <w:suppressAutoHyphens/>
              <w:rPr>
                <w:rStyle w:val="InstructionsTabelleberschrift"/>
                <w:rFonts w:ascii="Times New Roman" w:hAnsi="Times New Roman"/>
                <w:sz w:val="24"/>
              </w:rPr>
            </w:pPr>
            <w:r>
              <w:rPr>
                <w:rStyle w:val="InstructionsTabelleText"/>
                <w:rFonts w:ascii="Times New Roman" w:hAnsi="Times New Roman"/>
                <w:sz w:val="24"/>
              </w:rPr>
              <w:t>L</w:t>
            </w:r>
            <w:r w:rsidR="000878EC">
              <w:rPr>
                <w:rStyle w:val="InstructionsTabelleText"/>
                <w:rFonts w:ascii="Times New Roman" w:hAnsi="Times New Roman"/>
                <w:sz w:val="24"/>
              </w:rPr>
              <w:t>'</w:t>
            </w:r>
            <w:r>
              <w:rPr>
                <w:rStyle w:val="InstructionsTabelleText"/>
                <w:rFonts w:ascii="Times New Roman" w:hAnsi="Times New Roman"/>
                <w:sz w:val="24"/>
              </w:rPr>
              <w:t>importo da segnalare in questa colonna è l</w:t>
            </w:r>
            <w:r w:rsidR="000878EC">
              <w:rPr>
                <w:rStyle w:val="InstructionsTabelleText"/>
                <w:rFonts w:ascii="Times New Roman" w:hAnsi="Times New Roman"/>
                <w:sz w:val="24"/>
              </w:rPr>
              <w:t>'</w:t>
            </w:r>
            <w:r>
              <w:rPr>
                <w:rStyle w:val="InstructionsTabelleText"/>
                <w:rFonts w:ascii="Times New Roman" w:hAnsi="Times New Roman"/>
                <w:sz w:val="24"/>
              </w:rPr>
              <w:t xml:space="preserve">importo dei fondi propri uguali o equivalenti a quelli da segnalare nella riga 0010 </w:t>
            </w:r>
            <w:r w:rsidR="000878EC">
              <w:rPr>
                <w:rStyle w:val="InstructionsTabelleText"/>
                <w:rFonts w:ascii="Times New Roman" w:hAnsi="Times New Roman"/>
                <w:sz w:val="24"/>
              </w:rPr>
              <w:t>"</w:t>
            </w:r>
            <w:r>
              <w:rPr>
                <w:rStyle w:val="InstructionsTabelleText"/>
                <w:rFonts w:ascii="Times New Roman" w:hAnsi="Times New Roman"/>
                <w:sz w:val="24"/>
              </w:rPr>
              <w:t>FONDI PROPRI</w:t>
            </w:r>
            <w:r w:rsidR="000878EC">
              <w:rPr>
                <w:rStyle w:val="InstructionsTabelleText"/>
                <w:rFonts w:ascii="Times New Roman" w:hAnsi="Times New Roman"/>
                <w:sz w:val="24"/>
              </w:rPr>
              <w:t>"</w:t>
            </w:r>
            <w:r>
              <w:rPr>
                <w:rStyle w:val="InstructionsTabelleText"/>
                <w:rFonts w:ascii="Times New Roman" w:hAnsi="Times New Roman"/>
                <w:sz w:val="24"/>
              </w:rPr>
              <w:t xml:space="preserve"> del modello CA1.</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0130</w:t>
            </w:r>
          </w:p>
        </w:tc>
        <w:tc>
          <w:tcPr>
            <w:tcW w:w="8640" w:type="dxa"/>
          </w:tcPr>
          <w:p w:rsidR="00BF0637" w:rsidRPr="00661595" w:rsidRDefault="00BF0637" w:rsidP="00731C8A">
            <w:pPr>
              <w:suppressAutoHyphens/>
              <w:rPr>
                <w:rStyle w:val="InstructionsTabelleberschrift"/>
                <w:rFonts w:ascii="Times New Roman" w:hAnsi="Times New Roman"/>
                <w:sz w:val="24"/>
              </w:rPr>
            </w:pPr>
            <w:r>
              <w:rPr>
                <w:rStyle w:val="InstructionsTabelleberschrift"/>
                <w:rFonts w:ascii="Times New Roman" w:hAnsi="Times New Roman"/>
                <w:sz w:val="24"/>
              </w:rPr>
              <w:t xml:space="preserve">DI CUI: FONDI PROPRI AMMISSIBILI </w:t>
            </w:r>
          </w:p>
          <w:p w:rsidR="00BF0637" w:rsidRPr="00661595" w:rsidRDefault="00BF0637" w:rsidP="00731C8A">
            <w:pPr>
              <w:suppressAutoHyphens/>
              <w:rPr>
                <w:rStyle w:val="InstructionsTabelleText"/>
                <w:rFonts w:ascii="Times New Roman" w:hAnsi="Times New Roman"/>
                <w:sz w:val="24"/>
              </w:rPr>
            </w:pPr>
            <w:r>
              <w:rPr>
                <w:rStyle w:val="InstructionsTabelleText"/>
                <w:rFonts w:ascii="Times New Roman" w:hAnsi="Times New Roman"/>
                <w:sz w:val="24"/>
              </w:rPr>
              <w:t xml:space="preserve">Articolo 82 del CRR </w:t>
            </w:r>
          </w:p>
          <w:p w:rsidR="00BF0637" w:rsidRPr="00661595" w:rsidRDefault="00BF0637" w:rsidP="00731C8A">
            <w:pPr>
              <w:suppressAutoHyphens/>
              <w:rPr>
                <w:rStyle w:val="InstructionsTabelleText"/>
                <w:rFonts w:ascii="Times New Roman" w:hAnsi="Times New Roman"/>
                <w:sz w:val="24"/>
              </w:rPr>
            </w:pPr>
            <w:r>
              <w:rPr>
                <w:rStyle w:val="InstructionsTabelleText"/>
                <w:rFonts w:ascii="Times New Roman" w:hAnsi="Times New Roman"/>
                <w:sz w:val="24"/>
              </w:rPr>
              <w:t xml:space="preserve">Questa colonna è compilata soltanto per le filiazioni segnalate su base individuale e integralmente consolidate che sono enti. </w:t>
            </w:r>
          </w:p>
          <w:p w:rsidR="00BF0637" w:rsidRPr="00661595" w:rsidRDefault="00BF0637" w:rsidP="00731C8A">
            <w:pPr>
              <w:suppressAutoHyphens/>
              <w:rPr>
                <w:rStyle w:val="InstructionsTabelleText"/>
                <w:rFonts w:ascii="Times New Roman" w:hAnsi="Times New Roman"/>
                <w:sz w:val="24"/>
              </w:rPr>
            </w:pPr>
            <w:r>
              <w:rPr>
                <w:rStyle w:val="InstructionsTabelleText"/>
                <w:rFonts w:ascii="Times New Roman" w:hAnsi="Times New Roman"/>
                <w:sz w:val="24"/>
              </w:rPr>
              <w:t>Nel caso di dette filiazioni sono partecipazioni qualificate gli strumenti (più i relativi utili non distribuiti, le riserve sovrapprezzo azioni e altre riserve) posseduti da persone diverse dalle imprese incluse nel consolidamento ai sensi del CRR.</w:t>
            </w:r>
          </w:p>
          <w:p w:rsidR="00BF0637" w:rsidRPr="00661595" w:rsidRDefault="00BF0637" w:rsidP="00731C8A">
            <w:pPr>
              <w:suppressAutoHyphens/>
              <w:rPr>
                <w:rStyle w:val="InstructionsTabelleberschrift"/>
                <w:rFonts w:ascii="Times New Roman" w:hAnsi="Times New Roman"/>
                <w:sz w:val="24"/>
              </w:rPr>
            </w:pPr>
            <w:r>
              <w:rPr>
                <w:rStyle w:val="InstructionsTabelleText"/>
                <w:rFonts w:ascii="Times New Roman" w:hAnsi="Times New Roman"/>
                <w:sz w:val="24"/>
              </w:rPr>
              <w:t>L</w:t>
            </w:r>
            <w:r w:rsidR="000878EC">
              <w:rPr>
                <w:rStyle w:val="InstructionsTabelleText"/>
                <w:rFonts w:ascii="Times New Roman" w:hAnsi="Times New Roman"/>
                <w:sz w:val="24"/>
              </w:rPr>
              <w:t>'</w:t>
            </w:r>
            <w:r>
              <w:rPr>
                <w:rStyle w:val="InstructionsTabelleText"/>
                <w:rFonts w:ascii="Times New Roman" w:hAnsi="Times New Roman"/>
                <w:sz w:val="24"/>
              </w:rPr>
              <w:t>importo da segnalare comprende gli effetti di qualsiasi disposizione transitoria ed è l</w:t>
            </w:r>
            <w:r w:rsidR="000878EC">
              <w:rPr>
                <w:rStyle w:val="InstructionsTabelleText"/>
                <w:rFonts w:ascii="Times New Roman" w:hAnsi="Times New Roman"/>
                <w:sz w:val="24"/>
              </w:rPr>
              <w:t>'</w:t>
            </w:r>
            <w:r>
              <w:rPr>
                <w:rStyle w:val="InstructionsTabelleText"/>
                <w:rFonts w:ascii="Times New Roman" w:hAnsi="Times New Roman"/>
                <w:sz w:val="24"/>
              </w:rPr>
              <w:t>importo ammissibile alla data di riferimento per le segnalazioni.</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0140</w:t>
            </w:r>
          </w:p>
        </w:tc>
        <w:tc>
          <w:tcPr>
            <w:tcW w:w="8640" w:type="dxa"/>
          </w:tcPr>
          <w:p w:rsidR="00BF0637" w:rsidRPr="00661595" w:rsidRDefault="00BF0637" w:rsidP="00731C8A">
            <w:pPr>
              <w:suppressAutoHyphens/>
              <w:rPr>
                <w:rStyle w:val="InstructionsTabelleberschrift"/>
                <w:rFonts w:ascii="Times New Roman" w:hAnsi="Times New Roman"/>
                <w:b w:val="0"/>
                <w:sz w:val="24"/>
              </w:rPr>
            </w:pPr>
            <w:r>
              <w:rPr>
                <w:rStyle w:val="InstructionsTabelleberschrift"/>
                <w:rFonts w:ascii="Times New Roman" w:hAnsi="Times New Roman"/>
                <w:sz w:val="24"/>
              </w:rPr>
              <w:t>RELATIVI STRUMENTI DI FONDI PROPRI, RELATIVI UTILI NON DISTRIBUITI, RISERVE SOVRAPPREZZO AZIONI E ALTRE RISERVE</w:t>
            </w:r>
          </w:p>
          <w:p w:rsidR="00BF0637" w:rsidRPr="00661595" w:rsidRDefault="00BF0637" w:rsidP="00731C8A">
            <w:pPr>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87, paragrafo 1, lettera b), del CRR</w:t>
            </w:r>
          </w:p>
        </w:tc>
      </w:tr>
      <w:tr w:rsidR="00BF0637" w:rsidRPr="009B627A"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0150</w:t>
            </w:r>
          </w:p>
        </w:tc>
        <w:tc>
          <w:tcPr>
            <w:tcW w:w="8640" w:type="dxa"/>
          </w:tcPr>
          <w:p w:rsidR="00BF0637" w:rsidRPr="00661595" w:rsidRDefault="00BF0637" w:rsidP="00731C8A">
            <w:pPr>
              <w:suppressAutoHyphens/>
              <w:rPr>
                <w:rStyle w:val="InstructionsTabelleberschrift"/>
                <w:rFonts w:ascii="Times New Roman" w:hAnsi="Times New Roman"/>
                <w:sz w:val="24"/>
              </w:rPr>
            </w:pPr>
            <w:r>
              <w:rPr>
                <w:rStyle w:val="InstructionsTabelleberschrift"/>
                <w:rFonts w:ascii="Times New Roman" w:hAnsi="Times New Roman"/>
                <w:sz w:val="24"/>
              </w:rPr>
              <w:t>CAPITALE DI CLASSE 1 TOTALE</w:t>
            </w:r>
          </w:p>
          <w:p w:rsidR="00BF0637" w:rsidRPr="00661595" w:rsidRDefault="00BF0637" w:rsidP="00731C8A">
            <w:pPr>
              <w:suppressAutoHyphens/>
              <w:rPr>
                <w:rStyle w:val="InstructionsTabelleberschrift"/>
                <w:rFonts w:ascii="Times New Roman" w:hAnsi="Times New Roman"/>
                <w:sz w:val="24"/>
              </w:rPr>
            </w:pPr>
            <w:r>
              <w:rPr>
                <w:rStyle w:val="InstructionsTabelleText"/>
                <w:rFonts w:ascii="Times New Roman" w:hAnsi="Times New Roman"/>
                <w:sz w:val="24"/>
              </w:rPr>
              <w:t>Articolo 25 del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0160</w:t>
            </w:r>
          </w:p>
        </w:tc>
        <w:tc>
          <w:tcPr>
            <w:tcW w:w="8640" w:type="dxa"/>
          </w:tcPr>
          <w:p w:rsidR="00BF0637" w:rsidRPr="00661595" w:rsidRDefault="00BF0637" w:rsidP="00731C8A">
            <w:pPr>
              <w:suppressAutoHyphens/>
              <w:rPr>
                <w:rStyle w:val="InstructionsTabelleberschrift"/>
                <w:rFonts w:ascii="Times New Roman" w:hAnsi="Times New Roman"/>
                <w:sz w:val="24"/>
              </w:rPr>
            </w:pPr>
            <w:r>
              <w:rPr>
                <w:rStyle w:val="InstructionsTabelleberschrift"/>
                <w:rFonts w:ascii="Times New Roman" w:hAnsi="Times New Roman"/>
                <w:sz w:val="24"/>
              </w:rPr>
              <w:t>DI CUI: CAPITALE DI CLASSE 1 AMMISSIBILE</w:t>
            </w:r>
          </w:p>
          <w:p w:rsidR="00BF0637" w:rsidRPr="00661595" w:rsidRDefault="00BF0637" w:rsidP="00731C8A">
            <w:pPr>
              <w:suppressAutoHyphens/>
              <w:rPr>
                <w:rStyle w:val="InstructionsTabelleText"/>
                <w:rFonts w:ascii="Times New Roman" w:hAnsi="Times New Roman"/>
                <w:sz w:val="24"/>
              </w:rPr>
            </w:pPr>
            <w:r>
              <w:rPr>
                <w:rStyle w:val="InstructionsTabelleText"/>
                <w:rFonts w:ascii="Times New Roman" w:hAnsi="Times New Roman"/>
                <w:sz w:val="24"/>
              </w:rPr>
              <w:t>Articolo 82 del CRR</w:t>
            </w:r>
          </w:p>
          <w:p w:rsidR="00BF0637" w:rsidRPr="00661595" w:rsidRDefault="00BF0637" w:rsidP="00731C8A">
            <w:pPr>
              <w:suppressAutoHyphens/>
              <w:rPr>
                <w:rStyle w:val="InstructionsTabelleText"/>
                <w:rFonts w:ascii="Times New Roman" w:hAnsi="Times New Roman"/>
                <w:sz w:val="24"/>
              </w:rPr>
            </w:pPr>
            <w:r>
              <w:rPr>
                <w:rStyle w:val="InstructionsTabelleText"/>
                <w:rFonts w:ascii="Times New Roman" w:hAnsi="Times New Roman"/>
                <w:sz w:val="24"/>
              </w:rPr>
              <w:t>Questa colonna è compilata soltanto per le filiazioni segnalate su base individuale e integralmente consolidate che sono enti.</w:t>
            </w:r>
          </w:p>
          <w:p w:rsidR="00BF0637" w:rsidRPr="00661595" w:rsidRDefault="00BF0637" w:rsidP="00731C8A">
            <w:pPr>
              <w:suppressAutoHyphens/>
              <w:rPr>
                <w:rStyle w:val="InstructionsTabelleText"/>
                <w:rFonts w:ascii="Times New Roman" w:hAnsi="Times New Roman"/>
                <w:sz w:val="24"/>
              </w:rPr>
            </w:pPr>
            <w:r>
              <w:rPr>
                <w:rStyle w:val="InstructionsTabelleText"/>
                <w:rFonts w:ascii="Times New Roman" w:hAnsi="Times New Roman"/>
                <w:sz w:val="24"/>
              </w:rPr>
              <w:t>Nel caso di dette filiazioni sono partecipazioni qualificate gli strumenti (più i relativi utili non distribuiti e le riserve sovrapprezzo azioni) posseduti da persone diverse dalle imprese incluse nel consolidamento ai sensi del CRR.</w:t>
            </w:r>
          </w:p>
          <w:p w:rsidR="00BF0637" w:rsidRPr="00661595" w:rsidRDefault="00BF0637" w:rsidP="00731C8A">
            <w:pPr>
              <w:suppressAutoHyphens/>
              <w:rPr>
                <w:rStyle w:val="InstructionsTabelleberschrift"/>
                <w:rFonts w:ascii="Times New Roman" w:hAnsi="Times New Roman"/>
                <w:sz w:val="24"/>
              </w:rPr>
            </w:pPr>
            <w:r>
              <w:rPr>
                <w:rStyle w:val="InstructionsTabelleText"/>
                <w:rFonts w:ascii="Times New Roman" w:hAnsi="Times New Roman"/>
                <w:sz w:val="24"/>
              </w:rPr>
              <w:t>L</w:t>
            </w:r>
            <w:r w:rsidR="000878EC">
              <w:rPr>
                <w:rStyle w:val="InstructionsTabelleText"/>
                <w:rFonts w:ascii="Times New Roman" w:hAnsi="Times New Roman"/>
                <w:sz w:val="24"/>
              </w:rPr>
              <w:t>'</w:t>
            </w:r>
            <w:r>
              <w:rPr>
                <w:rStyle w:val="InstructionsTabelleText"/>
                <w:rFonts w:ascii="Times New Roman" w:hAnsi="Times New Roman"/>
                <w:sz w:val="24"/>
              </w:rPr>
              <w:t>importo da segnalare comprende gli effetti di qualsiasi disposizione transitoria ed è l</w:t>
            </w:r>
            <w:r w:rsidR="000878EC">
              <w:rPr>
                <w:rStyle w:val="InstructionsTabelleText"/>
                <w:rFonts w:ascii="Times New Roman" w:hAnsi="Times New Roman"/>
                <w:sz w:val="24"/>
              </w:rPr>
              <w:t>'</w:t>
            </w:r>
            <w:r>
              <w:rPr>
                <w:rStyle w:val="InstructionsTabelleText"/>
                <w:rFonts w:ascii="Times New Roman" w:hAnsi="Times New Roman"/>
                <w:sz w:val="24"/>
              </w:rPr>
              <w:t>importo ammissibile alla data di riferimento per le segnalazioni.</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0170</w:t>
            </w:r>
          </w:p>
        </w:tc>
        <w:tc>
          <w:tcPr>
            <w:tcW w:w="8640" w:type="dxa"/>
          </w:tcPr>
          <w:p w:rsidR="00BF0637" w:rsidRPr="00661595" w:rsidRDefault="00BF0637" w:rsidP="00731C8A">
            <w:pPr>
              <w:suppressAutoHyphens/>
              <w:rPr>
                <w:rStyle w:val="InstructionsTabelleberschrift"/>
                <w:rFonts w:ascii="Times New Roman" w:hAnsi="Times New Roman"/>
                <w:b w:val="0"/>
                <w:sz w:val="24"/>
              </w:rPr>
            </w:pPr>
            <w:r>
              <w:rPr>
                <w:rStyle w:val="InstructionsTabelleberschrift"/>
                <w:rFonts w:ascii="Times New Roman" w:hAnsi="Times New Roman"/>
                <w:sz w:val="24"/>
              </w:rPr>
              <w:t>RELATIVI STRUMENTI DI CAPITALE DI CLASSE 1, RELATIVI UTILI NON DISTRIBUITI E RISERVE SOVRAPPREZZO AZIONI</w:t>
            </w:r>
          </w:p>
          <w:p w:rsidR="00BF0637" w:rsidRPr="00661595" w:rsidRDefault="00BF0637" w:rsidP="00731C8A">
            <w:pPr>
              <w:suppressAutoHyphens/>
              <w:rPr>
                <w:rStyle w:val="InstructionsTabelleberschrift"/>
                <w:rFonts w:ascii="Times New Roman" w:hAnsi="Times New Roman"/>
                <w:sz w:val="24"/>
              </w:rPr>
            </w:pPr>
            <w:r>
              <w:rPr>
                <w:rStyle w:val="InstructionsTabelleberschrift"/>
                <w:rFonts w:ascii="Times New Roman" w:hAnsi="Times New Roman"/>
                <w:b w:val="0"/>
                <w:sz w:val="24"/>
                <w:u w:val="none"/>
              </w:rPr>
              <w:t>Articolo 85, paragrafo 1, lettera b), del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0180</w:t>
            </w:r>
          </w:p>
        </w:tc>
        <w:tc>
          <w:tcPr>
            <w:tcW w:w="8640" w:type="dxa"/>
          </w:tcPr>
          <w:p w:rsidR="00BF0637" w:rsidRPr="00661595" w:rsidRDefault="00BF0637" w:rsidP="00731C8A">
            <w:pPr>
              <w:suppressAutoHyphens/>
              <w:rPr>
                <w:rStyle w:val="InstructionsTabelleberschrift"/>
                <w:rFonts w:ascii="Times New Roman" w:hAnsi="Times New Roman"/>
                <w:sz w:val="24"/>
              </w:rPr>
            </w:pPr>
            <w:r>
              <w:rPr>
                <w:rStyle w:val="InstructionsTabelleberschrift"/>
                <w:rFonts w:ascii="Times New Roman" w:hAnsi="Times New Roman"/>
                <w:sz w:val="24"/>
              </w:rPr>
              <w:t>CAPITALE PRIMARIO DI CLASSE 1</w:t>
            </w:r>
          </w:p>
          <w:p w:rsidR="00BF0637" w:rsidRPr="00661595" w:rsidRDefault="00BF0637" w:rsidP="00731C8A">
            <w:pPr>
              <w:suppressAutoHyphens/>
              <w:rPr>
                <w:rStyle w:val="InstructionsTabelleberschrift"/>
                <w:rFonts w:ascii="Times New Roman" w:hAnsi="Times New Roman"/>
                <w:sz w:val="24"/>
              </w:rPr>
            </w:pPr>
            <w:r>
              <w:rPr>
                <w:rStyle w:val="InstructionsTabelleText"/>
                <w:rFonts w:ascii="Times New Roman" w:hAnsi="Times New Roman"/>
                <w:sz w:val="24"/>
              </w:rPr>
              <w:t>Articolo 50 del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0190</w:t>
            </w:r>
          </w:p>
        </w:tc>
        <w:tc>
          <w:tcPr>
            <w:tcW w:w="8640" w:type="dxa"/>
          </w:tcPr>
          <w:p w:rsidR="00BF0637" w:rsidRPr="00661595" w:rsidRDefault="00BF0637" w:rsidP="00731C8A">
            <w:pPr>
              <w:suppressAutoHyphens/>
              <w:rPr>
                <w:rStyle w:val="InstructionsTabelleberschrift"/>
                <w:rFonts w:ascii="Times New Roman" w:hAnsi="Times New Roman"/>
                <w:sz w:val="24"/>
              </w:rPr>
            </w:pPr>
            <w:r>
              <w:rPr>
                <w:rStyle w:val="InstructionsTabelleberschrift"/>
                <w:rFonts w:ascii="Times New Roman" w:hAnsi="Times New Roman"/>
                <w:sz w:val="24"/>
              </w:rPr>
              <w:t>DI CUI: INTERESSI DI MINORANZA</w:t>
            </w:r>
          </w:p>
          <w:p w:rsidR="00BF0637" w:rsidRPr="00661595" w:rsidRDefault="00BF0637" w:rsidP="00731C8A">
            <w:pPr>
              <w:suppressAutoHyphens/>
              <w:rPr>
                <w:rStyle w:val="InstructionsTabelleText"/>
                <w:rFonts w:ascii="Times New Roman" w:hAnsi="Times New Roman"/>
                <w:sz w:val="24"/>
              </w:rPr>
            </w:pPr>
            <w:r>
              <w:rPr>
                <w:rStyle w:val="InstructionsTabelleText"/>
                <w:rFonts w:ascii="Times New Roman" w:hAnsi="Times New Roman"/>
                <w:sz w:val="24"/>
              </w:rPr>
              <w:t>Articolo 81 del CRR</w:t>
            </w:r>
          </w:p>
          <w:p w:rsidR="00BF0637" w:rsidRPr="00661595" w:rsidRDefault="00BF0637" w:rsidP="00731C8A">
            <w:pPr>
              <w:suppressAutoHyphens/>
              <w:rPr>
                <w:rStyle w:val="InstructionsTabelleText"/>
                <w:rFonts w:ascii="Times New Roman" w:hAnsi="Times New Roman"/>
                <w:sz w:val="24"/>
              </w:rPr>
            </w:pPr>
            <w:r>
              <w:rPr>
                <w:rStyle w:val="InstructionsTabelleText"/>
                <w:rFonts w:ascii="Times New Roman" w:hAnsi="Times New Roman"/>
                <w:sz w:val="24"/>
              </w:rPr>
              <w:t>Questa colonna è compilata soltanto per le filiazioni integralmente consolidate che sono enti, escluse le filiazioni di cui all</w:t>
            </w:r>
            <w:r w:rsidR="000878EC">
              <w:rPr>
                <w:rStyle w:val="InstructionsTabelleText"/>
                <w:rFonts w:ascii="Times New Roman" w:hAnsi="Times New Roman"/>
                <w:sz w:val="24"/>
              </w:rPr>
              <w:t>'</w:t>
            </w:r>
            <w:r>
              <w:rPr>
                <w:rStyle w:val="InstructionsTabelleText"/>
                <w:rFonts w:ascii="Times New Roman" w:hAnsi="Times New Roman"/>
                <w:sz w:val="24"/>
              </w:rPr>
              <w:t>articolo 84, paragrafo 3, del CRR. Ai sensi dell</w:t>
            </w:r>
            <w:r w:rsidR="000878EC">
              <w:rPr>
                <w:rStyle w:val="InstructionsTabelleText"/>
                <w:rFonts w:ascii="Times New Roman" w:hAnsi="Times New Roman"/>
                <w:sz w:val="24"/>
              </w:rPr>
              <w:t>'</w:t>
            </w:r>
            <w:r>
              <w:rPr>
                <w:rStyle w:val="InstructionsTabelleText"/>
                <w:rFonts w:ascii="Times New Roman" w:hAnsi="Times New Roman"/>
                <w:sz w:val="24"/>
              </w:rPr>
              <w:t>articolo 84, paragrafo 2, del CRR, ciascuna filiazione è considerata su base subconsolidata per tutti i calcoli previsti dall</w:t>
            </w:r>
            <w:r w:rsidR="000878EC">
              <w:rPr>
                <w:rStyle w:val="InstructionsTabelleText"/>
                <w:rFonts w:ascii="Times New Roman" w:hAnsi="Times New Roman"/>
                <w:sz w:val="24"/>
              </w:rPr>
              <w:t>'</w:t>
            </w:r>
            <w:r>
              <w:rPr>
                <w:rStyle w:val="InstructionsTabelleText"/>
                <w:rFonts w:ascii="Times New Roman" w:hAnsi="Times New Roman"/>
                <w:sz w:val="24"/>
              </w:rPr>
              <w:t>articolo 84 del CRR, ove pertinente; diversamente, è considerata su base individuale.</w:t>
            </w:r>
          </w:p>
          <w:p w:rsidR="00BF0637" w:rsidRPr="00661595" w:rsidRDefault="00BF0637" w:rsidP="00731C8A">
            <w:pPr>
              <w:suppressAutoHyphens/>
              <w:rPr>
                <w:rStyle w:val="InstructionsTabelleText"/>
                <w:rFonts w:ascii="Times New Roman" w:hAnsi="Times New Roman"/>
                <w:sz w:val="24"/>
              </w:rPr>
            </w:pPr>
            <w:r>
              <w:rPr>
                <w:rStyle w:val="InstructionsTabelleText"/>
                <w:rFonts w:ascii="Times New Roman" w:hAnsi="Times New Roman"/>
                <w:sz w:val="24"/>
              </w:rPr>
              <w:t>Nel caso di dette filiazioni sono interessi di minoranza gli strumenti di capitale primario di classe 1 (più i relativi utili non distribuiti e le riserve sovrapprezzo azioni) posseduti da persone diverse dalle imprese incluse nel consolidamento ai sensi del CRR.</w:t>
            </w:r>
          </w:p>
          <w:p w:rsidR="00BF0637" w:rsidRPr="00661595" w:rsidRDefault="00BF0637" w:rsidP="00731C8A">
            <w:pPr>
              <w:suppressAutoHyphens/>
              <w:rPr>
                <w:rStyle w:val="InstructionsTabelleberschrift"/>
                <w:rFonts w:ascii="Times New Roman" w:hAnsi="Times New Roman"/>
                <w:sz w:val="24"/>
              </w:rPr>
            </w:pPr>
            <w:r>
              <w:rPr>
                <w:rStyle w:val="InstructionsTabelleText"/>
                <w:rFonts w:ascii="Times New Roman" w:hAnsi="Times New Roman"/>
                <w:sz w:val="24"/>
              </w:rPr>
              <w:t>L</w:t>
            </w:r>
            <w:r w:rsidR="000878EC">
              <w:rPr>
                <w:rStyle w:val="InstructionsTabelleText"/>
                <w:rFonts w:ascii="Times New Roman" w:hAnsi="Times New Roman"/>
                <w:sz w:val="24"/>
              </w:rPr>
              <w:t>'</w:t>
            </w:r>
            <w:r>
              <w:rPr>
                <w:rStyle w:val="InstructionsTabelleText"/>
                <w:rFonts w:ascii="Times New Roman" w:hAnsi="Times New Roman"/>
                <w:sz w:val="24"/>
              </w:rPr>
              <w:t>importo da segnalare comprende gli effetti di qualsiasi disposizione transitoria ed è l</w:t>
            </w:r>
            <w:r w:rsidR="000878EC">
              <w:rPr>
                <w:rStyle w:val="InstructionsTabelleText"/>
                <w:rFonts w:ascii="Times New Roman" w:hAnsi="Times New Roman"/>
                <w:sz w:val="24"/>
              </w:rPr>
              <w:t>'</w:t>
            </w:r>
            <w:r>
              <w:rPr>
                <w:rStyle w:val="InstructionsTabelleText"/>
                <w:rFonts w:ascii="Times New Roman" w:hAnsi="Times New Roman"/>
                <w:sz w:val="24"/>
              </w:rPr>
              <w:t>importo ammissibile alla data di riferimento per le segnalazioni.</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0200</w:t>
            </w:r>
          </w:p>
        </w:tc>
        <w:tc>
          <w:tcPr>
            <w:tcW w:w="8640" w:type="dxa"/>
          </w:tcPr>
          <w:p w:rsidR="00BF0637" w:rsidRPr="00661595" w:rsidRDefault="00BF0637" w:rsidP="00731C8A">
            <w:pPr>
              <w:suppressAutoHyphens/>
              <w:rPr>
                <w:rStyle w:val="InstructionsTabelleberschrift"/>
                <w:rFonts w:ascii="Times New Roman" w:hAnsi="Times New Roman"/>
                <w:b w:val="0"/>
                <w:sz w:val="24"/>
              </w:rPr>
            </w:pPr>
            <w:r>
              <w:rPr>
                <w:rStyle w:val="InstructionsTabelleberschrift"/>
                <w:rFonts w:ascii="Times New Roman" w:hAnsi="Times New Roman"/>
                <w:sz w:val="24"/>
              </w:rPr>
              <w:t>RELATIVI STRUMENTI DI FONDI PROPRI, RELATIVI UTILI NON DISTRIBUITI, RISERVE SOVRAPPREZZO AZIONI E ALTRE RISERVE</w:t>
            </w:r>
          </w:p>
          <w:p w:rsidR="00BF0637" w:rsidRPr="00661595" w:rsidRDefault="00BF0637" w:rsidP="00731C8A">
            <w:pPr>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84, paragrafo 1, lettera b), del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0210</w:t>
            </w:r>
          </w:p>
        </w:tc>
        <w:tc>
          <w:tcPr>
            <w:tcW w:w="8640" w:type="dxa"/>
          </w:tcPr>
          <w:p w:rsidR="00BF0637" w:rsidRPr="00661595" w:rsidRDefault="00BF0637" w:rsidP="00731C8A">
            <w:pPr>
              <w:suppressAutoHyphens/>
              <w:rPr>
                <w:rStyle w:val="InstructionsTabelleberschrift"/>
                <w:rFonts w:ascii="Times New Roman" w:hAnsi="Times New Roman"/>
                <w:sz w:val="24"/>
              </w:rPr>
            </w:pPr>
            <w:r>
              <w:rPr>
                <w:rStyle w:val="InstructionsTabelleberschrift"/>
                <w:rFonts w:ascii="Times New Roman" w:hAnsi="Times New Roman"/>
                <w:sz w:val="24"/>
              </w:rPr>
              <w:t>CAPITALE AGGIUNTIVO DI CLASSE 1</w:t>
            </w:r>
          </w:p>
          <w:p w:rsidR="00BF0637" w:rsidRPr="00661595" w:rsidRDefault="00BF0637" w:rsidP="00731C8A">
            <w:pPr>
              <w:suppressAutoHyphens/>
              <w:rPr>
                <w:rStyle w:val="InstructionsTabelleberschrift"/>
                <w:rFonts w:ascii="Times New Roman" w:hAnsi="Times New Roman"/>
                <w:sz w:val="24"/>
              </w:rPr>
            </w:pPr>
            <w:r>
              <w:rPr>
                <w:rStyle w:val="InstructionsTabelleText"/>
                <w:rFonts w:ascii="Times New Roman" w:hAnsi="Times New Roman"/>
                <w:sz w:val="24"/>
              </w:rPr>
              <w:t>Articolo 61 del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0220</w:t>
            </w:r>
          </w:p>
        </w:tc>
        <w:tc>
          <w:tcPr>
            <w:tcW w:w="8640" w:type="dxa"/>
          </w:tcPr>
          <w:p w:rsidR="00BF0637" w:rsidRPr="00661595" w:rsidRDefault="00BF0637" w:rsidP="00731C8A">
            <w:pPr>
              <w:suppressAutoHyphens/>
              <w:rPr>
                <w:rStyle w:val="InstructionsTabelleberschrift"/>
                <w:rFonts w:ascii="Times New Roman" w:hAnsi="Times New Roman"/>
                <w:sz w:val="24"/>
              </w:rPr>
            </w:pPr>
            <w:r>
              <w:rPr>
                <w:rStyle w:val="InstructionsTabelleberschrift"/>
                <w:rFonts w:ascii="Times New Roman" w:hAnsi="Times New Roman"/>
                <w:sz w:val="24"/>
              </w:rPr>
              <w:t>DI CUI: CAPITALE AGGIUNTIVO DI CLASSE 1 AMMISSIBILE</w:t>
            </w:r>
          </w:p>
          <w:p w:rsidR="00BF0637" w:rsidRPr="00661595" w:rsidRDefault="00BF0637" w:rsidP="00731C8A">
            <w:pPr>
              <w:suppressAutoHyphens/>
              <w:rPr>
                <w:rStyle w:val="InstructionsTabelleText"/>
                <w:rFonts w:ascii="Times New Roman" w:hAnsi="Times New Roman"/>
                <w:sz w:val="24"/>
              </w:rPr>
            </w:pPr>
            <w:r>
              <w:rPr>
                <w:rStyle w:val="InstructionsTabelleText"/>
                <w:rFonts w:ascii="Times New Roman" w:hAnsi="Times New Roman"/>
                <w:sz w:val="24"/>
              </w:rPr>
              <w:t>Articoli 82 e 83 del CRR</w:t>
            </w:r>
          </w:p>
          <w:p w:rsidR="00BF0637" w:rsidRPr="00661595" w:rsidRDefault="00BF0637" w:rsidP="00731C8A">
            <w:pPr>
              <w:suppressAutoHyphens/>
              <w:rPr>
                <w:rStyle w:val="InstructionsTabelleText"/>
                <w:rFonts w:ascii="Times New Roman" w:hAnsi="Times New Roman"/>
                <w:sz w:val="24"/>
              </w:rPr>
            </w:pPr>
            <w:r>
              <w:rPr>
                <w:rStyle w:val="InstructionsTabelleText"/>
                <w:rFonts w:ascii="Times New Roman" w:hAnsi="Times New Roman"/>
                <w:sz w:val="24"/>
              </w:rPr>
              <w:t>Questa colonna è compilata soltanto per le filiazioni integralmente consolidate che sono enti, escluse le filiazioni di cui all</w:t>
            </w:r>
            <w:r w:rsidR="000878EC">
              <w:rPr>
                <w:rStyle w:val="InstructionsTabelleText"/>
                <w:rFonts w:ascii="Times New Roman" w:hAnsi="Times New Roman"/>
                <w:sz w:val="24"/>
              </w:rPr>
              <w:t>'</w:t>
            </w:r>
            <w:r>
              <w:rPr>
                <w:rStyle w:val="InstructionsTabelleText"/>
                <w:rFonts w:ascii="Times New Roman" w:hAnsi="Times New Roman"/>
                <w:sz w:val="24"/>
              </w:rPr>
              <w:t xml:space="preserve">articolo 85, paragrafo 2, </w:t>
            </w:r>
            <w:r w:rsidR="005E27EB">
              <w:rPr>
                <w:rStyle w:val="InstructionsTabelleText"/>
                <w:rFonts w:ascii="Times New Roman" w:hAnsi="Times New Roman"/>
                <w:sz w:val="24"/>
              </w:rPr>
              <w:t>del CRR. Ai sensi dell</w:t>
            </w:r>
            <w:r w:rsidR="000878EC">
              <w:rPr>
                <w:rStyle w:val="InstructionsTabelleText"/>
                <w:rFonts w:ascii="Times New Roman" w:hAnsi="Times New Roman"/>
                <w:sz w:val="24"/>
              </w:rPr>
              <w:t>'</w:t>
            </w:r>
            <w:r w:rsidR="005E27EB">
              <w:rPr>
                <w:rStyle w:val="InstructionsTabelleText"/>
                <w:rFonts w:ascii="Times New Roman" w:hAnsi="Times New Roman"/>
                <w:sz w:val="24"/>
              </w:rPr>
              <w:t>articolo </w:t>
            </w:r>
            <w:r>
              <w:rPr>
                <w:rStyle w:val="InstructionsTabelleText"/>
                <w:rFonts w:ascii="Times New Roman" w:hAnsi="Times New Roman"/>
                <w:sz w:val="24"/>
              </w:rPr>
              <w:t>85, paragrafo 2, del CRR, ciascuna filiazione è considerata su base subconsolidata per tutti i calcoli previsti dall</w:t>
            </w:r>
            <w:r w:rsidR="000878EC">
              <w:rPr>
                <w:rStyle w:val="InstructionsTabelleText"/>
                <w:rFonts w:ascii="Times New Roman" w:hAnsi="Times New Roman"/>
                <w:sz w:val="24"/>
              </w:rPr>
              <w:t>'</w:t>
            </w:r>
            <w:r>
              <w:rPr>
                <w:rStyle w:val="InstructionsTabelleText"/>
                <w:rFonts w:ascii="Times New Roman" w:hAnsi="Times New Roman"/>
                <w:sz w:val="24"/>
              </w:rPr>
              <w:t>articolo 85 del CRR, ove pertinente; diversamente, è considerata su base individuale.</w:t>
            </w:r>
          </w:p>
          <w:p w:rsidR="00BF0637" w:rsidRPr="00661595" w:rsidRDefault="00BF0637" w:rsidP="00731C8A">
            <w:pPr>
              <w:suppressAutoHyphens/>
              <w:rPr>
                <w:rStyle w:val="InstructionsTabelleText"/>
                <w:rFonts w:ascii="Times New Roman" w:hAnsi="Times New Roman"/>
                <w:sz w:val="24"/>
              </w:rPr>
            </w:pPr>
            <w:r>
              <w:rPr>
                <w:rStyle w:val="InstructionsTabelleText"/>
                <w:rFonts w:ascii="Times New Roman" w:hAnsi="Times New Roman"/>
                <w:sz w:val="24"/>
              </w:rPr>
              <w:t>Nel caso di dette filiazioni sono interessi di minoranza gli strumenti di capitale aggiuntivo di classe 1 (più i relativi utili non distribuiti e le riserve sovrapprezzo azioni) posseduti da persone diverse dalle imprese incluse nel consolidamento ai sensi del CRR.</w:t>
            </w:r>
          </w:p>
          <w:p w:rsidR="00BF0637" w:rsidRPr="00661595" w:rsidRDefault="00BF0637" w:rsidP="00731C8A">
            <w:pPr>
              <w:suppressAutoHyphens/>
              <w:rPr>
                <w:rStyle w:val="InstructionsTabelleberschrift"/>
                <w:rFonts w:ascii="Times New Roman" w:hAnsi="Times New Roman"/>
                <w:sz w:val="24"/>
              </w:rPr>
            </w:pPr>
            <w:r>
              <w:rPr>
                <w:rStyle w:val="InstructionsTabelleText"/>
                <w:rFonts w:ascii="Times New Roman" w:hAnsi="Times New Roman"/>
                <w:sz w:val="24"/>
              </w:rPr>
              <w:t>L</w:t>
            </w:r>
            <w:r w:rsidR="000878EC">
              <w:rPr>
                <w:rStyle w:val="InstructionsTabelleText"/>
                <w:rFonts w:ascii="Times New Roman" w:hAnsi="Times New Roman"/>
                <w:sz w:val="24"/>
              </w:rPr>
              <w:t>'</w:t>
            </w:r>
            <w:r>
              <w:rPr>
                <w:rStyle w:val="InstructionsTabelleText"/>
                <w:rFonts w:ascii="Times New Roman" w:hAnsi="Times New Roman"/>
                <w:sz w:val="24"/>
              </w:rPr>
              <w:t>importo da segnalare comprende gli effetti di qualsiasi disposizione transitoria ed è l</w:t>
            </w:r>
            <w:r w:rsidR="000878EC">
              <w:rPr>
                <w:rStyle w:val="InstructionsTabelleText"/>
                <w:rFonts w:ascii="Times New Roman" w:hAnsi="Times New Roman"/>
                <w:sz w:val="24"/>
              </w:rPr>
              <w:t>'</w:t>
            </w:r>
            <w:r>
              <w:rPr>
                <w:rStyle w:val="InstructionsTabelleText"/>
                <w:rFonts w:ascii="Times New Roman" w:hAnsi="Times New Roman"/>
                <w:sz w:val="24"/>
              </w:rPr>
              <w:t>importo ammissibile alla data di riferimento per le segnalazioni.</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0230</w:t>
            </w:r>
          </w:p>
        </w:tc>
        <w:tc>
          <w:tcPr>
            <w:tcW w:w="8640" w:type="dxa"/>
          </w:tcPr>
          <w:p w:rsidR="00BF0637" w:rsidRPr="00661595" w:rsidRDefault="00BF0637" w:rsidP="00731C8A">
            <w:pPr>
              <w:suppressAutoHyphens/>
              <w:rPr>
                <w:rStyle w:val="InstructionsTabelleberschrift"/>
                <w:rFonts w:ascii="Times New Roman" w:hAnsi="Times New Roman"/>
                <w:sz w:val="24"/>
              </w:rPr>
            </w:pPr>
            <w:r>
              <w:rPr>
                <w:rStyle w:val="InstructionsTabelleberschrift"/>
                <w:rFonts w:ascii="Times New Roman" w:hAnsi="Times New Roman"/>
                <w:sz w:val="24"/>
              </w:rPr>
              <w:t>CAPITALE DI CLASSE 2</w:t>
            </w:r>
          </w:p>
          <w:p w:rsidR="00BF0637" w:rsidRPr="00661595" w:rsidRDefault="00BF0637" w:rsidP="00731C8A">
            <w:pPr>
              <w:suppressAutoHyphens/>
              <w:rPr>
                <w:rStyle w:val="InstructionsTabelleberschrift"/>
                <w:rFonts w:ascii="Times New Roman" w:hAnsi="Times New Roman"/>
                <w:sz w:val="24"/>
              </w:rPr>
            </w:pPr>
            <w:r>
              <w:rPr>
                <w:rStyle w:val="InstructionsTabelleText"/>
                <w:rFonts w:ascii="Times New Roman" w:hAnsi="Times New Roman"/>
                <w:bCs/>
                <w:sz w:val="24"/>
              </w:rPr>
              <w:t>Articolo 71 del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0240</w:t>
            </w:r>
          </w:p>
        </w:tc>
        <w:tc>
          <w:tcPr>
            <w:tcW w:w="8640" w:type="dxa"/>
          </w:tcPr>
          <w:p w:rsidR="00BF0637" w:rsidRPr="00661595" w:rsidRDefault="00BF0637" w:rsidP="00731C8A">
            <w:pPr>
              <w:suppressAutoHyphens/>
              <w:rPr>
                <w:rStyle w:val="InstructionsTabelleberschrift"/>
                <w:rFonts w:ascii="Times New Roman" w:hAnsi="Times New Roman"/>
                <w:sz w:val="24"/>
              </w:rPr>
            </w:pPr>
            <w:r>
              <w:rPr>
                <w:rStyle w:val="InstructionsTabelleberschrift"/>
                <w:rFonts w:ascii="Times New Roman" w:hAnsi="Times New Roman"/>
                <w:sz w:val="24"/>
              </w:rPr>
              <w:t>DI CUI: CAPITALE DI CLASSE 2 AMMISSIBILE</w:t>
            </w:r>
          </w:p>
          <w:p w:rsidR="00BF0637" w:rsidRPr="00661595" w:rsidRDefault="00BF0637" w:rsidP="00731C8A">
            <w:pPr>
              <w:suppressAutoHyphens/>
              <w:rPr>
                <w:rStyle w:val="InstructionsTabelleText"/>
                <w:rFonts w:ascii="Times New Roman" w:hAnsi="Times New Roman"/>
                <w:sz w:val="24"/>
              </w:rPr>
            </w:pPr>
            <w:r>
              <w:rPr>
                <w:rStyle w:val="InstructionsTabelleText"/>
                <w:rFonts w:ascii="Times New Roman" w:hAnsi="Times New Roman"/>
                <w:sz w:val="24"/>
              </w:rPr>
              <w:t>Articoli 82 e 83 del CRR</w:t>
            </w:r>
          </w:p>
          <w:p w:rsidR="00BF0637" w:rsidRPr="00661595" w:rsidRDefault="00BF0637" w:rsidP="00731C8A">
            <w:pPr>
              <w:suppressAutoHyphens/>
              <w:rPr>
                <w:rStyle w:val="InstructionsTabelleText"/>
                <w:rFonts w:ascii="Times New Roman" w:hAnsi="Times New Roman"/>
                <w:sz w:val="24"/>
              </w:rPr>
            </w:pPr>
            <w:r>
              <w:rPr>
                <w:rStyle w:val="InstructionsTabelleText"/>
                <w:rFonts w:ascii="Times New Roman" w:hAnsi="Times New Roman"/>
                <w:sz w:val="24"/>
              </w:rPr>
              <w:t>Questa colonna è compilata soltanto per le filiazioni integralmente consolidate che sono enti, escluse le filiazioni di cui all</w:t>
            </w:r>
            <w:r w:rsidR="000878EC">
              <w:rPr>
                <w:rStyle w:val="InstructionsTabelleText"/>
                <w:rFonts w:ascii="Times New Roman" w:hAnsi="Times New Roman"/>
                <w:sz w:val="24"/>
              </w:rPr>
              <w:t>'</w:t>
            </w:r>
            <w:r>
              <w:rPr>
                <w:rStyle w:val="InstructionsTabelleText"/>
                <w:rFonts w:ascii="Times New Roman" w:hAnsi="Times New Roman"/>
                <w:sz w:val="24"/>
              </w:rPr>
              <w:t>articolo 87, paragrafo 2, del CRR. Ai sensi dell</w:t>
            </w:r>
            <w:r w:rsidR="000878EC">
              <w:rPr>
                <w:rStyle w:val="InstructionsTabelleText"/>
                <w:rFonts w:ascii="Times New Roman" w:hAnsi="Times New Roman"/>
                <w:sz w:val="24"/>
              </w:rPr>
              <w:t>'</w:t>
            </w:r>
            <w:r>
              <w:rPr>
                <w:rStyle w:val="InstructionsTabelleText"/>
                <w:rFonts w:ascii="Times New Roman" w:hAnsi="Times New Roman"/>
                <w:sz w:val="24"/>
              </w:rPr>
              <w:t>artico</w:t>
            </w:r>
            <w:r w:rsidR="005E27EB">
              <w:rPr>
                <w:rStyle w:val="InstructionsTabelleText"/>
                <w:rFonts w:ascii="Times New Roman" w:hAnsi="Times New Roman"/>
                <w:sz w:val="24"/>
              </w:rPr>
              <w:t>lo </w:t>
            </w:r>
            <w:r>
              <w:rPr>
                <w:rStyle w:val="InstructionsTabelleText"/>
                <w:rFonts w:ascii="Times New Roman" w:hAnsi="Times New Roman"/>
                <w:sz w:val="24"/>
              </w:rPr>
              <w:t>87, paragrafo 2, del CRR, ciascuna filiazione è considerata su base subconsolidata ai fini di tutti i calcoli previsti dall</w:t>
            </w:r>
            <w:r w:rsidR="000878EC">
              <w:rPr>
                <w:rStyle w:val="InstructionsTabelleText"/>
                <w:rFonts w:ascii="Times New Roman" w:hAnsi="Times New Roman"/>
                <w:sz w:val="24"/>
              </w:rPr>
              <w:t>'</w:t>
            </w:r>
            <w:r>
              <w:rPr>
                <w:rStyle w:val="InstructionsTabelleText"/>
                <w:rFonts w:ascii="Times New Roman" w:hAnsi="Times New Roman"/>
                <w:sz w:val="24"/>
              </w:rPr>
              <w:t xml:space="preserve">articolo 87 del CRR, ove pertinente; diversamente, è considerata su base individuale. </w:t>
            </w:r>
          </w:p>
          <w:p w:rsidR="00BF0637" w:rsidRPr="00661595" w:rsidRDefault="00BF0637" w:rsidP="00731C8A">
            <w:pPr>
              <w:suppressAutoHyphens/>
              <w:rPr>
                <w:rStyle w:val="InstructionsTabelleText"/>
                <w:rFonts w:ascii="Times New Roman" w:hAnsi="Times New Roman"/>
                <w:sz w:val="24"/>
              </w:rPr>
            </w:pPr>
            <w:r>
              <w:rPr>
                <w:rStyle w:val="InstructionsTabelleText"/>
                <w:rFonts w:ascii="Times New Roman" w:hAnsi="Times New Roman"/>
                <w:sz w:val="24"/>
              </w:rPr>
              <w:t xml:space="preserve">Nel caso di dette filiazioni sono interessi di minoranza gli </w:t>
            </w:r>
            <w:r w:rsidR="005E27EB">
              <w:rPr>
                <w:rStyle w:val="InstructionsTabelleText"/>
                <w:rFonts w:ascii="Times New Roman" w:hAnsi="Times New Roman"/>
                <w:sz w:val="24"/>
              </w:rPr>
              <w:t>strumenti di capitale di classe </w:t>
            </w:r>
            <w:r>
              <w:rPr>
                <w:rStyle w:val="InstructionsTabelleText"/>
                <w:rFonts w:ascii="Times New Roman" w:hAnsi="Times New Roman"/>
                <w:sz w:val="24"/>
              </w:rPr>
              <w:t>2 (più i relativi utili non distribuiti e le riserve sovrapprezzo azioni) posseduti da persone diverse dalle imprese incluse nel consolidamento ai sensi del CRR.</w:t>
            </w:r>
          </w:p>
          <w:p w:rsidR="00BF0637" w:rsidRPr="00661595" w:rsidRDefault="00BF0637" w:rsidP="00731C8A">
            <w:pPr>
              <w:suppressAutoHyphens/>
              <w:rPr>
                <w:rStyle w:val="InstructionsTabelleText"/>
                <w:rFonts w:ascii="Times New Roman" w:hAnsi="Times New Roman"/>
                <w:sz w:val="24"/>
              </w:rPr>
            </w:pPr>
            <w:r>
              <w:rPr>
                <w:rStyle w:val="InstructionsTabelleText"/>
                <w:rFonts w:ascii="Times New Roman" w:hAnsi="Times New Roman"/>
                <w:sz w:val="24"/>
              </w:rPr>
              <w:t>L</w:t>
            </w:r>
            <w:r w:rsidR="000878EC">
              <w:rPr>
                <w:rStyle w:val="InstructionsTabelleText"/>
                <w:rFonts w:ascii="Times New Roman" w:hAnsi="Times New Roman"/>
                <w:sz w:val="24"/>
              </w:rPr>
              <w:t>'</w:t>
            </w:r>
            <w:r>
              <w:rPr>
                <w:rStyle w:val="InstructionsTabelleText"/>
                <w:rFonts w:ascii="Times New Roman" w:hAnsi="Times New Roman"/>
                <w:sz w:val="24"/>
              </w:rPr>
              <w:t>importo da segnalare comprende gli effetti di qualsiasi disposizione transitoria ed è l</w:t>
            </w:r>
            <w:r w:rsidR="000878EC">
              <w:rPr>
                <w:rStyle w:val="InstructionsTabelleText"/>
                <w:rFonts w:ascii="Times New Roman" w:hAnsi="Times New Roman"/>
                <w:sz w:val="24"/>
              </w:rPr>
              <w:t>'</w:t>
            </w:r>
            <w:r>
              <w:rPr>
                <w:rStyle w:val="InstructionsTabelleText"/>
                <w:rFonts w:ascii="Times New Roman" w:hAnsi="Times New Roman"/>
                <w:sz w:val="24"/>
              </w:rPr>
              <w:t>importo ammissibile alla data di riferimento.</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0250-0400</w:t>
            </w:r>
          </w:p>
        </w:tc>
        <w:tc>
          <w:tcPr>
            <w:tcW w:w="8640" w:type="dxa"/>
          </w:tcPr>
          <w:p w:rsidR="00BF0637" w:rsidRPr="00661595" w:rsidRDefault="00BF0637" w:rsidP="00731C8A">
            <w:pPr>
              <w:suppressAutoHyphens/>
              <w:rPr>
                <w:rStyle w:val="InstructionsTabelleberschrift"/>
                <w:rFonts w:ascii="Times New Roman" w:hAnsi="Times New Roman"/>
                <w:sz w:val="24"/>
              </w:rPr>
            </w:pPr>
            <w:r>
              <w:rPr>
                <w:rStyle w:val="InstructionsTabelleberschrift"/>
                <w:rFonts w:ascii="Times New Roman" w:hAnsi="Times New Roman"/>
                <w:sz w:val="24"/>
              </w:rPr>
              <w:t>INFORMAZIONI SUL CONTRIBUTO DEI SOGGETTI ALLA SOLVIBILITÀ DEL GRUPPO</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0250-0290</w:t>
            </w:r>
          </w:p>
        </w:tc>
        <w:tc>
          <w:tcPr>
            <w:tcW w:w="8640" w:type="dxa"/>
          </w:tcPr>
          <w:p w:rsidR="00BF0637" w:rsidRPr="00661595" w:rsidRDefault="00BF0637" w:rsidP="00731C8A">
            <w:pPr>
              <w:suppressAutoHyphens/>
              <w:rPr>
                <w:rStyle w:val="InstructionsTabelleberschrift"/>
                <w:rFonts w:ascii="Times New Roman" w:hAnsi="Times New Roman"/>
                <w:sz w:val="24"/>
              </w:rPr>
            </w:pPr>
            <w:r>
              <w:rPr>
                <w:rStyle w:val="InstructionsTabelleberschrift"/>
                <w:rFonts w:ascii="Times New Roman" w:hAnsi="Times New Roman"/>
                <w:sz w:val="24"/>
              </w:rPr>
              <w:t>CONTRIBUTO AI RISCHI</w:t>
            </w:r>
          </w:p>
          <w:p w:rsidR="00BF0637" w:rsidRPr="00661595" w:rsidRDefault="00BF0637" w:rsidP="00731C8A">
            <w:pPr>
              <w:suppressAutoHyphens/>
              <w:rPr>
                <w:rStyle w:val="InstructionsTabelleberschrift"/>
                <w:rFonts w:ascii="Times New Roman" w:hAnsi="Times New Roman"/>
                <w:sz w:val="24"/>
              </w:rPr>
            </w:pPr>
            <w:r>
              <w:rPr>
                <w:rFonts w:ascii="Times New Roman" w:hAnsi="Times New Roman"/>
                <w:sz w:val="24"/>
              </w:rPr>
              <w:t>Le informazioni segnalate nelle colonne che seguono sono conformi alle norme di solvibilità applicabili all</w:t>
            </w:r>
            <w:r w:rsidR="000878EC">
              <w:rPr>
                <w:rFonts w:ascii="Times New Roman" w:hAnsi="Times New Roman"/>
                <w:sz w:val="24"/>
              </w:rPr>
              <w:t>'</w:t>
            </w:r>
            <w:r>
              <w:rPr>
                <w:rFonts w:ascii="Times New Roman" w:hAnsi="Times New Roman"/>
                <w:sz w:val="24"/>
              </w:rPr>
              <w:t>ente segnalante.</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0250</w:t>
            </w:r>
          </w:p>
        </w:tc>
        <w:tc>
          <w:tcPr>
            <w:tcW w:w="8640" w:type="dxa"/>
          </w:tcPr>
          <w:p w:rsidR="00BF0637" w:rsidRPr="00661595" w:rsidRDefault="00BF0637" w:rsidP="00731C8A">
            <w:pPr>
              <w:suppressAutoHyphens/>
              <w:rPr>
                <w:rStyle w:val="InstructionsTabelleberschrift"/>
                <w:rFonts w:ascii="Times New Roman" w:hAnsi="Times New Roman"/>
                <w:sz w:val="24"/>
              </w:rPr>
            </w:pPr>
            <w:r>
              <w:rPr>
                <w:rStyle w:val="InstructionsTabelleberschrift"/>
                <w:rFonts w:ascii="Times New Roman" w:hAnsi="Times New Roman"/>
                <w:sz w:val="24"/>
              </w:rPr>
              <w:t>IMPORTO COMPLESSIVO DELL</w:t>
            </w:r>
            <w:r w:rsidR="000878EC">
              <w:rPr>
                <w:rStyle w:val="InstructionsTabelleberschrift"/>
                <w:rFonts w:ascii="Times New Roman" w:hAnsi="Times New Roman"/>
                <w:sz w:val="24"/>
              </w:rPr>
              <w:t>'</w:t>
            </w:r>
            <w:r>
              <w:rPr>
                <w:rStyle w:val="InstructionsTabelleberschrift"/>
                <w:rFonts w:ascii="Times New Roman" w:hAnsi="Times New Roman"/>
                <w:sz w:val="24"/>
              </w:rPr>
              <w:t>ESPOSIZIONE AL RISCHIO</w:t>
            </w:r>
          </w:p>
          <w:p w:rsidR="00BF0637" w:rsidRPr="00661595" w:rsidRDefault="00BF0637" w:rsidP="00731C8A">
            <w:pPr>
              <w:suppressAutoHyphens/>
              <w:rPr>
                <w:rStyle w:val="InstructionsTabelleberschrift"/>
                <w:rFonts w:ascii="Times New Roman" w:hAnsi="Times New Roman"/>
                <w:sz w:val="24"/>
              </w:rPr>
            </w:pPr>
            <w:r>
              <w:rPr>
                <w:rStyle w:val="InstructionsTabelleText"/>
                <w:rFonts w:ascii="Times New Roman" w:hAnsi="Times New Roman"/>
                <w:sz w:val="24"/>
              </w:rPr>
              <w:t>È segnalata la somma delle colonne da 0260 a 0290.</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0260</w:t>
            </w:r>
          </w:p>
        </w:tc>
        <w:tc>
          <w:tcPr>
            <w:tcW w:w="8640" w:type="dxa"/>
          </w:tcPr>
          <w:p w:rsidR="00BF0637" w:rsidRPr="00661595" w:rsidRDefault="00BF0637" w:rsidP="00731C8A">
            <w:pPr>
              <w:suppressAutoHyphens/>
              <w:rPr>
                <w:rStyle w:val="InstructionsTabelleberschrift"/>
                <w:rFonts w:ascii="Times New Roman" w:hAnsi="Times New Roman"/>
                <w:sz w:val="24"/>
              </w:rPr>
            </w:pPr>
            <w:r>
              <w:rPr>
                <w:rStyle w:val="InstructionsTabelleberschrift"/>
                <w:rFonts w:ascii="Times New Roman" w:hAnsi="Times New Roman"/>
                <w:sz w:val="24"/>
              </w:rPr>
              <w:t>RISCHIO DI CREDITO; RISCHIO DI CONTROPARTE; RISCHIO DI DILUIZIONE, OPERAZIONI CON REGOLAMENTO NON CONTESTUALE E RISCHIO DI REGOLAMENTO/CONSEGNA</w:t>
            </w:r>
          </w:p>
          <w:p w:rsidR="00BF0637" w:rsidRPr="00661595" w:rsidRDefault="00BF0637" w:rsidP="00731C8A">
            <w:pPr>
              <w:suppressAutoHyphens/>
              <w:rPr>
                <w:rStyle w:val="InstructionsTabelleText"/>
                <w:rFonts w:ascii="Times New Roman" w:hAnsi="Times New Roman"/>
                <w:sz w:val="24"/>
              </w:rPr>
            </w:pPr>
            <w:r>
              <w:rPr>
                <w:rStyle w:val="InstructionsTabelleText"/>
                <w:rFonts w:ascii="Times New Roman" w:hAnsi="Times New Roman"/>
                <w:sz w:val="24"/>
              </w:rPr>
              <w:t>L</w:t>
            </w:r>
            <w:r w:rsidR="000878EC">
              <w:rPr>
                <w:rStyle w:val="InstructionsTabelleText"/>
                <w:rFonts w:ascii="Times New Roman" w:hAnsi="Times New Roman"/>
                <w:sz w:val="24"/>
              </w:rPr>
              <w:t>'</w:t>
            </w:r>
            <w:r>
              <w:rPr>
                <w:rStyle w:val="InstructionsTabelleText"/>
                <w:rFonts w:ascii="Times New Roman" w:hAnsi="Times New Roman"/>
                <w:sz w:val="24"/>
              </w:rPr>
              <w:t>importo da segnalare sono gli importi delle esposizioni ponderati per il rischio di credito e i requisiti di fondi propri del rischio di regolamento/consegna conformemente al CRR, escluso qualsiasi importo correlato a operazioni con altri soggetti incluso nel calcolo del coefficiente di solvibilità consolidato a livello di gruppo.</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0270</w:t>
            </w:r>
          </w:p>
        </w:tc>
        <w:tc>
          <w:tcPr>
            <w:tcW w:w="8640" w:type="dxa"/>
          </w:tcPr>
          <w:p w:rsidR="00BF0637" w:rsidRPr="00661595" w:rsidRDefault="00BF0637" w:rsidP="00731C8A">
            <w:pPr>
              <w:suppressAutoHyphens/>
              <w:rPr>
                <w:rStyle w:val="InstructionsTabelleberschrift"/>
                <w:rFonts w:ascii="Times New Roman" w:hAnsi="Times New Roman"/>
                <w:sz w:val="24"/>
              </w:rPr>
            </w:pPr>
            <w:r>
              <w:rPr>
                <w:rStyle w:val="InstructionsTabelleberschrift"/>
                <w:rFonts w:ascii="Times New Roman" w:hAnsi="Times New Roman"/>
                <w:sz w:val="24"/>
              </w:rPr>
              <w:t>RISCHI DI POSIZIONE, DI CAMBIO E DI POSIZIONE IN MERCI</w:t>
            </w:r>
          </w:p>
          <w:p w:rsidR="00BF0637" w:rsidRPr="00661595" w:rsidRDefault="00BF0637" w:rsidP="00731C8A">
            <w:pPr>
              <w:pStyle w:val="Texte2"/>
              <w:suppressAutoHyphens/>
              <w:ind w:left="0"/>
              <w:rPr>
                <w:rStyle w:val="InstructionsTabelleText"/>
                <w:rFonts w:ascii="Times New Roman" w:hAnsi="Times New Roman"/>
                <w:sz w:val="24"/>
                <w:szCs w:val="24"/>
              </w:rPr>
            </w:pPr>
            <w:r>
              <w:rPr>
                <w:rStyle w:val="InstructionsTabelleText"/>
                <w:rFonts w:ascii="Times New Roman" w:hAnsi="Times New Roman"/>
                <w:sz w:val="24"/>
                <w:szCs w:val="24"/>
              </w:rPr>
              <w:t>Gli importi delle esposizioni al rischio per i rischi di mercato devono essere calcolati a livello di ciascun soggetto conformemente al CRR. I soggetti segnalano il contributo agli importi complessivi di esposizione al rischio per i rischi di posizione, di cambio e di posizione in merci del gruppo. La somma degli importi qui segnalata corrisponde all</w:t>
            </w:r>
            <w:r w:rsidR="000878EC">
              <w:rPr>
                <w:rStyle w:val="InstructionsTabelleText"/>
                <w:rFonts w:ascii="Times New Roman" w:hAnsi="Times New Roman"/>
                <w:sz w:val="24"/>
                <w:szCs w:val="24"/>
              </w:rPr>
              <w:t>'</w:t>
            </w:r>
            <w:r>
              <w:rPr>
                <w:rStyle w:val="InstructionsTabelleText"/>
                <w:rFonts w:ascii="Times New Roman" w:hAnsi="Times New Roman"/>
                <w:sz w:val="24"/>
                <w:szCs w:val="24"/>
              </w:rPr>
              <w:t xml:space="preserve">importo della riga 0520 </w:t>
            </w:r>
            <w:r w:rsidR="000878EC">
              <w:rPr>
                <w:rStyle w:val="InstructionsTabelleText"/>
                <w:rFonts w:ascii="Times New Roman" w:hAnsi="Times New Roman"/>
                <w:sz w:val="24"/>
                <w:szCs w:val="24"/>
              </w:rPr>
              <w:t>"</w:t>
            </w:r>
            <w:r>
              <w:rPr>
                <w:rStyle w:val="InstructionsTabelleText"/>
                <w:rFonts w:ascii="Times New Roman" w:hAnsi="Times New Roman"/>
                <w:sz w:val="24"/>
                <w:szCs w:val="24"/>
              </w:rPr>
              <w:t>IMPORTO COMPLESSIVO DELL</w:t>
            </w:r>
            <w:r w:rsidR="000878EC">
              <w:rPr>
                <w:rStyle w:val="InstructionsTabelleText"/>
                <w:rFonts w:ascii="Times New Roman" w:hAnsi="Times New Roman"/>
                <w:sz w:val="24"/>
                <w:szCs w:val="24"/>
              </w:rPr>
              <w:t>'</w:t>
            </w:r>
            <w:r>
              <w:rPr>
                <w:rStyle w:val="InstructionsTabelleText"/>
                <w:rFonts w:ascii="Times New Roman" w:hAnsi="Times New Roman"/>
                <w:sz w:val="24"/>
                <w:szCs w:val="24"/>
              </w:rPr>
              <w:t>ESPOSIZIONE AL RISCHIO PER I RISCHI DI POSIZIONE, DI CAMBIO E DI POSIZIONE IN MERCI</w:t>
            </w:r>
            <w:r w:rsidR="000878EC">
              <w:rPr>
                <w:rStyle w:val="InstructionsTabelleText"/>
                <w:rFonts w:ascii="Times New Roman" w:hAnsi="Times New Roman"/>
                <w:sz w:val="24"/>
                <w:szCs w:val="24"/>
              </w:rPr>
              <w:t>"</w:t>
            </w:r>
            <w:r>
              <w:rPr>
                <w:rStyle w:val="InstructionsTabelleText"/>
                <w:rFonts w:ascii="Times New Roman" w:hAnsi="Times New Roman"/>
                <w:sz w:val="24"/>
                <w:szCs w:val="24"/>
              </w:rPr>
              <w:t xml:space="preserve"> della segnalazione consolidata.</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0280</w:t>
            </w:r>
          </w:p>
        </w:tc>
        <w:tc>
          <w:tcPr>
            <w:tcW w:w="8640" w:type="dxa"/>
          </w:tcPr>
          <w:p w:rsidR="00BF0637" w:rsidRPr="00661595" w:rsidRDefault="00BF0637" w:rsidP="00731C8A">
            <w:pPr>
              <w:suppressAutoHyphens/>
              <w:rPr>
                <w:rStyle w:val="InstructionsTabelleberschrift"/>
                <w:rFonts w:ascii="Times New Roman" w:hAnsi="Times New Roman"/>
                <w:sz w:val="24"/>
              </w:rPr>
            </w:pPr>
            <w:r>
              <w:rPr>
                <w:rStyle w:val="InstructionsTabelleberschrift"/>
                <w:rFonts w:ascii="Times New Roman" w:hAnsi="Times New Roman"/>
                <w:sz w:val="24"/>
              </w:rPr>
              <w:t>RISCHIO OPERATIVO</w:t>
            </w:r>
          </w:p>
          <w:p w:rsidR="00BF0637" w:rsidRPr="00661595" w:rsidRDefault="00BF0637" w:rsidP="00731C8A">
            <w:pPr>
              <w:suppressAutoHyphens/>
              <w:rPr>
                <w:rStyle w:val="InstructionsTabelleText"/>
                <w:rFonts w:ascii="Times New Roman" w:hAnsi="Times New Roman"/>
                <w:sz w:val="24"/>
              </w:rPr>
            </w:pPr>
            <w:r>
              <w:rPr>
                <w:rStyle w:val="InstructionsTabelleText"/>
                <w:rFonts w:ascii="Times New Roman" w:hAnsi="Times New Roman"/>
                <w:sz w:val="24"/>
              </w:rPr>
              <w:t>Nel caso dei metodi avanzati di misurazione, gli importi delle esposizioni al rischio segnalati per il rischio operativo sono comprensivi dell</w:t>
            </w:r>
            <w:r w:rsidR="000878EC">
              <w:rPr>
                <w:rStyle w:val="InstructionsTabelleText"/>
                <w:rFonts w:ascii="Times New Roman" w:hAnsi="Times New Roman"/>
                <w:sz w:val="24"/>
              </w:rPr>
              <w:t>'</w:t>
            </w:r>
            <w:r>
              <w:rPr>
                <w:rStyle w:val="InstructionsTabelleText"/>
                <w:rFonts w:ascii="Times New Roman" w:hAnsi="Times New Roman"/>
                <w:sz w:val="24"/>
              </w:rPr>
              <w:t>effetto della diversificazione.</w:t>
            </w:r>
          </w:p>
          <w:p w:rsidR="00BF0637" w:rsidRPr="00661595" w:rsidRDefault="00BF0637" w:rsidP="00731C8A">
            <w:pPr>
              <w:suppressAutoHyphens/>
              <w:rPr>
                <w:rStyle w:val="InstructionsTabelleText"/>
                <w:rFonts w:ascii="Times New Roman" w:hAnsi="Times New Roman"/>
                <w:sz w:val="24"/>
              </w:rPr>
            </w:pPr>
            <w:r>
              <w:rPr>
                <w:rFonts w:ascii="Times New Roman" w:hAnsi="Times New Roman"/>
                <w:caps/>
                <w:sz w:val="24"/>
              </w:rPr>
              <w:t>Q</w:t>
            </w:r>
            <w:r>
              <w:rPr>
                <w:rFonts w:ascii="Times New Roman" w:hAnsi="Times New Roman"/>
                <w:sz w:val="24"/>
              </w:rPr>
              <w:t>uesta colonna comprende le spese fisse generali.</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0290</w:t>
            </w:r>
          </w:p>
        </w:tc>
        <w:tc>
          <w:tcPr>
            <w:tcW w:w="8640" w:type="dxa"/>
          </w:tcPr>
          <w:p w:rsidR="00BF0637" w:rsidRPr="00661595" w:rsidRDefault="00BF0637" w:rsidP="00731C8A">
            <w:pPr>
              <w:suppressAutoHyphens/>
              <w:rPr>
                <w:rStyle w:val="InstructionsTabelleberschrift"/>
                <w:rFonts w:ascii="Times New Roman" w:hAnsi="Times New Roman"/>
                <w:sz w:val="24"/>
              </w:rPr>
            </w:pPr>
            <w:r>
              <w:rPr>
                <w:rStyle w:val="InstructionsTabelleberschrift"/>
                <w:rFonts w:ascii="Times New Roman" w:hAnsi="Times New Roman"/>
                <w:sz w:val="24"/>
              </w:rPr>
              <w:t>IMPORTI DELL</w:t>
            </w:r>
            <w:r w:rsidR="000878EC">
              <w:rPr>
                <w:rStyle w:val="InstructionsTabelleberschrift"/>
                <w:rFonts w:ascii="Times New Roman" w:hAnsi="Times New Roman"/>
                <w:sz w:val="24"/>
              </w:rPr>
              <w:t>'</w:t>
            </w:r>
            <w:r>
              <w:rPr>
                <w:rStyle w:val="InstructionsTabelleberschrift"/>
                <w:rFonts w:ascii="Times New Roman" w:hAnsi="Times New Roman"/>
                <w:sz w:val="24"/>
              </w:rPr>
              <w:t>ESPOSIZIONE AD ALTRI RISCHI</w:t>
            </w:r>
          </w:p>
          <w:p w:rsidR="00BF0637" w:rsidRPr="00661595" w:rsidRDefault="00BF0637" w:rsidP="00731C8A">
            <w:pPr>
              <w:suppressAutoHyphens/>
              <w:rPr>
                <w:rStyle w:val="InstructionsTabelleberschrift"/>
                <w:rFonts w:ascii="Times New Roman" w:hAnsi="Times New Roman"/>
                <w:sz w:val="24"/>
              </w:rPr>
            </w:pPr>
            <w:r>
              <w:rPr>
                <w:rStyle w:val="InstructionsTabelleText"/>
                <w:rFonts w:ascii="Times New Roman" w:hAnsi="Times New Roman"/>
                <w:sz w:val="24"/>
              </w:rPr>
              <w:t>L</w:t>
            </w:r>
            <w:r w:rsidR="000878EC">
              <w:rPr>
                <w:rStyle w:val="InstructionsTabelleText"/>
                <w:rFonts w:ascii="Times New Roman" w:hAnsi="Times New Roman"/>
                <w:sz w:val="24"/>
              </w:rPr>
              <w:t>'</w:t>
            </w:r>
            <w:r>
              <w:rPr>
                <w:rStyle w:val="InstructionsTabelleText"/>
                <w:rFonts w:ascii="Times New Roman" w:hAnsi="Times New Roman"/>
                <w:sz w:val="24"/>
              </w:rPr>
              <w:t>importo da segnalare in questa colonna sono gli importi delle esposizioni al rischio per i rischi non elencati nelle voci precedenti.</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0300-0400</w:t>
            </w:r>
          </w:p>
        </w:tc>
        <w:tc>
          <w:tcPr>
            <w:tcW w:w="8640" w:type="dxa"/>
          </w:tcPr>
          <w:p w:rsidR="00BF0637" w:rsidRPr="00661595" w:rsidRDefault="00BF0637" w:rsidP="00731C8A">
            <w:pPr>
              <w:suppressAutoHyphens/>
              <w:rPr>
                <w:rStyle w:val="InstructionsTabelleberschrift"/>
                <w:rFonts w:ascii="Times New Roman" w:hAnsi="Times New Roman"/>
                <w:sz w:val="24"/>
              </w:rPr>
            </w:pPr>
            <w:r>
              <w:rPr>
                <w:rStyle w:val="InstructionsTabelleberschrift"/>
                <w:rFonts w:ascii="Times New Roman" w:hAnsi="Times New Roman"/>
                <w:sz w:val="24"/>
              </w:rPr>
              <w:t>CONTRIBUTO AI FONDI PROPRI</w:t>
            </w:r>
          </w:p>
          <w:p w:rsidR="00BF0637" w:rsidRPr="00661595" w:rsidRDefault="00BF0637" w:rsidP="00731C8A">
            <w:pPr>
              <w:pStyle w:val="Texte2"/>
              <w:suppressAutoHyphens/>
              <w:ind w:left="0"/>
              <w:rPr>
                <w:rStyle w:val="InstructionsTabelleText"/>
                <w:rFonts w:ascii="Times New Roman" w:hAnsi="Times New Roman"/>
                <w:sz w:val="24"/>
                <w:szCs w:val="24"/>
              </w:rPr>
            </w:pPr>
            <w:r>
              <w:rPr>
                <w:rStyle w:val="InstructionsTabelleText"/>
                <w:rFonts w:ascii="Times New Roman" w:hAnsi="Times New Roman"/>
                <w:sz w:val="24"/>
                <w:szCs w:val="24"/>
              </w:rPr>
              <w:t xml:space="preserve">Questa parte del modello non mira a imporre agli enti di eseguire un calcolo completo del coefficiente di capitale totale a livello di ciascun soggetto. </w:t>
            </w:r>
          </w:p>
          <w:p w:rsidR="00BF0637" w:rsidRPr="00661595" w:rsidRDefault="00BF0637" w:rsidP="00731C8A">
            <w:pPr>
              <w:pStyle w:val="Texte2"/>
              <w:suppressAutoHyphens/>
              <w:ind w:left="0"/>
              <w:rPr>
                <w:rStyle w:val="InstructionsTabelleText"/>
                <w:rFonts w:ascii="Times New Roman" w:hAnsi="Times New Roman"/>
                <w:sz w:val="24"/>
                <w:szCs w:val="24"/>
              </w:rPr>
            </w:pPr>
            <w:r>
              <w:rPr>
                <w:rFonts w:ascii="Times New Roman" w:hAnsi="Times New Roman"/>
                <w:sz w:val="24"/>
                <w:szCs w:val="24"/>
              </w:rPr>
              <w:t>Le colonne da 0300 a 0350 sono compilate in riferimento ai soggetti consolidati che contribuiscono ai fondi propri mediante interessi di minoranza, capitale di classe 1 ammissibile o fondi propri ammissibili. Tenuto conto della soglia di cui all</w:t>
            </w:r>
            <w:r w:rsidR="000878EC">
              <w:rPr>
                <w:rFonts w:ascii="Times New Roman" w:hAnsi="Times New Roman"/>
                <w:sz w:val="24"/>
                <w:szCs w:val="24"/>
              </w:rPr>
              <w:t>'</w:t>
            </w:r>
            <w:r>
              <w:rPr>
                <w:rFonts w:ascii="Times New Roman" w:hAnsi="Times New Roman"/>
                <w:sz w:val="24"/>
                <w:szCs w:val="24"/>
              </w:rPr>
              <w:t>ultimo paragrafo del precedente capo 2.3 della parte II, le colonne da 0360 a 0400 sono compilate per tutti i soggetti consolidati che contribuiscono ai fondi propri consolidati.</w:t>
            </w:r>
          </w:p>
          <w:p w:rsidR="00BF0637" w:rsidRPr="00661595" w:rsidRDefault="00BF0637" w:rsidP="005E27EB">
            <w:pPr>
              <w:pStyle w:val="Texte2"/>
              <w:keepNext/>
              <w:keepLines/>
              <w:suppressAutoHyphens/>
              <w:ind w:left="0"/>
              <w:rPr>
                <w:rStyle w:val="InstructionsTabelleText"/>
                <w:rFonts w:ascii="Times New Roman" w:hAnsi="Times New Roman"/>
                <w:sz w:val="24"/>
                <w:szCs w:val="24"/>
              </w:rPr>
            </w:pPr>
            <w:r>
              <w:rPr>
                <w:rStyle w:val="InstructionsTabelleText"/>
                <w:rFonts w:ascii="Times New Roman" w:hAnsi="Times New Roman"/>
                <w:sz w:val="24"/>
                <w:szCs w:val="24"/>
              </w:rPr>
              <w:t xml:space="preserve">In questa colonna non sono inclusi i fondi propri apportati a un soggetto dagli altri soggetti compresi nello stesso ambito del soggetto segnalante; è segnalato soltanto il contributo netto ai fondi propri del gruppo (principalmente i fondi propri raccolti presso terzi e le riserve accumulate). </w:t>
            </w:r>
          </w:p>
          <w:p w:rsidR="00BF0637" w:rsidRPr="00661595" w:rsidRDefault="00BF0637" w:rsidP="00731C8A">
            <w:pPr>
              <w:pStyle w:val="Texte2"/>
              <w:suppressAutoHyphens/>
              <w:spacing w:after="120"/>
              <w:ind w:left="0"/>
              <w:rPr>
                <w:rStyle w:val="InstructionsTabelleberschrift"/>
                <w:rFonts w:ascii="Times New Roman" w:hAnsi="Times New Roman"/>
                <w:b w:val="0"/>
                <w:bCs w:val="0"/>
                <w:sz w:val="24"/>
                <w:szCs w:val="24"/>
              </w:rPr>
            </w:pPr>
            <w:r>
              <w:rPr>
                <w:rStyle w:val="InstructionsTabelleText"/>
                <w:rFonts w:ascii="Times New Roman" w:hAnsi="Times New Roman"/>
                <w:sz w:val="24"/>
              </w:rPr>
              <w:t>Le informazioni segnalate nelle colonne che seguono sono conformi alle norme di solvibilità applicabili all</w:t>
            </w:r>
            <w:r w:rsidR="000878EC">
              <w:rPr>
                <w:rStyle w:val="InstructionsTabelleText"/>
                <w:rFonts w:ascii="Times New Roman" w:hAnsi="Times New Roman"/>
                <w:sz w:val="24"/>
              </w:rPr>
              <w:t>'</w:t>
            </w:r>
            <w:r>
              <w:rPr>
                <w:rStyle w:val="InstructionsTabelleText"/>
                <w:rFonts w:ascii="Times New Roman" w:hAnsi="Times New Roman"/>
                <w:sz w:val="24"/>
              </w:rPr>
              <w:t>ente segnalante.</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0300-0350</w:t>
            </w:r>
          </w:p>
        </w:tc>
        <w:tc>
          <w:tcPr>
            <w:tcW w:w="8640" w:type="dxa"/>
          </w:tcPr>
          <w:p w:rsidR="00BF0637" w:rsidRPr="00661595" w:rsidRDefault="00BF0637" w:rsidP="00731C8A">
            <w:pPr>
              <w:suppressAutoHyphens/>
              <w:rPr>
                <w:rStyle w:val="InstructionsTabelleberschrift"/>
                <w:rFonts w:ascii="Times New Roman" w:hAnsi="Times New Roman"/>
                <w:sz w:val="24"/>
              </w:rPr>
            </w:pPr>
            <w:r>
              <w:rPr>
                <w:rStyle w:val="InstructionsTabelleberschrift"/>
                <w:rFonts w:ascii="Times New Roman" w:hAnsi="Times New Roman"/>
                <w:sz w:val="24"/>
              </w:rPr>
              <w:t>FONDI PROPRI AMMISSIBILI INCLUSI NEI FONDI PROPRI CONSOLIDATI</w:t>
            </w:r>
          </w:p>
          <w:p w:rsidR="00BF0637" w:rsidRPr="00661595" w:rsidRDefault="00BF0637" w:rsidP="00731C8A">
            <w:pPr>
              <w:suppressAutoHyphens/>
              <w:rPr>
                <w:rStyle w:val="InstructionsTabelleberschrift"/>
                <w:rFonts w:ascii="Times New Roman" w:hAnsi="Times New Roman"/>
                <w:sz w:val="24"/>
              </w:rPr>
            </w:pPr>
            <w:r>
              <w:rPr>
                <w:rStyle w:val="InstructionsTabelleText"/>
                <w:rFonts w:ascii="Times New Roman" w:hAnsi="Times New Roman"/>
                <w:sz w:val="24"/>
              </w:rPr>
              <w:t>L</w:t>
            </w:r>
            <w:r w:rsidR="000878EC">
              <w:rPr>
                <w:rStyle w:val="InstructionsTabelleText"/>
                <w:rFonts w:ascii="Times New Roman" w:hAnsi="Times New Roman"/>
                <w:sz w:val="24"/>
              </w:rPr>
              <w:t>'</w:t>
            </w:r>
            <w:r>
              <w:rPr>
                <w:rStyle w:val="InstructionsTabelleText"/>
                <w:rFonts w:ascii="Times New Roman" w:hAnsi="Times New Roman"/>
                <w:sz w:val="24"/>
              </w:rPr>
              <w:t xml:space="preserve">importo da segnalare come </w:t>
            </w:r>
            <w:r w:rsidR="000878EC">
              <w:rPr>
                <w:rStyle w:val="InstructionsTabelleText"/>
                <w:rFonts w:ascii="Times New Roman" w:hAnsi="Times New Roman"/>
                <w:sz w:val="24"/>
              </w:rPr>
              <w:t>"</w:t>
            </w:r>
            <w:r>
              <w:rPr>
                <w:rStyle w:val="InstructionsTabelleText"/>
                <w:rFonts w:ascii="Times New Roman" w:hAnsi="Times New Roman"/>
                <w:sz w:val="24"/>
              </w:rPr>
              <w:t>FONDI PROPRI AMMISSIBILI INCLUSI NEI FONDI PROPRI CONSOLIDATI</w:t>
            </w:r>
            <w:r w:rsidR="000878EC">
              <w:rPr>
                <w:rStyle w:val="InstructionsTabelleText"/>
                <w:rFonts w:ascii="Times New Roman" w:hAnsi="Times New Roman"/>
                <w:sz w:val="24"/>
              </w:rPr>
              <w:t>"</w:t>
            </w:r>
            <w:r>
              <w:rPr>
                <w:rStyle w:val="InstructionsTabelleText"/>
                <w:rFonts w:ascii="Times New Roman" w:hAnsi="Times New Roman"/>
                <w:sz w:val="24"/>
              </w:rPr>
              <w:t xml:space="preserve"> è l</w:t>
            </w:r>
            <w:r w:rsidR="000878EC">
              <w:rPr>
                <w:rStyle w:val="InstructionsTabelleText"/>
                <w:rFonts w:ascii="Times New Roman" w:hAnsi="Times New Roman"/>
                <w:sz w:val="24"/>
              </w:rPr>
              <w:t>'</w:t>
            </w:r>
            <w:r>
              <w:rPr>
                <w:rStyle w:val="InstructionsTabelleText"/>
                <w:rFonts w:ascii="Times New Roman" w:hAnsi="Times New Roman"/>
                <w:sz w:val="24"/>
              </w:rPr>
              <w:t>importo ricavato dalla parte due, titolo II, del CRR, esclusi i fondi apportati da altri soggetti del gruppo.</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t>0300</w:t>
            </w:r>
          </w:p>
        </w:tc>
        <w:tc>
          <w:tcPr>
            <w:tcW w:w="8640" w:type="dxa"/>
          </w:tcPr>
          <w:p w:rsidR="00BF0637" w:rsidRPr="00661595" w:rsidRDefault="00BF0637" w:rsidP="00731C8A">
            <w:pPr>
              <w:suppressAutoHyphens/>
              <w:rPr>
                <w:rStyle w:val="InstructionsTabelleberschrift"/>
                <w:rFonts w:ascii="Times New Roman" w:hAnsi="Times New Roman"/>
                <w:sz w:val="24"/>
              </w:rPr>
            </w:pPr>
            <w:r>
              <w:rPr>
                <w:rStyle w:val="InstructionsTabelleberschrift"/>
                <w:rFonts w:ascii="Times New Roman" w:hAnsi="Times New Roman"/>
                <w:sz w:val="24"/>
              </w:rPr>
              <w:t>FONDI PROPRI AMMISSIBILI INCLUSI NEI FONDI PROPRI CONSOLIDATI</w:t>
            </w:r>
          </w:p>
          <w:p w:rsidR="00BF0637" w:rsidRPr="00661595" w:rsidRDefault="00BF0637" w:rsidP="00731C8A">
            <w:pPr>
              <w:suppressAutoHyphens/>
              <w:rPr>
                <w:rStyle w:val="InstructionsTabelleText"/>
                <w:rFonts w:ascii="Times New Roman" w:hAnsi="Times New Roman"/>
                <w:sz w:val="24"/>
              </w:rPr>
            </w:pPr>
            <w:r>
              <w:rPr>
                <w:rStyle w:val="InstructionsTabelleText"/>
                <w:rFonts w:ascii="Times New Roman" w:hAnsi="Times New Roman"/>
                <w:sz w:val="24"/>
              </w:rPr>
              <w:t>Articolo 87 del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t>0310</w:t>
            </w:r>
          </w:p>
        </w:tc>
        <w:tc>
          <w:tcPr>
            <w:tcW w:w="8640" w:type="dxa"/>
          </w:tcPr>
          <w:p w:rsidR="00BF0637" w:rsidRPr="00661595" w:rsidRDefault="00BF0637" w:rsidP="00731C8A">
            <w:pPr>
              <w:suppressAutoHyphens/>
              <w:rPr>
                <w:rStyle w:val="InstructionsTabelleberschrift"/>
                <w:rFonts w:ascii="Times New Roman" w:hAnsi="Times New Roman"/>
                <w:sz w:val="24"/>
              </w:rPr>
            </w:pPr>
            <w:r>
              <w:rPr>
                <w:rStyle w:val="InstructionsTabelleberschrift"/>
                <w:rFonts w:ascii="Times New Roman" w:hAnsi="Times New Roman"/>
                <w:sz w:val="24"/>
              </w:rPr>
              <w:t>STRUMENTI DI CLASSE 1 AMMISSIBILI INCLUSI NEL CAPITALE DI CLASSE 1 CONSOLIDATO</w:t>
            </w:r>
          </w:p>
          <w:p w:rsidR="00BF0637" w:rsidRPr="00661595" w:rsidRDefault="00BF0637" w:rsidP="00731C8A">
            <w:pPr>
              <w:suppressAutoHyphens/>
              <w:rPr>
                <w:rStyle w:val="InstructionsTabelleText"/>
                <w:rFonts w:ascii="Times New Roman" w:hAnsi="Times New Roman"/>
                <w:sz w:val="24"/>
              </w:rPr>
            </w:pPr>
            <w:r>
              <w:rPr>
                <w:rStyle w:val="InstructionsTabelleText"/>
                <w:rFonts w:ascii="Times New Roman" w:hAnsi="Times New Roman"/>
                <w:sz w:val="24"/>
              </w:rPr>
              <w:t>Articolo 85 del CRR</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t>0320</w:t>
            </w:r>
          </w:p>
        </w:tc>
        <w:tc>
          <w:tcPr>
            <w:tcW w:w="8640" w:type="dxa"/>
          </w:tcPr>
          <w:p w:rsidR="00BF0637" w:rsidRPr="00661595" w:rsidRDefault="00BF0637" w:rsidP="00731C8A">
            <w:pPr>
              <w:suppressAutoHyphens/>
              <w:rPr>
                <w:rStyle w:val="InstructionsTabelleText"/>
                <w:rFonts w:ascii="Times New Roman" w:hAnsi="Times New Roman"/>
                <w:sz w:val="24"/>
              </w:rPr>
            </w:pPr>
            <w:r>
              <w:rPr>
                <w:rStyle w:val="InstructionsTabelleberschrift"/>
                <w:rFonts w:ascii="Times New Roman" w:hAnsi="Times New Roman"/>
                <w:sz w:val="24"/>
              </w:rPr>
              <w:t>INTERESSI DI MINORANZA INCLUSI NEL CAPITALE</w:t>
            </w:r>
            <w:r>
              <w:t xml:space="preserve"> </w:t>
            </w:r>
            <w:r>
              <w:rPr>
                <w:rStyle w:val="InstructionsTabelleberschrift"/>
                <w:rFonts w:ascii="Times New Roman" w:hAnsi="Times New Roman"/>
                <w:sz w:val="24"/>
              </w:rPr>
              <w:t>PRIMARIO DI CLASSE 1 CONSOLIDATO</w:t>
            </w:r>
          </w:p>
          <w:p w:rsidR="00BF0637" w:rsidRPr="00661595" w:rsidRDefault="00BF0637" w:rsidP="00731C8A">
            <w:pPr>
              <w:suppressAutoHyphens/>
              <w:rPr>
                <w:rStyle w:val="InstructionsTabelleText"/>
                <w:rFonts w:ascii="Times New Roman" w:hAnsi="Times New Roman"/>
                <w:sz w:val="24"/>
              </w:rPr>
            </w:pPr>
            <w:r>
              <w:rPr>
                <w:rStyle w:val="InstructionsTabelleText"/>
                <w:rFonts w:ascii="Times New Roman" w:hAnsi="Times New Roman"/>
                <w:sz w:val="24"/>
              </w:rPr>
              <w:t>Articolo 84 del CRR</w:t>
            </w:r>
          </w:p>
          <w:p w:rsidR="00BF0637" w:rsidRPr="00661595" w:rsidRDefault="00BF0637" w:rsidP="00731C8A">
            <w:pPr>
              <w:suppressAutoHyphens/>
              <w:rPr>
                <w:rStyle w:val="InstructionsTabelleText"/>
                <w:rFonts w:ascii="Times New Roman" w:hAnsi="Times New Roman"/>
                <w:sz w:val="24"/>
              </w:rPr>
            </w:pPr>
            <w:r>
              <w:rPr>
                <w:rStyle w:val="InstructionsTabelleText"/>
                <w:rFonts w:ascii="Times New Roman" w:hAnsi="Times New Roman"/>
                <w:sz w:val="24"/>
              </w:rPr>
              <w:t>L</w:t>
            </w:r>
            <w:r w:rsidR="000878EC">
              <w:rPr>
                <w:rStyle w:val="InstructionsTabelleText"/>
                <w:rFonts w:ascii="Times New Roman" w:hAnsi="Times New Roman"/>
                <w:sz w:val="24"/>
              </w:rPr>
              <w:t>'</w:t>
            </w:r>
            <w:r>
              <w:rPr>
                <w:rStyle w:val="InstructionsTabelleText"/>
                <w:rFonts w:ascii="Times New Roman" w:hAnsi="Times New Roman"/>
                <w:sz w:val="24"/>
              </w:rPr>
              <w:t>importo da segnalare è l</w:t>
            </w:r>
            <w:r w:rsidR="000878EC">
              <w:rPr>
                <w:rStyle w:val="InstructionsTabelleText"/>
                <w:rFonts w:ascii="Times New Roman" w:hAnsi="Times New Roman"/>
                <w:sz w:val="24"/>
              </w:rPr>
              <w:t>'</w:t>
            </w:r>
            <w:r>
              <w:rPr>
                <w:rStyle w:val="InstructionsTabelleText"/>
                <w:rFonts w:ascii="Times New Roman" w:hAnsi="Times New Roman"/>
                <w:sz w:val="24"/>
              </w:rPr>
              <w:t xml:space="preserve">importo degli interessi di minoranza della filiazione incluso nel capitale primario di classe 1 consolidato conformemente al CRR.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t>0330</w:t>
            </w:r>
          </w:p>
        </w:tc>
        <w:tc>
          <w:tcPr>
            <w:tcW w:w="8640" w:type="dxa"/>
          </w:tcPr>
          <w:p w:rsidR="00BF0637" w:rsidRPr="00661595" w:rsidRDefault="00BF0637" w:rsidP="00731C8A">
            <w:pPr>
              <w:suppressAutoHyphens/>
              <w:rPr>
                <w:rStyle w:val="InstructionsTabelleText"/>
                <w:rFonts w:ascii="Times New Roman" w:hAnsi="Times New Roman"/>
                <w:sz w:val="24"/>
              </w:rPr>
            </w:pPr>
            <w:r>
              <w:rPr>
                <w:rStyle w:val="InstructionsTabelleberschrift"/>
                <w:rFonts w:ascii="Times New Roman" w:hAnsi="Times New Roman"/>
                <w:sz w:val="24"/>
              </w:rPr>
              <w:t>STRUMENTI DI CLASSE 1 AMMISSIBILI INCLUSI NEL CAPITALE AGGIUNTIVO DI CLASSE 1 CONSOLIDATO</w:t>
            </w:r>
          </w:p>
          <w:p w:rsidR="00BF0637" w:rsidRPr="00661595" w:rsidRDefault="00BF0637" w:rsidP="00731C8A">
            <w:pPr>
              <w:suppressAutoHyphens/>
              <w:rPr>
                <w:rStyle w:val="InstructionsTabelleText"/>
                <w:rFonts w:ascii="Times New Roman" w:hAnsi="Times New Roman"/>
                <w:sz w:val="24"/>
              </w:rPr>
            </w:pPr>
            <w:r>
              <w:rPr>
                <w:rStyle w:val="InstructionsTabelleText"/>
                <w:rFonts w:ascii="Times New Roman" w:hAnsi="Times New Roman"/>
                <w:sz w:val="24"/>
              </w:rPr>
              <w:t>Articolo 86 del CRR</w:t>
            </w:r>
          </w:p>
          <w:p w:rsidR="00BF0637" w:rsidRPr="00661595" w:rsidRDefault="00BF0637" w:rsidP="00731C8A">
            <w:pPr>
              <w:suppressAutoHyphens/>
              <w:rPr>
                <w:rStyle w:val="InstructionsTabelleText"/>
                <w:rFonts w:ascii="Times New Roman" w:hAnsi="Times New Roman"/>
                <w:sz w:val="24"/>
              </w:rPr>
            </w:pPr>
            <w:r>
              <w:rPr>
                <w:rStyle w:val="InstructionsTabelleText"/>
                <w:rFonts w:ascii="Times New Roman" w:hAnsi="Times New Roman"/>
                <w:sz w:val="24"/>
              </w:rPr>
              <w:t>L</w:t>
            </w:r>
            <w:r w:rsidR="000878EC">
              <w:rPr>
                <w:rStyle w:val="InstructionsTabelleText"/>
                <w:rFonts w:ascii="Times New Roman" w:hAnsi="Times New Roman"/>
                <w:sz w:val="24"/>
              </w:rPr>
              <w:t>'</w:t>
            </w:r>
            <w:r>
              <w:rPr>
                <w:rStyle w:val="InstructionsTabelleText"/>
                <w:rFonts w:ascii="Times New Roman" w:hAnsi="Times New Roman"/>
                <w:sz w:val="24"/>
              </w:rPr>
              <w:t>importo da segnalare è l</w:t>
            </w:r>
            <w:r w:rsidR="000878EC">
              <w:rPr>
                <w:rStyle w:val="InstructionsTabelleText"/>
                <w:rFonts w:ascii="Times New Roman" w:hAnsi="Times New Roman"/>
                <w:sz w:val="24"/>
              </w:rPr>
              <w:t>'</w:t>
            </w:r>
            <w:r>
              <w:rPr>
                <w:rStyle w:val="InstructionsTabelleText"/>
                <w:rFonts w:ascii="Times New Roman" w:hAnsi="Times New Roman"/>
                <w:sz w:val="24"/>
              </w:rPr>
              <w:t xml:space="preserve">importo del capitale di classe 1 ammissibile della filiazione incluso nel capitale aggiuntivo di classe 1 consolidato conformemente al CRR. </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Fonts w:ascii="Times New Roman" w:hAnsi="Times New Roman"/>
                <w:sz w:val="24"/>
              </w:rPr>
              <w:t>0340</w:t>
            </w:r>
          </w:p>
        </w:tc>
        <w:tc>
          <w:tcPr>
            <w:tcW w:w="8640" w:type="dxa"/>
          </w:tcPr>
          <w:p w:rsidR="00BF0637" w:rsidRPr="00661595" w:rsidRDefault="00BF0637" w:rsidP="00731C8A">
            <w:pPr>
              <w:suppressAutoHyphens/>
              <w:rPr>
                <w:rStyle w:val="InstructionsTabelleberschrift"/>
                <w:rFonts w:ascii="Times New Roman" w:hAnsi="Times New Roman"/>
                <w:sz w:val="24"/>
              </w:rPr>
            </w:pPr>
            <w:r>
              <w:rPr>
                <w:rStyle w:val="InstructionsTabelleberschrift"/>
                <w:rFonts w:ascii="Times New Roman" w:hAnsi="Times New Roman"/>
                <w:sz w:val="24"/>
              </w:rPr>
              <w:t>STRUMENTI DI FONDI PROPRI AMMISSIBILI INCLUSI NEL</w:t>
            </w:r>
            <w:r>
              <w:t xml:space="preserve"> </w:t>
            </w:r>
            <w:r>
              <w:rPr>
                <w:rStyle w:val="InstructionsTabelleberschrift"/>
                <w:rFonts w:ascii="Times New Roman" w:hAnsi="Times New Roman"/>
                <w:sz w:val="24"/>
              </w:rPr>
              <w:t>CAPITALE DI CLASSE 2 CONSOLIDATO</w:t>
            </w:r>
          </w:p>
          <w:p w:rsidR="00BF0637" w:rsidRPr="00661595" w:rsidRDefault="00BF0637" w:rsidP="00731C8A">
            <w:pPr>
              <w:suppressAutoHyphens/>
              <w:rPr>
                <w:rStyle w:val="InstructionsTabelleText"/>
                <w:rFonts w:ascii="Times New Roman" w:hAnsi="Times New Roman"/>
                <w:sz w:val="24"/>
              </w:rPr>
            </w:pPr>
            <w:r>
              <w:rPr>
                <w:rStyle w:val="InstructionsTabelleText"/>
                <w:rFonts w:ascii="Times New Roman" w:hAnsi="Times New Roman"/>
                <w:sz w:val="24"/>
              </w:rPr>
              <w:t>Articolo 88 del CRR</w:t>
            </w:r>
          </w:p>
          <w:p w:rsidR="00BF0637" w:rsidRPr="00661595" w:rsidRDefault="00BF0637" w:rsidP="00731C8A">
            <w:pPr>
              <w:suppressAutoHyphens/>
              <w:rPr>
                <w:rStyle w:val="InstructionsTabelleText"/>
                <w:rFonts w:ascii="Times New Roman" w:hAnsi="Times New Roman"/>
                <w:sz w:val="24"/>
              </w:rPr>
            </w:pPr>
            <w:r>
              <w:rPr>
                <w:rStyle w:val="InstructionsTabelleText"/>
                <w:rFonts w:ascii="Times New Roman" w:hAnsi="Times New Roman"/>
                <w:sz w:val="24"/>
              </w:rPr>
              <w:t>L</w:t>
            </w:r>
            <w:r w:rsidR="000878EC">
              <w:rPr>
                <w:rStyle w:val="InstructionsTabelleText"/>
                <w:rFonts w:ascii="Times New Roman" w:hAnsi="Times New Roman"/>
                <w:sz w:val="24"/>
              </w:rPr>
              <w:t>'</w:t>
            </w:r>
            <w:r>
              <w:rPr>
                <w:rStyle w:val="InstructionsTabelleText"/>
                <w:rFonts w:ascii="Times New Roman" w:hAnsi="Times New Roman"/>
                <w:sz w:val="24"/>
              </w:rPr>
              <w:t>importo da segnalare è l</w:t>
            </w:r>
            <w:r w:rsidR="000878EC">
              <w:rPr>
                <w:rStyle w:val="InstructionsTabelleText"/>
                <w:rFonts w:ascii="Times New Roman" w:hAnsi="Times New Roman"/>
                <w:sz w:val="24"/>
              </w:rPr>
              <w:t>'</w:t>
            </w:r>
            <w:r>
              <w:rPr>
                <w:rStyle w:val="InstructionsTabelleText"/>
                <w:rFonts w:ascii="Times New Roman" w:hAnsi="Times New Roman"/>
                <w:sz w:val="24"/>
              </w:rPr>
              <w:t xml:space="preserve">importo dei fondi propri ammissibili della filiazione incluso nel capitale di classe 2 consolidato conformemente al CRR. </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0350</w:t>
            </w:r>
          </w:p>
        </w:tc>
        <w:tc>
          <w:tcPr>
            <w:tcW w:w="8640" w:type="dxa"/>
          </w:tcPr>
          <w:p w:rsidR="00BF0637" w:rsidRPr="00661595" w:rsidRDefault="00BF0637" w:rsidP="00731C8A">
            <w:pPr>
              <w:suppressAutoHyphens/>
              <w:rPr>
                <w:rStyle w:val="InstructionsTabelleberschrift"/>
                <w:rFonts w:ascii="Times New Roman" w:hAnsi="Times New Roman"/>
                <w:b w:val="0"/>
                <w:sz w:val="24"/>
              </w:rPr>
            </w:pPr>
            <w:r>
              <w:rPr>
                <w:rStyle w:val="InstructionsTabelleberschrift"/>
                <w:rFonts w:ascii="Times New Roman" w:hAnsi="Times New Roman"/>
                <w:sz w:val="24"/>
              </w:rPr>
              <w:t>VOCE PER MEMORIA: AVVIAMENTO (-) / (+) AVVIAMENTO NEGATIVO</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0360-0400</w:t>
            </w:r>
          </w:p>
        </w:tc>
        <w:tc>
          <w:tcPr>
            <w:tcW w:w="8640" w:type="dxa"/>
          </w:tcPr>
          <w:p w:rsidR="00BF0637" w:rsidRPr="00661595" w:rsidRDefault="00BF0637" w:rsidP="00731C8A">
            <w:pPr>
              <w:suppressAutoHyphens/>
              <w:rPr>
                <w:rStyle w:val="InstructionsTabelleberschrift"/>
                <w:rFonts w:ascii="Times New Roman" w:hAnsi="Times New Roman"/>
                <w:sz w:val="24"/>
              </w:rPr>
            </w:pPr>
            <w:r>
              <w:rPr>
                <w:rStyle w:val="InstructionsTabelleberschrift"/>
                <w:rFonts w:ascii="Times New Roman" w:hAnsi="Times New Roman"/>
                <w:sz w:val="24"/>
              </w:rPr>
              <w:t>FONDI PROPRI CONSOLIDATI</w:t>
            </w:r>
          </w:p>
          <w:p w:rsidR="00BF0637" w:rsidRPr="00661595" w:rsidRDefault="00BF0637" w:rsidP="00731C8A">
            <w:pPr>
              <w:suppressAutoHyphens/>
              <w:rPr>
                <w:rStyle w:val="InstructionsTabelleText"/>
                <w:rFonts w:ascii="Times New Roman" w:hAnsi="Times New Roman"/>
                <w:sz w:val="24"/>
              </w:rPr>
            </w:pPr>
            <w:r>
              <w:rPr>
                <w:rStyle w:val="InstructionsTabelleText"/>
                <w:rFonts w:ascii="Times New Roman" w:hAnsi="Times New Roman"/>
                <w:sz w:val="24"/>
              </w:rPr>
              <w:t>Articolo 18 del CRR</w:t>
            </w:r>
          </w:p>
          <w:p w:rsidR="00BF0637" w:rsidRPr="00661595" w:rsidRDefault="00BF0637" w:rsidP="00731C8A">
            <w:pPr>
              <w:suppressAutoHyphens/>
              <w:rPr>
                <w:rStyle w:val="InstructionsTabelleText"/>
                <w:rFonts w:ascii="Times New Roman" w:hAnsi="Times New Roman"/>
                <w:sz w:val="24"/>
              </w:rPr>
            </w:pPr>
            <w:r>
              <w:rPr>
                <w:rStyle w:val="InstructionsTabelleText"/>
                <w:rFonts w:ascii="Times New Roman" w:hAnsi="Times New Roman"/>
                <w:sz w:val="24"/>
              </w:rPr>
              <w:t>L</w:t>
            </w:r>
            <w:r w:rsidR="000878EC">
              <w:rPr>
                <w:rStyle w:val="InstructionsTabelleText"/>
                <w:rFonts w:ascii="Times New Roman" w:hAnsi="Times New Roman"/>
                <w:sz w:val="24"/>
              </w:rPr>
              <w:t>'</w:t>
            </w:r>
            <w:r>
              <w:rPr>
                <w:rStyle w:val="InstructionsTabelleText"/>
                <w:rFonts w:ascii="Times New Roman" w:hAnsi="Times New Roman"/>
                <w:sz w:val="24"/>
              </w:rPr>
              <w:t xml:space="preserve">importo da segnalare come </w:t>
            </w:r>
            <w:r w:rsidR="000878EC">
              <w:rPr>
                <w:rStyle w:val="InstructionsTabelleText"/>
                <w:rFonts w:ascii="Times New Roman" w:hAnsi="Times New Roman"/>
                <w:sz w:val="24"/>
              </w:rPr>
              <w:t>"</w:t>
            </w:r>
            <w:r>
              <w:rPr>
                <w:rStyle w:val="InstructionsTabelleText"/>
                <w:rFonts w:ascii="Times New Roman" w:hAnsi="Times New Roman"/>
                <w:sz w:val="24"/>
              </w:rPr>
              <w:t>FONDI PROPRI CONSOLIDATI</w:t>
            </w:r>
            <w:r w:rsidR="000878EC">
              <w:rPr>
                <w:rStyle w:val="InstructionsTabelleText"/>
                <w:rFonts w:ascii="Times New Roman" w:hAnsi="Times New Roman"/>
                <w:sz w:val="24"/>
              </w:rPr>
              <w:t>"</w:t>
            </w:r>
            <w:r>
              <w:rPr>
                <w:rStyle w:val="InstructionsTabelleText"/>
                <w:rFonts w:ascii="Times New Roman" w:hAnsi="Times New Roman"/>
                <w:sz w:val="24"/>
              </w:rPr>
              <w:t xml:space="preserve"> è l</w:t>
            </w:r>
            <w:r w:rsidR="000878EC">
              <w:rPr>
                <w:rStyle w:val="InstructionsTabelleText"/>
                <w:rFonts w:ascii="Times New Roman" w:hAnsi="Times New Roman"/>
                <w:sz w:val="24"/>
              </w:rPr>
              <w:t>'</w:t>
            </w:r>
            <w:r>
              <w:rPr>
                <w:rStyle w:val="InstructionsTabelleText"/>
                <w:rFonts w:ascii="Times New Roman" w:hAnsi="Times New Roman"/>
                <w:sz w:val="24"/>
              </w:rPr>
              <w:t>importo ricavato dal bilancio, esclusi i fondi apportati da altri soggetti del gruppo.</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0360</w:t>
            </w:r>
          </w:p>
        </w:tc>
        <w:tc>
          <w:tcPr>
            <w:tcW w:w="8640" w:type="dxa"/>
          </w:tcPr>
          <w:p w:rsidR="00BF0637" w:rsidRPr="00661595" w:rsidRDefault="00BF0637" w:rsidP="00731C8A">
            <w:pPr>
              <w:suppressAutoHyphens/>
              <w:rPr>
                <w:rStyle w:val="InstructionsTabelleberschrift"/>
                <w:rFonts w:ascii="Times New Roman" w:hAnsi="Times New Roman"/>
                <w:sz w:val="24"/>
              </w:rPr>
            </w:pPr>
            <w:r>
              <w:rPr>
                <w:rStyle w:val="InstructionsTabelleberschrift"/>
                <w:rFonts w:ascii="Times New Roman" w:hAnsi="Times New Roman"/>
                <w:sz w:val="24"/>
              </w:rPr>
              <w:t>FONDI PROPRI CONSOLIDATI</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0370</w:t>
            </w:r>
          </w:p>
        </w:tc>
        <w:tc>
          <w:tcPr>
            <w:tcW w:w="8640" w:type="dxa"/>
          </w:tcPr>
          <w:p w:rsidR="00BF0637" w:rsidRPr="00661595" w:rsidRDefault="00BF0637" w:rsidP="00731C8A">
            <w:pPr>
              <w:suppressAutoHyphens/>
              <w:rPr>
                <w:rStyle w:val="InstructionsTabelleberschrift"/>
                <w:rFonts w:ascii="Times New Roman" w:hAnsi="Times New Roman"/>
                <w:sz w:val="24"/>
              </w:rPr>
            </w:pPr>
            <w:r>
              <w:rPr>
                <w:rStyle w:val="InstructionsTabelleberschrift"/>
                <w:rFonts w:ascii="Times New Roman" w:hAnsi="Times New Roman"/>
                <w:sz w:val="24"/>
              </w:rPr>
              <w:t>DI CUI: CAPITALE PRIMARIO DI CLASSE 1</w:t>
            </w:r>
          </w:p>
        </w:tc>
      </w:tr>
      <w:tr w:rsidR="00BF0637" w:rsidRPr="00661595" w:rsidTr="00672D2A">
        <w:tc>
          <w:tcPr>
            <w:tcW w:w="1188" w:type="dxa"/>
          </w:tcPr>
          <w:p w:rsidR="00BF0637" w:rsidRPr="00661595" w:rsidDel="0081176B" w:rsidRDefault="00ED20CB" w:rsidP="00BF0637">
            <w:pPr>
              <w:rPr>
                <w:rFonts w:ascii="Times New Roman" w:hAnsi="Times New Roman"/>
                <w:sz w:val="24"/>
              </w:rPr>
            </w:pPr>
            <w:r>
              <w:rPr>
                <w:rFonts w:ascii="Times New Roman" w:hAnsi="Times New Roman"/>
                <w:sz w:val="24"/>
              </w:rPr>
              <w:t>0380</w:t>
            </w:r>
          </w:p>
        </w:tc>
        <w:tc>
          <w:tcPr>
            <w:tcW w:w="8640" w:type="dxa"/>
          </w:tcPr>
          <w:p w:rsidR="00BF0637" w:rsidRPr="00661595" w:rsidDel="0081176B" w:rsidRDefault="00BF0637" w:rsidP="00731C8A">
            <w:pPr>
              <w:suppressAutoHyphens/>
              <w:rPr>
                <w:rStyle w:val="InstructionsTabelleberschrift"/>
                <w:rFonts w:ascii="Times New Roman" w:hAnsi="Times New Roman"/>
                <w:sz w:val="24"/>
              </w:rPr>
            </w:pPr>
            <w:r>
              <w:rPr>
                <w:rStyle w:val="InstructionsTabelleberschrift"/>
                <w:rFonts w:ascii="Times New Roman" w:hAnsi="Times New Roman"/>
                <w:sz w:val="24"/>
              </w:rPr>
              <w:t>DI CUI: CAPITALE AGGIUNTIVO DI CLASSE 1</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0390</w:t>
            </w:r>
          </w:p>
        </w:tc>
        <w:tc>
          <w:tcPr>
            <w:tcW w:w="8640" w:type="dxa"/>
          </w:tcPr>
          <w:p w:rsidR="00BF0637" w:rsidRPr="00661595" w:rsidRDefault="00BF0637" w:rsidP="00731C8A">
            <w:pPr>
              <w:suppressAutoHyphens/>
              <w:rPr>
                <w:rStyle w:val="InstructionsTabelleText"/>
                <w:rFonts w:ascii="Times New Roman" w:hAnsi="Times New Roman"/>
                <w:sz w:val="24"/>
              </w:rPr>
            </w:pPr>
            <w:r>
              <w:rPr>
                <w:rStyle w:val="InstructionsTabelleberschrift"/>
                <w:rFonts w:ascii="Times New Roman" w:hAnsi="Times New Roman"/>
                <w:sz w:val="24"/>
              </w:rPr>
              <w:t>DI CUI: CONTRIBUTI AL RISULTATO CONSOLIDATO</w:t>
            </w:r>
          </w:p>
          <w:p w:rsidR="00BF0637" w:rsidRPr="00661595" w:rsidRDefault="00BF0637" w:rsidP="00731C8A">
            <w:pPr>
              <w:suppressAutoHyphens/>
              <w:rPr>
                <w:rStyle w:val="InstructionsTabelleberschrift"/>
                <w:rFonts w:ascii="Times New Roman" w:hAnsi="Times New Roman"/>
                <w:sz w:val="24"/>
              </w:rPr>
            </w:pPr>
            <w:r>
              <w:rPr>
                <w:rStyle w:val="InstructionsTabelleText"/>
                <w:rFonts w:ascii="Times New Roman" w:hAnsi="Times New Roman"/>
                <w:sz w:val="24"/>
              </w:rPr>
              <w:t>L</w:t>
            </w:r>
            <w:r w:rsidR="000878EC">
              <w:rPr>
                <w:rStyle w:val="InstructionsTabelleText"/>
                <w:rFonts w:ascii="Times New Roman" w:hAnsi="Times New Roman"/>
                <w:sz w:val="24"/>
              </w:rPr>
              <w:t>'</w:t>
            </w:r>
            <w:r>
              <w:rPr>
                <w:rStyle w:val="InstructionsTabelleText"/>
                <w:rFonts w:ascii="Times New Roman" w:hAnsi="Times New Roman"/>
                <w:sz w:val="24"/>
              </w:rPr>
              <w:t>importo da segnalare è il contributo di ciascun soggetto al risultato consolidato — profitto o perdita (-) — che comprende i risultati attribuibili agli interessi di minoranza.</w:t>
            </w:r>
          </w:p>
        </w:tc>
      </w:tr>
      <w:tr w:rsidR="00BF0637" w:rsidRPr="00661595" w:rsidTr="00672D2A">
        <w:tc>
          <w:tcPr>
            <w:tcW w:w="1188" w:type="dxa"/>
          </w:tcPr>
          <w:p w:rsidR="00BF0637" w:rsidRPr="00661595" w:rsidRDefault="00ED20CB" w:rsidP="00BF0637">
            <w:pPr>
              <w:rPr>
                <w:rFonts w:ascii="Times New Roman" w:hAnsi="Times New Roman"/>
                <w:sz w:val="24"/>
              </w:rPr>
            </w:pPr>
            <w:r>
              <w:rPr>
                <w:rFonts w:ascii="Times New Roman" w:hAnsi="Times New Roman"/>
                <w:sz w:val="24"/>
              </w:rPr>
              <w:t>0400</w:t>
            </w:r>
          </w:p>
        </w:tc>
        <w:tc>
          <w:tcPr>
            <w:tcW w:w="8640" w:type="dxa"/>
          </w:tcPr>
          <w:p w:rsidR="00BF0637" w:rsidRPr="00661595" w:rsidRDefault="00BF0637" w:rsidP="00731C8A">
            <w:pPr>
              <w:suppressAutoHyphens/>
              <w:rPr>
                <w:rStyle w:val="InstructionsTabelleberschrift"/>
                <w:rFonts w:ascii="Times New Roman" w:hAnsi="Times New Roman"/>
                <w:sz w:val="24"/>
              </w:rPr>
            </w:pPr>
            <w:r>
              <w:rPr>
                <w:rStyle w:val="InstructionsTabelleberschrift"/>
                <w:rFonts w:ascii="Times New Roman" w:hAnsi="Times New Roman"/>
                <w:sz w:val="24"/>
              </w:rPr>
              <w:t>DI CUI: (-) AVVIAMENTO / (+) AVVIAMENTO NEGATIVO</w:t>
            </w:r>
          </w:p>
          <w:p w:rsidR="00BF0637" w:rsidRPr="00661595" w:rsidRDefault="00BF0637" w:rsidP="00731C8A">
            <w:pPr>
              <w:suppressAutoHyphens/>
              <w:rPr>
                <w:rStyle w:val="InstructionsTabelleberschrift"/>
                <w:rFonts w:ascii="Times New Roman" w:hAnsi="Times New Roman"/>
                <w:sz w:val="24"/>
              </w:rPr>
            </w:pPr>
            <w:r>
              <w:rPr>
                <w:rStyle w:val="InstructionsTabelleText"/>
                <w:rFonts w:ascii="Times New Roman" w:hAnsi="Times New Roman"/>
                <w:sz w:val="24"/>
              </w:rPr>
              <w:t>L</w:t>
            </w:r>
            <w:r w:rsidR="000878EC">
              <w:rPr>
                <w:rStyle w:val="InstructionsTabelleText"/>
                <w:rFonts w:ascii="Times New Roman" w:hAnsi="Times New Roman"/>
                <w:sz w:val="24"/>
              </w:rPr>
              <w:t>'</w:t>
            </w:r>
            <w:r>
              <w:rPr>
                <w:rStyle w:val="InstructionsTabelleText"/>
                <w:rFonts w:ascii="Times New Roman" w:hAnsi="Times New Roman"/>
                <w:sz w:val="24"/>
              </w:rPr>
              <w:t>importo da segnalare in questa riga è l</w:t>
            </w:r>
            <w:r w:rsidR="000878EC">
              <w:rPr>
                <w:rStyle w:val="InstructionsTabelleText"/>
                <w:rFonts w:ascii="Times New Roman" w:hAnsi="Times New Roman"/>
                <w:sz w:val="24"/>
              </w:rPr>
              <w:t>'</w:t>
            </w:r>
            <w:r>
              <w:rPr>
                <w:rStyle w:val="InstructionsTabelleText"/>
                <w:rFonts w:ascii="Times New Roman" w:hAnsi="Times New Roman"/>
                <w:sz w:val="24"/>
              </w:rPr>
              <w:t>avviamento o l</w:t>
            </w:r>
            <w:r w:rsidR="000878EC">
              <w:rPr>
                <w:rStyle w:val="InstructionsTabelleText"/>
                <w:rFonts w:ascii="Times New Roman" w:hAnsi="Times New Roman"/>
                <w:sz w:val="24"/>
              </w:rPr>
              <w:t>'</w:t>
            </w:r>
            <w:r>
              <w:rPr>
                <w:rStyle w:val="InstructionsTabelleText"/>
                <w:rFonts w:ascii="Times New Roman" w:hAnsi="Times New Roman"/>
                <w:sz w:val="24"/>
              </w:rPr>
              <w:t>avviamento negativo del soggetto segnalante rispetto alla filiazione.</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0410-0480</w:t>
            </w:r>
          </w:p>
        </w:tc>
        <w:tc>
          <w:tcPr>
            <w:tcW w:w="8640" w:type="dxa"/>
          </w:tcPr>
          <w:p w:rsidR="00BF0637" w:rsidRPr="00661595" w:rsidRDefault="00BF0637" w:rsidP="00731C8A">
            <w:pPr>
              <w:suppressAutoHyphens/>
              <w:rPr>
                <w:rStyle w:val="InstructionsTabelleberschrift"/>
                <w:rFonts w:ascii="Times New Roman" w:hAnsi="Times New Roman"/>
                <w:sz w:val="24"/>
              </w:rPr>
            </w:pPr>
            <w:r>
              <w:rPr>
                <w:rStyle w:val="InstructionsTabelleberschrift"/>
                <w:rFonts w:ascii="Times New Roman" w:hAnsi="Times New Roman"/>
                <w:sz w:val="24"/>
              </w:rPr>
              <w:t>RISERVE DI CAPITALE</w:t>
            </w:r>
          </w:p>
          <w:p w:rsidR="00BF0637" w:rsidRPr="00661595" w:rsidRDefault="00BF0637" w:rsidP="00731C8A">
            <w:pPr>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 struttura della segnalazione delle riserve di capitale nel modello GS ricalca la struttura generale del modello CA4 e utilizza i medesimi concetti di segnalazione. Per indicare le riserve di capitale nel modello GS, gli importi pertinenti sono segnalati conformemente alle disposizioni applicabili per determinare il requisito di riserva di capitale per la situazione consolidata di un gruppo. Pertanto, gli importi segnalati di riserve di capitale rappresentano i contributi di ciascun soggetto alle riserve di capitale del gruppo. Gli importi segnalati sono basati sulle disposizioni nazionali di recepimento della CRD e sul CRR, comprese le disposizioni transitorie ivi previste.</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0410</w:t>
            </w:r>
          </w:p>
        </w:tc>
        <w:tc>
          <w:tcPr>
            <w:tcW w:w="8640" w:type="dxa"/>
          </w:tcPr>
          <w:p w:rsidR="00BF0637" w:rsidRPr="00661595" w:rsidRDefault="00BF0637" w:rsidP="00731C8A">
            <w:pPr>
              <w:suppressAutoHyphens/>
              <w:rPr>
                <w:rStyle w:val="InstructionsTabelleberschrift"/>
                <w:rFonts w:ascii="Times New Roman" w:hAnsi="Times New Roman"/>
                <w:sz w:val="24"/>
              </w:rPr>
            </w:pPr>
            <w:r>
              <w:rPr>
                <w:rStyle w:val="InstructionsTabelleberschrift"/>
                <w:rFonts w:ascii="Times New Roman" w:hAnsi="Times New Roman"/>
                <w:sz w:val="24"/>
              </w:rPr>
              <w:t>REQUISITO COMBINATO DI RISERVA DI CAPITALE</w:t>
            </w:r>
          </w:p>
          <w:p w:rsidR="00BF0637" w:rsidRPr="00661595" w:rsidRDefault="00BF0637" w:rsidP="00731C8A">
            <w:pPr>
              <w:tabs>
                <w:tab w:val="left" w:pos="3510"/>
              </w:tabs>
              <w:suppressAutoHyphens/>
              <w:rPr>
                <w:rStyle w:val="InstructionsTabelleberschrift"/>
                <w:rFonts w:ascii="Times New Roman" w:hAnsi="Times New Roman"/>
                <w:sz w:val="24"/>
              </w:rPr>
            </w:pPr>
            <w:r>
              <w:rPr>
                <w:rStyle w:val="InstructionsTabelleText"/>
                <w:rFonts w:ascii="Times New Roman" w:hAnsi="Times New Roman"/>
                <w:sz w:val="24"/>
              </w:rPr>
              <w:t>Articolo 128, punto 6, della CRD</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0420</w:t>
            </w:r>
          </w:p>
        </w:tc>
        <w:tc>
          <w:tcPr>
            <w:tcW w:w="8640" w:type="dxa"/>
          </w:tcPr>
          <w:p w:rsidR="00BF0637" w:rsidRPr="00661595" w:rsidRDefault="00BF0637" w:rsidP="00731C8A">
            <w:pPr>
              <w:suppressAutoHyphens/>
              <w:rPr>
                <w:rStyle w:val="InstructionsTabelleberschrift"/>
                <w:rFonts w:ascii="Times New Roman" w:hAnsi="Times New Roman"/>
                <w:sz w:val="24"/>
              </w:rPr>
            </w:pPr>
            <w:r>
              <w:rPr>
                <w:rStyle w:val="InstructionsTabelleberschrift"/>
                <w:rFonts w:ascii="Times New Roman" w:hAnsi="Times New Roman"/>
                <w:sz w:val="24"/>
              </w:rPr>
              <w:t>RISERVA DI CONSERVAZIONE DEL CAPITALE</w:t>
            </w:r>
          </w:p>
          <w:p w:rsidR="00BF0637" w:rsidRPr="00661595" w:rsidRDefault="00BF0637" w:rsidP="00731C8A">
            <w:pPr>
              <w:suppressAutoHyphens/>
              <w:rPr>
                <w:rStyle w:val="InstructionsTabelleText"/>
                <w:rFonts w:ascii="Times New Roman" w:hAnsi="Times New Roman"/>
                <w:sz w:val="24"/>
              </w:rPr>
            </w:pPr>
            <w:r>
              <w:rPr>
                <w:rStyle w:val="InstructionsTabelleText"/>
                <w:rFonts w:ascii="Times New Roman" w:hAnsi="Times New Roman"/>
                <w:sz w:val="24"/>
              </w:rPr>
              <w:t>Articolo 128, punto 1, e articolo 129 della CRD</w:t>
            </w:r>
          </w:p>
          <w:p w:rsidR="00BF0637" w:rsidRPr="00661595" w:rsidRDefault="00BF0637" w:rsidP="00115052">
            <w:pPr>
              <w:pStyle w:val="InstructionsText"/>
              <w:rPr>
                <w:rStyle w:val="InstructionsTabelleText"/>
                <w:rFonts w:ascii="Times New Roman" w:hAnsi="Times New Roman"/>
                <w:sz w:val="24"/>
              </w:rPr>
            </w:pPr>
            <w:r>
              <w:t>Conformemente all</w:t>
            </w:r>
            <w:r w:rsidR="000878EC">
              <w:t>'</w:t>
            </w:r>
            <w:r>
              <w:t>articolo 129, paragrafo 1, della CRD la riserva di conservazione del capitale è un importo aggiuntivo del capitale primario di classe 1. In questa cella è segnalato un importo dato che il coefficiente della riserva di conservazione del capitale del 2,5 % è stabile.</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0430</w:t>
            </w:r>
          </w:p>
        </w:tc>
        <w:tc>
          <w:tcPr>
            <w:tcW w:w="8640" w:type="dxa"/>
          </w:tcPr>
          <w:p w:rsidR="00BF0637" w:rsidRPr="00661595" w:rsidRDefault="00BF0637" w:rsidP="00731C8A">
            <w:pPr>
              <w:suppressAutoHyphens/>
              <w:rPr>
                <w:rStyle w:val="InstructionsTabelleberschrift"/>
                <w:rFonts w:ascii="Times New Roman" w:hAnsi="Times New Roman"/>
                <w:sz w:val="24"/>
              </w:rPr>
            </w:pPr>
            <w:r>
              <w:rPr>
                <w:rStyle w:val="InstructionsTabelleberschrift"/>
                <w:rFonts w:ascii="Times New Roman" w:hAnsi="Times New Roman"/>
                <w:sz w:val="24"/>
              </w:rPr>
              <w:t>RISERVA DI CAPITALE ANTICICLICA SPECIFICA DELL</w:t>
            </w:r>
            <w:r w:rsidR="000878EC">
              <w:rPr>
                <w:rStyle w:val="InstructionsTabelleberschrift"/>
                <w:rFonts w:ascii="Times New Roman" w:hAnsi="Times New Roman"/>
                <w:sz w:val="24"/>
              </w:rPr>
              <w:t>'</w:t>
            </w:r>
            <w:r>
              <w:rPr>
                <w:rStyle w:val="InstructionsTabelleberschrift"/>
                <w:rFonts w:ascii="Times New Roman" w:hAnsi="Times New Roman"/>
                <w:sz w:val="24"/>
              </w:rPr>
              <w:t>ENTE</w:t>
            </w:r>
          </w:p>
          <w:p w:rsidR="00BF0637" w:rsidRPr="00661595" w:rsidRDefault="00BF0637" w:rsidP="00731C8A">
            <w:pPr>
              <w:suppressAutoHyphens/>
              <w:rPr>
                <w:rStyle w:val="InstructionsTabelleText"/>
                <w:rFonts w:ascii="Times New Roman" w:hAnsi="Times New Roman"/>
                <w:sz w:val="24"/>
              </w:rPr>
            </w:pPr>
            <w:r>
              <w:rPr>
                <w:rStyle w:val="InstructionsTabelleText"/>
                <w:rFonts w:ascii="Times New Roman" w:hAnsi="Times New Roman"/>
                <w:sz w:val="24"/>
              </w:rPr>
              <w:t>Articolo 128, punto 2, articolo 130 e articoli da 135 a 140 della CRD</w:t>
            </w:r>
          </w:p>
          <w:p w:rsidR="00BF0637" w:rsidRPr="00661595" w:rsidRDefault="001B43BD" w:rsidP="00115052">
            <w:pPr>
              <w:pStyle w:val="InstructionsText"/>
              <w:rPr>
                <w:rStyle w:val="InstructionsTabelleText"/>
                <w:rFonts w:ascii="Times New Roman" w:hAnsi="Times New Roman"/>
                <w:sz w:val="24"/>
              </w:rPr>
            </w:pPr>
            <w:r>
              <w:t>In questa cella è segnalato l</w:t>
            </w:r>
            <w:r w:rsidR="000878EC">
              <w:t>'</w:t>
            </w:r>
            <w:r>
              <w:t>importo effettivo della riserva anticiclica.</w:t>
            </w:r>
          </w:p>
        </w:tc>
      </w:tr>
      <w:tr w:rsidR="00BF0637" w:rsidRPr="00661595" w:rsidTr="00672D2A">
        <w:tc>
          <w:tcPr>
            <w:tcW w:w="1188" w:type="dxa"/>
          </w:tcPr>
          <w:p w:rsidR="00BF0637" w:rsidRPr="00661595" w:rsidDel="00D70027" w:rsidRDefault="00ED20CB" w:rsidP="00BF0637">
            <w:pPr>
              <w:rPr>
                <w:rStyle w:val="InstructionsTabelleText"/>
                <w:rFonts w:ascii="Times New Roman" w:hAnsi="Times New Roman"/>
                <w:sz w:val="24"/>
              </w:rPr>
            </w:pPr>
            <w:r>
              <w:rPr>
                <w:rStyle w:val="InstructionsTabelleText"/>
                <w:rFonts w:ascii="Times New Roman" w:hAnsi="Times New Roman"/>
                <w:sz w:val="24"/>
              </w:rPr>
              <w:t>0440</w:t>
            </w:r>
          </w:p>
        </w:tc>
        <w:tc>
          <w:tcPr>
            <w:tcW w:w="8640" w:type="dxa"/>
          </w:tcPr>
          <w:p w:rsidR="00BF0637" w:rsidRPr="00661595" w:rsidRDefault="00BF0637" w:rsidP="00731C8A">
            <w:pPr>
              <w:suppressAutoHyphens/>
              <w:rPr>
                <w:rStyle w:val="InstructionsTabelleberschrift"/>
                <w:rFonts w:ascii="Times New Roman" w:hAnsi="Times New Roman"/>
                <w:sz w:val="24"/>
              </w:rPr>
            </w:pPr>
            <w:r>
              <w:rPr>
                <w:rStyle w:val="InstructionsTabelleberschrift"/>
                <w:rFonts w:ascii="Times New Roman" w:hAnsi="Times New Roman"/>
                <w:sz w:val="24"/>
              </w:rPr>
              <w:t>RISERVA DI CONSERVAZIONE DOVUTA AL RISCHIO MACROPRUDENZIALE O SISTEMICO INDIVIDUATO A LIVELLO DI UNO STATO MEMBRO</w:t>
            </w:r>
          </w:p>
          <w:p w:rsidR="00BF0637" w:rsidRPr="00661595" w:rsidRDefault="00BF0637" w:rsidP="00731C8A">
            <w:pPr>
              <w:suppressAutoHyphens/>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458, paragrafo 2, lettera d), punto iv), del CRR</w:t>
            </w:r>
          </w:p>
          <w:p w:rsidR="00BF0637" w:rsidRPr="00661595" w:rsidRDefault="001B43BD" w:rsidP="00115052">
            <w:pPr>
              <w:pStyle w:val="InstructionsText"/>
              <w:rPr>
                <w:rStyle w:val="InstructionsTabelleberschrift"/>
                <w:rFonts w:ascii="Times New Roman" w:hAnsi="Times New Roman"/>
                <w:sz w:val="24"/>
              </w:rPr>
            </w:pPr>
            <w:r>
              <w:t>In questa cella è segnalato l</w:t>
            </w:r>
            <w:r w:rsidR="000878EC">
              <w:t>'</w:t>
            </w:r>
            <w:r>
              <w:t>importo della riserva di conservazione dovuta al rischio macroprudenziale o sistemico individuato a livello di uno Stato membro che può essere richiesta conformemente all</w:t>
            </w:r>
            <w:r w:rsidR="000878EC">
              <w:t>'</w:t>
            </w:r>
            <w:r>
              <w:t>articolo 458 del CRR in aggiunta alla riserva di conservazione del capitale.</w:t>
            </w:r>
          </w:p>
        </w:tc>
      </w:tr>
      <w:tr w:rsidR="00BF0637" w:rsidRPr="00661595" w:rsidTr="00672D2A">
        <w:tc>
          <w:tcPr>
            <w:tcW w:w="1188" w:type="dxa"/>
          </w:tcPr>
          <w:p w:rsidR="00BF0637" w:rsidRPr="00661595" w:rsidRDefault="00ED20CB" w:rsidP="00E34C96">
            <w:pPr>
              <w:keepNext/>
              <w:keepLines/>
              <w:rPr>
                <w:rStyle w:val="InstructionsTabelleText"/>
                <w:rFonts w:ascii="Times New Roman" w:hAnsi="Times New Roman"/>
                <w:sz w:val="24"/>
              </w:rPr>
            </w:pPr>
            <w:r>
              <w:rPr>
                <w:rStyle w:val="InstructionsTabelleText"/>
                <w:rFonts w:ascii="Times New Roman" w:hAnsi="Times New Roman"/>
                <w:sz w:val="24"/>
              </w:rPr>
              <w:t>0450</w:t>
            </w:r>
          </w:p>
        </w:tc>
        <w:tc>
          <w:tcPr>
            <w:tcW w:w="8640" w:type="dxa"/>
          </w:tcPr>
          <w:p w:rsidR="00BF0637" w:rsidRPr="00661595" w:rsidRDefault="00BF0637" w:rsidP="00E34C96">
            <w:pPr>
              <w:keepNext/>
              <w:keepLines/>
              <w:suppressAutoHyphens/>
              <w:rPr>
                <w:rStyle w:val="InstructionsTabelleberschrift"/>
                <w:rFonts w:ascii="Times New Roman" w:hAnsi="Times New Roman"/>
                <w:sz w:val="24"/>
              </w:rPr>
            </w:pPr>
            <w:r>
              <w:rPr>
                <w:rStyle w:val="InstructionsTabelleberschrift"/>
                <w:rFonts w:ascii="Times New Roman" w:hAnsi="Times New Roman"/>
                <w:sz w:val="24"/>
              </w:rPr>
              <w:t>RISERVA DI CAPITALE A FRONTE DEL RISCHIO SISTEMICO</w:t>
            </w:r>
          </w:p>
          <w:p w:rsidR="00BF0637" w:rsidRPr="00661595" w:rsidRDefault="00BF0637" w:rsidP="00115052">
            <w:pPr>
              <w:pStyle w:val="InstructionsText"/>
            </w:pPr>
            <w:r>
              <w:t xml:space="preserve">Articolo 128, punto 5, e articoli 133 e 134 della CRD </w:t>
            </w:r>
          </w:p>
          <w:p w:rsidR="00BF0637" w:rsidRPr="00661595" w:rsidRDefault="001B43BD" w:rsidP="00E34C96">
            <w:pPr>
              <w:keepNext/>
              <w:keepLines/>
              <w:suppressAutoHyphens/>
              <w:rPr>
                <w:rStyle w:val="InstructionsTabelleberschrift"/>
                <w:rFonts w:ascii="Times New Roman" w:hAnsi="Times New Roman"/>
                <w:sz w:val="24"/>
              </w:rPr>
            </w:pPr>
            <w:r>
              <w:rPr>
                <w:rFonts w:ascii="Times New Roman" w:hAnsi="Times New Roman"/>
                <w:sz w:val="24"/>
              </w:rPr>
              <w:t>In questa cella è segnalato l</w:t>
            </w:r>
            <w:r w:rsidR="000878EC">
              <w:rPr>
                <w:rFonts w:ascii="Times New Roman" w:hAnsi="Times New Roman"/>
                <w:sz w:val="24"/>
              </w:rPr>
              <w:t>'</w:t>
            </w:r>
            <w:r>
              <w:rPr>
                <w:rFonts w:ascii="Times New Roman" w:hAnsi="Times New Roman"/>
                <w:sz w:val="24"/>
              </w:rPr>
              <w:t>importo della riserva di capitale a fronte del rischio sistemico.</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0470</w:t>
            </w:r>
          </w:p>
        </w:tc>
        <w:tc>
          <w:tcPr>
            <w:tcW w:w="8640" w:type="dxa"/>
          </w:tcPr>
          <w:p w:rsidR="00BF0637" w:rsidRPr="00661595" w:rsidRDefault="00BF0637" w:rsidP="00731C8A">
            <w:pPr>
              <w:tabs>
                <w:tab w:val="left" w:pos="6660"/>
              </w:tabs>
              <w:suppressAutoHyphens/>
              <w:rPr>
                <w:rStyle w:val="InstructionsTabelleberschrift"/>
                <w:rFonts w:ascii="Times New Roman" w:hAnsi="Times New Roman"/>
                <w:sz w:val="24"/>
              </w:rPr>
            </w:pPr>
            <w:r>
              <w:rPr>
                <w:rStyle w:val="InstructionsTabelleberschrift"/>
                <w:rFonts w:ascii="Times New Roman" w:hAnsi="Times New Roman"/>
                <w:sz w:val="24"/>
              </w:rPr>
              <w:t>RISERVA DEGLI ENTI A RILEVANZA SISTEMICA A LIVELLO GLOBALE</w:t>
            </w:r>
            <w:r>
              <w:tab/>
            </w:r>
          </w:p>
          <w:p w:rsidR="00BF0637" w:rsidRPr="00661595" w:rsidRDefault="00BF0637" w:rsidP="00115052">
            <w:pPr>
              <w:pStyle w:val="InstructionsTex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128, punto 3, e articolo 131 della CRD</w:t>
            </w:r>
          </w:p>
          <w:p w:rsidR="00BF0637" w:rsidRPr="00661595" w:rsidRDefault="001B43BD" w:rsidP="00115052">
            <w:pPr>
              <w:pStyle w:val="InstructionsText"/>
              <w:rPr>
                <w:rStyle w:val="InstructionsTabelleberschrift"/>
                <w:rFonts w:ascii="Times New Roman" w:hAnsi="Times New Roman"/>
                <w:sz w:val="24"/>
              </w:rPr>
            </w:pPr>
            <w:r>
              <w:t>In questa cella è segnalato l</w:t>
            </w:r>
            <w:r w:rsidR="000878EC">
              <w:t>'</w:t>
            </w:r>
            <w:r>
              <w:t>importo della riserva degli enti a rilevanza sistemica a livello globale.</w:t>
            </w:r>
          </w:p>
        </w:tc>
      </w:tr>
      <w:tr w:rsidR="00BF0637" w:rsidRPr="00661595" w:rsidTr="00672D2A">
        <w:tc>
          <w:tcPr>
            <w:tcW w:w="1188" w:type="dxa"/>
          </w:tcPr>
          <w:p w:rsidR="00BF0637" w:rsidRPr="00661595" w:rsidRDefault="00ED20CB" w:rsidP="00BF0637">
            <w:pPr>
              <w:rPr>
                <w:rStyle w:val="InstructionsTabelleText"/>
                <w:rFonts w:ascii="Times New Roman" w:hAnsi="Times New Roman"/>
                <w:sz w:val="24"/>
              </w:rPr>
            </w:pPr>
            <w:r>
              <w:rPr>
                <w:rStyle w:val="InstructionsTabelleText"/>
                <w:rFonts w:ascii="Times New Roman" w:hAnsi="Times New Roman"/>
                <w:sz w:val="24"/>
              </w:rPr>
              <w:t>0480</w:t>
            </w:r>
          </w:p>
        </w:tc>
        <w:tc>
          <w:tcPr>
            <w:tcW w:w="8640" w:type="dxa"/>
          </w:tcPr>
          <w:p w:rsidR="00BF0637" w:rsidRPr="00661595" w:rsidRDefault="00BF0637" w:rsidP="00731C8A">
            <w:pPr>
              <w:tabs>
                <w:tab w:val="left" w:pos="6315"/>
              </w:tabs>
              <w:suppressAutoHyphens/>
              <w:rPr>
                <w:rStyle w:val="InstructionsTabelleberschrift"/>
                <w:rFonts w:ascii="Times New Roman" w:hAnsi="Times New Roman"/>
                <w:sz w:val="24"/>
              </w:rPr>
            </w:pPr>
            <w:r>
              <w:rPr>
                <w:rStyle w:val="InstructionsTabelleberschrift"/>
                <w:rFonts w:ascii="Times New Roman" w:hAnsi="Times New Roman"/>
                <w:sz w:val="24"/>
              </w:rPr>
              <w:t>RISERVA DI ALTRI ENTI A RILEVANZA SISTEMICA</w:t>
            </w:r>
            <w:r>
              <w:tab/>
            </w:r>
          </w:p>
          <w:p w:rsidR="00BF0637" w:rsidRPr="00661595" w:rsidRDefault="00BF0637" w:rsidP="00115052">
            <w:pPr>
              <w:pStyle w:val="InstructionsText"/>
            </w:pPr>
            <w:r>
              <w:t>Articolo 128, punto 4, e articolo 131 della CRD</w:t>
            </w:r>
          </w:p>
          <w:p w:rsidR="00BF0637" w:rsidRPr="00661595" w:rsidRDefault="001B43BD" w:rsidP="00115052">
            <w:pPr>
              <w:pStyle w:val="InstructionsText"/>
              <w:rPr>
                <w:rStyle w:val="InstructionsTabelleberschrift"/>
                <w:rFonts w:ascii="Times New Roman" w:hAnsi="Times New Roman"/>
                <w:sz w:val="24"/>
              </w:rPr>
            </w:pPr>
            <w:r>
              <w:t>In questa cella è segnalato l</w:t>
            </w:r>
            <w:r w:rsidR="000878EC">
              <w:t>'</w:t>
            </w:r>
            <w:r>
              <w:t>importo della riserva degli altri enti a rilevanza sistemica.</w:t>
            </w:r>
          </w:p>
        </w:tc>
      </w:tr>
    </w:tbl>
    <w:p w:rsidR="00FC1030" w:rsidRPr="00661595" w:rsidRDefault="00FC1030" w:rsidP="00115052">
      <w:pPr>
        <w:pStyle w:val="InstructionsText"/>
      </w:pPr>
    </w:p>
    <w:p w:rsidR="00464F34" w:rsidRPr="00661595" w:rsidRDefault="00B43C2A" w:rsidP="0023700C">
      <w:pPr>
        <w:pStyle w:val="Instructionsberschrift2"/>
        <w:numPr>
          <w:ilvl w:val="0"/>
          <w:numId w:val="0"/>
        </w:numPr>
        <w:ind w:left="357" w:hanging="357"/>
        <w:rPr>
          <w:rFonts w:ascii="Times New Roman" w:hAnsi="Times New Roman" w:cs="Times New Roman"/>
          <w:sz w:val="24"/>
        </w:rPr>
      </w:pPr>
      <w:bookmarkStart w:id="112" w:name="_Toc310415013"/>
      <w:bookmarkStart w:id="113" w:name="_Toc360188344"/>
      <w:bookmarkStart w:id="114" w:name="_Toc473560893"/>
      <w:bookmarkStart w:id="115" w:name="_Toc58915736"/>
      <w:r>
        <w:rPr>
          <w:rFonts w:ascii="Times New Roman" w:hAnsi="Times New Roman"/>
          <w:sz w:val="24"/>
          <w:u w:val="none"/>
        </w:rPr>
        <w:t>3</w:t>
      </w:r>
      <w:r w:rsidRPr="00E34C96">
        <w:rPr>
          <w:u w:val="none"/>
        </w:rPr>
        <w:tab/>
      </w:r>
      <w:r>
        <w:rPr>
          <w:rFonts w:ascii="Times New Roman" w:hAnsi="Times New Roman"/>
          <w:sz w:val="24"/>
        </w:rPr>
        <w:t>Modelli del rischio di credito</w:t>
      </w:r>
      <w:bookmarkEnd w:id="112"/>
      <w:bookmarkEnd w:id="113"/>
      <w:bookmarkEnd w:id="114"/>
      <w:bookmarkEnd w:id="115"/>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16" w:name="_Toc360188345"/>
      <w:bookmarkStart w:id="117" w:name="_Toc473560894"/>
      <w:bookmarkStart w:id="118" w:name="_Toc262568022"/>
      <w:bookmarkStart w:id="119" w:name="_Toc295829848"/>
      <w:bookmarkStart w:id="120" w:name="_Toc310415014"/>
      <w:bookmarkStart w:id="121" w:name="_Toc58915737"/>
      <w:r>
        <w:rPr>
          <w:rFonts w:ascii="Times New Roman" w:hAnsi="Times New Roman"/>
          <w:sz w:val="24"/>
          <w:u w:val="none"/>
        </w:rPr>
        <w:t>3.1.</w:t>
      </w:r>
      <w:r w:rsidRPr="00E34C96">
        <w:rPr>
          <w:u w:val="none"/>
        </w:rPr>
        <w:tab/>
      </w:r>
      <w:r>
        <w:rPr>
          <w:rFonts w:ascii="Times New Roman" w:hAnsi="Times New Roman"/>
          <w:sz w:val="24"/>
        </w:rPr>
        <w:t>Osservazioni di carattere generale</w:t>
      </w:r>
      <w:bookmarkEnd w:id="116"/>
      <w:bookmarkEnd w:id="117"/>
      <w:bookmarkEnd w:id="121"/>
      <w:r>
        <w:rPr>
          <w:rFonts w:ascii="Times New Roman" w:hAnsi="Times New Roman"/>
          <w:sz w:val="24"/>
        </w:rPr>
        <w:t xml:space="preserve"> </w:t>
      </w:r>
      <w:bookmarkEnd w:id="118"/>
      <w:bookmarkEnd w:id="119"/>
      <w:bookmarkEnd w:id="120"/>
    </w:p>
    <w:p w:rsidR="00464F34" w:rsidRPr="00661595" w:rsidRDefault="00A971CA" w:rsidP="00BD1A14">
      <w:pPr>
        <w:pStyle w:val="InstructionsText2"/>
        <w:numPr>
          <w:ilvl w:val="0"/>
          <w:numId w:val="0"/>
        </w:numPr>
        <w:ind w:left="1800" w:hanging="480"/>
      </w:pPr>
      <w:r>
        <w:fldChar w:fldCharType="begin"/>
      </w:r>
      <w:r>
        <w:instrText xml:space="preserve"> seq paragraphs </w:instrText>
      </w:r>
      <w:r>
        <w:fldChar w:fldCharType="separate"/>
      </w:r>
      <w:r w:rsidR="00D11E4C">
        <w:rPr>
          <w:noProof/>
        </w:rPr>
        <w:t>39</w:t>
      </w:r>
      <w:r>
        <w:rPr>
          <w:noProof/>
        </w:rPr>
        <w:fldChar w:fldCharType="end"/>
      </w:r>
      <w:r w:rsidR="00D11E4C">
        <w:t>.</w:t>
      </w:r>
      <w:r w:rsidR="00D11E4C">
        <w:tab/>
        <w:t>Per quanto riguarda il rischio di credito sono previsti gruppi di modelli differenziati per il metodo standardizzato e per il metodo basato sui rating interni (IRB). Si devono inoltre utilizzare modelli distinti in base alla ripartizione geografica delle posizioni soggette al rischio di credito in caso di superamento della soglia applicabile ai sensi dell</w:t>
      </w:r>
      <w:r w:rsidR="000878EC">
        <w:t>'</w:t>
      </w:r>
      <w:r w:rsidR="00D11E4C">
        <w:t xml:space="preserve">articolo 5, paragrafo 5, del presente regolamento di esecuzione.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22" w:name="_Toc262568023"/>
      <w:bookmarkStart w:id="123" w:name="_Toc295829849"/>
      <w:bookmarkStart w:id="124" w:name="_Toc310415015"/>
      <w:bookmarkStart w:id="125" w:name="_Toc360188346"/>
      <w:bookmarkStart w:id="126" w:name="_Toc473560895"/>
      <w:bookmarkStart w:id="127" w:name="_Toc58915738"/>
      <w:r>
        <w:rPr>
          <w:rFonts w:ascii="Times New Roman" w:hAnsi="Times New Roman"/>
          <w:sz w:val="24"/>
          <w:u w:val="none"/>
        </w:rPr>
        <w:t>3.1.1.</w:t>
      </w:r>
      <w:r w:rsidRPr="00E34C96">
        <w:rPr>
          <w:u w:val="none"/>
        </w:rPr>
        <w:tab/>
      </w:r>
      <w:r>
        <w:rPr>
          <w:rFonts w:ascii="Times New Roman" w:hAnsi="Times New Roman"/>
          <w:sz w:val="24"/>
        </w:rPr>
        <w:t>Segnalazione delle tecniche di attenuazione del rischio di credito con effetto di sostituzione</w:t>
      </w:r>
      <w:bookmarkEnd w:id="122"/>
      <w:bookmarkEnd w:id="123"/>
      <w:bookmarkEnd w:id="124"/>
      <w:bookmarkEnd w:id="125"/>
      <w:bookmarkEnd w:id="126"/>
      <w:bookmarkEnd w:id="127"/>
    </w:p>
    <w:p w:rsidR="00464F34" w:rsidRPr="00661595" w:rsidRDefault="00A971CA" w:rsidP="00BD1A14">
      <w:pPr>
        <w:pStyle w:val="InstructionsText2"/>
        <w:numPr>
          <w:ilvl w:val="0"/>
          <w:numId w:val="0"/>
        </w:numPr>
        <w:ind w:left="1800" w:hanging="480"/>
      </w:pPr>
      <w:r>
        <w:fldChar w:fldCharType="begin"/>
      </w:r>
      <w:r>
        <w:instrText xml:space="preserve"> seq paragraphs </w:instrText>
      </w:r>
      <w:r>
        <w:fldChar w:fldCharType="separate"/>
      </w:r>
      <w:r w:rsidR="00D11E4C">
        <w:rPr>
          <w:noProof/>
        </w:rPr>
        <w:t>40</w:t>
      </w:r>
      <w:r>
        <w:rPr>
          <w:noProof/>
        </w:rPr>
        <w:fldChar w:fldCharType="end"/>
      </w:r>
      <w:r w:rsidR="00D11E4C">
        <w:t>.</w:t>
      </w:r>
      <w:r w:rsidR="00D11E4C">
        <w:tab/>
        <w:t>Le esposizioni verso debitori (controparti dirette) e verso garanti assegnati alla stessa classe di esposizioni sono segnalate sia come afflusso che come deflusso relativamente alla stessa classe di esposizioni.</w:t>
      </w:r>
    </w:p>
    <w:p w:rsidR="00464F34" w:rsidRPr="00661595" w:rsidRDefault="00A971CA" w:rsidP="00BD1A14">
      <w:pPr>
        <w:pStyle w:val="InstructionsText2"/>
        <w:numPr>
          <w:ilvl w:val="0"/>
          <w:numId w:val="0"/>
        </w:numPr>
        <w:ind w:left="1800" w:hanging="480"/>
      </w:pPr>
      <w:r>
        <w:fldChar w:fldCharType="begin"/>
      </w:r>
      <w:r>
        <w:instrText xml:space="preserve"> seq paragraphs </w:instrText>
      </w:r>
      <w:r>
        <w:fldChar w:fldCharType="separate"/>
      </w:r>
      <w:r w:rsidR="00D11E4C">
        <w:rPr>
          <w:noProof/>
        </w:rPr>
        <w:t>41</w:t>
      </w:r>
      <w:r>
        <w:rPr>
          <w:noProof/>
        </w:rPr>
        <w:fldChar w:fldCharType="end"/>
      </w:r>
      <w:r w:rsidR="00D11E4C">
        <w:t>.</w:t>
      </w:r>
      <w:r w:rsidR="00D11E4C">
        <w:tab/>
        <w:t>Il tipo di esposizione non cambia per effetto della protezione del credito di tipo personale.</w:t>
      </w:r>
    </w:p>
    <w:p w:rsidR="00464F34" w:rsidRPr="00661595" w:rsidRDefault="00A971CA" w:rsidP="00BD1A14">
      <w:pPr>
        <w:pStyle w:val="InstructionsText2"/>
        <w:numPr>
          <w:ilvl w:val="0"/>
          <w:numId w:val="0"/>
        </w:numPr>
        <w:ind w:left="1800" w:hanging="480"/>
      </w:pPr>
      <w:r>
        <w:fldChar w:fldCharType="begin"/>
      </w:r>
      <w:r>
        <w:instrText xml:space="preserve"> seq paragraphs </w:instrText>
      </w:r>
      <w:r>
        <w:fldChar w:fldCharType="separate"/>
      </w:r>
      <w:r w:rsidR="00D11E4C">
        <w:rPr>
          <w:noProof/>
        </w:rPr>
        <w:t>42</w:t>
      </w:r>
      <w:r>
        <w:rPr>
          <w:noProof/>
        </w:rPr>
        <w:fldChar w:fldCharType="end"/>
      </w:r>
      <w:r w:rsidR="00D11E4C">
        <w:t>.</w:t>
      </w:r>
      <w:r w:rsidR="00D11E4C">
        <w:tab/>
        <w:t>Se un</w:t>
      </w:r>
      <w:r w:rsidR="000878EC">
        <w:t>'</w:t>
      </w:r>
      <w:r w:rsidR="00D11E4C">
        <w:t>esposizione è garantita da una protezione del credito di tipo personale, la parte garantita è assegnata, ad esempio, come deflusso nella classe di esposizioni del debitore e come afflusso nella classe di esposizioni del garante. Tuttavia, il tipo di esposizione non cambia al variare della classe di esposizioni.</w:t>
      </w:r>
    </w:p>
    <w:p w:rsidR="00464F34" w:rsidRPr="00661595" w:rsidRDefault="00A971CA" w:rsidP="00BD1A14">
      <w:pPr>
        <w:pStyle w:val="InstructionsText2"/>
        <w:numPr>
          <w:ilvl w:val="0"/>
          <w:numId w:val="0"/>
        </w:numPr>
        <w:ind w:left="1800" w:hanging="480"/>
      </w:pPr>
      <w:r>
        <w:fldChar w:fldCharType="begin"/>
      </w:r>
      <w:r>
        <w:instrText xml:space="preserve"> seq paragraphs </w:instrText>
      </w:r>
      <w:r>
        <w:fldChar w:fldCharType="separate"/>
      </w:r>
      <w:r w:rsidR="00D11E4C">
        <w:rPr>
          <w:noProof/>
        </w:rPr>
        <w:t>43</w:t>
      </w:r>
      <w:r>
        <w:rPr>
          <w:noProof/>
        </w:rPr>
        <w:fldChar w:fldCharType="end"/>
      </w:r>
      <w:r w:rsidR="00D11E4C">
        <w:t>.</w:t>
      </w:r>
      <w:r w:rsidR="00D11E4C">
        <w:tab/>
        <w:t>L</w:t>
      </w:r>
      <w:r w:rsidR="000878EC">
        <w:t>'</w:t>
      </w:r>
      <w:r w:rsidR="00D11E4C">
        <w:t>effetto di sostituzione nel quadro di segnalazione COREP tiene conto del trattamento della ponderazione del rischio effettivamente applicabile alla parte garantita dell</w:t>
      </w:r>
      <w:r w:rsidR="000878EC">
        <w:t>'</w:t>
      </w:r>
      <w:r w:rsidR="00D11E4C">
        <w:t>esposizione. Pertanto, la parte garantita dell</w:t>
      </w:r>
      <w:r w:rsidR="000878EC">
        <w:t>'</w:t>
      </w:r>
      <w:r w:rsidR="00D11E4C">
        <w:t xml:space="preserve">esposizione è ponderata per il rischio secondo il metodo standardizzato ed è segnalata nel modello CR SA.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28" w:name="_Toc262568024"/>
      <w:bookmarkStart w:id="129" w:name="_Toc295829850"/>
      <w:bookmarkStart w:id="130" w:name="_Toc310415016"/>
      <w:bookmarkStart w:id="131" w:name="_Toc360188347"/>
      <w:bookmarkStart w:id="132" w:name="_Toc473560896"/>
      <w:bookmarkStart w:id="133" w:name="_Toc58915739"/>
      <w:r>
        <w:rPr>
          <w:rFonts w:ascii="Times New Roman" w:hAnsi="Times New Roman"/>
          <w:sz w:val="24"/>
          <w:u w:val="none"/>
        </w:rPr>
        <w:t>3.1.2.</w:t>
      </w:r>
      <w:r w:rsidRPr="00AD121C">
        <w:rPr>
          <w:u w:val="none"/>
        </w:rPr>
        <w:tab/>
      </w:r>
      <w:r>
        <w:rPr>
          <w:rFonts w:ascii="Times New Roman" w:hAnsi="Times New Roman"/>
          <w:sz w:val="24"/>
        </w:rPr>
        <w:t>Segnalazione del rischio di controparte</w:t>
      </w:r>
      <w:bookmarkEnd w:id="128"/>
      <w:bookmarkEnd w:id="129"/>
      <w:bookmarkEnd w:id="130"/>
      <w:bookmarkEnd w:id="131"/>
      <w:bookmarkEnd w:id="132"/>
      <w:bookmarkEnd w:id="133"/>
    </w:p>
    <w:p w:rsidR="00464F34" w:rsidRPr="00661595" w:rsidRDefault="00A971CA" w:rsidP="00BD1A14">
      <w:pPr>
        <w:pStyle w:val="InstructionsText2"/>
        <w:numPr>
          <w:ilvl w:val="0"/>
          <w:numId w:val="0"/>
        </w:numPr>
        <w:ind w:left="1800" w:hanging="480"/>
      </w:pPr>
      <w:r>
        <w:fldChar w:fldCharType="begin"/>
      </w:r>
      <w:r>
        <w:instrText xml:space="preserve"> seq paragraphs </w:instrText>
      </w:r>
      <w:r>
        <w:fldChar w:fldCharType="separate"/>
      </w:r>
      <w:r w:rsidR="00D11E4C">
        <w:rPr>
          <w:noProof/>
        </w:rPr>
        <w:t>44</w:t>
      </w:r>
      <w:r>
        <w:rPr>
          <w:noProof/>
        </w:rPr>
        <w:fldChar w:fldCharType="end"/>
      </w:r>
      <w:r w:rsidR="00D11E4C">
        <w:t>.</w:t>
      </w:r>
      <w:r w:rsidR="00D11E4C">
        <w:tab/>
        <w:t xml:space="preserve">Le esposizioni che derivano dalle posizioni su rischio di controparte sono segnalate nei modelli CR SA o CR IRB, indipendentemente dal fatto che siano elementi del portafoglio bancario o del portafoglio di negoziazione.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34" w:name="_Toc295829851"/>
      <w:bookmarkStart w:id="135" w:name="_Toc310415017"/>
      <w:bookmarkStart w:id="136" w:name="_Toc360188348"/>
      <w:bookmarkStart w:id="137" w:name="_Toc473560897"/>
      <w:bookmarkStart w:id="138" w:name="_Toc58915740"/>
      <w:r>
        <w:rPr>
          <w:rFonts w:ascii="Times New Roman" w:hAnsi="Times New Roman"/>
          <w:sz w:val="24"/>
          <w:u w:val="none"/>
        </w:rPr>
        <w:t>3.2.</w:t>
      </w:r>
      <w:r w:rsidRPr="00D93C68">
        <w:rPr>
          <w:u w:val="none"/>
        </w:rPr>
        <w:tab/>
      </w:r>
      <w:r>
        <w:rPr>
          <w:rFonts w:ascii="Times New Roman" w:hAnsi="Times New Roman"/>
          <w:sz w:val="24"/>
        </w:rPr>
        <w:t xml:space="preserve">C 07.00 — Rischio di credito e rischio di controparte e operazioni con regolamento non contestuale: </w:t>
      </w:r>
      <w:bookmarkStart w:id="139" w:name="_Toc292456202"/>
      <w:r>
        <w:rPr>
          <w:rFonts w:ascii="Times New Roman" w:hAnsi="Times New Roman"/>
          <w:sz w:val="24"/>
        </w:rPr>
        <w:t>metodo standardizzato applicato ai requisiti patrimoniali</w:t>
      </w:r>
      <w:bookmarkEnd w:id="134"/>
      <w:bookmarkEnd w:id="135"/>
      <w:bookmarkEnd w:id="136"/>
      <w:bookmarkEnd w:id="139"/>
      <w:r>
        <w:t xml:space="preserve"> </w:t>
      </w:r>
      <w:r>
        <w:rPr>
          <w:rFonts w:ascii="Times New Roman" w:hAnsi="Times New Roman"/>
          <w:sz w:val="24"/>
        </w:rPr>
        <w:t>(CR SA)</w:t>
      </w:r>
      <w:bookmarkEnd w:id="137"/>
      <w:bookmarkEnd w:id="138"/>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40" w:name="_Toc262568026"/>
      <w:bookmarkStart w:id="141" w:name="_Toc264038424"/>
      <w:bookmarkStart w:id="142" w:name="_Toc292456203"/>
      <w:bookmarkStart w:id="143" w:name="_Toc295829852"/>
      <w:bookmarkStart w:id="144" w:name="_Toc310415018"/>
      <w:bookmarkStart w:id="145" w:name="_Toc360188349"/>
      <w:bookmarkStart w:id="146" w:name="_Toc473560898"/>
      <w:bookmarkStart w:id="147" w:name="_Toc58915741"/>
      <w:r>
        <w:rPr>
          <w:rFonts w:ascii="Times New Roman" w:hAnsi="Times New Roman"/>
          <w:sz w:val="24"/>
          <w:u w:val="none"/>
        </w:rPr>
        <w:t>3.2.1.</w:t>
      </w:r>
      <w:r w:rsidRPr="00D93C68">
        <w:rPr>
          <w:u w:val="none"/>
        </w:rPr>
        <w:tab/>
      </w:r>
      <w:r>
        <w:rPr>
          <w:rFonts w:ascii="Times New Roman" w:hAnsi="Times New Roman"/>
          <w:sz w:val="24"/>
        </w:rPr>
        <w:t>Osservazioni di carattere generale</w:t>
      </w:r>
      <w:bookmarkEnd w:id="140"/>
      <w:bookmarkEnd w:id="141"/>
      <w:bookmarkEnd w:id="142"/>
      <w:bookmarkEnd w:id="143"/>
      <w:bookmarkEnd w:id="144"/>
      <w:bookmarkEnd w:id="145"/>
      <w:bookmarkEnd w:id="146"/>
      <w:bookmarkEnd w:id="147"/>
    </w:p>
    <w:p w:rsidR="00464F34" w:rsidRPr="00661595" w:rsidRDefault="00A971CA" w:rsidP="00850603">
      <w:pPr>
        <w:pStyle w:val="InstructionsText2"/>
        <w:numPr>
          <w:ilvl w:val="0"/>
          <w:numId w:val="0"/>
        </w:numPr>
        <w:ind w:left="1800" w:hanging="480"/>
      </w:pPr>
      <w:r>
        <w:fldChar w:fldCharType="begin"/>
      </w:r>
      <w:r>
        <w:instrText xml:space="preserve"> seq paragraphs </w:instrText>
      </w:r>
      <w:r>
        <w:fldChar w:fldCharType="separate"/>
      </w:r>
      <w:r w:rsidR="00D11E4C">
        <w:rPr>
          <w:noProof/>
        </w:rPr>
        <w:t>45</w:t>
      </w:r>
      <w:r>
        <w:rPr>
          <w:noProof/>
        </w:rPr>
        <w:fldChar w:fldCharType="end"/>
      </w:r>
      <w:r w:rsidR="00D11E4C">
        <w:t>.</w:t>
      </w:r>
      <w:r w:rsidR="00D11E4C">
        <w:tab/>
        <w:t>I modelli CR SA contengono le informazioni necessarie per calcolare i requisiti di fondi propri relativi al rischio di credito secondo il metodo standardizzato. In particolare, forniscono informazioni dettagliate:</w:t>
      </w:r>
    </w:p>
    <w:p w:rsidR="00464F34" w:rsidRPr="00661595" w:rsidRDefault="00125707" w:rsidP="00850603">
      <w:pPr>
        <w:pStyle w:val="InstructionsText2"/>
        <w:numPr>
          <w:ilvl w:val="0"/>
          <w:numId w:val="0"/>
        </w:numPr>
        <w:ind w:left="1800" w:hanging="480"/>
      </w:pPr>
      <w:r>
        <w:t>a)</w:t>
      </w:r>
      <w:r>
        <w:tab/>
        <w:t>sulla distribuzione dei valori dell</w:t>
      </w:r>
      <w:r w:rsidR="000878EC">
        <w:t>'</w:t>
      </w:r>
      <w:r>
        <w:t>esposizione in base ai differenti tipi di esposizioni, ai fattori di ponderazione del rischio e alle classi di esposizioni;</w:t>
      </w:r>
    </w:p>
    <w:p w:rsidR="00464F34" w:rsidRPr="00661595" w:rsidRDefault="00125707" w:rsidP="00850603">
      <w:pPr>
        <w:pStyle w:val="InstructionsText2"/>
        <w:numPr>
          <w:ilvl w:val="0"/>
          <w:numId w:val="0"/>
        </w:numPr>
        <w:ind w:left="1800" w:hanging="480"/>
      </w:pPr>
      <w:r>
        <w:t>b)</w:t>
      </w:r>
      <w:r>
        <w:tab/>
        <w:t>sull</w:t>
      </w:r>
      <w:r w:rsidR="000878EC">
        <w:t>'</w:t>
      </w:r>
      <w:r>
        <w:t xml:space="preserve">importo e il tipo di tecniche di attenuazione del rischio utilizzate per ridurre i rischi.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48" w:name="_Toc262568027"/>
      <w:bookmarkStart w:id="149" w:name="_Toc264038425"/>
      <w:bookmarkStart w:id="150" w:name="_Toc292456204"/>
      <w:bookmarkStart w:id="151" w:name="_Toc295829853"/>
      <w:bookmarkStart w:id="152" w:name="_Toc310415019"/>
      <w:bookmarkStart w:id="153" w:name="_Toc360188350"/>
      <w:bookmarkStart w:id="154" w:name="_Toc473560899"/>
      <w:bookmarkStart w:id="155" w:name="_Toc58915742"/>
      <w:r>
        <w:rPr>
          <w:rFonts w:ascii="Times New Roman" w:hAnsi="Times New Roman"/>
          <w:sz w:val="24"/>
          <w:u w:val="none"/>
        </w:rPr>
        <w:t>3.2.2.</w:t>
      </w:r>
      <w:r w:rsidRPr="00D93C68">
        <w:rPr>
          <w:u w:val="none"/>
        </w:rPr>
        <w:tab/>
      </w:r>
      <w:r>
        <w:rPr>
          <w:rFonts w:ascii="Times New Roman" w:hAnsi="Times New Roman"/>
          <w:sz w:val="24"/>
        </w:rPr>
        <w:t>Ambito di applicazione del modello CR SA</w:t>
      </w:r>
      <w:bookmarkEnd w:id="148"/>
      <w:bookmarkEnd w:id="149"/>
      <w:bookmarkEnd w:id="150"/>
      <w:bookmarkEnd w:id="151"/>
      <w:bookmarkEnd w:id="152"/>
      <w:bookmarkEnd w:id="153"/>
      <w:bookmarkEnd w:id="154"/>
      <w:bookmarkEnd w:id="155"/>
    </w:p>
    <w:p w:rsidR="00464F34" w:rsidRPr="00661595" w:rsidRDefault="00A971CA" w:rsidP="00850603">
      <w:pPr>
        <w:pStyle w:val="InstructionsText2"/>
        <w:numPr>
          <w:ilvl w:val="0"/>
          <w:numId w:val="0"/>
        </w:numPr>
        <w:ind w:left="1800" w:hanging="480"/>
      </w:pPr>
      <w:r>
        <w:fldChar w:fldCharType="begin"/>
      </w:r>
      <w:r>
        <w:instrText xml:space="preserve"> seq paragraphs </w:instrText>
      </w:r>
      <w:r>
        <w:fldChar w:fldCharType="separate"/>
      </w:r>
      <w:r w:rsidR="00D11E4C">
        <w:rPr>
          <w:noProof/>
        </w:rPr>
        <w:t>46</w:t>
      </w:r>
      <w:r>
        <w:rPr>
          <w:noProof/>
        </w:rPr>
        <w:fldChar w:fldCharType="end"/>
      </w:r>
      <w:r w:rsidR="00D11E4C">
        <w:t>.</w:t>
      </w:r>
      <w:r w:rsidR="00D11E4C">
        <w:tab/>
        <w:t>Ai sensi dell</w:t>
      </w:r>
      <w:r w:rsidR="000878EC">
        <w:t>'</w:t>
      </w:r>
      <w:r w:rsidR="00D11E4C">
        <w:t>articolo 112 del CRR, per calcolare i requisiti di fondi propri ciascuna esposizione cui è applicato il metodo standardizzato è assegnata a una delle sedici classi di esposizioni cui è applicato il metodo standardizzato.</w:t>
      </w:r>
    </w:p>
    <w:p w:rsidR="00464F34" w:rsidRPr="00661595" w:rsidRDefault="00A971CA" w:rsidP="00850603">
      <w:pPr>
        <w:pStyle w:val="InstructionsText2"/>
        <w:numPr>
          <w:ilvl w:val="0"/>
          <w:numId w:val="0"/>
        </w:numPr>
        <w:ind w:left="1800" w:hanging="480"/>
      </w:pPr>
      <w:r>
        <w:fldChar w:fldCharType="begin"/>
      </w:r>
      <w:r>
        <w:instrText xml:space="preserve"> seq paragraphs </w:instrText>
      </w:r>
      <w:r>
        <w:fldChar w:fldCharType="separate"/>
      </w:r>
      <w:r w:rsidR="00D11E4C">
        <w:rPr>
          <w:noProof/>
        </w:rPr>
        <w:t>47</w:t>
      </w:r>
      <w:r>
        <w:rPr>
          <w:noProof/>
        </w:rPr>
        <w:fldChar w:fldCharType="end"/>
      </w:r>
      <w:r w:rsidR="00D11E4C">
        <w:t>.</w:t>
      </w:r>
      <w:r w:rsidR="00D11E4C">
        <w:tab/>
        <w:t xml:space="preserve">Le informazioni contenute nel modello CR SA sono richieste sia per le classi di esposizioni complessive sia singolarmente per ciascuna delle classi di esposizioni in applicazione del metodo standardizzato. Gli importi complessivi e le informazioni di ciascuna classe di esposizioni sono segnalati in una dimensione separata. </w:t>
      </w:r>
    </w:p>
    <w:p w:rsidR="00464F34" w:rsidRPr="00661595" w:rsidRDefault="00A971CA" w:rsidP="00850603">
      <w:pPr>
        <w:pStyle w:val="InstructionsText2"/>
        <w:numPr>
          <w:ilvl w:val="0"/>
          <w:numId w:val="0"/>
        </w:numPr>
        <w:ind w:left="1800" w:hanging="480"/>
      </w:pPr>
      <w:r>
        <w:fldChar w:fldCharType="begin"/>
      </w:r>
      <w:r>
        <w:instrText xml:space="preserve"> seq paragraphs </w:instrText>
      </w:r>
      <w:r>
        <w:fldChar w:fldCharType="separate"/>
      </w:r>
      <w:r w:rsidR="00D11E4C">
        <w:rPr>
          <w:noProof/>
        </w:rPr>
        <w:t>48</w:t>
      </w:r>
      <w:r>
        <w:rPr>
          <w:noProof/>
        </w:rPr>
        <w:fldChar w:fldCharType="end"/>
      </w:r>
      <w:r w:rsidR="00D11E4C">
        <w:t>.</w:t>
      </w:r>
      <w:r w:rsidR="00D11E4C">
        <w:tab/>
        <w:t>Non rientrano, tuttavia, nell</w:t>
      </w:r>
      <w:r w:rsidR="000878EC">
        <w:t>'</w:t>
      </w:r>
      <w:r w:rsidR="00D11E4C">
        <w:t>ambito di applicazione del modello CR SA i seguenti elementi:</w:t>
      </w:r>
    </w:p>
    <w:p w:rsidR="00464F34" w:rsidRPr="00661595" w:rsidRDefault="00125707" w:rsidP="00850603">
      <w:pPr>
        <w:pStyle w:val="InstructionsText2"/>
        <w:numPr>
          <w:ilvl w:val="0"/>
          <w:numId w:val="0"/>
        </w:numPr>
        <w:ind w:left="1800" w:hanging="480"/>
      </w:pPr>
      <w:r>
        <w:t>a)</w:t>
      </w:r>
      <w:r>
        <w:tab/>
        <w:t xml:space="preserve">le esposizioni assegnate alla classe di esposizioni </w:t>
      </w:r>
      <w:r w:rsidR="000878EC">
        <w:t>"</w:t>
      </w:r>
      <w:r>
        <w:t>elementi che rappresentano posizioni verso la cartolarizzazione</w:t>
      </w:r>
      <w:r w:rsidR="000878EC">
        <w:t>"</w:t>
      </w:r>
      <w:r>
        <w:t xml:space="preserve"> di cui all</w:t>
      </w:r>
      <w:r w:rsidR="000878EC">
        <w:t>'</w:t>
      </w:r>
      <w:r>
        <w:t>articolo 112, lettera m), del CRR,</w:t>
      </w:r>
      <w:r w:rsidR="00D93C68">
        <w:t xml:space="preserve"> che sono segnalate nei modelli CR </w:t>
      </w:r>
      <w:r>
        <w:t>SEC;</w:t>
      </w:r>
    </w:p>
    <w:p w:rsidR="00464F34" w:rsidRPr="00661595" w:rsidRDefault="00125707" w:rsidP="00850603">
      <w:pPr>
        <w:pStyle w:val="InstructionsText2"/>
        <w:numPr>
          <w:ilvl w:val="0"/>
          <w:numId w:val="0"/>
        </w:numPr>
        <w:ind w:left="1800" w:hanging="480"/>
      </w:pPr>
      <w:r>
        <w:t>b)</w:t>
      </w:r>
      <w:r>
        <w:tab/>
        <w:t>le esposizioni dedotte dai fondi propri.</w:t>
      </w:r>
    </w:p>
    <w:p w:rsidR="00464F34" w:rsidRPr="00661595" w:rsidRDefault="00A971CA" w:rsidP="00850603">
      <w:pPr>
        <w:pStyle w:val="InstructionsText2"/>
        <w:numPr>
          <w:ilvl w:val="0"/>
          <w:numId w:val="0"/>
        </w:numPr>
        <w:ind w:left="1800" w:hanging="480"/>
      </w:pPr>
      <w:r>
        <w:fldChar w:fldCharType="begin"/>
      </w:r>
      <w:r>
        <w:instrText xml:space="preserve"> seq paragraphs </w:instrText>
      </w:r>
      <w:r>
        <w:fldChar w:fldCharType="separate"/>
      </w:r>
      <w:r w:rsidR="00D11E4C">
        <w:rPr>
          <w:noProof/>
        </w:rPr>
        <w:t>49</w:t>
      </w:r>
      <w:r>
        <w:rPr>
          <w:noProof/>
        </w:rPr>
        <w:fldChar w:fldCharType="end"/>
      </w:r>
      <w:r w:rsidR="00D11E4C">
        <w:t>.</w:t>
      </w:r>
      <w:r w:rsidR="00D11E4C">
        <w:tab/>
        <w:t>L</w:t>
      </w:r>
      <w:r w:rsidR="000878EC">
        <w:t>'</w:t>
      </w:r>
      <w:r w:rsidR="00D11E4C">
        <w:t>ambito di applicazione del modello CR SA comprende i seguenti requisiti di fondi propri:</w:t>
      </w:r>
    </w:p>
    <w:p w:rsidR="00464F34" w:rsidRPr="00661595" w:rsidRDefault="00125707" w:rsidP="00850603">
      <w:pPr>
        <w:pStyle w:val="InstructionsText2"/>
        <w:numPr>
          <w:ilvl w:val="0"/>
          <w:numId w:val="0"/>
        </w:numPr>
        <w:ind w:left="1800" w:hanging="480"/>
      </w:pPr>
      <w:r>
        <w:t>a)</w:t>
      </w:r>
      <w:r>
        <w:tab/>
        <w:t>il rischio di credito, conformemente alla parte tre, titolo II, capo 2 (Metodo standardizzato), del CRR, nel portafoglio bancario; è incluso, tra l</w:t>
      </w:r>
      <w:r w:rsidR="000878EC">
        <w:t>'</w:t>
      </w:r>
      <w:r>
        <w:t>altro, il rischio di controparte, conformemente alla parte tre, titolo II, capi 4 e 6 (Rischio di controparte), del CRR, nel portafoglio bancario;</w:t>
      </w:r>
    </w:p>
    <w:p w:rsidR="00464F34" w:rsidRPr="00661595" w:rsidRDefault="00125707" w:rsidP="00850603">
      <w:pPr>
        <w:pStyle w:val="InstructionsText2"/>
        <w:numPr>
          <w:ilvl w:val="0"/>
          <w:numId w:val="0"/>
        </w:numPr>
        <w:ind w:left="1800" w:hanging="480"/>
      </w:pPr>
      <w:r>
        <w:t>b)</w:t>
      </w:r>
      <w:r>
        <w:tab/>
        <w:t>il rischio di controparte, conformemente alla parte tre, titolo II, capi 4 e 6 (Rischio di controparte), del CRR, nel portafoglio di negoziazione;</w:t>
      </w:r>
    </w:p>
    <w:p w:rsidR="00464F34" w:rsidRPr="00661595" w:rsidRDefault="00125707" w:rsidP="00850603">
      <w:pPr>
        <w:pStyle w:val="InstructionsText2"/>
        <w:numPr>
          <w:ilvl w:val="0"/>
          <w:numId w:val="0"/>
        </w:numPr>
        <w:ind w:left="1800" w:hanging="480"/>
      </w:pPr>
      <w:r>
        <w:t>c)</w:t>
      </w:r>
      <w:r>
        <w:tab/>
        <w:t>il rischio di regolamento correlato alle operazioni con regolamento non contestuale, conformemente all</w:t>
      </w:r>
      <w:r w:rsidR="000878EC">
        <w:t>'</w:t>
      </w:r>
      <w:r>
        <w:t>articolo 379 del CRR, per tutte le attività aziendali.</w:t>
      </w:r>
    </w:p>
    <w:p w:rsidR="00464F34" w:rsidRPr="00661595" w:rsidRDefault="00A971CA" w:rsidP="00850603">
      <w:pPr>
        <w:pStyle w:val="InstructionsText2"/>
        <w:numPr>
          <w:ilvl w:val="0"/>
          <w:numId w:val="0"/>
        </w:numPr>
        <w:ind w:left="1800" w:hanging="480"/>
      </w:pPr>
      <w:r>
        <w:fldChar w:fldCharType="begin"/>
      </w:r>
      <w:r>
        <w:instrText xml:space="preserve"> seq paragraphs </w:instrText>
      </w:r>
      <w:r>
        <w:fldChar w:fldCharType="separate"/>
      </w:r>
      <w:r w:rsidR="00D11E4C">
        <w:rPr>
          <w:noProof/>
        </w:rPr>
        <w:t>50</w:t>
      </w:r>
      <w:r>
        <w:rPr>
          <w:noProof/>
        </w:rPr>
        <w:fldChar w:fldCharType="end"/>
      </w:r>
      <w:r w:rsidR="00D11E4C">
        <w:t>.</w:t>
      </w:r>
      <w:r w:rsidR="00D11E4C">
        <w:tab/>
        <w:t>Il modello comprende tutte le esposizioni per le quali i requisiti di fondi propri sono calcolati conformemente alla parte tre, titolo II, capo 2, del CRR, in combinato disposto con la parte tre, titolo II, capi 4 e 6, del CRR. Anche gli enti che applicano l</w:t>
      </w:r>
      <w:r w:rsidR="000878EC">
        <w:t>'</w:t>
      </w:r>
      <w:r w:rsidR="00D11E4C">
        <w:t>articolo 94, paragrafo 1, del CRR devono segnalare in questo modello le proprie posizioni assegnate al portafoglio di negoziazione di cui all</w:t>
      </w:r>
      <w:r w:rsidR="000878EC">
        <w:t>'</w:t>
      </w:r>
      <w:r w:rsidR="00D11E4C">
        <w:t>articolo 92, paragrafo 3, lettera b), se calcolano i relativi requisiti di fondi propri conformemente alla parte tre, titolo II, capo 2, del CRR (parte tre, titolo II, capi 2 e 6, e titolo V del CRR). Il modello fornisce, quindi, non solo informazioni dettagliate sul tipo di esposizione (ad esempio elementi in/fuori bilancio), ma anche informazioni sull</w:t>
      </w:r>
      <w:r w:rsidR="000878EC">
        <w:t>'</w:t>
      </w:r>
      <w:r w:rsidR="00D11E4C">
        <w:t>assegnazione dei fattori di ponderazione del rischio nell</w:t>
      </w:r>
      <w:r w:rsidR="000878EC">
        <w:t>'</w:t>
      </w:r>
      <w:r w:rsidR="00D11E4C">
        <w:t>ambito della rispettiva classe di esposizioni.</w:t>
      </w:r>
    </w:p>
    <w:bookmarkStart w:id="156" w:name="_Toc264033212"/>
    <w:bookmarkStart w:id="157" w:name="_Toc294166813"/>
    <w:bookmarkStart w:id="158" w:name="_Toc294256386"/>
    <w:bookmarkStart w:id="159" w:name="_Toc294256487"/>
    <w:bookmarkStart w:id="160" w:name="_Toc294267371"/>
    <w:bookmarkStart w:id="161" w:name="_Toc294267476"/>
    <w:bookmarkStart w:id="162" w:name="_Toc294267607"/>
    <w:bookmarkStart w:id="163" w:name="_Toc294267709"/>
    <w:bookmarkStart w:id="164" w:name="_Toc294274817"/>
    <w:bookmarkStart w:id="165" w:name="_Toc294280261"/>
    <w:bookmarkStart w:id="166" w:name="_Toc294281586"/>
    <w:bookmarkStart w:id="167" w:name="_Toc294281806"/>
    <w:bookmarkStart w:id="168" w:name="_Toc294282020"/>
    <w:bookmarkStart w:id="169" w:name="_Toc294282223"/>
    <w:bookmarkStart w:id="170" w:name="_Toc294714158"/>
    <w:bookmarkStart w:id="171" w:name="_Toc295314184"/>
    <w:bookmarkStart w:id="172" w:name="_Toc295829573"/>
    <w:bookmarkStart w:id="173" w:name="_Toc295829856"/>
    <w:bookmarkStart w:id="174" w:name="_Toc301772744"/>
    <w:bookmarkStart w:id="175" w:name="_Toc301772822"/>
    <w:bookmarkStart w:id="176" w:name="_Toc302657761"/>
    <w:bookmarkStart w:id="177" w:name="_Toc302657880"/>
    <w:bookmarkStart w:id="178" w:name="_Toc307582992"/>
    <w:bookmarkStart w:id="179" w:name="_Toc307583014"/>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rsidR="00464F34" w:rsidRPr="00661595" w:rsidRDefault="0056002D" w:rsidP="004238B4">
      <w:pPr>
        <w:pStyle w:val="InstructionsText2"/>
        <w:numPr>
          <w:ilvl w:val="0"/>
          <w:numId w:val="0"/>
        </w:numPr>
        <w:ind w:left="1800" w:hanging="480"/>
      </w:pPr>
      <w:r>
        <w:fldChar w:fldCharType="begin"/>
      </w:r>
      <w:r>
        <w:instrText xml:space="preserve"> seq paragraphs </w:instrText>
      </w:r>
      <w:r>
        <w:fldChar w:fldCharType="separate"/>
      </w:r>
      <w:r>
        <w:t>51</w:t>
      </w:r>
      <w:r>
        <w:fldChar w:fldCharType="end"/>
      </w:r>
      <w:r>
        <w:t>.</w:t>
      </w:r>
      <w:r>
        <w:tab/>
        <w:t xml:space="preserve">Il modello CR SA contiene altresì voci per memoria, nelle righe da 0290 a 0320, per raccogliere ulteriori informazioni relativamente alle esposizioni garantite da ipoteche su beni immobili e alle esposizioni in stato di default. </w:t>
      </w:r>
    </w:p>
    <w:p w:rsidR="00464F34" w:rsidRPr="00661595" w:rsidRDefault="00A971CA" w:rsidP="004238B4">
      <w:pPr>
        <w:pStyle w:val="InstructionsText2"/>
        <w:numPr>
          <w:ilvl w:val="0"/>
          <w:numId w:val="0"/>
        </w:numPr>
        <w:ind w:left="1800" w:hanging="480"/>
      </w:pPr>
      <w:r>
        <w:fldChar w:fldCharType="begin"/>
      </w:r>
      <w:r>
        <w:instrText xml:space="preserve"> seq paragraphs </w:instrText>
      </w:r>
      <w:r>
        <w:fldChar w:fldCharType="separate"/>
      </w:r>
      <w:r w:rsidR="00D11E4C">
        <w:rPr>
          <w:noProof/>
        </w:rPr>
        <w:t>52</w:t>
      </w:r>
      <w:r>
        <w:rPr>
          <w:noProof/>
        </w:rPr>
        <w:fldChar w:fldCharType="end"/>
      </w:r>
      <w:r w:rsidR="00D11E4C">
        <w:t>.</w:t>
      </w:r>
      <w:r w:rsidR="00D11E4C">
        <w:tab/>
        <w:t xml:space="preserve">Tali voci per memoria sono compilate solamente per le seguenti classi di esposizioni: </w:t>
      </w:r>
    </w:p>
    <w:p w:rsidR="00464F34" w:rsidRPr="00661595" w:rsidRDefault="00125707" w:rsidP="004238B4">
      <w:pPr>
        <w:pStyle w:val="InstructionsText2"/>
        <w:numPr>
          <w:ilvl w:val="0"/>
          <w:numId w:val="0"/>
        </w:numPr>
        <w:ind w:left="1800" w:hanging="480"/>
      </w:pPr>
      <w:r>
        <w:t>a)</w:t>
      </w:r>
      <w:r>
        <w:tab/>
        <w:t>verso amministrazioni centrali o banche centrali (articolo 112, lettera a), del CRR);</w:t>
      </w:r>
    </w:p>
    <w:p w:rsidR="00464F34" w:rsidRPr="00661595" w:rsidRDefault="00125707" w:rsidP="004238B4">
      <w:pPr>
        <w:pStyle w:val="InstructionsText2"/>
        <w:numPr>
          <w:ilvl w:val="0"/>
          <w:numId w:val="0"/>
        </w:numPr>
        <w:ind w:left="1800" w:hanging="480"/>
      </w:pPr>
      <w:r>
        <w:t>b)</w:t>
      </w:r>
      <w:r>
        <w:tab/>
        <w:t>verso amministrazioni regionali o autorità locali (articolo 112, lettera b), del CRR);</w:t>
      </w:r>
    </w:p>
    <w:p w:rsidR="00464F34" w:rsidRPr="00661595" w:rsidRDefault="00125707" w:rsidP="004238B4">
      <w:pPr>
        <w:pStyle w:val="InstructionsText2"/>
        <w:numPr>
          <w:ilvl w:val="0"/>
          <w:numId w:val="0"/>
        </w:numPr>
        <w:ind w:left="1800" w:hanging="480"/>
      </w:pPr>
      <w:r>
        <w:t>c)</w:t>
      </w:r>
      <w:r>
        <w:tab/>
        <w:t>verso organismi del settore pubblico (articolo 112, lettera c), del CRR);</w:t>
      </w:r>
    </w:p>
    <w:p w:rsidR="00464F34" w:rsidRPr="00661595" w:rsidRDefault="00125707" w:rsidP="004238B4">
      <w:pPr>
        <w:pStyle w:val="InstructionsText2"/>
        <w:numPr>
          <w:ilvl w:val="0"/>
          <w:numId w:val="0"/>
        </w:numPr>
        <w:ind w:left="1800" w:hanging="480"/>
      </w:pPr>
      <w:r>
        <w:t>d)</w:t>
      </w:r>
      <w:r>
        <w:tab/>
        <w:t>verso enti (articolo 112, lettera f), del CRR);</w:t>
      </w:r>
    </w:p>
    <w:p w:rsidR="00464F34" w:rsidRPr="00661595" w:rsidRDefault="00125707" w:rsidP="004238B4">
      <w:pPr>
        <w:pStyle w:val="InstructionsText2"/>
        <w:numPr>
          <w:ilvl w:val="0"/>
          <w:numId w:val="0"/>
        </w:numPr>
        <w:ind w:left="1800" w:hanging="480"/>
      </w:pPr>
      <w:r>
        <w:t>e)</w:t>
      </w:r>
      <w:r>
        <w:tab/>
        <w:t>verso imprese (articolo 112, lettera g), del CRR);</w:t>
      </w:r>
    </w:p>
    <w:p w:rsidR="00464F34" w:rsidRPr="00661595" w:rsidRDefault="00125707" w:rsidP="004238B4">
      <w:pPr>
        <w:pStyle w:val="InstructionsText2"/>
        <w:numPr>
          <w:ilvl w:val="0"/>
          <w:numId w:val="0"/>
        </w:numPr>
        <w:ind w:left="1800" w:hanging="480"/>
      </w:pPr>
      <w:r>
        <w:t>f)</w:t>
      </w:r>
      <w:r>
        <w:tab/>
        <w:t>al dettaglio (articolo 112, lettera h), del CRR).</w:t>
      </w:r>
    </w:p>
    <w:p w:rsidR="00464F34" w:rsidRPr="00661595" w:rsidRDefault="00A971CA" w:rsidP="004238B4">
      <w:pPr>
        <w:pStyle w:val="InstructionsText2"/>
        <w:numPr>
          <w:ilvl w:val="0"/>
          <w:numId w:val="0"/>
        </w:numPr>
        <w:ind w:left="1800" w:hanging="480"/>
      </w:pPr>
      <w:r>
        <w:fldChar w:fldCharType="begin"/>
      </w:r>
      <w:r>
        <w:instrText xml:space="preserve"> seq paragraphs </w:instrText>
      </w:r>
      <w:r>
        <w:fldChar w:fldCharType="separate"/>
      </w:r>
      <w:r w:rsidR="00D11E4C">
        <w:rPr>
          <w:noProof/>
        </w:rPr>
        <w:t>53</w:t>
      </w:r>
      <w:r>
        <w:rPr>
          <w:noProof/>
        </w:rPr>
        <w:fldChar w:fldCharType="end"/>
      </w:r>
      <w:r w:rsidR="00D11E4C">
        <w:t>.</w:t>
      </w:r>
      <w:r w:rsidR="00D11E4C">
        <w:tab/>
        <w:t>La segnalazione delle voci per memoria non ha effetti sul calcolo degli importi delle esposizioni ponderati per il rischio delle classi di esposizioni di cui all</w:t>
      </w:r>
      <w:r w:rsidR="000878EC">
        <w:t>'</w:t>
      </w:r>
      <w:r w:rsidR="00D11E4C">
        <w:t>articolo 112, lettere da a) a c) e da f) ad h), del CRR, né delle classi di esposizioni di cui all</w:t>
      </w:r>
      <w:r w:rsidR="000878EC">
        <w:t>'</w:t>
      </w:r>
      <w:r w:rsidR="00D11E4C">
        <w:t xml:space="preserve">articolo 112, lettere i) e j), del CRR segnalate nel modello CR SA. </w:t>
      </w:r>
    </w:p>
    <w:p w:rsidR="00464F34" w:rsidRPr="00661595" w:rsidRDefault="00A971CA" w:rsidP="004238B4">
      <w:pPr>
        <w:pStyle w:val="InstructionsText2"/>
        <w:numPr>
          <w:ilvl w:val="0"/>
          <w:numId w:val="0"/>
        </w:numPr>
        <w:ind w:left="1800" w:hanging="480"/>
      </w:pPr>
      <w:r>
        <w:fldChar w:fldCharType="begin"/>
      </w:r>
      <w:r>
        <w:instrText xml:space="preserve"> seq paragraphs </w:instrText>
      </w:r>
      <w:r>
        <w:fldChar w:fldCharType="separate"/>
      </w:r>
      <w:r w:rsidR="00D11E4C">
        <w:rPr>
          <w:noProof/>
        </w:rPr>
        <w:t>54</w:t>
      </w:r>
      <w:r>
        <w:rPr>
          <w:noProof/>
        </w:rPr>
        <w:fldChar w:fldCharType="end"/>
      </w:r>
      <w:r w:rsidR="00D11E4C">
        <w:t>.</w:t>
      </w:r>
      <w:r w:rsidR="00D11E4C">
        <w:tab/>
        <w:t xml:space="preserve">Le righe per memoria forniscono ulteriori informazioni sulla struttura del debitore delle classi di esposizioni </w:t>
      </w:r>
      <w:r w:rsidR="000878EC">
        <w:t>"</w:t>
      </w:r>
      <w:r w:rsidR="00D11E4C">
        <w:t>in stato di default</w:t>
      </w:r>
      <w:r w:rsidR="000878EC">
        <w:t>"</w:t>
      </w:r>
      <w:r w:rsidR="00D11E4C">
        <w:t xml:space="preserve"> o </w:t>
      </w:r>
      <w:r w:rsidR="000878EC">
        <w:t>"</w:t>
      </w:r>
      <w:r w:rsidR="00D11E4C">
        <w:t>garantite da beni immobili</w:t>
      </w:r>
      <w:r w:rsidR="000878EC">
        <w:t>"</w:t>
      </w:r>
      <w:r w:rsidR="00D11E4C">
        <w:t xml:space="preserve">. Le esposizioni sono segnalate in queste righe laddove i debitori sarebbero altrimenti stati segnalati nelle classi di esposizioni verso </w:t>
      </w:r>
      <w:r w:rsidR="000878EC">
        <w:t>"</w:t>
      </w:r>
      <w:r w:rsidR="00D11E4C">
        <w:t>amministrazioni centrali o banche centrali</w:t>
      </w:r>
      <w:r w:rsidR="000878EC">
        <w:t>"</w:t>
      </w:r>
      <w:r w:rsidR="00D11E4C">
        <w:t xml:space="preserve">, </w:t>
      </w:r>
      <w:r w:rsidR="000878EC">
        <w:t>"</w:t>
      </w:r>
      <w:r w:rsidR="00D11E4C">
        <w:t>amministrazioni regionali o autorità locali</w:t>
      </w:r>
      <w:r w:rsidR="000878EC">
        <w:t>"</w:t>
      </w:r>
      <w:r w:rsidR="00D11E4C">
        <w:t xml:space="preserve">, </w:t>
      </w:r>
      <w:r w:rsidR="000878EC">
        <w:t>"</w:t>
      </w:r>
      <w:r w:rsidR="00D11E4C">
        <w:t>organismi del settore pubblico</w:t>
      </w:r>
      <w:r w:rsidR="000878EC">
        <w:t>"</w:t>
      </w:r>
      <w:r w:rsidR="00D11E4C">
        <w:t xml:space="preserve">, </w:t>
      </w:r>
      <w:r w:rsidR="000878EC">
        <w:t>"</w:t>
      </w:r>
      <w:r w:rsidR="00D11E4C">
        <w:t>enti</w:t>
      </w:r>
      <w:r w:rsidR="000878EC">
        <w:t>"</w:t>
      </w:r>
      <w:r w:rsidR="00D11E4C">
        <w:t xml:space="preserve">, </w:t>
      </w:r>
      <w:r w:rsidR="000878EC">
        <w:t>"</w:t>
      </w:r>
      <w:r w:rsidR="00D11E4C">
        <w:t>imprese</w:t>
      </w:r>
      <w:r w:rsidR="000878EC">
        <w:t>"</w:t>
      </w:r>
      <w:r w:rsidR="00D11E4C">
        <w:t xml:space="preserve"> e </w:t>
      </w:r>
      <w:r w:rsidR="000878EC">
        <w:t>"</w:t>
      </w:r>
      <w:r w:rsidR="00D11E4C">
        <w:t>al dettaglio</w:t>
      </w:r>
      <w:r w:rsidR="000878EC">
        <w:t>"</w:t>
      </w:r>
      <w:r w:rsidR="00D11E4C">
        <w:t xml:space="preserve"> del modello CR SA, se tali esposizioni non fossero state assegnate alle classi di esposizioni </w:t>
      </w:r>
      <w:r w:rsidR="000878EC">
        <w:t>"</w:t>
      </w:r>
      <w:r w:rsidR="00D11E4C">
        <w:t>in stato di default</w:t>
      </w:r>
      <w:r w:rsidR="000878EC">
        <w:t>"</w:t>
      </w:r>
      <w:r w:rsidR="00D11E4C">
        <w:t xml:space="preserve"> o </w:t>
      </w:r>
      <w:r w:rsidR="000878EC">
        <w:t>"</w:t>
      </w:r>
      <w:r w:rsidR="00D11E4C">
        <w:t>garantite da beni immobili</w:t>
      </w:r>
      <w:r w:rsidR="000878EC">
        <w:t>"</w:t>
      </w:r>
      <w:r w:rsidR="00D11E4C">
        <w:t xml:space="preserve">. Tuttavia, i dati segnalati sono gli stessi utilizzati per calcolare gli importi delle esposizioni ponderati per il rischio nelle classi di esposizioni </w:t>
      </w:r>
      <w:r w:rsidR="000878EC">
        <w:t>"</w:t>
      </w:r>
      <w:r w:rsidR="00D11E4C">
        <w:t>in stato di default</w:t>
      </w:r>
      <w:r w:rsidR="000878EC">
        <w:t>"</w:t>
      </w:r>
      <w:r w:rsidR="00D11E4C">
        <w:t xml:space="preserve"> o </w:t>
      </w:r>
      <w:r w:rsidR="000878EC">
        <w:t>"</w:t>
      </w:r>
      <w:r w:rsidR="00D11E4C">
        <w:t>garantite da beni immobili</w:t>
      </w:r>
      <w:r w:rsidR="000878EC">
        <w:t>"</w:t>
      </w:r>
      <w:r w:rsidR="00D11E4C">
        <w:t>.</w:t>
      </w:r>
    </w:p>
    <w:p w:rsidR="00464F34" w:rsidRPr="00661595" w:rsidRDefault="00A971CA" w:rsidP="004238B4">
      <w:pPr>
        <w:pStyle w:val="InstructionsText2"/>
        <w:numPr>
          <w:ilvl w:val="0"/>
          <w:numId w:val="0"/>
        </w:numPr>
        <w:ind w:left="1800" w:hanging="480"/>
      </w:pPr>
      <w:r>
        <w:fldChar w:fldCharType="begin"/>
      </w:r>
      <w:r>
        <w:instrText xml:space="preserve"> seq paragraphs </w:instrText>
      </w:r>
      <w:r>
        <w:fldChar w:fldCharType="separate"/>
      </w:r>
      <w:r w:rsidR="00D11E4C">
        <w:rPr>
          <w:noProof/>
        </w:rPr>
        <w:t>55</w:t>
      </w:r>
      <w:r>
        <w:rPr>
          <w:noProof/>
        </w:rPr>
        <w:fldChar w:fldCharType="end"/>
      </w:r>
      <w:r w:rsidR="00D11E4C">
        <w:t>.</w:t>
      </w:r>
      <w:r w:rsidR="00D11E4C">
        <w:tab/>
        <w:t>Ad esempio, nel caso di un</w:t>
      </w:r>
      <w:r w:rsidR="000878EC">
        <w:t>'</w:t>
      </w:r>
      <w:r w:rsidR="00D11E4C">
        <w:t>esposizione con importi delle esposizioni al rischio calcolati conformemente all</w:t>
      </w:r>
      <w:r w:rsidR="000878EC">
        <w:t>'</w:t>
      </w:r>
      <w:r w:rsidR="00D11E4C">
        <w:t xml:space="preserve">articolo 127 del CRR e rettifiche di valore inferiori al 20 %, queste informazioni sono segnalate come totale alla riga 0320 del modello CR SA e nella classe di esposizioni </w:t>
      </w:r>
      <w:r w:rsidR="000878EC">
        <w:t>"</w:t>
      </w:r>
      <w:r w:rsidR="00D11E4C">
        <w:t>in stato di default</w:t>
      </w:r>
      <w:r w:rsidR="000878EC">
        <w:t>"</w:t>
      </w:r>
      <w:r w:rsidR="00D11E4C">
        <w:t xml:space="preserve">. Se la stessa esposizione, prima dello stato di default, era verso un ente, tale informazione è riportata anche nella riga 0320 della classe di esposizioni </w:t>
      </w:r>
      <w:r w:rsidR="000878EC">
        <w:t>"</w:t>
      </w:r>
      <w:r w:rsidR="00D11E4C">
        <w:t>enti</w:t>
      </w:r>
      <w:r w:rsidR="000878EC">
        <w:t>"</w:t>
      </w:r>
      <w:r w:rsidR="00D11E4C">
        <w:t>.</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80" w:name="_Toc262568030"/>
      <w:bookmarkStart w:id="181" w:name="_Toc264038428"/>
      <w:bookmarkStart w:id="182" w:name="_Toc292456207"/>
      <w:bookmarkStart w:id="183" w:name="_Toc295829858"/>
      <w:bookmarkStart w:id="184" w:name="_Toc58915743"/>
      <w:r>
        <w:rPr>
          <w:rFonts w:ascii="Times New Roman" w:hAnsi="Times New Roman"/>
          <w:sz w:val="24"/>
          <w:u w:val="none"/>
        </w:rPr>
        <w:t>3.2.3.</w:t>
      </w:r>
      <w:r w:rsidRPr="0058388F">
        <w:rPr>
          <w:u w:val="none"/>
        </w:rPr>
        <w:tab/>
      </w:r>
      <w:r>
        <w:rPr>
          <w:rFonts w:ascii="Times New Roman" w:hAnsi="Times New Roman"/>
          <w:sz w:val="24"/>
        </w:rPr>
        <w:t xml:space="preserve"> </w:t>
      </w:r>
      <w:bookmarkStart w:id="185" w:name="_Toc310415022"/>
      <w:bookmarkStart w:id="186" w:name="_Toc360188351"/>
      <w:bookmarkStart w:id="187" w:name="_Toc473560900"/>
      <w:r>
        <w:rPr>
          <w:rFonts w:ascii="Times New Roman" w:hAnsi="Times New Roman"/>
          <w:sz w:val="24"/>
        </w:rPr>
        <w:t>Assegnazione di esposizioni alle classi di esposizioni in applicazione del metodo standardizzato</w:t>
      </w:r>
      <w:bookmarkEnd w:id="180"/>
      <w:bookmarkEnd w:id="181"/>
      <w:bookmarkEnd w:id="182"/>
      <w:bookmarkEnd w:id="183"/>
      <w:bookmarkEnd w:id="184"/>
      <w:bookmarkEnd w:id="185"/>
      <w:bookmarkEnd w:id="186"/>
      <w:bookmarkEnd w:id="187"/>
    </w:p>
    <w:p w:rsidR="00464F34" w:rsidRPr="00661595" w:rsidRDefault="00A971CA" w:rsidP="004238B4">
      <w:pPr>
        <w:pStyle w:val="InstructionsText2"/>
        <w:numPr>
          <w:ilvl w:val="0"/>
          <w:numId w:val="0"/>
        </w:numPr>
        <w:ind w:left="1800" w:hanging="480"/>
      </w:pPr>
      <w:r>
        <w:fldChar w:fldCharType="begin"/>
      </w:r>
      <w:r>
        <w:instrText xml:space="preserve"> seq paragraphs </w:instrText>
      </w:r>
      <w:r>
        <w:fldChar w:fldCharType="separate"/>
      </w:r>
      <w:r w:rsidR="00D11E4C">
        <w:rPr>
          <w:noProof/>
        </w:rPr>
        <w:t>56</w:t>
      </w:r>
      <w:r>
        <w:rPr>
          <w:noProof/>
        </w:rPr>
        <w:fldChar w:fldCharType="end"/>
      </w:r>
      <w:r w:rsidR="00D11E4C">
        <w:t>.</w:t>
      </w:r>
      <w:r w:rsidR="00D11E4C">
        <w:tab/>
        <w:t>Per garantire un</w:t>
      </w:r>
      <w:r w:rsidR="000878EC">
        <w:t>'</w:t>
      </w:r>
      <w:r w:rsidR="00D11E4C">
        <w:t>assegnazione uniforme delle esposizioni alle differenti classi di esposizioni di cui all</w:t>
      </w:r>
      <w:r w:rsidR="000878EC">
        <w:t>'</w:t>
      </w:r>
      <w:r w:rsidR="00D11E4C">
        <w:t xml:space="preserve">articolo 112 del CRR, si applica il metodo sequenziale illustrato di seguito: </w:t>
      </w:r>
    </w:p>
    <w:p w:rsidR="00464F34" w:rsidRPr="00661595" w:rsidRDefault="00125707" w:rsidP="004238B4">
      <w:pPr>
        <w:pStyle w:val="InstructionsText2"/>
        <w:numPr>
          <w:ilvl w:val="0"/>
          <w:numId w:val="0"/>
        </w:numPr>
        <w:ind w:left="1800" w:hanging="480"/>
      </w:pPr>
      <w:r>
        <w:t>a)</w:t>
      </w:r>
      <w:r>
        <w:tab/>
        <w:t>in una prima fase l</w:t>
      </w:r>
      <w:r w:rsidR="000878EC">
        <w:t>'</w:t>
      </w:r>
      <w:r>
        <w:t>esposizione originaria prima dell</w:t>
      </w:r>
      <w:r w:rsidR="000878EC">
        <w:t>'</w:t>
      </w:r>
      <w:r>
        <w:t>applicazione dei fattori di conversione è classificata nella classe di esposizioni corrispondente (originaria) di cui all</w:t>
      </w:r>
      <w:r w:rsidR="000878EC">
        <w:t>'</w:t>
      </w:r>
      <w:r>
        <w:t>articolo 112 del CRR, fatto salvo il trattamento specifico (ponderazione del rischio) che ciascuna esposizione specifica riceve nella classe di esposizioni alla quale è stata assegnata;</w:t>
      </w:r>
    </w:p>
    <w:p w:rsidR="00464F34" w:rsidRPr="00661595" w:rsidRDefault="00125707" w:rsidP="004238B4">
      <w:pPr>
        <w:pStyle w:val="InstructionsText2"/>
        <w:numPr>
          <w:ilvl w:val="0"/>
          <w:numId w:val="0"/>
        </w:numPr>
        <w:ind w:left="1800" w:hanging="480"/>
      </w:pPr>
      <w:r>
        <w:t>b)</w:t>
      </w:r>
      <w:r>
        <w:tab/>
        <w:t>in una seconda fase le esposizioni possono essere riassegnate ad altre classi di esposizioni a seguito dell</w:t>
      </w:r>
      <w:r w:rsidR="000878EC">
        <w:t>'</w:t>
      </w:r>
      <w:r>
        <w:t>applicazione di tecniche di attenuazione del rischio di credito (credit risk mitigation, CRM), con effetti di sostituzione sull</w:t>
      </w:r>
      <w:r w:rsidR="000878EC">
        <w:t>'</w:t>
      </w:r>
      <w:r>
        <w:t>esposizione (ad esempio garanzie, derivati su crediti, metodo semplificato per il trattamento delle garanzie reali finanziarie) mediante afflussi e deflussi.</w:t>
      </w:r>
    </w:p>
    <w:p w:rsidR="00464F34" w:rsidRPr="00661595" w:rsidRDefault="00A971CA" w:rsidP="004238B4">
      <w:pPr>
        <w:pStyle w:val="InstructionsText2"/>
        <w:numPr>
          <w:ilvl w:val="0"/>
          <w:numId w:val="0"/>
        </w:numPr>
        <w:ind w:left="1800" w:hanging="480"/>
      </w:pPr>
      <w:r>
        <w:fldChar w:fldCharType="begin"/>
      </w:r>
      <w:r>
        <w:instrText xml:space="preserve"> seq paragraphs </w:instrText>
      </w:r>
      <w:r>
        <w:fldChar w:fldCharType="separate"/>
      </w:r>
      <w:r w:rsidR="00D11E4C">
        <w:rPr>
          <w:noProof/>
        </w:rPr>
        <w:t>57</w:t>
      </w:r>
      <w:r>
        <w:rPr>
          <w:noProof/>
        </w:rPr>
        <w:fldChar w:fldCharType="end"/>
      </w:r>
      <w:r w:rsidR="00D11E4C">
        <w:t>.</w:t>
      </w:r>
      <w:r w:rsidR="00D11E4C">
        <w:tab/>
        <w:t>Alla classificazione dell</w:t>
      </w:r>
      <w:r w:rsidR="000878EC">
        <w:t>'</w:t>
      </w:r>
      <w:r w:rsidR="00D11E4C">
        <w:t>esposizione originaria prima dell</w:t>
      </w:r>
      <w:r w:rsidR="000878EC">
        <w:t>'</w:t>
      </w:r>
      <w:r w:rsidR="00D11E4C">
        <w:t>applicazione dei fattori di conversione nelle differenti classi di esposizioni (prima fase) si applicano i criteri indicati di seguito, fatta salva la successiva riassegnazione dovuta all</w:t>
      </w:r>
      <w:r w:rsidR="000878EC">
        <w:t>'</w:t>
      </w:r>
      <w:r w:rsidR="00D11E4C">
        <w:t>applicazione di tecniche di attenuazione del rischio di credito con effetti di sostituzione sull</w:t>
      </w:r>
      <w:r w:rsidR="000878EC">
        <w:t>'</w:t>
      </w:r>
      <w:r w:rsidR="00D11E4C">
        <w:t>esposizione o fatto salvo il trattamento (ponderazione del rischio) che ciascuna esposizione riceve nella classe di esposizioni alla quale è stata assegnata.</w:t>
      </w:r>
    </w:p>
    <w:p w:rsidR="00464F34" w:rsidRPr="00661595" w:rsidRDefault="00A971CA" w:rsidP="004238B4">
      <w:pPr>
        <w:pStyle w:val="InstructionsText2"/>
        <w:numPr>
          <w:ilvl w:val="0"/>
          <w:numId w:val="0"/>
        </w:numPr>
        <w:ind w:left="1800" w:hanging="480"/>
      </w:pPr>
      <w:r>
        <w:fldChar w:fldCharType="begin"/>
      </w:r>
      <w:r>
        <w:instrText xml:space="preserve"> seq paragraphs </w:instrText>
      </w:r>
      <w:r>
        <w:fldChar w:fldCharType="separate"/>
      </w:r>
      <w:r w:rsidR="00D11E4C">
        <w:rPr>
          <w:noProof/>
        </w:rPr>
        <w:t>58</w:t>
      </w:r>
      <w:r>
        <w:rPr>
          <w:noProof/>
        </w:rPr>
        <w:fldChar w:fldCharType="end"/>
      </w:r>
      <w:r w:rsidR="00D11E4C">
        <w:t>.</w:t>
      </w:r>
      <w:r w:rsidR="00D11E4C">
        <w:tab/>
        <w:t>Ai fini della classificazione dell</w:t>
      </w:r>
      <w:r w:rsidR="000878EC">
        <w:t>'</w:t>
      </w:r>
      <w:r w:rsidR="00D11E4C">
        <w:t>esposizione originaria prima dell</w:t>
      </w:r>
      <w:r w:rsidR="000878EC">
        <w:t>'</w:t>
      </w:r>
      <w:r w:rsidR="00D11E4C">
        <w:t>applicazione del fattore di conversione nella prima fase non si tiene conto delle tecniche di attenuazione del rischio di credito associate all</w:t>
      </w:r>
      <w:r w:rsidR="000878EC">
        <w:t>'</w:t>
      </w:r>
      <w:r w:rsidR="00D11E4C">
        <w:t>esposizione (si rileva che tali tecniche sono prese in considerazione esplicitamente nella seconda fase), a meno che un effetto di protezione non costituisca un elemento intrinseco della definizione di una classe di esposizioni, come nel caso della classe di cui all</w:t>
      </w:r>
      <w:r w:rsidR="000878EC">
        <w:t>'</w:t>
      </w:r>
      <w:r w:rsidR="00D11E4C">
        <w:t>articolo 112, lettera i), del CRR (esposizioni garantite da ipoteche su beni immobili).</w:t>
      </w:r>
    </w:p>
    <w:p w:rsidR="00464F34" w:rsidRPr="00661595" w:rsidRDefault="00A971CA" w:rsidP="004238B4">
      <w:pPr>
        <w:pStyle w:val="InstructionsText2"/>
        <w:numPr>
          <w:ilvl w:val="0"/>
          <w:numId w:val="0"/>
        </w:numPr>
        <w:ind w:left="1800" w:hanging="480"/>
      </w:pPr>
      <w:r>
        <w:fldChar w:fldCharType="begin"/>
      </w:r>
      <w:r>
        <w:instrText xml:space="preserve"> seq paragraphs </w:instrText>
      </w:r>
      <w:r>
        <w:fldChar w:fldCharType="separate"/>
      </w:r>
      <w:r w:rsidR="00D11E4C">
        <w:rPr>
          <w:noProof/>
        </w:rPr>
        <w:t>59</w:t>
      </w:r>
      <w:r>
        <w:rPr>
          <w:noProof/>
        </w:rPr>
        <w:fldChar w:fldCharType="end"/>
      </w:r>
      <w:r w:rsidR="00D11E4C">
        <w:t>.</w:t>
      </w:r>
      <w:r w:rsidR="00D11E4C">
        <w:tab/>
        <w:t>L</w:t>
      </w:r>
      <w:r w:rsidR="000878EC">
        <w:t>'</w:t>
      </w:r>
      <w:r w:rsidR="00D11E4C">
        <w:t>articolo 112 del CRR non stabilisce criteri per la separazione delle classi di esposizioni, con la possibile conseguenza che, in assenza di indicazioni sulla priorità dei criteri di valutazione da applicare ai fini della classificazione, un</w:t>
      </w:r>
      <w:r w:rsidR="000878EC">
        <w:t>'</w:t>
      </w:r>
      <w:r w:rsidR="00D11E4C">
        <w:t>esposizione può potenzialmente essere classificata in classi di esposizioni diverse. Il caso più evidente si pone tra le esposizioni verso enti e imprese con una valutazione del merito di credito a breve termine (articolo 112, lettera n), del CRR) e le esposizioni verso enti (articolo 112, lettera f), del CRR)/esposizioni verso imprese (articolo 112, lettera g), del CRR). Al riguardo è chiaro che il CRR fornisce un</w:t>
      </w:r>
      <w:r w:rsidR="000878EC">
        <w:t>'</w:t>
      </w:r>
      <w:r w:rsidR="00D11E4C">
        <w:t>implicita indicazione delle priorità, poiché si valuterà dapprima se una data esposizione può essere assegnata alle esposizioni a breve termine verso enti e imprese, e soltanto dopo si valuterà se essa può essere assegnata alle esposizioni verso enti o alle esposizioni verso imprese. È ovvio che, altrimenti, nessuna esposizione potrà mai essere assegnata alla classe di esposizioni di cui all</w:t>
      </w:r>
      <w:r w:rsidR="000878EC">
        <w:t>'</w:t>
      </w:r>
      <w:r w:rsidR="00D11E4C">
        <w:t>articolo 112, lettera n), del CRR. Questo esempio è solo uno dei casi più evidenti che si possono verificare, non l</w:t>
      </w:r>
      <w:r w:rsidR="000878EC">
        <w:t>'</w:t>
      </w:r>
      <w:r w:rsidR="00D11E4C">
        <w:t>unico. È opportuno rilevare che per stabilire le classi di esposizioni secondo il metodo standardizzato si applicano criteri diversi (categorizzazione degli enti, durata dell</w:t>
      </w:r>
      <w:r w:rsidR="000878EC">
        <w:t>'</w:t>
      </w:r>
      <w:r w:rsidR="00D11E4C">
        <w:t>esposizione, status di scaduto, eccetera), e questo è il motivo fondamentale per non separare i raggruppamenti.</w:t>
      </w:r>
    </w:p>
    <w:p w:rsidR="00464F34" w:rsidRPr="00661595" w:rsidRDefault="00A971CA" w:rsidP="004238B4">
      <w:pPr>
        <w:pStyle w:val="InstructionsText2"/>
        <w:numPr>
          <w:ilvl w:val="0"/>
          <w:numId w:val="0"/>
        </w:numPr>
        <w:ind w:left="1800" w:hanging="480"/>
      </w:pPr>
      <w:r>
        <w:fldChar w:fldCharType="begin"/>
      </w:r>
      <w:r>
        <w:instrText xml:space="preserve"> seq paragraphs </w:instrText>
      </w:r>
      <w:r>
        <w:fldChar w:fldCharType="separate"/>
      </w:r>
      <w:r w:rsidR="00D11E4C">
        <w:rPr>
          <w:noProof/>
        </w:rPr>
        <w:t>60</w:t>
      </w:r>
      <w:r>
        <w:rPr>
          <w:noProof/>
        </w:rPr>
        <w:fldChar w:fldCharType="end"/>
      </w:r>
      <w:r w:rsidR="00D11E4C">
        <w:t>.</w:t>
      </w:r>
      <w:r w:rsidR="00D11E4C">
        <w:tab/>
        <w:t>Per garantire l</w:t>
      </w:r>
      <w:r w:rsidR="000878EC">
        <w:t>'</w:t>
      </w:r>
      <w:r w:rsidR="00D11E4C">
        <w:t>omogeneità e la comparabilità delle segnalazioni è necessario specificare la priorità dei criteri di valutazione per l</w:t>
      </w:r>
      <w:r w:rsidR="000878EC">
        <w:t>'</w:t>
      </w:r>
      <w:r w:rsidR="00D11E4C">
        <w:t>assegnazione alle singole classi di esposizioni dell</w:t>
      </w:r>
      <w:r w:rsidR="000878EC">
        <w:t>'</w:t>
      </w:r>
      <w:r w:rsidR="00D11E4C">
        <w:t>esposizione originaria prima dell</w:t>
      </w:r>
      <w:r w:rsidR="000878EC">
        <w:t>'</w:t>
      </w:r>
      <w:r w:rsidR="00D11E4C">
        <w:t>applicazione del fattore di conversione, fatto salvo il trattamento specifico (ponderazione del rischio) che ogni singola esposizione riceve nell</w:t>
      </w:r>
      <w:r w:rsidR="000878EC">
        <w:t>'</w:t>
      </w:r>
      <w:r w:rsidR="00D11E4C">
        <w:t>ambito della classe alla quale è stata assegnata. I criteri di attribuzione di priorità presentati infra sotto forma di albero decisionale si basano sulla valutazione delle condizioni previste esplicitamente dal CRR per assegnare un</w:t>
      </w:r>
      <w:r w:rsidR="000878EC">
        <w:t>'</w:t>
      </w:r>
      <w:r w:rsidR="00D11E4C">
        <w:t>esposizione a una determinata classe e, laddove tali condizioni siano soddisfatte, su qualsiasi decisione dell</w:t>
      </w:r>
      <w:r w:rsidR="000878EC">
        <w:t>'</w:t>
      </w:r>
      <w:r w:rsidR="00D11E4C">
        <w:t>ente segnalante o dell</w:t>
      </w:r>
      <w:r w:rsidR="000878EC">
        <w:t>'</w:t>
      </w:r>
      <w:r w:rsidR="00D11E4C">
        <w:t>autorità di vigilanza in merito all</w:t>
      </w:r>
      <w:r w:rsidR="000878EC">
        <w:t>'</w:t>
      </w:r>
      <w:r w:rsidR="00D11E4C">
        <w:t>applicabilità di determinate classi di esposizioni. In tal modo il risultato del processo di assegnazione delle esposizioni a fini di segnalazione è conforme alle disposizioni del CRR. Ciò non vieta agli enti di avvalersi di altre procedure di assegnazione, interne, che possono essere anch</w:t>
      </w:r>
      <w:r w:rsidR="000878EC">
        <w:t>'</w:t>
      </w:r>
      <w:r w:rsidR="00D11E4C">
        <w:t>esse conformi a tutte le pertinenti disposizioni del CRR e alle relative interpretazioni emesse in sedi competenti.</w:t>
      </w:r>
    </w:p>
    <w:p w:rsidR="00464F34" w:rsidRPr="00661595" w:rsidRDefault="00A971CA" w:rsidP="004238B4">
      <w:pPr>
        <w:pStyle w:val="InstructionsText2"/>
        <w:numPr>
          <w:ilvl w:val="0"/>
          <w:numId w:val="0"/>
        </w:numPr>
        <w:ind w:left="1800" w:hanging="480"/>
      </w:pPr>
      <w:r>
        <w:fldChar w:fldCharType="begin"/>
      </w:r>
      <w:r>
        <w:instrText xml:space="preserve"> seq paragraphs </w:instrText>
      </w:r>
      <w:r>
        <w:fldChar w:fldCharType="separate"/>
      </w:r>
      <w:r w:rsidR="00D11E4C">
        <w:rPr>
          <w:noProof/>
        </w:rPr>
        <w:t>61</w:t>
      </w:r>
      <w:r>
        <w:rPr>
          <w:noProof/>
        </w:rPr>
        <w:fldChar w:fldCharType="end"/>
      </w:r>
      <w:r w:rsidR="00D11E4C">
        <w:t>.</w:t>
      </w:r>
      <w:r w:rsidR="00D11E4C">
        <w:tab/>
        <w:t>Nella classifica di valutazione dell</w:t>
      </w:r>
      <w:r w:rsidR="000878EC">
        <w:t>'</w:t>
      </w:r>
      <w:r w:rsidR="00D11E4C">
        <w:t>albero decisionale è attribuita priorità a una classe di esposizioni rispetto alle altre (cioè si valuta dapprima se un</w:t>
      </w:r>
      <w:r w:rsidR="000878EC">
        <w:t>'</w:t>
      </w:r>
      <w:r w:rsidR="00D11E4C">
        <w:t>esposizione può essere assegnata a una classe di esposizioni, fatto salvo il risultato della valutazione) qualora sussista la possibilità che, altrimenti, alla classe in questione non sia assegnata alcuna esposizione. Ciò si verifica se, in assenza di criteri di attribuzione di priorità, una classe di esposizioni diventa un sottoinsieme di altre classi. Pertanto, i criteri raffigurati graficamente nel seguente albero decisionale dovrebbero operare secondo un processo sequenziale.</w:t>
      </w:r>
    </w:p>
    <w:p w:rsidR="00464F34" w:rsidRPr="00661595" w:rsidRDefault="00A971CA" w:rsidP="004238B4">
      <w:pPr>
        <w:pStyle w:val="InstructionsText2"/>
        <w:numPr>
          <w:ilvl w:val="0"/>
          <w:numId w:val="0"/>
        </w:numPr>
        <w:ind w:left="1800" w:hanging="480"/>
      </w:pPr>
      <w:r>
        <w:fldChar w:fldCharType="begin"/>
      </w:r>
      <w:r>
        <w:instrText xml:space="preserve"> seq paragraphs </w:instrText>
      </w:r>
      <w:r>
        <w:fldChar w:fldCharType="separate"/>
      </w:r>
      <w:r w:rsidR="00D11E4C">
        <w:rPr>
          <w:noProof/>
        </w:rPr>
        <w:t>62</w:t>
      </w:r>
      <w:r>
        <w:rPr>
          <w:noProof/>
        </w:rPr>
        <w:fldChar w:fldCharType="end"/>
      </w:r>
      <w:r w:rsidR="00D11E4C">
        <w:t>.</w:t>
      </w:r>
      <w:r w:rsidR="00D11E4C">
        <w:tab/>
        <w:t>In considerazione di quanto precede, la classifica di valutazione dell</w:t>
      </w:r>
      <w:r w:rsidR="000878EC">
        <w:t>'</w:t>
      </w:r>
      <w:r w:rsidR="00D11E4C">
        <w:t>albero decisionale riportato in appresso è la seguente:</w:t>
      </w:r>
    </w:p>
    <w:p w:rsidR="00464F34" w:rsidRPr="00661595" w:rsidRDefault="00464F34" w:rsidP="00115052">
      <w:pPr>
        <w:pStyle w:val="InstructionsText"/>
      </w:pPr>
      <w:r>
        <w:t>1. posizioni verso la cartolarizzazione;</w:t>
      </w:r>
    </w:p>
    <w:p w:rsidR="00464F34" w:rsidRPr="00661595" w:rsidRDefault="00464F34" w:rsidP="00115052">
      <w:pPr>
        <w:pStyle w:val="InstructionsText"/>
      </w:pPr>
      <w:r>
        <w:t>2. posizioni associate a un rischio particolarmente elevato;</w:t>
      </w:r>
    </w:p>
    <w:p w:rsidR="00464F34" w:rsidRPr="00661595" w:rsidRDefault="00464F34" w:rsidP="00115052">
      <w:pPr>
        <w:pStyle w:val="InstructionsText"/>
      </w:pPr>
      <w:r>
        <w:t>3. esposizioni in strumenti di capitale;</w:t>
      </w:r>
    </w:p>
    <w:p w:rsidR="00464F34" w:rsidRPr="00661595" w:rsidRDefault="00464F34" w:rsidP="00115052">
      <w:pPr>
        <w:pStyle w:val="InstructionsText"/>
      </w:pPr>
      <w:r>
        <w:t>4. esposizioni in stato di default;</w:t>
      </w:r>
    </w:p>
    <w:p w:rsidR="00464F34" w:rsidRPr="00661595" w:rsidRDefault="00464F34" w:rsidP="00115052">
      <w:pPr>
        <w:pStyle w:val="InstructionsText"/>
      </w:pPr>
      <w:r>
        <w:t>5. esposizioni sotto forma di quote o di azioni in organismi di investimento collettivo (OIC)/esposizioni sotto forma di obbligazioni garantite (classi di esposizioni separate);</w:t>
      </w:r>
    </w:p>
    <w:p w:rsidR="00464F34" w:rsidRPr="00661595" w:rsidRDefault="00464F34" w:rsidP="00115052">
      <w:pPr>
        <w:pStyle w:val="InstructionsText"/>
      </w:pPr>
      <w:r>
        <w:t>6. esposizioni garantite da ipoteche su beni immobili;</w:t>
      </w:r>
    </w:p>
    <w:p w:rsidR="00464F34" w:rsidRPr="00661595" w:rsidRDefault="00464F34" w:rsidP="00115052">
      <w:pPr>
        <w:pStyle w:val="InstructionsText"/>
      </w:pPr>
      <w:r>
        <w:t>7. altre posizioni;</w:t>
      </w:r>
    </w:p>
    <w:p w:rsidR="00464F34" w:rsidRPr="00661595" w:rsidRDefault="00464F34" w:rsidP="00115052">
      <w:pPr>
        <w:pStyle w:val="InstructionsText"/>
      </w:pPr>
      <w:r>
        <w:t>8. esposizioni verso enti e imprese con valutazione del merito di credito a breve termine;</w:t>
      </w:r>
    </w:p>
    <w:p w:rsidR="00464F34" w:rsidRPr="00661595" w:rsidRDefault="00464F34" w:rsidP="00115052">
      <w:pPr>
        <w:pStyle w:val="InstructionsText"/>
      </w:pPr>
      <w:r>
        <w:t>9. tutte le altre classi di esposizioni (classi di esposizioni disgiunte) che comprendono: le esposizioni verso amministrazioni centrali o banche centrali; le esposizioni verso amministrazioni regionali o autorità locali; le esposizioni verso organismi del settore pubblico; le esposizioni verso banche multilaterali di sviluppo; le esposizioni verso organizzazioni internazionali; le esposizioni verso enti; le esposizioni verso imprese e le esposizioni al dettaglio.</w:t>
      </w:r>
    </w:p>
    <w:p w:rsidR="00464F34" w:rsidRPr="00661595" w:rsidRDefault="00A971CA" w:rsidP="00DF1E3B">
      <w:pPr>
        <w:pStyle w:val="InstructionsText2"/>
        <w:numPr>
          <w:ilvl w:val="0"/>
          <w:numId w:val="0"/>
        </w:numPr>
        <w:ind w:left="1680" w:hanging="360"/>
      </w:pPr>
      <w:r>
        <w:fldChar w:fldCharType="begin"/>
      </w:r>
      <w:r>
        <w:instrText xml:space="preserve"> seq paragraphs </w:instrText>
      </w:r>
      <w:r>
        <w:fldChar w:fldCharType="separate"/>
      </w:r>
      <w:r w:rsidR="00D11E4C">
        <w:rPr>
          <w:noProof/>
        </w:rPr>
        <w:t>63</w:t>
      </w:r>
      <w:r>
        <w:rPr>
          <w:noProof/>
        </w:rPr>
        <w:fldChar w:fldCharType="end"/>
      </w:r>
      <w:r w:rsidR="00D11E4C">
        <w:t>.</w:t>
      </w:r>
      <w:r w:rsidR="00D11E4C">
        <w:tab/>
        <w:t>Nel caso di esposizioni sotto forma di quote o di azioni in organismi di investimento collettivo e in cui si utilizza il metodo look-through o il metodo basato sul regolamento di gestione (articolo 132 bis, paragrafi 1 e 2, del CRR), le singole esposizioni sottostanti (nel caso del metodo look-through) e il singolo gruppo di esposizioni sottostanti (nel caso del metodo basato sul regolamento di gestione) sono considerate e classificate nella corrispondente linea di ponderazione del rischio in base al trattamento. Tuttavia tutte le singole esposizioni sono classificate nella classe delle esposizioni sotto forma di quote o azioni di organismi di investimento collettivo (OIC).</w:t>
      </w:r>
    </w:p>
    <w:p w:rsidR="00464F34" w:rsidRPr="00661595" w:rsidRDefault="00A971CA" w:rsidP="00DF1E3B">
      <w:pPr>
        <w:pStyle w:val="InstructionsText2"/>
        <w:numPr>
          <w:ilvl w:val="0"/>
          <w:numId w:val="0"/>
        </w:numPr>
        <w:ind w:left="1680" w:hanging="360"/>
      </w:pPr>
      <w:r>
        <w:fldChar w:fldCharType="begin"/>
      </w:r>
      <w:r>
        <w:instrText xml:space="preserve"> seq paragraphs </w:instrText>
      </w:r>
      <w:r>
        <w:fldChar w:fldCharType="separate"/>
      </w:r>
      <w:r w:rsidR="00D11E4C">
        <w:rPr>
          <w:noProof/>
        </w:rPr>
        <w:t>64</w:t>
      </w:r>
      <w:r>
        <w:rPr>
          <w:noProof/>
        </w:rPr>
        <w:fldChar w:fldCharType="end"/>
      </w:r>
      <w:r w:rsidR="00D11E4C">
        <w:t>.</w:t>
      </w:r>
      <w:r w:rsidR="00D11E4C">
        <w:tab/>
        <w:t xml:space="preserve"> Come specificato all</w:t>
      </w:r>
      <w:r w:rsidR="000878EC">
        <w:t>'</w:t>
      </w:r>
      <w:r w:rsidR="00D11E4C">
        <w:t xml:space="preserve">articolo 134, paragrafo 6, del CRR, i derivati su crediti di tipo </w:t>
      </w:r>
      <w:r w:rsidR="000878EC">
        <w:t>"</w:t>
      </w:r>
      <w:r w:rsidR="00D11E4C">
        <w:t>nth-to-default</w:t>
      </w:r>
      <w:r w:rsidR="000878EC">
        <w:t>"</w:t>
      </w:r>
      <w:r w:rsidR="00D11E4C">
        <w:t xml:space="preserve"> provvisti di rating sono classificati direttamente come posizioni verso la cartolarizzazione; se, invece, sono privi di rating, sono inclusi nella classe di esposizioni </w:t>
      </w:r>
      <w:r w:rsidR="000878EC">
        <w:t>"</w:t>
      </w:r>
      <w:r w:rsidR="00D11E4C">
        <w:t>altre posizioni</w:t>
      </w:r>
      <w:r w:rsidR="000878EC">
        <w:t>"</w:t>
      </w:r>
      <w:r w:rsidR="00D11E4C">
        <w:t>. In quest</w:t>
      </w:r>
      <w:r w:rsidR="000878EC">
        <w:t>'</w:t>
      </w:r>
      <w:r w:rsidR="00D11E4C">
        <w:t>ultimo caso l</w:t>
      </w:r>
      <w:r w:rsidR="000878EC">
        <w:t>'</w:t>
      </w:r>
      <w:r w:rsidR="00D11E4C">
        <w:t>importo nominale del contratto è segnalato come esposizione originaria prima dell</w:t>
      </w:r>
      <w:r w:rsidR="000878EC">
        <w:t>'</w:t>
      </w:r>
      <w:r w:rsidR="00D11E4C">
        <w:t xml:space="preserve">applicazione dei fattori di conversione nella riga degli </w:t>
      </w:r>
      <w:r w:rsidR="000878EC">
        <w:t>"</w:t>
      </w:r>
      <w:r w:rsidR="00D11E4C">
        <w:t>altri fattori di ponderazione del rischio</w:t>
      </w:r>
      <w:r w:rsidR="000878EC">
        <w:t>"</w:t>
      </w:r>
      <w:r w:rsidR="00D11E4C">
        <w:t xml:space="preserve"> (il fattore di ponderazione del rischio applicato è quello specificato nella somma riportata ai sensi dell</w:t>
      </w:r>
      <w:r w:rsidR="000878EC">
        <w:t>'</w:t>
      </w:r>
      <w:r w:rsidR="00D11E4C">
        <w:t xml:space="preserve">articolo 134, paragrafo 6, del CRR). </w:t>
      </w:r>
    </w:p>
    <w:p w:rsidR="00464F34" w:rsidRPr="00661595" w:rsidRDefault="00A971CA" w:rsidP="00DF1E3B">
      <w:pPr>
        <w:pStyle w:val="InstructionsText2"/>
        <w:numPr>
          <w:ilvl w:val="0"/>
          <w:numId w:val="0"/>
        </w:numPr>
        <w:ind w:left="1680" w:hanging="360"/>
      </w:pPr>
      <w:r>
        <w:fldChar w:fldCharType="begin"/>
      </w:r>
      <w:r>
        <w:instrText xml:space="preserve"> seq paragraphs </w:instrText>
      </w:r>
      <w:r>
        <w:fldChar w:fldCharType="separate"/>
      </w:r>
      <w:r w:rsidR="00D11E4C">
        <w:rPr>
          <w:noProof/>
        </w:rPr>
        <w:t>65</w:t>
      </w:r>
      <w:r>
        <w:rPr>
          <w:noProof/>
        </w:rPr>
        <w:fldChar w:fldCharType="end"/>
      </w:r>
      <w:r w:rsidR="00D11E4C">
        <w:t>.</w:t>
      </w:r>
      <w:r w:rsidR="00D11E4C">
        <w:tab/>
        <w:t>In una seconda fase, le esposizioni sono riassegnate alla classe di esposizioni del fornitore della protezione a seguito dell</w:t>
      </w:r>
      <w:r w:rsidR="000878EC">
        <w:t>'</w:t>
      </w:r>
      <w:r w:rsidR="00D11E4C">
        <w:t>applicazione di tecniche di attenuazione del rischio di credito con effetti di sostituzione.</w:t>
      </w:r>
    </w:p>
    <w:p w:rsidR="00464F34" w:rsidRPr="00661595" w:rsidRDefault="00464F34" w:rsidP="00115052">
      <w:pPr>
        <w:pStyle w:val="InstructionsText"/>
      </w:pPr>
      <w:r>
        <w:br w:type="page"/>
        <w:t>ALBERO DECISIONALE PER L</w:t>
      </w:r>
      <w:r w:rsidR="000878EC">
        <w:t>'</w:t>
      </w:r>
      <w:r>
        <w:t>ASSEGNAZIONE DELL</w:t>
      </w:r>
      <w:r w:rsidR="000878EC">
        <w:t>'</w:t>
      </w:r>
      <w:r>
        <w:t>ESPOSIZIONE ORIGINARIA PRIMA DELL</w:t>
      </w:r>
      <w:r w:rsidR="000878EC">
        <w:t>'</w:t>
      </w:r>
      <w:r>
        <w:t xml:space="preserve">APPLICAZIONE DEI FATTORI DI CONVERSIONE ALLE CLASSI DI ESPOSIZIONI SECONDO IL METODO STANDARDIZZATO CONFORMEMENTE AL CRR </w:t>
      </w:r>
    </w:p>
    <w:p w:rsidR="00464F34" w:rsidRPr="00661595" w:rsidRDefault="00464F34" w:rsidP="00115052">
      <w:pPr>
        <w:pStyle w:val="InstructionsText"/>
      </w:pPr>
    </w:p>
    <w:tbl>
      <w:tblPr>
        <w:tblW w:w="0" w:type="auto"/>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61"/>
        <w:gridCol w:w="1390"/>
        <w:gridCol w:w="3978"/>
      </w:tblGrid>
      <w:tr w:rsidR="003A1B96" w:rsidRPr="00661595" w:rsidTr="00672D2A">
        <w:tc>
          <w:tcPr>
            <w:tcW w:w="3761" w:type="dxa"/>
            <w:shd w:val="clear" w:color="auto" w:fill="auto"/>
          </w:tcPr>
          <w:p w:rsidR="003A1B96" w:rsidRPr="00661595" w:rsidRDefault="003A1B96" w:rsidP="007574C3">
            <w:pPr>
              <w:spacing w:before="0" w:after="0"/>
              <w:jc w:val="left"/>
              <w:rPr>
                <w:sz w:val="24"/>
              </w:rPr>
            </w:pPr>
            <w:r>
              <w:rPr>
                <w:rFonts w:ascii="Times New Roman" w:hAnsi="Times New Roman"/>
                <w:sz w:val="24"/>
              </w:rPr>
              <w:t>Esposizione originaria prima dell</w:t>
            </w:r>
            <w:r w:rsidR="000878EC">
              <w:rPr>
                <w:rFonts w:ascii="Times New Roman" w:hAnsi="Times New Roman"/>
                <w:sz w:val="24"/>
              </w:rPr>
              <w:t>'</w:t>
            </w:r>
            <w:r>
              <w:rPr>
                <w:rFonts w:ascii="Times New Roman" w:hAnsi="Times New Roman"/>
                <w:sz w:val="24"/>
              </w:rPr>
              <w:t>applicazione dei fattori di conversione</w:t>
            </w:r>
          </w:p>
        </w:tc>
        <w:tc>
          <w:tcPr>
            <w:tcW w:w="1417" w:type="dxa"/>
            <w:shd w:val="clear" w:color="auto" w:fill="auto"/>
          </w:tcPr>
          <w:p w:rsidR="003A1B96" w:rsidRPr="00661595" w:rsidRDefault="003A1B96" w:rsidP="00115052">
            <w:pPr>
              <w:pStyle w:val="InstructionsText"/>
            </w:pPr>
          </w:p>
        </w:tc>
        <w:tc>
          <w:tcPr>
            <w:tcW w:w="4077" w:type="dxa"/>
            <w:shd w:val="clear" w:color="auto" w:fill="auto"/>
          </w:tcPr>
          <w:p w:rsidR="003A1B96" w:rsidRPr="00661595" w:rsidRDefault="003A1B96" w:rsidP="00115052">
            <w:pPr>
              <w:pStyle w:val="InstructionsText"/>
            </w:pPr>
          </w:p>
        </w:tc>
      </w:tr>
      <w:tr w:rsidR="00581FA5" w:rsidRPr="00661595" w:rsidTr="00672D2A">
        <w:tc>
          <w:tcPr>
            <w:tcW w:w="3761" w:type="dxa"/>
            <w:shd w:val="clear" w:color="auto" w:fill="auto"/>
          </w:tcPr>
          <w:p w:rsidR="00581FA5" w:rsidRPr="00661595" w:rsidRDefault="00581FA5" w:rsidP="00115052">
            <w:pPr>
              <w:pStyle w:val="InstructionsText"/>
            </w:pPr>
            <w:r>
              <w:t>Può essere assegnata alla classe di esposizioni di cui all</w:t>
            </w:r>
            <w:r w:rsidR="000878EC">
              <w:t>'</w:t>
            </w:r>
            <w:r>
              <w:t>articolo 112, lettera m), del CRR?</w:t>
            </w:r>
          </w:p>
        </w:tc>
        <w:tc>
          <w:tcPr>
            <w:tcW w:w="1417" w:type="dxa"/>
            <w:shd w:val="clear" w:color="auto" w:fill="auto"/>
          </w:tcPr>
          <w:p w:rsidR="00BD52C3" w:rsidRPr="00661595" w:rsidRDefault="00BD52C3" w:rsidP="00115052">
            <w:pPr>
              <w:pStyle w:val="InstructionsText"/>
            </w:pPr>
            <w:r>
              <w:t xml:space="preserve">SÌ </w:t>
            </w:r>
            <w:r>
              <w:rPr>
                <w:noProof/>
                <w:lang w:eastAsia="it-IT"/>
              </w:rPr>
              <w:drawing>
                <wp:inline distT="0" distB="0" distL="0" distR="0" wp14:anchorId="6145FAD8" wp14:editId="54B50B22">
                  <wp:extent cx="371475" cy="276225"/>
                  <wp:effectExtent l="0" t="0" r="9525" b="9525"/>
                  <wp:docPr id="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115052">
            <w:pPr>
              <w:pStyle w:val="InstructionsText"/>
            </w:pPr>
          </w:p>
        </w:tc>
        <w:tc>
          <w:tcPr>
            <w:tcW w:w="4077" w:type="dxa"/>
            <w:shd w:val="clear" w:color="auto" w:fill="auto"/>
          </w:tcPr>
          <w:p w:rsidR="00581FA5" w:rsidRPr="00661595" w:rsidRDefault="00581FA5" w:rsidP="00115052">
            <w:pPr>
              <w:pStyle w:val="InstructionsText"/>
            </w:pPr>
            <w:r>
              <w:t>Posizioni verso la cartolarizzazione</w:t>
            </w:r>
          </w:p>
        </w:tc>
      </w:tr>
      <w:tr w:rsidR="005B3B7C" w:rsidRPr="00661595" w:rsidTr="00672D2A">
        <w:tc>
          <w:tcPr>
            <w:tcW w:w="3761" w:type="dxa"/>
            <w:shd w:val="clear" w:color="auto" w:fill="auto"/>
          </w:tcPr>
          <w:p w:rsidR="00581FA5" w:rsidRPr="00661595" w:rsidRDefault="00581FA5" w:rsidP="00115052">
            <w:pPr>
              <w:pStyle w:val="InstructionsText"/>
            </w:pPr>
            <w:r>
              <w:t xml:space="preserve">NO </w:t>
            </w:r>
            <w:r>
              <w:rPr>
                <w:noProof/>
                <w:lang w:eastAsia="it-IT"/>
              </w:rPr>
              <w:drawing>
                <wp:inline distT="0" distB="0" distL="0" distR="0" wp14:anchorId="4078E8F3" wp14:editId="798D84B2">
                  <wp:extent cx="819150" cy="352425"/>
                  <wp:effectExtent l="0" t="0" r="0" b="9525"/>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B3B7C" w:rsidRPr="00661595" w:rsidRDefault="005B3B7C" w:rsidP="00115052">
            <w:pPr>
              <w:pStyle w:val="InstructionsText"/>
            </w:pPr>
          </w:p>
        </w:tc>
        <w:tc>
          <w:tcPr>
            <w:tcW w:w="1417" w:type="dxa"/>
            <w:shd w:val="clear" w:color="auto" w:fill="auto"/>
          </w:tcPr>
          <w:p w:rsidR="005B3B7C" w:rsidRPr="00661595" w:rsidRDefault="005B3B7C" w:rsidP="00115052">
            <w:pPr>
              <w:pStyle w:val="InstructionsText"/>
            </w:pPr>
          </w:p>
        </w:tc>
        <w:tc>
          <w:tcPr>
            <w:tcW w:w="4077" w:type="dxa"/>
            <w:shd w:val="clear" w:color="auto" w:fill="auto"/>
          </w:tcPr>
          <w:p w:rsidR="005B3B7C" w:rsidRPr="00661595" w:rsidRDefault="005B3B7C" w:rsidP="00115052">
            <w:pPr>
              <w:pStyle w:val="InstructionsText"/>
            </w:pPr>
          </w:p>
        </w:tc>
      </w:tr>
      <w:tr w:rsidR="003A1B96" w:rsidRPr="00661595" w:rsidTr="00672D2A">
        <w:tc>
          <w:tcPr>
            <w:tcW w:w="3761" w:type="dxa"/>
            <w:shd w:val="clear" w:color="auto" w:fill="auto"/>
          </w:tcPr>
          <w:p w:rsidR="003A1B96" w:rsidRPr="00661595" w:rsidRDefault="003A1B96" w:rsidP="00115052">
            <w:pPr>
              <w:pStyle w:val="InstructionsText"/>
            </w:pPr>
            <w:r>
              <w:t>Può essere assegnata alla classe di esposizioni di cui all</w:t>
            </w:r>
            <w:r w:rsidR="000878EC">
              <w:t>'</w:t>
            </w:r>
            <w:r>
              <w:t>articolo 112, lettera k), del CRR?</w:t>
            </w:r>
          </w:p>
        </w:tc>
        <w:tc>
          <w:tcPr>
            <w:tcW w:w="1417" w:type="dxa"/>
            <w:shd w:val="clear" w:color="auto" w:fill="auto"/>
          </w:tcPr>
          <w:p w:rsidR="00AC3054" w:rsidRPr="00661595" w:rsidRDefault="00974E3F" w:rsidP="00115052">
            <w:pPr>
              <w:pStyle w:val="InstructionsText"/>
            </w:pPr>
            <w:r>
              <w:t xml:space="preserve">SÌ </w:t>
            </w:r>
            <w:r>
              <w:rPr>
                <w:noProof/>
                <w:lang w:eastAsia="it-IT"/>
              </w:rPr>
              <w:drawing>
                <wp:inline distT="0" distB="0" distL="0" distR="0" wp14:anchorId="45289960" wp14:editId="4190C354">
                  <wp:extent cx="371475" cy="276225"/>
                  <wp:effectExtent l="0" t="0" r="9525" b="9525"/>
                  <wp:docPr id="3"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BD52C3" w:rsidRPr="00661595" w:rsidRDefault="00BD52C3" w:rsidP="00115052">
            <w:pPr>
              <w:pStyle w:val="InstructionsText"/>
            </w:pPr>
          </w:p>
          <w:p w:rsidR="003A1B96" w:rsidRPr="00661595" w:rsidRDefault="003A1B96" w:rsidP="00115052">
            <w:pPr>
              <w:pStyle w:val="InstructionsText"/>
            </w:pPr>
          </w:p>
        </w:tc>
        <w:tc>
          <w:tcPr>
            <w:tcW w:w="4077" w:type="dxa"/>
            <w:shd w:val="clear" w:color="auto" w:fill="auto"/>
          </w:tcPr>
          <w:p w:rsidR="003A1B96" w:rsidRPr="00661595" w:rsidRDefault="003A1B96" w:rsidP="00115052">
            <w:pPr>
              <w:pStyle w:val="InstructionsText"/>
            </w:pPr>
            <w:r>
              <w:t>Posizioni associate a un rischio particolarmente elevato (cfr. anche articolo 128 del CRR)</w:t>
            </w:r>
          </w:p>
        </w:tc>
      </w:tr>
      <w:tr w:rsidR="003A1B96" w:rsidRPr="00661595" w:rsidTr="00672D2A">
        <w:tc>
          <w:tcPr>
            <w:tcW w:w="3761" w:type="dxa"/>
            <w:shd w:val="clear" w:color="auto" w:fill="auto"/>
          </w:tcPr>
          <w:p w:rsidR="007241D3" w:rsidRPr="00661595" w:rsidRDefault="007241D3" w:rsidP="00115052">
            <w:pPr>
              <w:pStyle w:val="InstructionsText"/>
            </w:pPr>
            <w:r>
              <w:t xml:space="preserve">NO </w:t>
            </w:r>
            <w:r>
              <w:rPr>
                <w:noProof/>
                <w:lang w:eastAsia="it-IT"/>
              </w:rPr>
              <w:drawing>
                <wp:inline distT="0" distB="0" distL="0" distR="0" wp14:anchorId="69A243FB" wp14:editId="1116E58E">
                  <wp:extent cx="819150" cy="352425"/>
                  <wp:effectExtent l="0" t="0" r="0" b="9525"/>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661595" w:rsidRDefault="003A1B96" w:rsidP="00115052">
            <w:pPr>
              <w:pStyle w:val="InstructionsText"/>
            </w:pPr>
          </w:p>
        </w:tc>
        <w:tc>
          <w:tcPr>
            <w:tcW w:w="1417" w:type="dxa"/>
            <w:shd w:val="clear" w:color="auto" w:fill="auto"/>
          </w:tcPr>
          <w:p w:rsidR="003A1B96" w:rsidRPr="00661595" w:rsidRDefault="003A1B96" w:rsidP="00115052">
            <w:pPr>
              <w:pStyle w:val="InstructionsText"/>
            </w:pPr>
          </w:p>
        </w:tc>
        <w:tc>
          <w:tcPr>
            <w:tcW w:w="4077" w:type="dxa"/>
            <w:shd w:val="clear" w:color="auto" w:fill="auto"/>
          </w:tcPr>
          <w:p w:rsidR="003A1B96" w:rsidRPr="00661595" w:rsidRDefault="003A1B96" w:rsidP="00115052">
            <w:pPr>
              <w:pStyle w:val="InstructionsText"/>
            </w:pPr>
          </w:p>
        </w:tc>
      </w:tr>
      <w:tr w:rsidR="003A1B96" w:rsidRPr="00661595" w:rsidTr="00672D2A">
        <w:tc>
          <w:tcPr>
            <w:tcW w:w="3761" w:type="dxa"/>
            <w:shd w:val="clear" w:color="auto" w:fill="auto"/>
          </w:tcPr>
          <w:p w:rsidR="003A1B96" w:rsidRPr="00661595" w:rsidRDefault="003A1B96" w:rsidP="00115052">
            <w:pPr>
              <w:pStyle w:val="InstructionsText"/>
            </w:pPr>
            <w:r>
              <w:t>Può essere assegnata alla classe di esposizioni di cui all</w:t>
            </w:r>
            <w:r w:rsidR="000878EC">
              <w:t>'</w:t>
            </w:r>
            <w:r>
              <w:t>articolo 112, lettera p), del CRR?</w:t>
            </w:r>
          </w:p>
        </w:tc>
        <w:tc>
          <w:tcPr>
            <w:tcW w:w="1417" w:type="dxa"/>
            <w:shd w:val="clear" w:color="auto" w:fill="auto"/>
          </w:tcPr>
          <w:p w:rsidR="00BD52C3" w:rsidRPr="00661595" w:rsidRDefault="00BD52C3" w:rsidP="00115052">
            <w:pPr>
              <w:pStyle w:val="InstructionsText"/>
            </w:pPr>
            <w:r>
              <w:t xml:space="preserve">SÌ </w:t>
            </w:r>
            <w:r>
              <w:rPr>
                <w:noProof/>
                <w:lang w:eastAsia="it-IT"/>
              </w:rPr>
              <w:drawing>
                <wp:inline distT="0" distB="0" distL="0" distR="0" wp14:anchorId="3671253E" wp14:editId="2DAE9F41">
                  <wp:extent cx="371475" cy="276225"/>
                  <wp:effectExtent l="0" t="0" r="9525" b="9525"/>
                  <wp:docPr id="5" name="Pictur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3A1B96" w:rsidRPr="00661595" w:rsidRDefault="003A1B96" w:rsidP="00115052">
            <w:pPr>
              <w:pStyle w:val="InstructionsText"/>
            </w:pPr>
          </w:p>
        </w:tc>
        <w:tc>
          <w:tcPr>
            <w:tcW w:w="4077" w:type="dxa"/>
            <w:shd w:val="clear" w:color="auto" w:fill="auto"/>
          </w:tcPr>
          <w:p w:rsidR="003A1B96" w:rsidRPr="00661595" w:rsidRDefault="003A1B96" w:rsidP="00115052">
            <w:pPr>
              <w:pStyle w:val="InstructionsText"/>
            </w:pPr>
            <w:r>
              <w:t>Esposizioni in strumenti di capitale (cfr. anche articolo 133 del CRR)</w:t>
            </w:r>
          </w:p>
        </w:tc>
      </w:tr>
      <w:tr w:rsidR="003A1B96" w:rsidRPr="00661595" w:rsidTr="00672D2A">
        <w:tc>
          <w:tcPr>
            <w:tcW w:w="3761" w:type="dxa"/>
            <w:shd w:val="clear" w:color="auto" w:fill="auto"/>
          </w:tcPr>
          <w:p w:rsidR="007241D3" w:rsidRPr="00661595" w:rsidRDefault="007241D3" w:rsidP="00115052">
            <w:pPr>
              <w:pStyle w:val="InstructionsText"/>
            </w:pPr>
            <w:r>
              <w:t xml:space="preserve">NO </w:t>
            </w:r>
            <w:r>
              <w:rPr>
                <w:noProof/>
                <w:lang w:eastAsia="it-IT"/>
              </w:rPr>
              <w:drawing>
                <wp:inline distT="0" distB="0" distL="0" distR="0" wp14:anchorId="1F205163" wp14:editId="35DF1576">
                  <wp:extent cx="819150" cy="352425"/>
                  <wp:effectExtent l="0" t="0" r="0" b="9525"/>
                  <wp:docPr id="6"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3A1B96" w:rsidRPr="00661595" w:rsidRDefault="003A1B96" w:rsidP="00115052">
            <w:pPr>
              <w:pStyle w:val="InstructionsText"/>
            </w:pPr>
          </w:p>
        </w:tc>
        <w:tc>
          <w:tcPr>
            <w:tcW w:w="1417" w:type="dxa"/>
            <w:shd w:val="clear" w:color="auto" w:fill="auto"/>
          </w:tcPr>
          <w:p w:rsidR="003A1B96" w:rsidRPr="00661595" w:rsidRDefault="003A1B96" w:rsidP="00115052">
            <w:pPr>
              <w:pStyle w:val="InstructionsText"/>
            </w:pPr>
          </w:p>
        </w:tc>
        <w:tc>
          <w:tcPr>
            <w:tcW w:w="4077" w:type="dxa"/>
            <w:shd w:val="clear" w:color="auto" w:fill="auto"/>
          </w:tcPr>
          <w:p w:rsidR="003A1B96" w:rsidRPr="00661595" w:rsidRDefault="003A1B96" w:rsidP="00115052">
            <w:pPr>
              <w:pStyle w:val="InstructionsText"/>
            </w:pPr>
          </w:p>
        </w:tc>
      </w:tr>
      <w:tr w:rsidR="00581FA5" w:rsidRPr="00661595" w:rsidTr="00672D2A">
        <w:tc>
          <w:tcPr>
            <w:tcW w:w="3761" w:type="dxa"/>
            <w:shd w:val="clear" w:color="auto" w:fill="auto"/>
          </w:tcPr>
          <w:p w:rsidR="00581FA5" w:rsidRPr="00661595" w:rsidRDefault="00581FA5" w:rsidP="00115052">
            <w:pPr>
              <w:pStyle w:val="InstructionsText"/>
            </w:pPr>
            <w:r>
              <w:t>Può essere assegnata alla classe di esposizioni di cui all</w:t>
            </w:r>
            <w:r w:rsidR="000878EC">
              <w:t>'</w:t>
            </w:r>
            <w:r>
              <w:t>articolo 112, lettera j), del CRR?</w:t>
            </w:r>
          </w:p>
        </w:tc>
        <w:tc>
          <w:tcPr>
            <w:tcW w:w="1417" w:type="dxa"/>
            <w:shd w:val="clear" w:color="auto" w:fill="auto"/>
          </w:tcPr>
          <w:p w:rsidR="00BD52C3" w:rsidRPr="00661595" w:rsidRDefault="00BD52C3" w:rsidP="00115052">
            <w:pPr>
              <w:pStyle w:val="InstructionsText"/>
            </w:pPr>
            <w:r>
              <w:t xml:space="preserve">SÌ </w:t>
            </w:r>
            <w:r>
              <w:rPr>
                <w:noProof/>
                <w:lang w:eastAsia="it-IT"/>
              </w:rPr>
              <w:drawing>
                <wp:inline distT="0" distB="0" distL="0" distR="0" wp14:anchorId="4A47292E" wp14:editId="2703B755">
                  <wp:extent cx="371475" cy="276225"/>
                  <wp:effectExtent l="0" t="0" r="9525" b="9525"/>
                  <wp:docPr id="7"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115052">
            <w:pPr>
              <w:pStyle w:val="InstructionsText"/>
            </w:pPr>
          </w:p>
        </w:tc>
        <w:tc>
          <w:tcPr>
            <w:tcW w:w="4077" w:type="dxa"/>
            <w:shd w:val="clear" w:color="auto" w:fill="auto"/>
          </w:tcPr>
          <w:p w:rsidR="00581FA5" w:rsidRPr="00661595" w:rsidRDefault="00581FA5" w:rsidP="00115052">
            <w:pPr>
              <w:pStyle w:val="InstructionsText"/>
            </w:pPr>
            <w:r>
              <w:t>Esposizioni in stato di default</w:t>
            </w:r>
          </w:p>
        </w:tc>
      </w:tr>
      <w:tr w:rsidR="00581FA5" w:rsidRPr="00661595" w:rsidTr="00672D2A">
        <w:tc>
          <w:tcPr>
            <w:tcW w:w="3761" w:type="dxa"/>
            <w:shd w:val="clear" w:color="auto" w:fill="auto"/>
          </w:tcPr>
          <w:p w:rsidR="007241D3" w:rsidRPr="00661595" w:rsidRDefault="007241D3" w:rsidP="00115052">
            <w:pPr>
              <w:pStyle w:val="InstructionsText"/>
            </w:pPr>
            <w:r>
              <w:t xml:space="preserve">NO </w:t>
            </w:r>
            <w:r>
              <w:rPr>
                <w:noProof/>
                <w:lang w:eastAsia="it-IT"/>
              </w:rPr>
              <w:drawing>
                <wp:inline distT="0" distB="0" distL="0" distR="0" wp14:anchorId="549D07C0" wp14:editId="273F42B8">
                  <wp:extent cx="819150" cy="352425"/>
                  <wp:effectExtent l="0" t="0" r="0" b="9525"/>
                  <wp:docPr id="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115052">
            <w:pPr>
              <w:pStyle w:val="InstructionsText"/>
            </w:pPr>
          </w:p>
        </w:tc>
        <w:tc>
          <w:tcPr>
            <w:tcW w:w="1417" w:type="dxa"/>
            <w:shd w:val="clear" w:color="auto" w:fill="auto"/>
          </w:tcPr>
          <w:p w:rsidR="00581FA5" w:rsidRPr="00661595" w:rsidRDefault="00581FA5" w:rsidP="00115052">
            <w:pPr>
              <w:pStyle w:val="InstructionsText"/>
            </w:pPr>
          </w:p>
        </w:tc>
        <w:tc>
          <w:tcPr>
            <w:tcW w:w="4077" w:type="dxa"/>
            <w:shd w:val="clear" w:color="auto" w:fill="auto"/>
          </w:tcPr>
          <w:p w:rsidR="00581FA5" w:rsidRPr="00661595" w:rsidRDefault="00581FA5" w:rsidP="00115052">
            <w:pPr>
              <w:pStyle w:val="InstructionsText"/>
            </w:pPr>
          </w:p>
        </w:tc>
      </w:tr>
      <w:tr w:rsidR="00581FA5" w:rsidRPr="00661595" w:rsidTr="00672D2A">
        <w:tc>
          <w:tcPr>
            <w:tcW w:w="3761" w:type="dxa"/>
            <w:shd w:val="clear" w:color="auto" w:fill="auto"/>
          </w:tcPr>
          <w:p w:rsidR="00581FA5" w:rsidRPr="00661595" w:rsidRDefault="00581FA5" w:rsidP="00115052">
            <w:pPr>
              <w:pStyle w:val="InstructionsText"/>
            </w:pPr>
            <w:r>
              <w:t>Può essere assegnata alle classi di esposizioni di cui all</w:t>
            </w:r>
            <w:r w:rsidR="000878EC">
              <w:t>'</w:t>
            </w:r>
            <w:r>
              <w:t>articolo 112, lettere l) e o), del CRR?</w:t>
            </w:r>
          </w:p>
        </w:tc>
        <w:tc>
          <w:tcPr>
            <w:tcW w:w="1417" w:type="dxa"/>
            <w:shd w:val="clear" w:color="auto" w:fill="auto"/>
          </w:tcPr>
          <w:p w:rsidR="00BD52C3" w:rsidRPr="00661595" w:rsidRDefault="00BD52C3" w:rsidP="00115052">
            <w:pPr>
              <w:pStyle w:val="InstructionsText"/>
            </w:pPr>
            <w:r>
              <w:t xml:space="preserve">SÌ </w:t>
            </w:r>
            <w:r>
              <w:rPr>
                <w:noProof/>
                <w:lang w:eastAsia="it-IT"/>
              </w:rPr>
              <w:drawing>
                <wp:inline distT="0" distB="0" distL="0" distR="0" wp14:anchorId="40EF4AE2" wp14:editId="3718A93A">
                  <wp:extent cx="371475" cy="276225"/>
                  <wp:effectExtent l="0" t="0" r="9525" b="9525"/>
                  <wp:docPr id="9"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115052">
            <w:pPr>
              <w:pStyle w:val="InstructionsText"/>
            </w:pPr>
          </w:p>
        </w:tc>
        <w:tc>
          <w:tcPr>
            <w:tcW w:w="4077" w:type="dxa"/>
            <w:shd w:val="clear" w:color="auto" w:fill="auto"/>
          </w:tcPr>
          <w:p w:rsidR="00581FA5" w:rsidRPr="00661595" w:rsidRDefault="00581FA5" w:rsidP="00115052">
            <w:pPr>
              <w:pStyle w:val="InstructionsText"/>
            </w:pPr>
            <w:r>
              <w:t>Esposizioni sotto forma di quote o di azioni in organismi di investimento collettivo (OIC)</w:t>
            </w:r>
          </w:p>
          <w:p w:rsidR="00581FA5" w:rsidRPr="00661595" w:rsidRDefault="00581FA5" w:rsidP="00115052">
            <w:pPr>
              <w:pStyle w:val="InstructionsText"/>
            </w:pPr>
            <w:r>
              <w:t>Esposizioni sotto forma di obbligazioni garantite (cfr. anche articolo 129 del CRR)</w:t>
            </w:r>
          </w:p>
          <w:p w:rsidR="00581FA5" w:rsidRPr="00661595" w:rsidRDefault="00581FA5" w:rsidP="00115052">
            <w:pPr>
              <w:pStyle w:val="InstructionsText"/>
            </w:pPr>
            <w:r>
              <w:t>Queste due classi di esposizioni sono separate tra loro (cfr. osservazioni sul metodo look-through nella risposta precedente); pertanto l</w:t>
            </w:r>
            <w:r w:rsidR="000878EC">
              <w:t>'</w:t>
            </w:r>
            <w:r>
              <w:t>assegnazione a una di esse è immediata.</w:t>
            </w:r>
          </w:p>
        </w:tc>
      </w:tr>
      <w:tr w:rsidR="00581FA5" w:rsidRPr="00661595" w:rsidTr="00672D2A">
        <w:tc>
          <w:tcPr>
            <w:tcW w:w="3761" w:type="dxa"/>
            <w:shd w:val="clear" w:color="auto" w:fill="auto"/>
          </w:tcPr>
          <w:p w:rsidR="007241D3" w:rsidRPr="00661595" w:rsidRDefault="007241D3" w:rsidP="00115052">
            <w:pPr>
              <w:pStyle w:val="InstructionsText"/>
            </w:pPr>
            <w:r>
              <w:t xml:space="preserve">NO </w:t>
            </w:r>
            <w:r>
              <w:rPr>
                <w:noProof/>
                <w:lang w:eastAsia="it-IT"/>
              </w:rPr>
              <w:drawing>
                <wp:inline distT="0" distB="0" distL="0" distR="0" wp14:anchorId="4820E9D7" wp14:editId="31B7B9CB">
                  <wp:extent cx="819150" cy="352425"/>
                  <wp:effectExtent l="0" t="0" r="0" b="9525"/>
                  <wp:docPr id="10"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115052">
            <w:pPr>
              <w:pStyle w:val="InstructionsText"/>
            </w:pPr>
          </w:p>
        </w:tc>
        <w:tc>
          <w:tcPr>
            <w:tcW w:w="1417" w:type="dxa"/>
            <w:shd w:val="clear" w:color="auto" w:fill="auto"/>
          </w:tcPr>
          <w:p w:rsidR="00581FA5" w:rsidRPr="00661595" w:rsidRDefault="00581FA5" w:rsidP="00115052">
            <w:pPr>
              <w:pStyle w:val="InstructionsText"/>
            </w:pPr>
          </w:p>
        </w:tc>
        <w:tc>
          <w:tcPr>
            <w:tcW w:w="4077" w:type="dxa"/>
            <w:shd w:val="clear" w:color="auto" w:fill="auto"/>
          </w:tcPr>
          <w:p w:rsidR="00581FA5" w:rsidRPr="00661595" w:rsidRDefault="00581FA5" w:rsidP="00115052">
            <w:pPr>
              <w:pStyle w:val="InstructionsText"/>
            </w:pPr>
          </w:p>
        </w:tc>
      </w:tr>
      <w:tr w:rsidR="00581FA5" w:rsidRPr="00661595" w:rsidTr="00672D2A">
        <w:tc>
          <w:tcPr>
            <w:tcW w:w="3761" w:type="dxa"/>
            <w:shd w:val="clear" w:color="auto" w:fill="auto"/>
          </w:tcPr>
          <w:p w:rsidR="00581FA5" w:rsidRPr="00661595" w:rsidRDefault="00581FA5" w:rsidP="00115052">
            <w:pPr>
              <w:pStyle w:val="InstructionsText"/>
            </w:pPr>
            <w:r>
              <w:t>Può essere assegnata alla classe di esposizioni di cui all</w:t>
            </w:r>
            <w:r w:rsidR="000878EC">
              <w:t>'</w:t>
            </w:r>
            <w:r>
              <w:t>articolo 112, lettera i), del CRR?</w:t>
            </w:r>
          </w:p>
        </w:tc>
        <w:tc>
          <w:tcPr>
            <w:tcW w:w="1417" w:type="dxa"/>
            <w:shd w:val="clear" w:color="auto" w:fill="auto"/>
          </w:tcPr>
          <w:p w:rsidR="00BD52C3" w:rsidRPr="00661595" w:rsidRDefault="00BD52C3" w:rsidP="00115052">
            <w:pPr>
              <w:pStyle w:val="InstructionsText"/>
            </w:pPr>
            <w:r>
              <w:t xml:space="preserve">SÌ </w:t>
            </w:r>
            <w:r>
              <w:rPr>
                <w:noProof/>
                <w:lang w:eastAsia="it-IT"/>
              </w:rPr>
              <w:drawing>
                <wp:inline distT="0" distB="0" distL="0" distR="0" wp14:anchorId="705F6EAB" wp14:editId="182592BB">
                  <wp:extent cx="371475" cy="276225"/>
                  <wp:effectExtent l="0" t="0" r="9525" b="9525"/>
                  <wp:docPr id="11"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115052">
            <w:pPr>
              <w:pStyle w:val="InstructionsText"/>
            </w:pPr>
          </w:p>
        </w:tc>
        <w:tc>
          <w:tcPr>
            <w:tcW w:w="4077" w:type="dxa"/>
            <w:shd w:val="clear" w:color="auto" w:fill="auto"/>
          </w:tcPr>
          <w:p w:rsidR="00581FA5" w:rsidRPr="00661595" w:rsidRDefault="00581FA5" w:rsidP="00115052">
            <w:pPr>
              <w:pStyle w:val="InstructionsText"/>
            </w:pPr>
            <w:r>
              <w:t>Esposizioni garantite da ipoteche su beni immobili (cfr. anche articolo 124 del CRR)</w:t>
            </w:r>
          </w:p>
        </w:tc>
      </w:tr>
      <w:tr w:rsidR="00581FA5" w:rsidRPr="00661595" w:rsidTr="00672D2A">
        <w:tc>
          <w:tcPr>
            <w:tcW w:w="3761" w:type="dxa"/>
            <w:shd w:val="clear" w:color="auto" w:fill="auto"/>
          </w:tcPr>
          <w:p w:rsidR="007241D3" w:rsidRPr="00661595" w:rsidRDefault="007241D3" w:rsidP="00115052">
            <w:pPr>
              <w:pStyle w:val="InstructionsText"/>
            </w:pPr>
            <w:r>
              <w:t xml:space="preserve">NO </w:t>
            </w:r>
            <w:r>
              <w:rPr>
                <w:noProof/>
                <w:lang w:eastAsia="it-IT"/>
              </w:rPr>
              <w:drawing>
                <wp:inline distT="0" distB="0" distL="0" distR="0" wp14:anchorId="747AC61B" wp14:editId="250EE02A">
                  <wp:extent cx="819150" cy="352425"/>
                  <wp:effectExtent l="0" t="0" r="0" b="9525"/>
                  <wp:docPr id="1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115052">
            <w:pPr>
              <w:pStyle w:val="InstructionsText"/>
            </w:pPr>
          </w:p>
        </w:tc>
        <w:tc>
          <w:tcPr>
            <w:tcW w:w="1417" w:type="dxa"/>
            <w:shd w:val="clear" w:color="auto" w:fill="auto"/>
          </w:tcPr>
          <w:p w:rsidR="00581FA5" w:rsidRPr="00661595" w:rsidRDefault="00581FA5" w:rsidP="00115052">
            <w:pPr>
              <w:pStyle w:val="InstructionsText"/>
            </w:pPr>
          </w:p>
        </w:tc>
        <w:tc>
          <w:tcPr>
            <w:tcW w:w="4077" w:type="dxa"/>
            <w:shd w:val="clear" w:color="auto" w:fill="auto"/>
          </w:tcPr>
          <w:p w:rsidR="00581FA5" w:rsidRPr="00661595" w:rsidRDefault="00581FA5" w:rsidP="00115052">
            <w:pPr>
              <w:pStyle w:val="InstructionsText"/>
            </w:pPr>
          </w:p>
        </w:tc>
      </w:tr>
      <w:tr w:rsidR="00581FA5" w:rsidRPr="00661595" w:rsidTr="00672D2A">
        <w:tc>
          <w:tcPr>
            <w:tcW w:w="3761" w:type="dxa"/>
            <w:shd w:val="clear" w:color="auto" w:fill="auto"/>
          </w:tcPr>
          <w:p w:rsidR="00581FA5" w:rsidRPr="00661595" w:rsidRDefault="00581FA5" w:rsidP="00115052">
            <w:pPr>
              <w:pStyle w:val="InstructionsText"/>
            </w:pPr>
            <w:r>
              <w:t>Può essere assegnata alla classe di esposizioni di cui all</w:t>
            </w:r>
            <w:r w:rsidR="000878EC">
              <w:t>'</w:t>
            </w:r>
            <w:r>
              <w:t>articolo 112, lettera q), del CRR?</w:t>
            </w:r>
          </w:p>
        </w:tc>
        <w:tc>
          <w:tcPr>
            <w:tcW w:w="1417" w:type="dxa"/>
            <w:shd w:val="clear" w:color="auto" w:fill="auto"/>
          </w:tcPr>
          <w:p w:rsidR="00BD52C3" w:rsidRPr="00661595" w:rsidRDefault="00BD52C3" w:rsidP="00115052">
            <w:pPr>
              <w:pStyle w:val="InstructionsText"/>
            </w:pPr>
            <w:r>
              <w:t xml:space="preserve">SÌ </w:t>
            </w:r>
            <w:r>
              <w:rPr>
                <w:noProof/>
                <w:lang w:eastAsia="it-IT"/>
              </w:rPr>
              <w:drawing>
                <wp:inline distT="0" distB="0" distL="0" distR="0" wp14:anchorId="46BA6387" wp14:editId="77891BB0">
                  <wp:extent cx="371475" cy="276225"/>
                  <wp:effectExtent l="0" t="0" r="9525" b="9525"/>
                  <wp:docPr id="13"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115052">
            <w:pPr>
              <w:pStyle w:val="InstructionsText"/>
            </w:pPr>
          </w:p>
        </w:tc>
        <w:tc>
          <w:tcPr>
            <w:tcW w:w="4077" w:type="dxa"/>
            <w:shd w:val="clear" w:color="auto" w:fill="auto"/>
          </w:tcPr>
          <w:p w:rsidR="00581FA5" w:rsidRPr="00661595" w:rsidRDefault="00581FA5" w:rsidP="00115052">
            <w:pPr>
              <w:pStyle w:val="InstructionsText"/>
            </w:pPr>
            <w:r>
              <w:t>Altre posizioni</w:t>
            </w:r>
          </w:p>
        </w:tc>
      </w:tr>
      <w:tr w:rsidR="00581FA5" w:rsidRPr="00661595" w:rsidTr="00672D2A">
        <w:tc>
          <w:tcPr>
            <w:tcW w:w="3761" w:type="dxa"/>
            <w:shd w:val="clear" w:color="auto" w:fill="auto"/>
          </w:tcPr>
          <w:p w:rsidR="007241D3" w:rsidRPr="00661595" w:rsidRDefault="007241D3" w:rsidP="00115052">
            <w:pPr>
              <w:pStyle w:val="InstructionsText"/>
            </w:pPr>
            <w:r>
              <w:t xml:space="preserve">NO </w:t>
            </w:r>
            <w:r>
              <w:rPr>
                <w:noProof/>
                <w:lang w:eastAsia="it-IT"/>
              </w:rPr>
              <w:drawing>
                <wp:inline distT="0" distB="0" distL="0" distR="0" wp14:anchorId="61F8337C" wp14:editId="09DC0254">
                  <wp:extent cx="819150" cy="352425"/>
                  <wp:effectExtent l="0" t="0" r="0" b="9525"/>
                  <wp:docPr id="14"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115052">
            <w:pPr>
              <w:pStyle w:val="InstructionsText"/>
            </w:pPr>
          </w:p>
        </w:tc>
        <w:tc>
          <w:tcPr>
            <w:tcW w:w="1417" w:type="dxa"/>
            <w:shd w:val="clear" w:color="auto" w:fill="auto"/>
          </w:tcPr>
          <w:p w:rsidR="00581FA5" w:rsidRPr="00661595" w:rsidRDefault="00581FA5" w:rsidP="00115052">
            <w:pPr>
              <w:pStyle w:val="InstructionsText"/>
            </w:pPr>
          </w:p>
        </w:tc>
        <w:tc>
          <w:tcPr>
            <w:tcW w:w="4077" w:type="dxa"/>
            <w:shd w:val="clear" w:color="auto" w:fill="auto"/>
          </w:tcPr>
          <w:p w:rsidR="00581FA5" w:rsidRPr="00661595" w:rsidRDefault="00581FA5" w:rsidP="00115052">
            <w:pPr>
              <w:pStyle w:val="InstructionsText"/>
            </w:pPr>
          </w:p>
        </w:tc>
      </w:tr>
      <w:tr w:rsidR="00581FA5" w:rsidRPr="00661595" w:rsidTr="00672D2A">
        <w:tc>
          <w:tcPr>
            <w:tcW w:w="3761" w:type="dxa"/>
            <w:shd w:val="clear" w:color="auto" w:fill="auto"/>
          </w:tcPr>
          <w:p w:rsidR="00581FA5" w:rsidRPr="00661595" w:rsidRDefault="00581FA5" w:rsidP="00115052">
            <w:pPr>
              <w:pStyle w:val="InstructionsText"/>
            </w:pPr>
            <w:r>
              <w:t>Può essere assegnata alla classe di esposizioni di cui all</w:t>
            </w:r>
            <w:r w:rsidR="000878EC">
              <w:t>'</w:t>
            </w:r>
            <w:r>
              <w:t>articolo 112, lettera n), del CRR?</w:t>
            </w:r>
          </w:p>
        </w:tc>
        <w:tc>
          <w:tcPr>
            <w:tcW w:w="1417" w:type="dxa"/>
            <w:shd w:val="clear" w:color="auto" w:fill="auto"/>
          </w:tcPr>
          <w:p w:rsidR="0063493E" w:rsidRPr="00661595" w:rsidRDefault="0063493E" w:rsidP="00115052">
            <w:pPr>
              <w:pStyle w:val="InstructionsText"/>
            </w:pPr>
            <w:r>
              <w:t xml:space="preserve">SÌ </w:t>
            </w:r>
            <w:r>
              <w:rPr>
                <w:noProof/>
                <w:lang w:eastAsia="it-IT"/>
              </w:rPr>
              <w:drawing>
                <wp:inline distT="0" distB="0" distL="0" distR="0" wp14:anchorId="585201AB" wp14:editId="5D16DCF4">
                  <wp:extent cx="371475" cy="276225"/>
                  <wp:effectExtent l="0" t="0" r="9525" b="9525"/>
                  <wp:docPr id="15" name="Pictur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71475" cy="276225"/>
                          </a:xfrm>
                          <a:prstGeom prst="rect">
                            <a:avLst/>
                          </a:prstGeom>
                          <a:noFill/>
                          <a:ln>
                            <a:noFill/>
                          </a:ln>
                        </pic:spPr>
                      </pic:pic>
                    </a:graphicData>
                  </a:graphic>
                </wp:inline>
              </w:drawing>
            </w:r>
          </w:p>
          <w:p w:rsidR="00581FA5" w:rsidRPr="00661595" w:rsidRDefault="00581FA5" w:rsidP="00115052">
            <w:pPr>
              <w:pStyle w:val="InstructionsText"/>
            </w:pPr>
          </w:p>
        </w:tc>
        <w:tc>
          <w:tcPr>
            <w:tcW w:w="4077" w:type="dxa"/>
            <w:shd w:val="clear" w:color="auto" w:fill="auto"/>
          </w:tcPr>
          <w:p w:rsidR="00581FA5" w:rsidRPr="00661595" w:rsidRDefault="00581FA5" w:rsidP="00115052">
            <w:pPr>
              <w:pStyle w:val="InstructionsText"/>
            </w:pPr>
            <w:r>
              <w:t>Esposizioni verso enti e imprese con valutazione del merito di credito a breve termine</w:t>
            </w:r>
          </w:p>
        </w:tc>
      </w:tr>
      <w:tr w:rsidR="00581FA5" w:rsidRPr="00661595" w:rsidTr="00672D2A">
        <w:tc>
          <w:tcPr>
            <w:tcW w:w="3761" w:type="dxa"/>
            <w:shd w:val="clear" w:color="auto" w:fill="auto"/>
          </w:tcPr>
          <w:p w:rsidR="007241D3" w:rsidRPr="00661595" w:rsidRDefault="007241D3" w:rsidP="00115052">
            <w:pPr>
              <w:pStyle w:val="InstructionsText"/>
            </w:pPr>
            <w:r>
              <w:t xml:space="preserve">NO </w:t>
            </w:r>
            <w:r>
              <w:rPr>
                <w:noProof/>
                <w:lang w:eastAsia="it-IT"/>
              </w:rPr>
              <w:drawing>
                <wp:inline distT="0" distB="0" distL="0" distR="0" wp14:anchorId="512762B1" wp14:editId="6F020946">
                  <wp:extent cx="819150" cy="352425"/>
                  <wp:effectExtent l="0" t="0" r="0"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9150" cy="352425"/>
                          </a:xfrm>
                          <a:prstGeom prst="rect">
                            <a:avLst/>
                          </a:prstGeom>
                          <a:noFill/>
                          <a:ln>
                            <a:noFill/>
                          </a:ln>
                        </pic:spPr>
                      </pic:pic>
                    </a:graphicData>
                  </a:graphic>
                </wp:inline>
              </w:drawing>
            </w:r>
          </w:p>
          <w:p w:rsidR="00581FA5" w:rsidRPr="00661595" w:rsidRDefault="00581FA5" w:rsidP="00115052">
            <w:pPr>
              <w:pStyle w:val="InstructionsText"/>
            </w:pPr>
          </w:p>
        </w:tc>
        <w:tc>
          <w:tcPr>
            <w:tcW w:w="1417" w:type="dxa"/>
            <w:shd w:val="clear" w:color="auto" w:fill="auto"/>
          </w:tcPr>
          <w:p w:rsidR="00581FA5" w:rsidRPr="00661595" w:rsidRDefault="00581FA5" w:rsidP="00115052">
            <w:pPr>
              <w:pStyle w:val="InstructionsText"/>
            </w:pPr>
          </w:p>
        </w:tc>
        <w:tc>
          <w:tcPr>
            <w:tcW w:w="4077" w:type="dxa"/>
            <w:shd w:val="clear" w:color="auto" w:fill="auto"/>
          </w:tcPr>
          <w:p w:rsidR="00581FA5" w:rsidRPr="00661595" w:rsidRDefault="00581FA5" w:rsidP="00115052">
            <w:pPr>
              <w:pStyle w:val="InstructionsText"/>
            </w:pPr>
          </w:p>
        </w:tc>
      </w:tr>
      <w:tr w:rsidR="00581FA5" w:rsidRPr="00661595" w:rsidTr="00672D2A">
        <w:tc>
          <w:tcPr>
            <w:tcW w:w="9255" w:type="dxa"/>
            <w:gridSpan w:val="3"/>
            <w:shd w:val="clear" w:color="auto" w:fill="auto"/>
          </w:tcPr>
          <w:p w:rsidR="00581FA5" w:rsidRPr="00661595" w:rsidRDefault="00581FA5" w:rsidP="00115052">
            <w:pPr>
              <w:pStyle w:val="InstructionsText"/>
            </w:pPr>
            <w:r>
              <w:t>Le seguenti classi di esposizioni sono separate tra loro; pertanto l</w:t>
            </w:r>
            <w:r w:rsidR="000878EC">
              <w:t>'</w:t>
            </w:r>
            <w:r>
              <w:t>assegnazione a una di esse è immediata:</w:t>
            </w:r>
          </w:p>
          <w:p w:rsidR="00581FA5" w:rsidRPr="00661595" w:rsidRDefault="00581FA5" w:rsidP="00115052">
            <w:pPr>
              <w:pStyle w:val="InstructionsText"/>
            </w:pPr>
            <w:r>
              <w:t>esposizioni verso amministrazioni centrali o banche centrali</w:t>
            </w:r>
          </w:p>
          <w:p w:rsidR="00581FA5" w:rsidRPr="00661595" w:rsidRDefault="00581FA5" w:rsidP="00115052">
            <w:pPr>
              <w:pStyle w:val="InstructionsText"/>
            </w:pPr>
            <w:r>
              <w:t>esposizioni verso amministrazioni regionali o autorità locali</w:t>
            </w:r>
          </w:p>
          <w:p w:rsidR="00581FA5" w:rsidRPr="00661595" w:rsidRDefault="00581FA5" w:rsidP="00115052">
            <w:pPr>
              <w:pStyle w:val="InstructionsText"/>
            </w:pPr>
            <w:r>
              <w:t>esposizioni verso organismi del settore pubblico</w:t>
            </w:r>
          </w:p>
          <w:p w:rsidR="00581FA5" w:rsidRPr="00661595" w:rsidRDefault="00581FA5" w:rsidP="00115052">
            <w:pPr>
              <w:pStyle w:val="InstructionsText"/>
            </w:pPr>
            <w:r>
              <w:t>esposizioni verso banche multilaterali di sviluppo</w:t>
            </w:r>
          </w:p>
          <w:p w:rsidR="00581FA5" w:rsidRPr="00661595" w:rsidRDefault="00581FA5" w:rsidP="00115052">
            <w:pPr>
              <w:pStyle w:val="InstructionsText"/>
            </w:pPr>
            <w:r>
              <w:t>esposizioni verso organizzazioni internazionali</w:t>
            </w:r>
          </w:p>
          <w:p w:rsidR="00581FA5" w:rsidRPr="00661595" w:rsidRDefault="00581FA5" w:rsidP="00115052">
            <w:pPr>
              <w:pStyle w:val="InstructionsText"/>
            </w:pPr>
            <w:r>
              <w:t>esposizioni verso enti</w:t>
            </w:r>
          </w:p>
          <w:p w:rsidR="00581FA5" w:rsidRPr="00661595" w:rsidRDefault="00581FA5" w:rsidP="00115052">
            <w:pPr>
              <w:pStyle w:val="InstructionsText"/>
            </w:pPr>
            <w:r>
              <w:t>esposizioni verso imprese</w:t>
            </w:r>
          </w:p>
          <w:p w:rsidR="00581FA5" w:rsidRPr="00661595" w:rsidRDefault="00581FA5" w:rsidP="00115052">
            <w:pPr>
              <w:pStyle w:val="InstructionsText"/>
            </w:pPr>
            <w:r>
              <w:t>esposizioni al dettaglio</w:t>
            </w:r>
          </w:p>
        </w:tc>
      </w:tr>
    </w:tbl>
    <w:p w:rsidR="00464F34" w:rsidRPr="00661595" w:rsidRDefault="00464F34" w:rsidP="00115052">
      <w:pPr>
        <w:pStyle w:val="InstructionsText"/>
      </w:pPr>
    </w:p>
    <w:p w:rsidR="0073242B" w:rsidRPr="00661595" w:rsidRDefault="0073242B">
      <w:pPr>
        <w:spacing w:before="0" w:after="0"/>
        <w:jc w:val="left"/>
        <w:rPr>
          <w:rFonts w:ascii="Times New Roman" w:hAnsi="Times New Roman"/>
          <w:bCs/>
          <w:sz w:val="24"/>
        </w:rPr>
      </w:pPr>
      <w:r>
        <w:br w:type="page"/>
      </w:r>
    </w:p>
    <w:p w:rsidR="00464F34" w:rsidRPr="00661595" w:rsidRDefault="00464F34" w:rsidP="00115052">
      <w:pPr>
        <w:pStyle w:val="InstructionsText"/>
      </w:pP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88" w:name="_Toc264038429"/>
      <w:bookmarkStart w:id="189" w:name="_Toc292456208"/>
      <w:bookmarkStart w:id="190" w:name="_Toc295829859"/>
      <w:bookmarkStart w:id="191" w:name="_Toc310415023"/>
      <w:bookmarkStart w:id="192" w:name="_Toc360188352"/>
      <w:bookmarkStart w:id="193" w:name="_Toc473560901"/>
      <w:bookmarkStart w:id="194" w:name="_Toc58915744"/>
      <w:r>
        <w:rPr>
          <w:rFonts w:ascii="Times New Roman" w:hAnsi="Times New Roman"/>
          <w:sz w:val="24"/>
          <w:u w:val="none"/>
        </w:rPr>
        <w:t>3.2.4.</w:t>
      </w:r>
      <w:r w:rsidRPr="003C655D">
        <w:rPr>
          <w:u w:val="none"/>
        </w:rPr>
        <w:tab/>
      </w:r>
      <w:bookmarkStart w:id="195" w:name="_Toc262568031"/>
      <w:r>
        <w:rPr>
          <w:rFonts w:ascii="Times New Roman" w:hAnsi="Times New Roman"/>
          <w:sz w:val="24"/>
        </w:rPr>
        <w:t>Chiarimenti dell</w:t>
      </w:r>
      <w:r w:rsidR="000878EC">
        <w:rPr>
          <w:rFonts w:ascii="Times New Roman" w:hAnsi="Times New Roman"/>
          <w:sz w:val="24"/>
        </w:rPr>
        <w:t>'</w:t>
      </w:r>
      <w:r>
        <w:rPr>
          <w:rFonts w:ascii="Times New Roman" w:hAnsi="Times New Roman"/>
          <w:sz w:val="24"/>
        </w:rPr>
        <w:t>ambito di applicazione di alcune classi di esposizioni specifiche di cui all</w:t>
      </w:r>
      <w:r w:rsidR="000878EC">
        <w:rPr>
          <w:rFonts w:ascii="Times New Roman" w:hAnsi="Times New Roman"/>
          <w:sz w:val="24"/>
        </w:rPr>
        <w:t>'</w:t>
      </w:r>
      <w:r>
        <w:rPr>
          <w:rFonts w:ascii="Times New Roman" w:hAnsi="Times New Roman"/>
          <w:sz w:val="24"/>
        </w:rPr>
        <w:t>articolo 112</w:t>
      </w:r>
      <w:bookmarkEnd w:id="188"/>
      <w:bookmarkEnd w:id="189"/>
      <w:bookmarkEnd w:id="190"/>
      <w:bookmarkEnd w:id="191"/>
      <w:bookmarkEnd w:id="192"/>
      <w:bookmarkEnd w:id="193"/>
      <w:bookmarkEnd w:id="195"/>
      <w:r w:rsidR="003C655D">
        <w:rPr>
          <w:rFonts w:ascii="Times New Roman" w:hAnsi="Times New Roman"/>
          <w:sz w:val="24"/>
        </w:rPr>
        <w:t xml:space="preserve"> del </w:t>
      </w:r>
      <w:r>
        <w:rPr>
          <w:rFonts w:ascii="Times New Roman" w:hAnsi="Times New Roman"/>
          <w:sz w:val="24"/>
        </w:rPr>
        <w:t>CRR</w:t>
      </w:r>
      <w:bookmarkEnd w:id="194"/>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96" w:name="_Toc360188353"/>
      <w:bookmarkStart w:id="197" w:name="_Toc473560902"/>
      <w:bookmarkStart w:id="198" w:name="_Toc58915745"/>
      <w:r>
        <w:rPr>
          <w:rFonts w:ascii="Times New Roman" w:hAnsi="Times New Roman"/>
          <w:sz w:val="24"/>
          <w:u w:val="none"/>
        </w:rPr>
        <w:t>3.2.4.1.</w:t>
      </w:r>
      <w:r w:rsidRPr="003C655D">
        <w:rPr>
          <w:u w:val="none"/>
        </w:rPr>
        <w:tab/>
      </w:r>
      <w:r>
        <w:rPr>
          <w:rFonts w:ascii="Times New Roman" w:hAnsi="Times New Roman"/>
          <w:sz w:val="24"/>
        </w:rPr>
        <w:t xml:space="preserve">Classe di esposizioni </w:t>
      </w:r>
      <w:r w:rsidR="000878EC">
        <w:rPr>
          <w:rFonts w:ascii="Times New Roman" w:hAnsi="Times New Roman"/>
          <w:sz w:val="24"/>
        </w:rPr>
        <w:t>"</w:t>
      </w:r>
      <w:r>
        <w:rPr>
          <w:rFonts w:ascii="Times New Roman" w:hAnsi="Times New Roman"/>
          <w:sz w:val="24"/>
        </w:rPr>
        <w:t>Enti</w:t>
      </w:r>
      <w:r w:rsidR="000878EC">
        <w:rPr>
          <w:rFonts w:ascii="Times New Roman" w:hAnsi="Times New Roman"/>
          <w:sz w:val="24"/>
        </w:rPr>
        <w:t>"</w:t>
      </w:r>
      <w:bookmarkEnd w:id="196"/>
      <w:bookmarkEnd w:id="197"/>
      <w:bookmarkEnd w:id="198"/>
    </w:p>
    <w:p w:rsidR="00464F34" w:rsidRPr="00661595" w:rsidRDefault="00A971CA" w:rsidP="00DF1E3B">
      <w:pPr>
        <w:pStyle w:val="InstructionsText2"/>
        <w:numPr>
          <w:ilvl w:val="0"/>
          <w:numId w:val="0"/>
        </w:numPr>
        <w:ind w:left="1920" w:hanging="480"/>
      </w:pPr>
      <w:r>
        <w:fldChar w:fldCharType="begin"/>
      </w:r>
      <w:r>
        <w:instrText xml:space="preserve"> seq paragraphs </w:instrText>
      </w:r>
      <w:r>
        <w:fldChar w:fldCharType="separate"/>
      </w:r>
      <w:r w:rsidR="00D11E4C">
        <w:rPr>
          <w:noProof/>
        </w:rPr>
        <w:t>66</w:t>
      </w:r>
      <w:r>
        <w:rPr>
          <w:noProof/>
        </w:rPr>
        <w:fldChar w:fldCharType="end"/>
      </w:r>
      <w:r w:rsidR="00D11E4C">
        <w:t>.</w:t>
      </w:r>
      <w:r w:rsidR="00D11E4C">
        <w:tab/>
        <w:t>Le esposizioni infragruppo di cui all</w:t>
      </w:r>
      <w:r w:rsidR="000878EC">
        <w:t>'</w:t>
      </w:r>
      <w:r w:rsidR="00D11E4C">
        <w:t>articolo 113, paragrafi 6 e 7, del CRR sono segnalate con le modalità indicate di seguito.</w:t>
      </w:r>
    </w:p>
    <w:p w:rsidR="00464F34" w:rsidRPr="00661595" w:rsidRDefault="00A971CA" w:rsidP="00DF1E3B">
      <w:pPr>
        <w:pStyle w:val="InstructionsText2"/>
        <w:numPr>
          <w:ilvl w:val="0"/>
          <w:numId w:val="0"/>
        </w:numPr>
        <w:ind w:left="1920" w:hanging="480"/>
      </w:pPr>
      <w:r>
        <w:fldChar w:fldCharType="begin"/>
      </w:r>
      <w:r>
        <w:instrText xml:space="preserve"> seq paragraphs </w:instrText>
      </w:r>
      <w:r>
        <w:fldChar w:fldCharType="separate"/>
      </w:r>
      <w:r w:rsidR="00D11E4C">
        <w:rPr>
          <w:noProof/>
        </w:rPr>
        <w:t>67</w:t>
      </w:r>
      <w:r>
        <w:rPr>
          <w:noProof/>
        </w:rPr>
        <w:fldChar w:fldCharType="end"/>
      </w:r>
      <w:r w:rsidR="00D11E4C">
        <w:t>.</w:t>
      </w:r>
      <w:r w:rsidR="00D11E4C">
        <w:tab/>
        <w:t>Le esposizioni che soddisfano i requisiti dell</w:t>
      </w:r>
      <w:r w:rsidR="000878EC">
        <w:t>'</w:t>
      </w:r>
      <w:r w:rsidR="00D11E4C">
        <w:t>articolo 113, paragrafo 7, del CRR sono segnalate nella rispettiva classe di esposizioni nella quale sarebbero segnalate se non fossero esposizioni infragruppo.</w:t>
      </w:r>
    </w:p>
    <w:p w:rsidR="00464F34" w:rsidRPr="00661595" w:rsidRDefault="00A971CA" w:rsidP="00DF1E3B">
      <w:pPr>
        <w:pStyle w:val="InstructionsText2"/>
        <w:numPr>
          <w:ilvl w:val="0"/>
          <w:numId w:val="0"/>
        </w:numPr>
        <w:ind w:left="1920" w:hanging="480"/>
      </w:pPr>
      <w:r>
        <w:fldChar w:fldCharType="begin"/>
      </w:r>
      <w:r>
        <w:instrText xml:space="preserve"> seq paragraphs </w:instrText>
      </w:r>
      <w:r>
        <w:fldChar w:fldCharType="separate"/>
      </w:r>
      <w:r w:rsidR="00D11E4C">
        <w:rPr>
          <w:noProof/>
        </w:rPr>
        <w:t>68</w:t>
      </w:r>
      <w:r>
        <w:rPr>
          <w:noProof/>
        </w:rPr>
        <w:fldChar w:fldCharType="end"/>
      </w:r>
      <w:r w:rsidR="00D11E4C">
        <w:t>.</w:t>
      </w:r>
      <w:r w:rsidR="00D11E4C">
        <w:tab/>
        <w:t>Ai sensi dell</w:t>
      </w:r>
      <w:r w:rsidR="000878EC">
        <w:t>'</w:t>
      </w:r>
      <w:r w:rsidR="00D11E4C">
        <w:t>articolo 113, paragrafi 6 e 7, del CRR un ente può, subordinatamente alla preventiva approvazione delle autorità competenti, decidere di non applicare i requisiti di cui al paragrafo 1 del medesimo articolo alle esposizioni dell</w:t>
      </w:r>
      <w:r w:rsidR="000878EC">
        <w:t>'</w:t>
      </w:r>
      <w:r w:rsidR="00D11E4C">
        <w:t>ente verso una controparte che sia sua impresa madre, sua filiazione o filiazione della sua impresa madre, o un</w:t>
      </w:r>
      <w:r w:rsidR="000878EC">
        <w:t>'</w:t>
      </w:r>
      <w:r w:rsidR="00D11E4C">
        <w:t>impresa legata da una relazione ai sensi dell</w:t>
      </w:r>
      <w:r w:rsidR="000878EC">
        <w:t>'</w:t>
      </w:r>
      <w:r w:rsidR="00D11E4C">
        <w:t>articolo 12, paragrafo 1, della direttiva 83/349/CEE. Ciò significa che le controparti infragruppo non sono necessariamente enti, bensì anche imprese assegnate ad altre classi di esposizioni, ad esempio imprese strumentali o imprese di cui all</w:t>
      </w:r>
      <w:r w:rsidR="000878EC">
        <w:t>'</w:t>
      </w:r>
      <w:r w:rsidR="00D11E4C">
        <w:t>articolo 12, paragrafo 1, della direttiva 83/349/CEE del Consiglio</w:t>
      </w:r>
      <w:r w:rsidR="00D11E4C">
        <w:footnoteReference w:id="8"/>
      </w:r>
      <w:r w:rsidR="00D11E4C">
        <w:t>. Pertanto le esposizioni infragruppo sono segnalate nella classe di esposizioni corrispondente.</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199" w:name="_Toc360188354"/>
      <w:bookmarkStart w:id="200" w:name="_Toc473560903"/>
      <w:bookmarkStart w:id="201" w:name="_Toc58915746"/>
      <w:r>
        <w:rPr>
          <w:rFonts w:ascii="Times New Roman" w:hAnsi="Times New Roman"/>
          <w:sz w:val="24"/>
          <w:u w:val="none"/>
        </w:rPr>
        <w:t>3.2.4.2.</w:t>
      </w:r>
      <w:r w:rsidRPr="00FC73F6">
        <w:rPr>
          <w:u w:val="none"/>
        </w:rPr>
        <w:tab/>
      </w:r>
      <w:r>
        <w:rPr>
          <w:rFonts w:ascii="Times New Roman" w:hAnsi="Times New Roman"/>
          <w:sz w:val="24"/>
        </w:rPr>
        <w:t xml:space="preserve">Classe di esposizioni </w:t>
      </w:r>
      <w:r w:rsidR="000878EC">
        <w:rPr>
          <w:rFonts w:ascii="Times New Roman" w:hAnsi="Times New Roman"/>
          <w:sz w:val="24"/>
        </w:rPr>
        <w:t>"</w:t>
      </w:r>
      <w:r>
        <w:rPr>
          <w:rFonts w:ascii="Times New Roman" w:hAnsi="Times New Roman"/>
          <w:sz w:val="24"/>
        </w:rPr>
        <w:t>Obbligazioni garantite</w:t>
      </w:r>
      <w:r w:rsidR="000878EC">
        <w:rPr>
          <w:rFonts w:ascii="Times New Roman" w:hAnsi="Times New Roman"/>
          <w:sz w:val="24"/>
        </w:rPr>
        <w:t>"</w:t>
      </w:r>
      <w:bookmarkEnd w:id="199"/>
      <w:bookmarkEnd w:id="200"/>
      <w:bookmarkEnd w:id="201"/>
    </w:p>
    <w:p w:rsidR="00464F34" w:rsidRPr="00661595" w:rsidRDefault="00A971CA" w:rsidP="00DF1E3B">
      <w:pPr>
        <w:pStyle w:val="InstructionsText2"/>
        <w:numPr>
          <w:ilvl w:val="0"/>
          <w:numId w:val="0"/>
        </w:numPr>
        <w:ind w:left="1920" w:hanging="480"/>
      </w:pPr>
      <w:r>
        <w:fldChar w:fldCharType="begin"/>
      </w:r>
      <w:r>
        <w:instrText xml:space="preserve"> seq paragraphs </w:instrText>
      </w:r>
      <w:r>
        <w:fldChar w:fldCharType="separate"/>
      </w:r>
      <w:r w:rsidR="00D11E4C">
        <w:rPr>
          <w:noProof/>
        </w:rPr>
        <w:t>69</w:t>
      </w:r>
      <w:r>
        <w:rPr>
          <w:noProof/>
        </w:rPr>
        <w:fldChar w:fldCharType="end"/>
      </w:r>
      <w:r w:rsidR="00D11E4C">
        <w:t>.</w:t>
      </w:r>
      <w:r w:rsidR="00D11E4C">
        <w:tab/>
        <w:t xml:space="preserve">Le esposizioni cui è applicato il metodo standardizzato sono assegnate alla classe di esposizioni </w:t>
      </w:r>
      <w:r w:rsidR="000878EC">
        <w:t>"</w:t>
      </w:r>
      <w:r w:rsidR="00D11E4C">
        <w:t>obbligazioni garantite</w:t>
      </w:r>
      <w:r w:rsidR="000878EC">
        <w:t>"</w:t>
      </w:r>
      <w:r w:rsidR="00D11E4C">
        <w:t xml:space="preserve"> con le modalità indicate di seguito.</w:t>
      </w:r>
    </w:p>
    <w:p w:rsidR="00464F34" w:rsidRPr="00661595" w:rsidRDefault="00A971CA" w:rsidP="00DF1E3B">
      <w:pPr>
        <w:pStyle w:val="InstructionsText2"/>
        <w:numPr>
          <w:ilvl w:val="0"/>
          <w:numId w:val="0"/>
        </w:numPr>
        <w:ind w:left="1920" w:hanging="480"/>
      </w:pPr>
      <w:r>
        <w:fldChar w:fldCharType="begin"/>
      </w:r>
      <w:r>
        <w:instrText xml:space="preserve"> seq paragraphs </w:instrText>
      </w:r>
      <w:r>
        <w:fldChar w:fldCharType="separate"/>
      </w:r>
      <w:r w:rsidR="00D11E4C">
        <w:rPr>
          <w:noProof/>
        </w:rPr>
        <w:t>70</w:t>
      </w:r>
      <w:r>
        <w:rPr>
          <w:noProof/>
        </w:rPr>
        <w:fldChar w:fldCharType="end"/>
      </w:r>
      <w:r w:rsidR="00D11E4C">
        <w:t>.</w:t>
      </w:r>
      <w:r w:rsidR="00D11E4C">
        <w:tab/>
        <w:t>Le obbligazioni di cui all</w:t>
      </w:r>
      <w:r w:rsidR="000878EC">
        <w:t>'</w:t>
      </w:r>
      <w:r w:rsidR="00D11E4C">
        <w:t>articolo 52, paragrafo 4, della direttiva 2009/65/CE del Parlamento europeo e del Consiglio</w:t>
      </w:r>
      <w:r w:rsidR="00D11E4C" w:rsidRPr="00FC73F6">
        <w:rPr>
          <w:vertAlign w:val="superscript"/>
        </w:rPr>
        <w:footnoteReference w:id="9"/>
      </w:r>
      <w:r w:rsidR="00D11E4C">
        <w:t xml:space="preserve"> soddisfano </w:t>
      </w:r>
      <w:r w:rsidR="008A2D23">
        <w:t>i requisiti di cui all</w:t>
      </w:r>
      <w:r w:rsidR="000878EC">
        <w:t>'</w:t>
      </w:r>
      <w:r w:rsidR="008A2D23">
        <w:t>articolo </w:t>
      </w:r>
      <w:r w:rsidR="00D11E4C">
        <w:t xml:space="preserve">129, paragrafi 1 e 2, del CRR per poter essere classificate nella classe di esposizioni </w:t>
      </w:r>
      <w:r w:rsidR="000878EC">
        <w:t>"</w:t>
      </w:r>
      <w:r w:rsidR="00D11E4C">
        <w:t>obbligazioni garantite</w:t>
      </w:r>
      <w:r w:rsidR="000878EC">
        <w:t>"</w:t>
      </w:r>
      <w:r w:rsidR="00D11E4C">
        <w:t>. L</w:t>
      </w:r>
      <w:r w:rsidR="000878EC">
        <w:t>'</w:t>
      </w:r>
      <w:r w:rsidR="00D11E4C">
        <w:t>adempimento di detti requisiti deve essere verificato in ciascun caso. Tuttavia, anche le obbligazioni di cui all</w:t>
      </w:r>
      <w:r w:rsidR="000878EC">
        <w:t>'</w:t>
      </w:r>
      <w:r w:rsidR="00D11E4C">
        <w:t xml:space="preserve">articolo 52, paragrafo 4, della direttiva 2009/65/CE emesse prima del 31 dicembre 2007 sono assegnate alla classe di esposizioni </w:t>
      </w:r>
      <w:r w:rsidR="000878EC">
        <w:t>"</w:t>
      </w:r>
      <w:r w:rsidR="00D11E4C">
        <w:t>obbligazioni garantite</w:t>
      </w:r>
      <w:r w:rsidR="000878EC">
        <w:t>"</w:t>
      </w:r>
      <w:r w:rsidR="00D11E4C">
        <w:t xml:space="preserve"> in virtù dell</w:t>
      </w:r>
      <w:r w:rsidR="000878EC">
        <w:t>'</w:t>
      </w:r>
      <w:r w:rsidR="00D11E4C">
        <w:t>articolo 129, paragrafo 6, del CRR.</w:t>
      </w:r>
    </w:p>
    <w:p w:rsidR="00464F34" w:rsidRPr="00661595" w:rsidRDefault="00125707" w:rsidP="008A2D23">
      <w:pPr>
        <w:pStyle w:val="Instructionsberschrift2"/>
        <w:keepLines/>
        <w:numPr>
          <w:ilvl w:val="0"/>
          <w:numId w:val="0"/>
        </w:numPr>
        <w:ind w:left="357" w:hanging="357"/>
        <w:rPr>
          <w:rFonts w:ascii="Times New Roman" w:hAnsi="Times New Roman" w:cs="Times New Roman"/>
          <w:sz w:val="24"/>
        </w:rPr>
      </w:pPr>
      <w:bookmarkStart w:id="202" w:name="_Toc360188355"/>
      <w:bookmarkStart w:id="203" w:name="_Toc473560904"/>
      <w:bookmarkStart w:id="204" w:name="_Toc58915747"/>
      <w:r>
        <w:rPr>
          <w:rFonts w:ascii="Times New Roman" w:hAnsi="Times New Roman"/>
          <w:sz w:val="24"/>
          <w:u w:val="none"/>
        </w:rPr>
        <w:t>3.2.4.3.</w:t>
      </w:r>
      <w:r w:rsidRPr="008A2D23">
        <w:rPr>
          <w:u w:val="none"/>
        </w:rPr>
        <w:tab/>
      </w:r>
      <w:r>
        <w:rPr>
          <w:rFonts w:ascii="Times New Roman" w:hAnsi="Times New Roman"/>
          <w:sz w:val="24"/>
        </w:rPr>
        <w:t xml:space="preserve">Classe di esposizioni </w:t>
      </w:r>
      <w:r w:rsidR="000878EC">
        <w:rPr>
          <w:rFonts w:ascii="Times New Roman" w:hAnsi="Times New Roman"/>
          <w:sz w:val="24"/>
        </w:rPr>
        <w:t>"</w:t>
      </w:r>
      <w:r>
        <w:rPr>
          <w:rFonts w:ascii="Times New Roman" w:hAnsi="Times New Roman"/>
          <w:sz w:val="24"/>
        </w:rPr>
        <w:t>Organismi di investimento collettivo</w:t>
      </w:r>
      <w:r w:rsidR="000878EC">
        <w:rPr>
          <w:rFonts w:ascii="Times New Roman" w:hAnsi="Times New Roman"/>
          <w:sz w:val="24"/>
        </w:rPr>
        <w:t>"</w:t>
      </w:r>
      <w:bookmarkEnd w:id="202"/>
      <w:bookmarkEnd w:id="203"/>
      <w:bookmarkEnd w:id="204"/>
    </w:p>
    <w:p w:rsidR="00464F34" w:rsidRPr="00661595" w:rsidRDefault="00A971CA" w:rsidP="00DF1E3B">
      <w:pPr>
        <w:pStyle w:val="InstructionsText2"/>
        <w:numPr>
          <w:ilvl w:val="0"/>
          <w:numId w:val="0"/>
        </w:numPr>
        <w:ind w:left="1440"/>
      </w:pPr>
      <w:r>
        <w:fldChar w:fldCharType="begin"/>
      </w:r>
      <w:r>
        <w:instrText xml:space="preserve"> seq paragraphs </w:instrText>
      </w:r>
      <w:r>
        <w:fldChar w:fldCharType="separate"/>
      </w:r>
      <w:r w:rsidR="00D11E4C">
        <w:rPr>
          <w:noProof/>
        </w:rPr>
        <w:t>71</w:t>
      </w:r>
      <w:r>
        <w:rPr>
          <w:noProof/>
        </w:rPr>
        <w:fldChar w:fldCharType="end"/>
      </w:r>
      <w:r w:rsidR="00D11E4C">
        <w:t>.</w:t>
      </w:r>
      <w:r w:rsidR="00D11E4C">
        <w:tab/>
        <w:t>Laddove ci si avvalga della possibilità di cui all</w:t>
      </w:r>
      <w:r w:rsidR="000878EC">
        <w:t>'</w:t>
      </w:r>
      <w:r w:rsidR="00D11E4C">
        <w:t>articolo 132 bis, paragrafo 2, del CRR, le esposizioni sotto forma di quote o di azioni in OIC sono segnalate come elementi in bilancio ai sensi dell</w:t>
      </w:r>
      <w:r w:rsidR="000878EC">
        <w:t>'</w:t>
      </w:r>
      <w:r w:rsidR="00D11E4C">
        <w:t xml:space="preserve">articolo 111, paragrafo 1, prima frase, del CRR. </w:t>
      </w:r>
    </w:p>
    <w:p w:rsidR="00464F34" w:rsidRPr="00661595" w:rsidRDefault="00125707" w:rsidP="0023700C">
      <w:pPr>
        <w:pStyle w:val="Instructionsberschrift2"/>
        <w:numPr>
          <w:ilvl w:val="0"/>
          <w:numId w:val="0"/>
        </w:numPr>
        <w:ind w:left="357" w:hanging="357"/>
        <w:rPr>
          <w:rFonts w:ascii="Times New Roman" w:hAnsi="Times New Roman" w:cs="Times New Roman"/>
          <w:sz w:val="24"/>
        </w:rPr>
      </w:pPr>
      <w:bookmarkStart w:id="205" w:name="_Toc262568032"/>
      <w:bookmarkStart w:id="206" w:name="_Toc264038430"/>
      <w:bookmarkStart w:id="207" w:name="_Toc292456209"/>
      <w:bookmarkStart w:id="208" w:name="_Toc295829860"/>
      <w:bookmarkStart w:id="209" w:name="_Toc310415024"/>
      <w:bookmarkStart w:id="210" w:name="_Toc360188356"/>
      <w:bookmarkStart w:id="211" w:name="_Toc473560905"/>
      <w:bookmarkStart w:id="212" w:name="_Toc58915748"/>
      <w:r>
        <w:rPr>
          <w:rFonts w:ascii="Times New Roman" w:hAnsi="Times New Roman"/>
          <w:sz w:val="24"/>
          <w:u w:val="none"/>
        </w:rPr>
        <w:t>3.2.5.</w:t>
      </w:r>
      <w:r w:rsidRPr="00F01456">
        <w:rPr>
          <w:u w:val="none"/>
        </w:rPr>
        <w:tab/>
      </w:r>
      <w:r>
        <w:rPr>
          <w:rFonts w:ascii="Times New Roman" w:hAnsi="Times New Roman"/>
          <w:sz w:val="24"/>
        </w:rPr>
        <w:t>Istruzioni relative a posizioni specifiche</w:t>
      </w:r>
      <w:bookmarkEnd w:id="205"/>
      <w:bookmarkEnd w:id="206"/>
      <w:bookmarkEnd w:id="207"/>
      <w:bookmarkEnd w:id="208"/>
      <w:bookmarkEnd w:id="209"/>
      <w:bookmarkEnd w:id="210"/>
      <w:bookmarkEnd w:id="211"/>
      <w:bookmarkEnd w:id="21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64F34" w:rsidRPr="00661595" w:rsidTr="00672D2A">
        <w:trPr>
          <w:trHeight w:val="581"/>
        </w:trPr>
        <w:tc>
          <w:tcPr>
            <w:tcW w:w="9828" w:type="dxa"/>
            <w:gridSpan w:val="2"/>
            <w:shd w:val="clear" w:color="auto" w:fill="CCCCCC"/>
          </w:tcPr>
          <w:p w:rsidR="00464F34" w:rsidRPr="00661595" w:rsidRDefault="00464F34" w:rsidP="00115052">
            <w:pPr>
              <w:pStyle w:val="InstructionsText"/>
            </w:pPr>
            <w:r>
              <w:t>Colonne</w:t>
            </w:r>
          </w:p>
        </w:tc>
      </w:tr>
      <w:tr w:rsidR="00464F34" w:rsidRPr="00661595" w:rsidTr="00672D2A">
        <w:tc>
          <w:tcPr>
            <w:tcW w:w="1188" w:type="dxa"/>
          </w:tcPr>
          <w:p w:rsidR="00464F34" w:rsidRPr="00661595" w:rsidRDefault="00FF15C6" w:rsidP="00115052">
            <w:pPr>
              <w:pStyle w:val="InstructionsText"/>
            </w:pPr>
            <w:r>
              <w:t>0010</w:t>
            </w:r>
          </w:p>
        </w:tc>
        <w:tc>
          <w:tcPr>
            <w:tcW w:w="8640" w:type="dxa"/>
          </w:tcPr>
          <w:p w:rsidR="00464F34" w:rsidRPr="00661595" w:rsidRDefault="00464F34"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ESPOSIZIONE ORIGINARIA PRIMA DELL</w:t>
            </w:r>
            <w:r w:rsidR="000878EC">
              <w:rPr>
                <w:rStyle w:val="InstructionsTabelleberschrift"/>
                <w:rFonts w:ascii="Times New Roman" w:hAnsi="Times New Roman"/>
                <w:sz w:val="24"/>
              </w:rPr>
              <w:t>'</w:t>
            </w:r>
            <w:r>
              <w:rPr>
                <w:rStyle w:val="InstructionsTabelleberschrift"/>
                <w:rFonts w:ascii="Times New Roman" w:hAnsi="Times New Roman"/>
                <w:sz w:val="24"/>
              </w:rPr>
              <w:t>APPLICAZIONE DEI FATTORI DI CONVERSIONE</w:t>
            </w:r>
          </w:p>
          <w:p w:rsidR="00464F34" w:rsidRPr="00661595" w:rsidRDefault="00464F34" w:rsidP="00115052">
            <w:pPr>
              <w:pStyle w:val="InstructionsText"/>
            </w:pPr>
            <w:r>
              <w:t>Valore dell</w:t>
            </w:r>
            <w:r w:rsidR="000878EC">
              <w:t>'</w:t>
            </w:r>
            <w:r>
              <w:t>esposizione calcolato conformemente all</w:t>
            </w:r>
            <w:r w:rsidR="000878EC">
              <w:t>'</w:t>
            </w:r>
            <w:r>
              <w:t>articolo 111 del CRR senza tener conto delle rettifiche di valore e degli accantonamenti, delle deduzioni, dei fattori di conversione e dell</w:t>
            </w:r>
            <w:r w:rsidR="000878EC">
              <w:t>'</w:t>
            </w:r>
            <w:r>
              <w:t>effetto delle tecniche di attenuazione del rischio di credito. Valgono le seguenti precisazioni derivanti dall</w:t>
            </w:r>
            <w:r w:rsidR="000878EC">
              <w:t>'</w:t>
            </w:r>
            <w:r>
              <w:t>articolo 111, paragrafo 2, del CRR.</w:t>
            </w:r>
          </w:p>
          <w:p w:rsidR="00464F34" w:rsidRPr="00661595" w:rsidRDefault="00464F34" w:rsidP="00115052">
            <w:pPr>
              <w:pStyle w:val="InstructionsText"/>
              <w:numPr>
                <w:ilvl w:val="0"/>
                <w:numId w:val="32"/>
              </w:numPr>
            </w:pPr>
            <w:r>
              <w:t>Per gli strumenti derivati, le operazioni di vendita con patto di riacquisto, le operazioni di concessione e assunzione di titoli o merci in prestito, le operazioni con regolamento a lungo termine e i finanziamenti con margini soggetti al rischio di controparte (parte tre, titolo II, capo 4 o capo 6, del CRR), l</w:t>
            </w:r>
            <w:r w:rsidR="000878EC">
              <w:t>'</w:t>
            </w:r>
            <w:r>
              <w:t>esposizione originaria corrisponde al valore dell</w:t>
            </w:r>
            <w:r w:rsidR="000878EC">
              <w:t>'</w:t>
            </w:r>
            <w:r>
              <w:t xml:space="preserve">esposizione per il rischio di controparte (cfr. istruzioni relative alla colonna 0210). </w:t>
            </w:r>
          </w:p>
          <w:p w:rsidR="00464F34" w:rsidRPr="00661595" w:rsidRDefault="00464F34" w:rsidP="00115052">
            <w:pPr>
              <w:pStyle w:val="InstructionsText"/>
              <w:numPr>
                <w:ilvl w:val="0"/>
                <w:numId w:val="32"/>
              </w:numPr>
            </w:pPr>
            <w:r>
              <w:t>Ai valori dell</w:t>
            </w:r>
            <w:r w:rsidR="000878EC">
              <w:t>'</w:t>
            </w:r>
            <w:r>
              <w:t>esposizione per i contratti di leasing si applica l</w:t>
            </w:r>
            <w:r w:rsidR="000878EC">
              <w:t>'</w:t>
            </w:r>
            <w:r>
              <w:t>articolo 134, paragrafo 7, del CRR. In particolare, il valore residuo è incluso al suo valore contabile (ossia il valore residuo stimato attualizzato alla fine della durata del leasing).</w:t>
            </w:r>
          </w:p>
          <w:p w:rsidR="00464F34" w:rsidRPr="00661595" w:rsidRDefault="00464F34" w:rsidP="00115052">
            <w:pPr>
              <w:pStyle w:val="InstructionsText"/>
              <w:numPr>
                <w:ilvl w:val="0"/>
                <w:numId w:val="32"/>
              </w:numPr>
            </w:pPr>
            <w:r>
              <w:t>In caso di compensazione in bilancio di cui all</w:t>
            </w:r>
            <w:r w:rsidR="000878EC">
              <w:t>'</w:t>
            </w:r>
            <w:r>
              <w:t>articolo 219 del CRR, i valori dell</w:t>
            </w:r>
            <w:r w:rsidR="000878EC">
              <w:t>'</w:t>
            </w:r>
            <w:r>
              <w:t>esposizione sono segnalati tenendo conto dell</w:t>
            </w:r>
            <w:r w:rsidR="000878EC">
              <w:t>'</w:t>
            </w:r>
            <w:r>
              <w:t>importo delle garanzie in contante ricevute.</w:t>
            </w:r>
          </w:p>
          <w:p w:rsidR="00464F34" w:rsidRPr="00661595" w:rsidRDefault="00520B00" w:rsidP="00115052">
            <w:pPr>
              <w:pStyle w:val="InstructionsText"/>
            </w:pPr>
            <w:r>
              <w:t>Quando si avvalgono della deroga di cui all</w:t>
            </w:r>
            <w:r w:rsidR="000878EC">
              <w:t>'</w:t>
            </w:r>
            <w:r>
              <w:t>articolo 473 bis, paragrafo 7 bis, del CRR, gli enti segnalano in questa colonna l</w:t>
            </w:r>
            <w:r w:rsidR="000878EC">
              <w:t>'</w:t>
            </w:r>
            <w:r>
              <w:t xml:space="preserve"> importo AB</w:t>
            </w:r>
            <w:r>
              <w:rPr>
                <w:vertAlign w:val="subscript"/>
              </w:rPr>
              <w:t xml:space="preserve"> SA</w:t>
            </w:r>
            <w:r>
              <w:t xml:space="preserve"> ponderato per il rischio al 100 % nella classe di esposizioni </w:t>
            </w:r>
            <w:r w:rsidR="000878EC">
              <w:t>"</w:t>
            </w:r>
            <w:r>
              <w:t>altre posizioni</w:t>
            </w:r>
            <w:r w:rsidR="000878EC">
              <w:t>"</w:t>
            </w:r>
            <w:r>
              <w:t>.</w:t>
            </w:r>
          </w:p>
        </w:tc>
      </w:tr>
      <w:tr w:rsidR="00464F34" w:rsidRPr="00661595" w:rsidTr="00672D2A">
        <w:tc>
          <w:tcPr>
            <w:tcW w:w="1188" w:type="dxa"/>
          </w:tcPr>
          <w:p w:rsidR="00464F34" w:rsidRPr="00661595" w:rsidRDefault="00464F34" w:rsidP="00115052">
            <w:pPr>
              <w:pStyle w:val="InstructionsText"/>
            </w:pPr>
            <w:r>
              <w:t>0030</w:t>
            </w:r>
          </w:p>
        </w:tc>
        <w:tc>
          <w:tcPr>
            <w:tcW w:w="8640" w:type="dxa"/>
          </w:tcPr>
          <w:p w:rsidR="00464F34" w:rsidRPr="00661595" w:rsidRDefault="00464F34"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 Rettifiche di valore e accantonamenti associati all</w:t>
            </w:r>
            <w:r w:rsidR="000878EC">
              <w:rPr>
                <w:rStyle w:val="InstructionsTabelleberschrift"/>
                <w:rFonts w:ascii="Times New Roman" w:hAnsi="Times New Roman"/>
                <w:sz w:val="24"/>
              </w:rPr>
              <w:t>'</w:t>
            </w:r>
            <w:r>
              <w:rPr>
                <w:rStyle w:val="InstructionsTabelleberschrift"/>
                <w:rFonts w:ascii="Times New Roman" w:hAnsi="Times New Roman"/>
                <w:sz w:val="24"/>
              </w:rPr>
              <w:t>esposizione originaria</w:t>
            </w:r>
          </w:p>
          <w:p w:rsidR="00464F34" w:rsidRPr="00661595" w:rsidRDefault="00464F34"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Articoli 24 e 111 del CRR</w:t>
            </w:r>
          </w:p>
          <w:p w:rsidR="00464F34" w:rsidRPr="00661595" w:rsidRDefault="00464F34" w:rsidP="00115052">
            <w:pPr>
              <w:pStyle w:val="InstructionsText"/>
            </w:pPr>
            <w:r>
              <w:t>Rettifiche di valore e accantonamenti per perdite su crediti (rettifiche di valore su</w:t>
            </w:r>
            <w:r w:rsidR="00F01456">
              <w:t xml:space="preserve"> crediti ai sensi dell</w:t>
            </w:r>
            <w:r w:rsidR="000878EC">
              <w:t>'</w:t>
            </w:r>
            <w:r w:rsidR="00F01456">
              <w:t xml:space="preserve">articolo </w:t>
            </w:r>
            <w:r>
              <w:t>110) effettuati conformemente alla disciplina contabile cui l</w:t>
            </w:r>
            <w:r w:rsidR="000878EC">
              <w:t>'</w:t>
            </w:r>
            <w:r>
              <w:t>entità segnalante è soggetta, nonché rettifiche di valore prudenziali (rettifiche di valore supple</w:t>
            </w:r>
            <w:r w:rsidR="00F01456">
              <w:t xml:space="preserve">mentari ai sensi degli articoli </w:t>
            </w:r>
            <w:r>
              <w:t>34 e 105, importi dedotti conformem</w:t>
            </w:r>
            <w:r w:rsidR="00F01456">
              <w:t>ente all</w:t>
            </w:r>
            <w:r w:rsidR="000878EC">
              <w:t>'</w:t>
            </w:r>
            <w:r w:rsidR="00F01456">
              <w:t xml:space="preserve">articolo 36, paragrafo </w:t>
            </w:r>
            <w:r>
              <w:t>1, lettera m), e altre riduzioni dei fondi propri relative all</w:t>
            </w:r>
            <w:r w:rsidR="000878EC">
              <w:t>'</w:t>
            </w:r>
            <w:r>
              <w:t>elemento dell</w:t>
            </w:r>
            <w:r w:rsidR="000878EC">
              <w:t>'</w:t>
            </w:r>
            <w:r>
              <w:t>attivo).</w:t>
            </w:r>
          </w:p>
        </w:tc>
      </w:tr>
      <w:tr w:rsidR="00464F34" w:rsidRPr="00661595" w:rsidTr="00672D2A">
        <w:tc>
          <w:tcPr>
            <w:tcW w:w="1188" w:type="dxa"/>
          </w:tcPr>
          <w:p w:rsidR="00464F34" w:rsidRPr="00661595" w:rsidRDefault="00FF15C6" w:rsidP="00115052">
            <w:pPr>
              <w:pStyle w:val="InstructionsText"/>
            </w:pPr>
            <w:r>
              <w:t>0040</w:t>
            </w:r>
          </w:p>
        </w:tc>
        <w:tc>
          <w:tcPr>
            <w:tcW w:w="8640" w:type="dxa"/>
          </w:tcPr>
          <w:p w:rsidR="00464F34" w:rsidRPr="00661595" w:rsidRDefault="00464F34" w:rsidP="00115052">
            <w:pPr>
              <w:pStyle w:val="InstructionsText"/>
            </w:pPr>
            <w:r>
              <w:rPr>
                <w:rStyle w:val="InstructionsTabelleberschrift"/>
                <w:rFonts w:ascii="Times New Roman" w:hAnsi="Times New Roman"/>
                <w:sz w:val="24"/>
              </w:rPr>
              <w:t>Esposizione al netto delle rettifiche di valore e degli accantonamenti</w:t>
            </w:r>
          </w:p>
          <w:p w:rsidR="00464F34" w:rsidRPr="00661595" w:rsidRDefault="00464F34" w:rsidP="00115052">
            <w:pPr>
              <w:pStyle w:val="InstructionsText"/>
            </w:pPr>
            <w:r>
              <w:t>Somma delle colonne 0010 e 0030.</w:t>
            </w:r>
          </w:p>
        </w:tc>
      </w:tr>
      <w:tr w:rsidR="00464F34" w:rsidRPr="00661595" w:rsidTr="00672D2A">
        <w:tc>
          <w:tcPr>
            <w:tcW w:w="1188" w:type="dxa"/>
          </w:tcPr>
          <w:p w:rsidR="00464F34" w:rsidRPr="00661595" w:rsidRDefault="00FF15C6" w:rsidP="00DF1E3B">
            <w:pPr>
              <w:pStyle w:val="InstructionsText"/>
              <w:keepNext/>
              <w:keepLines/>
            </w:pPr>
            <w:r>
              <w:t>0050-0100</w:t>
            </w:r>
          </w:p>
        </w:tc>
        <w:tc>
          <w:tcPr>
            <w:tcW w:w="8640" w:type="dxa"/>
          </w:tcPr>
          <w:p w:rsidR="00464F34" w:rsidRPr="00661595" w:rsidRDefault="00464F34" w:rsidP="00DF1E3B">
            <w:pPr>
              <w:pStyle w:val="InstructionsText"/>
              <w:keepNext/>
              <w:keepLines/>
              <w:rPr>
                <w:rStyle w:val="InstructionsTabelleberschrift"/>
                <w:rFonts w:ascii="Times New Roman" w:hAnsi="Times New Roman"/>
                <w:sz w:val="24"/>
              </w:rPr>
            </w:pPr>
            <w:r>
              <w:rPr>
                <w:rStyle w:val="InstructionsTabelleberschrift"/>
                <w:rFonts w:ascii="Times New Roman" w:hAnsi="Times New Roman"/>
                <w:sz w:val="24"/>
              </w:rPr>
              <w:t>TECNICHE DI ATTENUAZIONE DEL RISCHIO DI CREDITO (CRM) CON EFFETTI DI SOSTITUZIONE SULL</w:t>
            </w:r>
            <w:r w:rsidR="000878EC">
              <w:rPr>
                <w:rStyle w:val="InstructionsTabelleberschrift"/>
                <w:rFonts w:ascii="Times New Roman" w:hAnsi="Times New Roman"/>
                <w:sz w:val="24"/>
              </w:rPr>
              <w:t>'</w:t>
            </w:r>
            <w:r>
              <w:rPr>
                <w:rStyle w:val="InstructionsTabelleberschrift"/>
                <w:rFonts w:ascii="Times New Roman" w:hAnsi="Times New Roman"/>
                <w:sz w:val="24"/>
              </w:rPr>
              <w:t>ESPOSIZIONE</w:t>
            </w:r>
          </w:p>
          <w:p w:rsidR="00464F34" w:rsidRPr="00661595" w:rsidRDefault="00464F34" w:rsidP="00DF1E3B">
            <w:pPr>
              <w:pStyle w:val="InstructionsText"/>
              <w:keepNext/>
              <w:keepLines/>
            </w:pPr>
            <w:r>
              <w:t>Tecniche di attenuazione del rischio di credito così come definite nell</w:t>
            </w:r>
            <w:r w:rsidR="000878EC">
              <w:t>'</w:t>
            </w:r>
            <w:r>
              <w:t>articolo 4, paragrafo 1, punto 57, del CRR che riducono il rischio di credito di un</w:t>
            </w:r>
            <w:r w:rsidR="000878EC">
              <w:t>'</w:t>
            </w:r>
            <w:r>
              <w:t xml:space="preserve">esposizione o di esposizioni mediante la sostituzione delle esposizioni descritta infra alla voce </w:t>
            </w:r>
            <w:r w:rsidR="000878EC">
              <w:t>"</w:t>
            </w:r>
            <w:r>
              <w:t>Sostituzione dell</w:t>
            </w:r>
            <w:r w:rsidR="000878EC">
              <w:t>'</w:t>
            </w:r>
            <w:r>
              <w:t>esposizione dovuta all</w:t>
            </w:r>
            <w:r w:rsidR="000878EC">
              <w:t>'</w:t>
            </w:r>
            <w:r>
              <w:t>attenuazione del rischio di credito</w:t>
            </w:r>
            <w:r w:rsidR="000878EC">
              <w:t>"</w:t>
            </w:r>
            <w:r>
              <w:t>.</w:t>
            </w:r>
          </w:p>
          <w:p w:rsidR="00464F34" w:rsidRPr="00661595" w:rsidRDefault="00D21B29" w:rsidP="00DF1E3B">
            <w:pPr>
              <w:pStyle w:val="InstructionsText"/>
              <w:keepNext/>
              <w:keepLines/>
            </w:pPr>
            <w:r>
              <w:t>Se una garanzia reale influisce sul valore dell</w:t>
            </w:r>
            <w:r w:rsidR="000878EC">
              <w:t>'</w:t>
            </w:r>
            <w:r>
              <w:t>esposizione (ad esempio se è utilizzata per le tecniche di attenuazione del rischio di credito con effetti di sostituzione sull</w:t>
            </w:r>
            <w:r w:rsidR="000878EC">
              <w:t>'</w:t>
            </w:r>
            <w:r>
              <w:t>esposizione), il suo importo è limitato al valore dell</w:t>
            </w:r>
            <w:r w:rsidR="000878EC">
              <w:t>'</w:t>
            </w:r>
            <w:r>
              <w:t>esposizione.</w:t>
            </w:r>
          </w:p>
          <w:p w:rsidR="00464F34" w:rsidRPr="00661595" w:rsidRDefault="00464F34" w:rsidP="00DF1E3B">
            <w:pPr>
              <w:pStyle w:val="InstructionsText"/>
              <w:keepNext/>
              <w:keepLines/>
            </w:pPr>
            <w:r>
              <w:t>Gli elementi da segnalare qui sono:</w:t>
            </w:r>
          </w:p>
          <w:p w:rsidR="00464F34" w:rsidRPr="00661595" w:rsidRDefault="00125707" w:rsidP="00DF1E3B">
            <w:pPr>
              <w:pStyle w:val="InstructionsText"/>
              <w:keepNext/>
              <w:keepLines/>
            </w:pPr>
            <w:r>
              <w:rPr>
                <w:rFonts w:ascii="Arial" w:hAnsi="Arial"/>
              </w:rPr>
              <w:t>-</w:t>
            </w:r>
            <w:r>
              <w:tab/>
              <w:t>le garanzie reali, incorporate conformemente al metodo semplificato per il trattamento delle garanzie reali finanziarie;</w:t>
            </w:r>
          </w:p>
          <w:p w:rsidR="00464F34" w:rsidRPr="00661595" w:rsidRDefault="00125707" w:rsidP="00DF1E3B">
            <w:pPr>
              <w:pStyle w:val="InstructionsText"/>
              <w:keepNext/>
              <w:keepLines/>
            </w:pPr>
            <w:r>
              <w:rPr>
                <w:rFonts w:ascii="Arial" w:hAnsi="Arial"/>
              </w:rPr>
              <w:t>-</w:t>
            </w:r>
            <w:r>
              <w:tab/>
              <w:t>la protezione del credito ammissibile di tipo personale.</w:t>
            </w:r>
          </w:p>
          <w:p w:rsidR="00464F34" w:rsidRPr="00661595" w:rsidRDefault="00464F34" w:rsidP="00DF1E3B">
            <w:pPr>
              <w:pStyle w:val="InstructionsText"/>
              <w:keepNext/>
              <w:keepLines/>
            </w:pPr>
            <w:r>
              <w:t>Cfr. anche le istruzioni relative al punto 3.1.1.</w:t>
            </w:r>
          </w:p>
        </w:tc>
      </w:tr>
      <w:tr w:rsidR="00464F34" w:rsidRPr="00661595" w:rsidTr="00672D2A">
        <w:tc>
          <w:tcPr>
            <w:tcW w:w="1188" w:type="dxa"/>
          </w:tcPr>
          <w:p w:rsidR="00464F34" w:rsidRPr="00661595" w:rsidRDefault="00FF15C6" w:rsidP="00115052">
            <w:pPr>
              <w:pStyle w:val="InstructionsText"/>
            </w:pPr>
            <w:r>
              <w:t>0050-0060</w:t>
            </w:r>
          </w:p>
        </w:tc>
        <w:tc>
          <w:tcPr>
            <w:tcW w:w="8640" w:type="dxa"/>
          </w:tcPr>
          <w:p w:rsidR="00464F34" w:rsidRPr="00661595" w:rsidRDefault="00464F34"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Protezione del credito di tipo personale: valori corretti (G</w:t>
            </w:r>
            <w:r>
              <w:rPr>
                <w:rStyle w:val="InstructionsTabelleberschrift"/>
                <w:rFonts w:ascii="Times New Roman" w:hAnsi="Times New Roman"/>
                <w:sz w:val="24"/>
                <w:vertAlign w:val="subscript"/>
              </w:rPr>
              <w:t>A</w:t>
            </w:r>
            <w:r>
              <w:rPr>
                <w:rStyle w:val="InstructionsTabelleberschrift"/>
                <w:rFonts w:ascii="Times New Roman" w:hAnsi="Times New Roman"/>
                <w:sz w:val="24"/>
              </w:rPr>
              <w:t>)</w:t>
            </w:r>
          </w:p>
          <w:p w:rsidR="00464F34" w:rsidRPr="00661595" w:rsidRDefault="00464F34" w:rsidP="00115052">
            <w:pPr>
              <w:pStyle w:val="InstructionsText"/>
            </w:pPr>
            <w:r>
              <w:t>Articolo 235 del CRR</w:t>
            </w:r>
          </w:p>
          <w:p w:rsidR="00464F34" w:rsidRPr="00661595" w:rsidRDefault="00464F34" w:rsidP="00115052">
            <w:pPr>
              <w:pStyle w:val="InstructionsText"/>
            </w:pPr>
            <w:r>
              <w:t>L</w:t>
            </w:r>
            <w:r w:rsidR="000878EC">
              <w:t>'</w:t>
            </w:r>
            <w:r>
              <w:t>articolo 239, paragrafo 3, del CRR contiene la formula per il calcolo del valore corretto G</w:t>
            </w:r>
            <w:r>
              <w:rPr>
                <w:vertAlign w:val="subscript"/>
              </w:rPr>
              <w:t>A</w:t>
            </w:r>
            <w:r>
              <w:t xml:space="preserve"> di una protezione del credito di tipo personale.</w:t>
            </w:r>
          </w:p>
        </w:tc>
      </w:tr>
      <w:tr w:rsidR="00464F34" w:rsidRPr="00661595" w:rsidTr="00672D2A">
        <w:tc>
          <w:tcPr>
            <w:tcW w:w="1188" w:type="dxa"/>
          </w:tcPr>
          <w:p w:rsidR="00464F34" w:rsidRPr="00661595" w:rsidRDefault="00FF15C6" w:rsidP="00115052">
            <w:pPr>
              <w:pStyle w:val="InstructionsText"/>
            </w:pPr>
            <w:r>
              <w:t>0050</w:t>
            </w:r>
          </w:p>
        </w:tc>
        <w:tc>
          <w:tcPr>
            <w:tcW w:w="8640" w:type="dxa"/>
          </w:tcPr>
          <w:p w:rsidR="00464F34" w:rsidRPr="00661595" w:rsidRDefault="00464F34"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Garanzie</w:t>
            </w:r>
          </w:p>
          <w:p w:rsidR="00464F34" w:rsidRPr="00661595" w:rsidRDefault="00464F34" w:rsidP="00115052">
            <w:pPr>
              <w:pStyle w:val="InstructionsText"/>
            </w:pPr>
            <w:r>
              <w:t>Articolo 203 del CRR</w:t>
            </w:r>
          </w:p>
          <w:p w:rsidR="00464F34" w:rsidRPr="00661595" w:rsidRDefault="00464F34" w:rsidP="00115052">
            <w:pPr>
              <w:pStyle w:val="InstructionsText"/>
              <w:rPr>
                <w:b/>
                <w:u w:val="single"/>
              </w:rPr>
            </w:pPr>
            <w:r>
              <w:t>Protezione del credito di tipo personale c</w:t>
            </w:r>
            <w:r w:rsidR="006D638D">
              <w:t>osì come definita nell</w:t>
            </w:r>
            <w:r w:rsidR="000878EC">
              <w:t>'</w:t>
            </w:r>
            <w:r w:rsidR="006D638D">
              <w:t xml:space="preserve">articolo 4, paragrafo </w:t>
            </w:r>
            <w:r>
              <w:t>1, punto 59, del CRR, non comprensiva dei derivati su crediti.</w:t>
            </w:r>
          </w:p>
        </w:tc>
      </w:tr>
      <w:tr w:rsidR="00464F34" w:rsidRPr="00661595" w:rsidTr="00672D2A">
        <w:tc>
          <w:tcPr>
            <w:tcW w:w="1188" w:type="dxa"/>
          </w:tcPr>
          <w:p w:rsidR="00464F34" w:rsidRPr="00661595" w:rsidRDefault="00464F34" w:rsidP="00115052">
            <w:pPr>
              <w:pStyle w:val="InstructionsText"/>
            </w:pPr>
            <w:r>
              <w:t>0060</w:t>
            </w:r>
          </w:p>
        </w:tc>
        <w:tc>
          <w:tcPr>
            <w:tcW w:w="8640" w:type="dxa"/>
          </w:tcPr>
          <w:p w:rsidR="00464F34" w:rsidRPr="00661595" w:rsidRDefault="00464F34"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Derivati su crediti</w:t>
            </w:r>
          </w:p>
          <w:p w:rsidR="00464F34" w:rsidRPr="00661595" w:rsidRDefault="00464F34" w:rsidP="00115052">
            <w:pPr>
              <w:pStyle w:val="InstructionsText"/>
              <w:rPr>
                <w:b/>
                <w:u w:val="single"/>
              </w:rPr>
            </w:pPr>
            <w:r>
              <w:t>Articolo 204 del CRR</w:t>
            </w:r>
          </w:p>
        </w:tc>
      </w:tr>
      <w:tr w:rsidR="00464F34" w:rsidRPr="00661595" w:rsidTr="00672D2A">
        <w:tc>
          <w:tcPr>
            <w:tcW w:w="1188" w:type="dxa"/>
          </w:tcPr>
          <w:p w:rsidR="00464F34" w:rsidRPr="00661595" w:rsidRDefault="00464F34" w:rsidP="00115052">
            <w:pPr>
              <w:pStyle w:val="InstructionsText"/>
            </w:pPr>
            <w:r>
              <w:t>0070-0080</w:t>
            </w:r>
          </w:p>
          <w:p w:rsidR="00464F34" w:rsidRPr="00661595" w:rsidRDefault="00464F34" w:rsidP="00115052">
            <w:pPr>
              <w:pStyle w:val="InstructionsText"/>
            </w:pPr>
          </w:p>
        </w:tc>
        <w:tc>
          <w:tcPr>
            <w:tcW w:w="8640" w:type="dxa"/>
          </w:tcPr>
          <w:p w:rsidR="00464F34" w:rsidRPr="00661595" w:rsidRDefault="00464F34"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Protezione del credito di tipo reale</w:t>
            </w:r>
          </w:p>
          <w:p w:rsidR="00464F34" w:rsidRPr="00661595" w:rsidRDefault="009C44E7" w:rsidP="00115052">
            <w:pPr>
              <w:pStyle w:val="InstructionsText"/>
            </w:pPr>
            <w:r>
              <w:t>Queste colonne riguardano la protezione del credito di tipo reale così come definita nell</w:t>
            </w:r>
            <w:r w:rsidR="000878EC">
              <w:t>'</w:t>
            </w:r>
            <w:r>
              <w:t>articolo 4, paragrafo 1, punto 58, del CRR e soggetta alle norme di cui agli articoli 196, 197 e 200 del CRR. Gli importi non comprendono gli accordi quadro di compensazione (già compresi nell</w:t>
            </w:r>
            <w:r w:rsidR="000878EC">
              <w:t>'</w:t>
            </w:r>
            <w:r>
              <w:t>esposizione originaria prima dell</w:t>
            </w:r>
            <w:r w:rsidR="000878EC">
              <w:t>'</w:t>
            </w:r>
            <w:r>
              <w:t>applicazione dei fattori di conversione).</w:t>
            </w:r>
          </w:p>
          <w:p w:rsidR="00464F34" w:rsidRPr="00661595" w:rsidRDefault="00167619" w:rsidP="00115052">
            <w:pPr>
              <w:pStyle w:val="InstructionsText"/>
            </w:pPr>
            <w:r>
              <w:t>Gli investimenti in credit linked note di cui all</w:t>
            </w:r>
            <w:r w:rsidR="000878EC">
              <w:t>'</w:t>
            </w:r>
            <w:r>
              <w:t>articolo 218 del CRR e le posizioni di compensazione in bilancio risultanti da accordi di compensazione in bilancio ammissibili di cui all</w:t>
            </w:r>
            <w:r w:rsidR="000878EC">
              <w:t>'</w:t>
            </w:r>
            <w:r>
              <w:t>articolo 219 del CRR sono trattate come garanzie in contante.</w:t>
            </w:r>
          </w:p>
        </w:tc>
      </w:tr>
      <w:tr w:rsidR="00464F34" w:rsidRPr="00661595" w:rsidTr="00672D2A">
        <w:tc>
          <w:tcPr>
            <w:tcW w:w="1188" w:type="dxa"/>
          </w:tcPr>
          <w:p w:rsidR="00464F34" w:rsidRPr="00661595" w:rsidRDefault="00464F34" w:rsidP="00115052">
            <w:pPr>
              <w:pStyle w:val="InstructionsText"/>
            </w:pPr>
            <w:r>
              <w:t>0070</w:t>
            </w:r>
          </w:p>
        </w:tc>
        <w:tc>
          <w:tcPr>
            <w:tcW w:w="8640" w:type="dxa"/>
          </w:tcPr>
          <w:p w:rsidR="00464F34" w:rsidRPr="00661595" w:rsidRDefault="00464F34" w:rsidP="00115052">
            <w:pPr>
              <w:pStyle w:val="InstructionsText"/>
            </w:pPr>
            <w:r>
              <w:rPr>
                <w:rStyle w:val="InstructionsTabelleberschrift"/>
                <w:rFonts w:ascii="Times New Roman" w:hAnsi="Times New Roman"/>
                <w:sz w:val="24"/>
              </w:rPr>
              <w:t>Garanzia reale finanziaria: metodo semplificato</w:t>
            </w:r>
          </w:p>
          <w:p w:rsidR="00464F34" w:rsidRPr="00661595" w:rsidRDefault="00167619" w:rsidP="00115052">
            <w:pPr>
              <w:pStyle w:val="InstructionsText"/>
            </w:pPr>
            <w:r>
              <w:t>Articolo 222, paragrafi 1 e 2, del CRR</w:t>
            </w:r>
          </w:p>
        </w:tc>
      </w:tr>
      <w:tr w:rsidR="00464F34" w:rsidRPr="00661595" w:rsidTr="00672D2A">
        <w:tc>
          <w:tcPr>
            <w:tcW w:w="1188" w:type="dxa"/>
          </w:tcPr>
          <w:p w:rsidR="00464F34" w:rsidRPr="00661595" w:rsidRDefault="00464F34" w:rsidP="00115052">
            <w:pPr>
              <w:pStyle w:val="InstructionsText"/>
            </w:pPr>
            <w:r>
              <w:t>0080</w:t>
            </w:r>
          </w:p>
        </w:tc>
        <w:tc>
          <w:tcPr>
            <w:tcW w:w="8640" w:type="dxa"/>
          </w:tcPr>
          <w:p w:rsidR="00464F34" w:rsidRPr="00661595" w:rsidRDefault="00464F34"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Altra protezione del credito di tipo reale</w:t>
            </w:r>
          </w:p>
          <w:p w:rsidR="00464F34" w:rsidRPr="00661595" w:rsidRDefault="00464F34" w:rsidP="00115052">
            <w:pPr>
              <w:pStyle w:val="InstructionsText"/>
            </w:pPr>
            <w:r>
              <w:t>Articolo 232 del CRR</w:t>
            </w:r>
          </w:p>
        </w:tc>
      </w:tr>
      <w:tr w:rsidR="00464F34" w:rsidRPr="00661595" w:rsidTr="00672D2A">
        <w:tc>
          <w:tcPr>
            <w:tcW w:w="1188" w:type="dxa"/>
          </w:tcPr>
          <w:p w:rsidR="00464F34" w:rsidRPr="00661595" w:rsidRDefault="00464F34" w:rsidP="00DF1E3B">
            <w:pPr>
              <w:pStyle w:val="InstructionsText"/>
              <w:keepNext/>
              <w:keepLines/>
            </w:pPr>
            <w:r>
              <w:t>0090-0100</w:t>
            </w:r>
          </w:p>
        </w:tc>
        <w:tc>
          <w:tcPr>
            <w:tcW w:w="8640" w:type="dxa"/>
          </w:tcPr>
          <w:p w:rsidR="00464F34" w:rsidRPr="00661595" w:rsidRDefault="00464F34" w:rsidP="00DF1E3B">
            <w:pPr>
              <w:pStyle w:val="InstructionsText"/>
              <w:keepNext/>
              <w:keepLines/>
              <w:rPr>
                <w:rStyle w:val="InstructionsTabelleberschrift"/>
                <w:rFonts w:ascii="Times New Roman" w:hAnsi="Times New Roman"/>
                <w:sz w:val="24"/>
              </w:rPr>
            </w:pPr>
            <w:r>
              <w:rPr>
                <w:rStyle w:val="InstructionsTabelleberschrift"/>
                <w:rFonts w:ascii="Times New Roman" w:hAnsi="Times New Roman"/>
                <w:sz w:val="24"/>
              </w:rPr>
              <w:t>SOSTITUZIONE DELL</w:t>
            </w:r>
            <w:r w:rsidR="000878EC">
              <w:rPr>
                <w:rStyle w:val="InstructionsTabelleberschrift"/>
                <w:rFonts w:ascii="Times New Roman" w:hAnsi="Times New Roman"/>
                <w:sz w:val="24"/>
              </w:rPr>
              <w:t>'</w:t>
            </w:r>
            <w:r>
              <w:rPr>
                <w:rStyle w:val="InstructionsTabelleberschrift"/>
                <w:rFonts w:ascii="Times New Roman" w:hAnsi="Times New Roman"/>
                <w:sz w:val="24"/>
              </w:rPr>
              <w:t>ESPOSIZIONE DOVUTA ALL</w:t>
            </w:r>
            <w:r w:rsidR="000878EC">
              <w:rPr>
                <w:rStyle w:val="InstructionsTabelleberschrift"/>
                <w:rFonts w:ascii="Times New Roman" w:hAnsi="Times New Roman"/>
                <w:sz w:val="24"/>
              </w:rPr>
              <w:t>'</w:t>
            </w:r>
            <w:r>
              <w:rPr>
                <w:rStyle w:val="InstructionsTabelleberschrift"/>
                <w:rFonts w:ascii="Times New Roman" w:hAnsi="Times New Roman"/>
                <w:sz w:val="24"/>
              </w:rPr>
              <w:t>ATTENUAZIONE DEL RISCHIO DI CREDITO</w:t>
            </w:r>
          </w:p>
          <w:p w:rsidR="00464F34" w:rsidRPr="00661595" w:rsidRDefault="00464F34" w:rsidP="00DF1E3B">
            <w:pPr>
              <w:pStyle w:val="InstructionsText"/>
              <w:keepNext/>
              <w:keepLines/>
            </w:pPr>
            <w:r>
              <w:t>Articolo 222, paragrafo 3, articolo 235, paragrafi 1 e 2, e articolo 236 del CRR</w:t>
            </w:r>
          </w:p>
          <w:p w:rsidR="00464F34" w:rsidRPr="00661595" w:rsidRDefault="00464F34" w:rsidP="00DF1E3B">
            <w:pPr>
              <w:pStyle w:val="InstructionsText"/>
              <w:keepNext/>
              <w:keepLines/>
            </w:pPr>
            <w:r>
              <w:t>I deflussi corrispondono alla parte garantita dell</w:t>
            </w:r>
            <w:r w:rsidR="000878EC">
              <w:t>'</w:t>
            </w:r>
            <w:r>
              <w:t>esposizione originaria prima dell</w:t>
            </w:r>
            <w:r w:rsidR="000878EC">
              <w:t>'</w:t>
            </w:r>
            <w:r>
              <w:t>applicazione dei fattori di conversione che è dedotta dalla classe di esposizioni del debitore e successivamente assegnata alla classe di esposizioni del fornitore della protezione. L</w:t>
            </w:r>
            <w:r w:rsidR="000878EC">
              <w:t>'</w:t>
            </w:r>
            <w:r>
              <w:t>importo è considerato un afflusso nella classe di esposizioni del fornitore della protezione.</w:t>
            </w:r>
          </w:p>
          <w:p w:rsidR="00464F34" w:rsidRPr="00661595" w:rsidRDefault="00464F34" w:rsidP="00DF1E3B">
            <w:pPr>
              <w:pStyle w:val="InstructionsText"/>
              <w:keepNext/>
              <w:keepLines/>
              <w:rPr>
                <w:b/>
              </w:rPr>
            </w:pPr>
            <w:r>
              <w:t>Sono segnalati qui anche gli afflussi e i deflussi all</w:t>
            </w:r>
            <w:r w:rsidR="000878EC">
              <w:t>'</w:t>
            </w:r>
            <w:r>
              <w:t>interno delle stesse classi di esposizioni.</w:t>
            </w:r>
          </w:p>
          <w:p w:rsidR="00464F34" w:rsidRPr="00661595" w:rsidRDefault="00464F34" w:rsidP="00DF1E3B">
            <w:pPr>
              <w:pStyle w:val="InstructionsText"/>
              <w:keepNext/>
              <w:keepLines/>
            </w:pPr>
            <w:r>
              <w:t>Si tiene conto delle esposizioni derivanti da eventuali afflussi e deflussi da e verso altri modelli.</w:t>
            </w:r>
          </w:p>
        </w:tc>
      </w:tr>
      <w:tr w:rsidR="00464F34" w:rsidRPr="00661595" w:rsidTr="00672D2A">
        <w:tc>
          <w:tcPr>
            <w:tcW w:w="1188" w:type="dxa"/>
          </w:tcPr>
          <w:p w:rsidR="00464F34" w:rsidRPr="00661595" w:rsidRDefault="00FF15C6" w:rsidP="00115052">
            <w:pPr>
              <w:pStyle w:val="InstructionsText"/>
            </w:pPr>
            <w:r>
              <w:t>0110</w:t>
            </w:r>
          </w:p>
        </w:tc>
        <w:tc>
          <w:tcPr>
            <w:tcW w:w="8640" w:type="dxa"/>
          </w:tcPr>
          <w:p w:rsidR="00464F34" w:rsidRPr="00661595" w:rsidRDefault="00464F34"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ESPOSIZIONE NETTA DOPO GLI EFFETTI DI SOSTITUZIONE DELL</w:t>
            </w:r>
            <w:r w:rsidR="000878EC">
              <w:rPr>
                <w:rStyle w:val="InstructionsTabelleberschrift"/>
                <w:rFonts w:ascii="Times New Roman" w:hAnsi="Times New Roman"/>
                <w:sz w:val="24"/>
              </w:rPr>
              <w:t>'</w:t>
            </w:r>
            <w:r>
              <w:rPr>
                <w:rStyle w:val="InstructionsTabelleberschrift"/>
                <w:rFonts w:ascii="Times New Roman" w:hAnsi="Times New Roman"/>
                <w:sz w:val="24"/>
              </w:rPr>
              <w:t>ATTENUAZIONE DEL RISCHIO DI CREDITO PRIMA DELL</w:t>
            </w:r>
            <w:r w:rsidR="000878EC">
              <w:rPr>
                <w:rStyle w:val="InstructionsTabelleberschrift"/>
                <w:rFonts w:ascii="Times New Roman" w:hAnsi="Times New Roman"/>
                <w:sz w:val="24"/>
              </w:rPr>
              <w:t>'</w:t>
            </w:r>
            <w:r>
              <w:rPr>
                <w:rStyle w:val="InstructionsTabelleberschrift"/>
                <w:rFonts w:ascii="Times New Roman" w:hAnsi="Times New Roman"/>
                <w:sz w:val="24"/>
              </w:rPr>
              <w:t>APPLICAZIONE DEI FATTORI DI CONVERSIONE</w:t>
            </w:r>
          </w:p>
          <w:p w:rsidR="00464F34" w:rsidRPr="00661595" w:rsidRDefault="00464F34" w:rsidP="00115052">
            <w:pPr>
              <w:pStyle w:val="InstructionsText"/>
            </w:pPr>
            <w:r>
              <w:t>Importo dell</w:t>
            </w:r>
            <w:r w:rsidR="000878EC">
              <w:t>'</w:t>
            </w:r>
            <w:r>
              <w:t>esposizione al netto delle rettifiche di valore, tenuto conto dei deflussi e degli afflussi dovuti alle TECNICHE DI ATTENUAZIONE DEL RISCHIO DI CREDITO (CRM) CON EFFETTI DI SOSTITUZIONE SULL</w:t>
            </w:r>
            <w:r w:rsidR="000878EC">
              <w:t>'</w:t>
            </w:r>
            <w:r>
              <w:t>ESPOSIZIONE.</w:t>
            </w:r>
          </w:p>
        </w:tc>
      </w:tr>
      <w:tr w:rsidR="00464F34" w:rsidRPr="00661595" w:rsidTr="00672D2A">
        <w:tc>
          <w:tcPr>
            <w:tcW w:w="1188" w:type="dxa"/>
          </w:tcPr>
          <w:p w:rsidR="00464F34" w:rsidRPr="00661595" w:rsidRDefault="00FF15C6" w:rsidP="00115052">
            <w:pPr>
              <w:pStyle w:val="InstructionsText"/>
            </w:pPr>
            <w:r>
              <w:t>0120-0140</w:t>
            </w:r>
          </w:p>
        </w:tc>
        <w:tc>
          <w:tcPr>
            <w:tcW w:w="8640" w:type="dxa"/>
          </w:tcPr>
          <w:p w:rsidR="00464F34" w:rsidRPr="00661595" w:rsidRDefault="00464F34" w:rsidP="00115052">
            <w:pPr>
              <w:pStyle w:val="InstructionsText"/>
            </w:pPr>
            <w:r>
              <w:rPr>
                <w:rStyle w:val="InstructionsTabelleberschrift"/>
                <w:rFonts w:ascii="Times New Roman" w:hAnsi="Times New Roman"/>
                <w:sz w:val="24"/>
              </w:rPr>
              <w:t>TECNICHE DI ATTENUAZIONE DEL RISCHIO DI CREDITO CHE INFLUISCONO SULL</w:t>
            </w:r>
            <w:r w:rsidR="000878EC">
              <w:rPr>
                <w:rStyle w:val="InstructionsTabelleberschrift"/>
                <w:rFonts w:ascii="Times New Roman" w:hAnsi="Times New Roman"/>
                <w:sz w:val="24"/>
              </w:rPr>
              <w:t>'</w:t>
            </w:r>
            <w:r>
              <w:rPr>
                <w:rStyle w:val="InstructionsTabelleberschrift"/>
                <w:rFonts w:ascii="Times New Roman" w:hAnsi="Times New Roman"/>
                <w:sz w:val="24"/>
              </w:rPr>
              <w:t>IMPORTO DELL</w:t>
            </w:r>
            <w:r w:rsidR="000878EC">
              <w:rPr>
                <w:rStyle w:val="InstructionsTabelleberschrift"/>
                <w:rFonts w:ascii="Times New Roman" w:hAnsi="Times New Roman"/>
                <w:sz w:val="24"/>
              </w:rPr>
              <w:t>'</w:t>
            </w:r>
            <w:r>
              <w:rPr>
                <w:rStyle w:val="InstructionsTabelleberschrift"/>
                <w:rFonts w:ascii="Times New Roman" w:hAnsi="Times New Roman"/>
                <w:sz w:val="24"/>
              </w:rPr>
              <w:t>ESPOSIZIONE: PROTEZIONE DEL CREDITO DI TIPO REALE, METODO INTEGRALE PER IL TRATTAMENTO DELLE GARANZIE REALI FINANZIARIE</w:t>
            </w:r>
          </w:p>
          <w:p w:rsidR="00464F34" w:rsidRPr="00661595" w:rsidRDefault="00464F34" w:rsidP="00115052">
            <w:pPr>
              <w:pStyle w:val="InstructionsText"/>
            </w:pPr>
            <w:r>
              <w:t>Articoli da 223 a 228 del CRR. Comprendono anche le credit linked note (articolo 218 del CRR).</w:t>
            </w:r>
          </w:p>
          <w:p w:rsidR="00464F34" w:rsidRPr="00661595" w:rsidRDefault="00464F34" w:rsidP="00115052">
            <w:pPr>
              <w:pStyle w:val="InstructionsText"/>
            </w:pPr>
            <w:r>
              <w:t>Le credit linked note di cui all</w:t>
            </w:r>
            <w:r w:rsidR="000878EC">
              <w:t>'</w:t>
            </w:r>
            <w:r>
              <w:t xml:space="preserve">articolo 218 del CRR e le posizioni di compensazione in bilancio risultanti da accordi di compensazione in bilancio </w:t>
            </w:r>
            <w:r w:rsidR="006D638D">
              <w:t>ammissibili di cui all</w:t>
            </w:r>
            <w:r w:rsidR="000878EC">
              <w:t>'</w:t>
            </w:r>
            <w:r w:rsidR="006D638D">
              <w:t>articolo </w:t>
            </w:r>
            <w:r>
              <w:t>219 del CRR sono trattate come garanzie in contante.</w:t>
            </w:r>
          </w:p>
          <w:p w:rsidR="00464F34" w:rsidRPr="00661595" w:rsidRDefault="00464F34" w:rsidP="00115052">
            <w:pPr>
              <w:pStyle w:val="InstructionsText"/>
            </w:pPr>
            <w:r>
              <w:t>L</w:t>
            </w:r>
            <w:r w:rsidR="000878EC">
              <w:t>'</w:t>
            </w:r>
            <w:r>
              <w:t>effetto della costituzione di garanzia del metodo integrale per il trattamento delle garanzie reali finanziarie applicato a un</w:t>
            </w:r>
            <w:r w:rsidR="000878EC">
              <w:t>'</w:t>
            </w:r>
            <w:r>
              <w:t xml:space="preserve">esposizione garantita da una garanzia reale finanziaria ammissibile è calcolato conformemente agli articoli da 223 a 228 del CRR. </w:t>
            </w:r>
          </w:p>
        </w:tc>
      </w:tr>
      <w:tr w:rsidR="00464F34" w:rsidRPr="00661595" w:rsidTr="00672D2A">
        <w:tc>
          <w:tcPr>
            <w:tcW w:w="1188" w:type="dxa"/>
          </w:tcPr>
          <w:p w:rsidR="00464F34" w:rsidRPr="00661595" w:rsidRDefault="00FF15C6" w:rsidP="00115052">
            <w:pPr>
              <w:pStyle w:val="InstructionsText"/>
            </w:pPr>
            <w:r>
              <w:t>0120</w:t>
            </w:r>
          </w:p>
        </w:tc>
        <w:tc>
          <w:tcPr>
            <w:tcW w:w="8640" w:type="dxa"/>
          </w:tcPr>
          <w:p w:rsidR="00464F34" w:rsidRPr="00661595" w:rsidRDefault="00464F34"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Rettifica dell</w:t>
            </w:r>
            <w:r w:rsidR="000878EC">
              <w:rPr>
                <w:rStyle w:val="InstructionsTabelleberschrift"/>
                <w:rFonts w:ascii="Times New Roman" w:hAnsi="Times New Roman"/>
                <w:sz w:val="24"/>
              </w:rPr>
              <w:t>'</w:t>
            </w:r>
            <w:r>
              <w:rPr>
                <w:rStyle w:val="InstructionsTabelleberschrift"/>
                <w:rFonts w:ascii="Times New Roman" w:hAnsi="Times New Roman"/>
                <w:sz w:val="24"/>
              </w:rPr>
              <w:t>esposizione per volatilità</w:t>
            </w:r>
          </w:p>
          <w:p w:rsidR="00464F34" w:rsidRPr="00661595" w:rsidRDefault="00167619" w:rsidP="00115052">
            <w:pPr>
              <w:pStyle w:val="InstructionsText"/>
            </w:pPr>
            <w:r>
              <w:t>Articolo 223, paragrafi 2 e 3, del CRR</w:t>
            </w:r>
          </w:p>
          <w:p w:rsidR="00464F34" w:rsidRPr="00661595" w:rsidRDefault="00464F34" w:rsidP="00115052">
            <w:pPr>
              <w:pStyle w:val="InstructionsText"/>
            </w:pPr>
            <w:r>
              <w:t>L</w:t>
            </w:r>
            <w:r w:rsidR="000878EC">
              <w:t>'</w:t>
            </w:r>
            <w:r>
              <w:t>importo da segnalare è pari all</w:t>
            </w:r>
            <w:r w:rsidR="000878EC">
              <w:t>'</w:t>
            </w:r>
            <w:r>
              <w:t>impatto della rettifica per volatilità del valore dell</w:t>
            </w:r>
            <w:r w:rsidR="000878EC">
              <w:t>'</w:t>
            </w:r>
            <w:r>
              <w:t>esposizione (Eva-E) = E*He.</w:t>
            </w:r>
          </w:p>
        </w:tc>
      </w:tr>
      <w:tr w:rsidR="00464F34" w:rsidRPr="00661595" w:rsidTr="00672D2A">
        <w:tc>
          <w:tcPr>
            <w:tcW w:w="1188" w:type="dxa"/>
          </w:tcPr>
          <w:p w:rsidR="00464F34" w:rsidRPr="00661595" w:rsidRDefault="00FF15C6" w:rsidP="00115052">
            <w:pPr>
              <w:pStyle w:val="InstructionsText"/>
            </w:pPr>
            <w:r>
              <w:t>0130</w:t>
            </w:r>
          </w:p>
        </w:tc>
        <w:tc>
          <w:tcPr>
            <w:tcW w:w="8640" w:type="dxa"/>
          </w:tcPr>
          <w:p w:rsidR="00464F34" w:rsidRPr="00661595" w:rsidRDefault="00464F34"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 Garanzia reale finanziaria: valore corretto (Cvam)</w:t>
            </w:r>
          </w:p>
          <w:p w:rsidR="00464F34" w:rsidRPr="00661595" w:rsidRDefault="00464F34" w:rsidP="00115052">
            <w:pPr>
              <w:pStyle w:val="InstructionsText"/>
            </w:pPr>
            <w:r>
              <w:t>Articolo 239, paragrafo 2, del CRR</w:t>
            </w:r>
          </w:p>
          <w:p w:rsidR="00464F34" w:rsidRPr="00661595" w:rsidRDefault="00464F34" w:rsidP="00115052">
            <w:pPr>
              <w:pStyle w:val="InstructionsText"/>
            </w:pPr>
            <w:r>
              <w:t>Nel caso delle operazioni interne al portafoglio di negoziazione, sono comprese le garanzie reali finanziarie e le merci ammissibili come esposizioni nel portafoglio di negoziazione conformemente all</w:t>
            </w:r>
            <w:r w:rsidR="000878EC">
              <w:t>'</w:t>
            </w:r>
            <w:r>
              <w:t xml:space="preserve">articolo 299, paragrafo 2, lettere da c) a f), del CRR. </w:t>
            </w:r>
          </w:p>
          <w:p w:rsidR="00464F34" w:rsidRPr="00661595" w:rsidRDefault="00464F34" w:rsidP="00115052">
            <w:pPr>
              <w:pStyle w:val="InstructionsText"/>
            </w:pPr>
            <w:r>
              <w:t>L</w:t>
            </w:r>
            <w:r w:rsidR="000878EC">
              <w:t>'</w:t>
            </w:r>
            <w:r>
              <w:t xml:space="preserve">importo da segnalare corrisponde a: Cvam = C*(1-Hc-Hfx)*(t-t*)/(T-t*). Per la definizione di C, Hc, Hfx, t, T e t* si rimanda </w:t>
            </w:r>
            <w:r w:rsidR="006D638D">
              <w:t xml:space="preserve">alla parte tre, titolo II, capo 4, sezioni </w:t>
            </w:r>
            <w:r>
              <w:t>4 e 5, del CRR.</w:t>
            </w:r>
          </w:p>
        </w:tc>
      </w:tr>
      <w:tr w:rsidR="00464F34" w:rsidRPr="00661595" w:rsidTr="00672D2A">
        <w:tc>
          <w:tcPr>
            <w:tcW w:w="1188" w:type="dxa"/>
          </w:tcPr>
          <w:p w:rsidR="00464F34" w:rsidRPr="00661595" w:rsidRDefault="00FF15C6" w:rsidP="00115052">
            <w:pPr>
              <w:pStyle w:val="InstructionsText"/>
            </w:pPr>
            <w:r>
              <w:t>0140</w:t>
            </w:r>
          </w:p>
        </w:tc>
        <w:tc>
          <w:tcPr>
            <w:tcW w:w="8640" w:type="dxa"/>
          </w:tcPr>
          <w:p w:rsidR="00464F34" w:rsidRPr="00661595" w:rsidRDefault="008932B5"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 di cui: rettifiche per volatilità e in funzione della durata</w:t>
            </w:r>
          </w:p>
          <w:p w:rsidR="00464F34" w:rsidRPr="00661595" w:rsidRDefault="00464F34" w:rsidP="00115052">
            <w:pPr>
              <w:pStyle w:val="InstructionsText"/>
            </w:pPr>
            <w:r>
              <w:t xml:space="preserve">Articolo 223, paragrafo 1, e articolo 239, paragrafo 2, del CRR </w:t>
            </w:r>
          </w:p>
          <w:p w:rsidR="00464F34" w:rsidRPr="00661595" w:rsidRDefault="00464F34" w:rsidP="00115052">
            <w:pPr>
              <w:pStyle w:val="InstructionsText"/>
            </w:pPr>
            <w:r>
              <w:t>L</w:t>
            </w:r>
            <w:r w:rsidR="000878EC">
              <w:t>'</w:t>
            </w:r>
            <w:r>
              <w:t>importo da segnalare è l</w:t>
            </w:r>
            <w:r w:rsidR="000878EC">
              <w:t>'</w:t>
            </w:r>
            <w:r>
              <w:t>impatto combinato delle rettifiche per volatilità e in funzione della durata (Cvam-C) = C*[(1-Hc-Hfx)*(t-t*)/(T-t*)-1], dove l</w:t>
            </w:r>
            <w:r w:rsidR="000878EC">
              <w:t>'</w:t>
            </w:r>
            <w:r>
              <w:t>impatto delle rettifiche per volatilità è (Cva-C) = C*[(1-Hc-Hfx)-1] e l</w:t>
            </w:r>
            <w:r w:rsidR="000878EC">
              <w:t>'</w:t>
            </w:r>
            <w:r>
              <w:t>impatto delle rettifiche in funzione della durata è (Cvam-Cva) = C*(1-Hc-Hfx)*[(t-t*)/(T-t*)-1].</w:t>
            </w:r>
          </w:p>
        </w:tc>
      </w:tr>
      <w:tr w:rsidR="00464F34" w:rsidRPr="00661595" w:rsidTr="00672D2A">
        <w:tc>
          <w:tcPr>
            <w:tcW w:w="1188" w:type="dxa"/>
          </w:tcPr>
          <w:p w:rsidR="00464F34" w:rsidRPr="00661595" w:rsidRDefault="00FF15C6" w:rsidP="00115052">
            <w:pPr>
              <w:pStyle w:val="InstructionsText"/>
            </w:pPr>
            <w:r>
              <w:t>0150</w:t>
            </w:r>
          </w:p>
        </w:tc>
        <w:tc>
          <w:tcPr>
            <w:tcW w:w="8640" w:type="dxa"/>
          </w:tcPr>
          <w:p w:rsidR="00464F34" w:rsidRPr="00661595" w:rsidRDefault="00464F34" w:rsidP="00115052">
            <w:pPr>
              <w:pStyle w:val="InstructionsText"/>
            </w:pPr>
            <w:r>
              <w:rPr>
                <w:rStyle w:val="InstructionsTabelleberschrift"/>
                <w:rFonts w:ascii="Times New Roman" w:hAnsi="Times New Roman"/>
                <w:sz w:val="24"/>
              </w:rPr>
              <w:t>Valore dell</w:t>
            </w:r>
            <w:r w:rsidR="000878EC">
              <w:rPr>
                <w:rStyle w:val="InstructionsTabelleberschrift"/>
                <w:rFonts w:ascii="Times New Roman" w:hAnsi="Times New Roman"/>
                <w:sz w:val="24"/>
              </w:rPr>
              <w:t>'</w:t>
            </w:r>
            <w:r>
              <w:rPr>
                <w:rStyle w:val="InstructionsTabelleberschrift"/>
                <w:rFonts w:ascii="Times New Roman" w:hAnsi="Times New Roman"/>
                <w:sz w:val="24"/>
              </w:rPr>
              <w:t>esposizione corretto integralmente (E*)</w:t>
            </w:r>
          </w:p>
          <w:p w:rsidR="00464F34" w:rsidRPr="00661595" w:rsidRDefault="00464F34" w:rsidP="00115052">
            <w:pPr>
              <w:pStyle w:val="InstructionsText"/>
              <w:rPr>
                <w:b/>
                <w:u w:val="single"/>
              </w:rPr>
            </w:pPr>
            <w:r>
              <w:t>Articolo 220, paragrafo 4, articolo 223, paragrafi da 2 a 5, e articolo 228, paragrafo 1, del CRR</w:t>
            </w:r>
          </w:p>
        </w:tc>
      </w:tr>
      <w:tr w:rsidR="00464F34" w:rsidRPr="00661595" w:rsidTr="00672D2A">
        <w:tc>
          <w:tcPr>
            <w:tcW w:w="1188" w:type="dxa"/>
          </w:tcPr>
          <w:p w:rsidR="00464F34" w:rsidRPr="00661595" w:rsidRDefault="00FF15C6" w:rsidP="00115052">
            <w:pPr>
              <w:pStyle w:val="InstructionsText"/>
            </w:pPr>
            <w:r>
              <w:t>0160-0190</w:t>
            </w:r>
          </w:p>
        </w:tc>
        <w:tc>
          <w:tcPr>
            <w:tcW w:w="8640" w:type="dxa"/>
          </w:tcPr>
          <w:p w:rsidR="00464F34" w:rsidRPr="00661595" w:rsidRDefault="00464F34"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Ripartizione per fattori di conversione del valore dell</w:t>
            </w:r>
            <w:r w:rsidR="000878EC">
              <w:rPr>
                <w:rStyle w:val="InstructionsTabelleberschrift"/>
                <w:rFonts w:ascii="Times New Roman" w:hAnsi="Times New Roman"/>
                <w:sz w:val="24"/>
              </w:rPr>
              <w:t>'</w:t>
            </w:r>
            <w:r>
              <w:rPr>
                <w:rStyle w:val="InstructionsTabelleberschrift"/>
                <w:rFonts w:ascii="Times New Roman" w:hAnsi="Times New Roman"/>
                <w:sz w:val="24"/>
              </w:rPr>
              <w:t>esposizione corretta integralmente degli elementi fuori bilancio</w:t>
            </w:r>
          </w:p>
          <w:p w:rsidR="00464F34" w:rsidRPr="00661595" w:rsidRDefault="00464F34" w:rsidP="00115052">
            <w:pPr>
              <w:pStyle w:val="InstructionsText"/>
            </w:pPr>
            <w:r>
              <w:t>Articolo 111, paragrafo 1, e articolo 4, paragrafo 1, punto 56, del CRR Cfr. anche l</w:t>
            </w:r>
            <w:r w:rsidR="000878EC">
              <w:t>'</w:t>
            </w:r>
            <w:r>
              <w:t>articolo 222, paragrafo 3, e l</w:t>
            </w:r>
            <w:r w:rsidR="000878EC">
              <w:t>'</w:t>
            </w:r>
            <w:r>
              <w:t>articolo 228, paragrafo 1, del CRR.</w:t>
            </w:r>
          </w:p>
          <w:p w:rsidR="000A4C10" w:rsidRPr="00661595" w:rsidRDefault="000A4C10" w:rsidP="00115052">
            <w:pPr>
              <w:pStyle w:val="InstructionsText"/>
              <w:rPr>
                <w:b/>
                <w:u w:val="single"/>
              </w:rPr>
            </w:pPr>
            <w:r>
              <w:t>Indicare i valori dell</w:t>
            </w:r>
            <w:r w:rsidR="000878EC">
              <w:t>'</w:t>
            </w:r>
            <w:r>
              <w:t>esposizione corretta integralmente prima dell</w:t>
            </w:r>
            <w:r w:rsidR="000878EC">
              <w:t>'</w:t>
            </w:r>
            <w:r>
              <w:t>applicazione del fattore di conversione.</w:t>
            </w:r>
          </w:p>
        </w:tc>
      </w:tr>
      <w:tr w:rsidR="00464F34" w:rsidRPr="00661595" w:rsidTr="00672D2A">
        <w:tc>
          <w:tcPr>
            <w:tcW w:w="1188" w:type="dxa"/>
          </w:tcPr>
          <w:p w:rsidR="00464F34" w:rsidRPr="00661595" w:rsidRDefault="00FF15C6" w:rsidP="00115052">
            <w:pPr>
              <w:pStyle w:val="InstructionsText"/>
            </w:pPr>
            <w:r>
              <w:t>0200</w:t>
            </w:r>
          </w:p>
        </w:tc>
        <w:tc>
          <w:tcPr>
            <w:tcW w:w="8640" w:type="dxa"/>
          </w:tcPr>
          <w:p w:rsidR="00464F34" w:rsidRPr="00661595" w:rsidRDefault="00464F34" w:rsidP="00115052">
            <w:pPr>
              <w:pStyle w:val="InstructionsText"/>
            </w:pPr>
            <w:r>
              <w:rPr>
                <w:rStyle w:val="InstructionsTabelleberschrift"/>
                <w:rFonts w:ascii="Times New Roman" w:hAnsi="Times New Roman"/>
                <w:sz w:val="24"/>
              </w:rPr>
              <w:t>Valore dell</w:t>
            </w:r>
            <w:r w:rsidR="000878EC">
              <w:rPr>
                <w:rStyle w:val="InstructionsTabelleberschrift"/>
                <w:rFonts w:ascii="Times New Roman" w:hAnsi="Times New Roman"/>
                <w:sz w:val="24"/>
              </w:rPr>
              <w:t>'</w:t>
            </w:r>
            <w:r>
              <w:rPr>
                <w:rStyle w:val="InstructionsTabelleberschrift"/>
                <w:rFonts w:ascii="Times New Roman" w:hAnsi="Times New Roman"/>
                <w:sz w:val="24"/>
              </w:rPr>
              <w:t>esposizione</w:t>
            </w:r>
          </w:p>
          <w:p w:rsidR="00464F34" w:rsidRPr="00661595" w:rsidRDefault="00531FC9" w:rsidP="00115052">
            <w:pPr>
              <w:pStyle w:val="InstructionsText"/>
            </w:pPr>
            <w:r>
              <w:t>A</w:t>
            </w:r>
            <w:r w:rsidR="006D638D">
              <w:t xml:space="preserve">rticolo 111 e parte tre, titolo II, capo </w:t>
            </w:r>
            <w:r>
              <w:t>4, sezione 4, del CRR</w:t>
            </w:r>
          </w:p>
          <w:p w:rsidR="00464F34" w:rsidRPr="00661595" w:rsidRDefault="00464F34" w:rsidP="00115052">
            <w:pPr>
              <w:pStyle w:val="InstructionsText"/>
            </w:pPr>
            <w:r>
              <w:t>Valore dell</w:t>
            </w:r>
            <w:r w:rsidR="000878EC">
              <w:t>'</w:t>
            </w:r>
            <w:r>
              <w:t>esposizione, tenuto conto delle rettifiche di valore, di tutte le attenuazioni del rischio di credito e dei fattori di conversione del credito, da attribuire ai fattori di ponderazione del rischio ai sensi dell</w:t>
            </w:r>
            <w:r w:rsidR="000878EC">
              <w:t>'</w:t>
            </w:r>
            <w:r>
              <w:t>articolo 113 e della parte tre, titolo II, capo 2, sezione 2, del CRR.</w:t>
            </w:r>
          </w:p>
          <w:p w:rsidR="0029630E" w:rsidRPr="00661595" w:rsidRDefault="0029630E" w:rsidP="00115052">
            <w:pPr>
              <w:pStyle w:val="InstructionsText"/>
            </w:pPr>
            <w:r>
              <w:t>Ai valori dell</w:t>
            </w:r>
            <w:r w:rsidR="000878EC">
              <w:t>'</w:t>
            </w:r>
            <w:r>
              <w:t>esposizione per i contratti di leasing si applica l</w:t>
            </w:r>
            <w:r w:rsidR="000878EC">
              <w:t>'</w:t>
            </w:r>
            <w:r>
              <w:t>articolo 134, paragrafo 7, del CRR. In particolare, il valore residuo è incluso al suo valore residuo attualizzato dopo aver tenuto conto delle rettifiche di valore, di tutti i fattori di attenuazione del rischio di credito e dei fattori di conversione del credito.</w:t>
            </w:r>
          </w:p>
          <w:p w:rsidR="007C64F7" w:rsidRPr="00661595" w:rsidRDefault="007C64F7" w:rsidP="00115052">
            <w:pPr>
              <w:pStyle w:val="InstructionsText"/>
            </w:pPr>
            <w:r>
              <w:t>I valori delle esposizioni soggette al rischio di controparte sono gli stessi indicati nella colonna 0210.</w:t>
            </w:r>
          </w:p>
        </w:tc>
      </w:tr>
      <w:tr w:rsidR="00464F34" w:rsidRPr="00661595" w:rsidTr="00672D2A">
        <w:tc>
          <w:tcPr>
            <w:tcW w:w="1188" w:type="dxa"/>
          </w:tcPr>
          <w:p w:rsidR="00464F34" w:rsidRPr="00661595" w:rsidRDefault="00FF15C6" w:rsidP="00115052">
            <w:pPr>
              <w:pStyle w:val="InstructionsText"/>
            </w:pPr>
            <w:r>
              <w:t>0210</w:t>
            </w:r>
          </w:p>
        </w:tc>
        <w:tc>
          <w:tcPr>
            <w:tcW w:w="8640" w:type="dxa"/>
          </w:tcPr>
          <w:p w:rsidR="00464F34" w:rsidRPr="00661595" w:rsidRDefault="00464F34"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di cui: derivante dal rischio di controparte (CCR)</w:t>
            </w:r>
          </w:p>
          <w:p w:rsidR="007C64F7" w:rsidRPr="00661595" w:rsidRDefault="007C64F7" w:rsidP="006D638D">
            <w:pPr>
              <w:pStyle w:val="TableMainHeading"/>
              <w:suppressAutoHyphens/>
              <w:spacing w:before="60"/>
              <w:jc w:val="both"/>
              <w:rPr>
                <w:rFonts w:ascii="Times New Roman" w:hAnsi="Times New Roman"/>
                <w:sz w:val="24"/>
                <w:szCs w:val="24"/>
              </w:rPr>
            </w:pPr>
            <w:r>
              <w:rPr>
                <w:rFonts w:ascii="Times New Roman" w:hAnsi="Times New Roman"/>
                <w:sz w:val="24"/>
                <w:szCs w:val="24"/>
              </w:rPr>
              <w:t>Valore dell</w:t>
            </w:r>
            <w:r w:rsidR="000878EC">
              <w:rPr>
                <w:rFonts w:ascii="Times New Roman" w:hAnsi="Times New Roman"/>
                <w:sz w:val="24"/>
                <w:szCs w:val="24"/>
              </w:rPr>
              <w:t>'</w:t>
            </w:r>
            <w:r>
              <w:rPr>
                <w:rFonts w:ascii="Times New Roman" w:hAnsi="Times New Roman"/>
                <w:sz w:val="24"/>
                <w:szCs w:val="24"/>
              </w:rPr>
              <w:t>esposizione soggetta al rischio di controparte calcolato conformemente ai metodi di cui alla parte tre, titolo II, capi 4 e 6, del CRR, che è l</w:t>
            </w:r>
            <w:r w:rsidR="000878EC">
              <w:rPr>
                <w:rFonts w:ascii="Times New Roman" w:hAnsi="Times New Roman"/>
                <w:sz w:val="24"/>
                <w:szCs w:val="24"/>
              </w:rPr>
              <w:t>'</w:t>
            </w:r>
            <w:r>
              <w:rPr>
                <w:rFonts w:ascii="Times New Roman" w:hAnsi="Times New Roman"/>
                <w:sz w:val="24"/>
                <w:szCs w:val="24"/>
              </w:rPr>
              <w:t>importo rilevante per il calcolo degli importi delle esposizioni ponderati per il rischio, vale a dire avendo applicato tecniche di attenuazione del rischio di credito conformemente alla parte tre, titolo II, capi 4 e 6, del CRR e tenendo conto della deduzione della perdita per CV</w:t>
            </w:r>
            <w:r w:rsidR="006D638D">
              <w:rPr>
                <w:rFonts w:ascii="Times New Roman" w:hAnsi="Times New Roman"/>
                <w:sz w:val="24"/>
                <w:szCs w:val="24"/>
              </w:rPr>
              <w:t>A sostenuta di cui all</w:t>
            </w:r>
            <w:r w:rsidR="000878EC">
              <w:rPr>
                <w:rFonts w:ascii="Times New Roman" w:hAnsi="Times New Roman"/>
                <w:sz w:val="24"/>
                <w:szCs w:val="24"/>
              </w:rPr>
              <w:t>'</w:t>
            </w:r>
            <w:r w:rsidR="006D638D">
              <w:rPr>
                <w:rFonts w:ascii="Times New Roman" w:hAnsi="Times New Roman"/>
                <w:sz w:val="24"/>
                <w:szCs w:val="24"/>
              </w:rPr>
              <w:t xml:space="preserve">articolo 273, paragrafo </w:t>
            </w:r>
            <w:r>
              <w:rPr>
                <w:rFonts w:ascii="Times New Roman" w:hAnsi="Times New Roman"/>
                <w:sz w:val="24"/>
                <w:szCs w:val="24"/>
              </w:rPr>
              <w:t xml:space="preserve">6, del CRR. </w:t>
            </w:r>
          </w:p>
          <w:p w:rsidR="007C64F7" w:rsidRPr="00661595" w:rsidRDefault="007C64F7" w:rsidP="006D638D">
            <w:pPr>
              <w:suppressAutoHyphens/>
              <w:rPr>
                <w:rFonts w:ascii="Times New Roman" w:hAnsi="Times New Roman"/>
                <w:sz w:val="24"/>
              </w:rPr>
            </w:pPr>
            <w:r>
              <w:rPr>
                <w:rFonts w:ascii="Times New Roman" w:hAnsi="Times New Roman"/>
                <w:sz w:val="24"/>
              </w:rPr>
              <w:t>Il valore dell</w:t>
            </w:r>
            <w:r w:rsidR="000878EC">
              <w:rPr>
                <w:rFonts w:ascii="Times New Roman" w:hAnsi="Times New Roman"/>
                <w:sz w:val="24"/>
              </w:rPr>
              <w:t>'</w:t>
            </w:r>
            <w:r>
              <w:rPr>
                <w:rFonts w:ascii="Times New Roman" w:hAnsi="Times New Roman"/>
                <w:sz w:val="24"/>
              </w:rPr>
              <w:t>esposizione per le operazioni per le quali è stato individuato uno specifico rischio di correlazione sfavorevole deve essere determinato conformemente all</w:t>
            </w:r>
            <w:r w:rsidR="000878EC">
              <w:rPr>
                <w:rFonts w:ascii="Times New Roman" w:hAnsi="Times New Roman"/>
                <w:sz w:val="24"/>
              </w:rPr>
              <w:t>'</w:t>
            </w:r>
            <w:r>
              <w:rPr>
                <w:rFonts w:ascii="Times New Roman" w:hAnsi="Times New Roman"/>
                <w:sz w:val="24"/>
              </w:rPr>
              <w:t>articolo 291 del CRR.</w:t>
            </w:r>
          </w:p>
          <w:p w:rsidR="007C64F7" w:rsidRPr="00661595" w:rsidRDefault="007C64F7" w:rsidP="00115052">
            <w:pPr>
              <w:pStyle w:val="InstructionsText"/>
            </w:pPr>
            <w:r>
              <w:t>Nei casi in cui per una singola controparte sia utilizzato più di un metodo per il CCR, la perdita per CVA sostenuta, dedotta a livello di controparte, è assegnata al valore dell</w:t>
            </w:r>
            <w:r w:rsidR="000878EC">
              <w:t>'</w:t>
            </w:r>
            <w:r>
              <w:t>esposizione dei diversi insiemi di attività soggette a compensazione nelle righe da 0090 a 0130 che riflettono la proporzione del valore dell</w:t>
            </w:r>
            <w:r w:rsidR="000878EC">
              <w:t>'</w:t>
            </w:r>
            <w:r>
              <w:t>esposizione post-CRM dei rispettivi insiemi di attività soggette a compensazione rispetto al valore dell</w:t>
            </w:r>
            <w:r w:rsidR="000878EC">
              <w:t>'</w:t>
            </w:r>
            <w:r>
              <w:t>esposizione complessiva post-CRM della controparte. A tal fine è utilizzato il valore dell</w:t>
            </w:r>
            <w:r w:rsidR="000878EC">
              <w:t>'</w:t>
            </w:r>
            <w:r>
              <w:t>esposizione post-CRM secondo le istruzioni relative alla colonna 0160 del modello C 34.02.</w:t>
            </w:r>
          </w:p>
          <w:p w:rsidR="00464F34" w:rsidRPr="00661595" w:rsidRDefault="00464F34" w:rsidP="00115052">
            <w:pPr>
              <w:pStyle w:val="InstructionsText"/>
            </w:pPr>
          </w:p>
        </w:tc>
      </w:tr>
      <w:tr w:rsidR="00E46AC0" w:rsidRPr="00661595" w:rsidTr="00672D2A">
        <w:tc>
          <w:tcPr>
            <w:tcW w:w="1188" w:type="dxa"/>
          </w:tcPr>
          <w:p w:rsidR="00E46AC0" w:rsidRPr="00661595" w:rsidRDefault="00FF15C6" w:rsidP="00115052">
            <w:pPr>
              <w:pStyle w:val="InstructionsText"/>
            </w:pPr>
            <w:r>
              <w:t>0211</w:t>
            </w:r>
          </w:p>
        </w:tc>
        <w:tc>
          <w:tcPr>
            <w:tcW w:w="8640" w:type="dxa"/>
          </w:tcPr>
          <w:p w:rsidR="00E46AC0" w:rsidRPr="00661595" w:rsidRDefault="00E46AC0"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di cui: derivante dal rischio di controparte, escluse le esposizioni compensate tramite CCP</w:t>
            </w:r>
          </w:p>
          <w:p w:rsidR="00E46AC0" w:rsidRPr="00661595" w:rsidRDefault="00E46AC0" w:rsidP="00115052">
            <w:pPr>
              <w:pStyle w:val="InstructionsText"/>
              <w:rPr>
                <w:rStyle w:val="InstructionsTabelleberschrift"/>
                <w:rFonts w:ascii="Times New Roman" w:hAnsi="Times New Roman"/>
                <w:sz w:val="24"/>
              </w:rPr>
            </w:pPr>
            <w:r>
              <w:t>Esposizioni segnalate nella colonna 0210, escluse quelle derivanti dai contratti e dalle operazioni elencati all</w:t>
            </w:r>
            <w:r w:rsidR="000878EC">
              <w:t>'</w:t>
            </w:r>
            <w:r>
              <w:t>articolo 301, paragrafo 1, del CRR, purché in essere con una controparte centrale (CCP), comprese le operazioni relative a CCP ai sensi dell</w:t>
            </w:r>
            <w:r w:rsidR="000878EC">
              <w:t>'</w:t>
            </w:r>
            <w:r>
              <w:t>articolo 300, punto 2, del CRR.</w:t>
            </w:r>
          </w:p>
        </w:tc>
      </w:tr>
      <w:tr w:rsidR="00E46AC0" w:rsidRPr="00661595" w:rsidTr="00672D2A">
        <w:tc>
          <w:tcPr>
            <w:tcW w:w="1188" w:type="dxa"/>
          </w:tcPr>
          <w:p w:rsidR="00E46AC0" w:rsidRPr="00661595" w:rsidRDefault="00FF15C6" w:rsidP="00115052">
            <w:pPr>
              <w:pStyle w:val="InstructionsText"/>
            </w:pPr>
            <w:r>
              <w:t>0215</w:t>
            </w:r>
          </w:p>
        </w:tc>
        <w:tc>
          <w:tcPr>
            <w:tcW w:w="8640" w:type="dxa"/>
          </w:tcPr>
          <w:p w:rsidR="00E46AC0" w:rsidRPr="00661595" w:rsidRDefault="00E46AC0"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Importo dell</w:t>
            </w:r>
            <w:r w:rsidR="000878EC">
              <w:rPr>
                <w:rStyle w:val="InstructionsTabelleberschrift"/>
                <w:rFonts w:ascii="Times New Roman" w:hAnsi="Times New Roman"/>
                <w:sz w:val="24"/>
              </w:rPr>
              <w:t>'</w:t>
            </w:r>
            <w:r>
              <w:rPr>
                <w:rStyle w:val="InstructionsTabelleberschrift"/>
                <w:rFonts w:ascii="Times New Roman" w:hAnsi="Times New Roman"/>
                <w:sz w:val="24"/>
              </w:rPr>
              <w:t>esposizione ponderato per il rischio prima dell</w:t>
            </w:r>
            <w:r w:rsidR="000878EC">
              <w:rPr>
                <w:rStyle w:val="InstructionsTabelleberschrift"/>
                <w:rFonts w:ascii="Times New Roman" w:hAnsi="Times New Roman"/>
                <w:sz w:val="24"/>
              </w:rPr>
              <w:t>'</w:t>
            </w:r>
            <w:r>
              <w:rPr>
                <w:rStyle w:val="InstructionsTabelleberschrift"/>
                <w:rFonts w:ascii="Times New Roman" w:hAnsi="Times New Roman"/>
                <w:sz w:val="24"/>
              </w:rPr>
              <w:t>applicazione dei fattori di sostegno</w:t>
            </w:r>
          </w:p>
          <w:p w:rsidR="00696434" w:rsidRDefault="00E46AC0" w:rsidP="00115052">
            <w:pPr>
              <w:pStyle w:val="InstructionsText"/>
            </w:pPr>
            <w:r>
              <w:t>Articolo 113, paragrafi da 1 a 5, del CRR senza tener conto dei fattori di sostegno alle PMI e a infrastrutture di cui all</w:t>
            </w:r>
            <w:r w:rsidR="000878EC">
              <w:t>'</w:t>
            </w:r>
            <w:r>
              <w:t>articolo 501 e 501 bis del CRR.</w:t>
            </w:r>
          </w:p>
          <w:p w:rsidR="00E46AC0" w:rsidRPr="00661595" w:rsidRDefault="007D1F12" w:rsidP="00115052">
            <w:pPr>
              <w:pStyle w:val="InstructionsText"/>
              <w:rPr>
                <w:b/>
                <w:u w:val="single"/>
              </w:rPr>
            </w:pPr>
            <w:r>
              <w:t>L</w:t>
            </w:r>
            <w:r w:rsidR="000878EC">
              <w:t>'</w:t>
            </w:r>
            <w:r>
              <w:t>importo dell</w:t>
            </w:r>
            <w:r w:rsidR="000878EC">
              <w:t>'</w:t>
            </w:r>
            <w:r>
              <w:t>esposizione ponderato per il rischio del valore residuo dei beni dati in locazione è soggetto alla frase 5 dell</w:t>
            </w:r>
            <w:r w:rsidR="000878EC">
              <w:t>'</w:t>
            </w:r>
            <w:r>
              <w:t xml:space="preserve">articolo 134, paragrafo 7, ed è calcolato secondo la formula </w:t>
            </w:r>
            <w:r w:rsidR="000878EC">
              <w:t>"</w:t>
            </w:r>
            <w:r>
              <w:t>1/t * 100% * valore residuo</w:t>
            </w:r>
            <w:r w:rsidR="000878EC">
              <w:t>"</w:t>
            </w:r>
            <w:r>
              <w:t>. In particolare, il valore residuo è il valore residuo stimato non attualizzato alla fine della durata del leasing, che viene rivalutato periodicamente per garantire l</w:t>
            </w:r>
            <w:r w:rsidR="000878EC">
              <w:t>'</w:t>
            </w:r>
            <w:r>
              <w:t>adeguatezza.</w:t>
            </w:r>
          </w:p>
        </w:tc>
      </w:tr>
      <w:tr w:rsidR="00E46AC0" w:rsidRPr="00661595" w:rsidTr="00672D2A">
        <w:tc>
          <w:tcPr>
            <w:tcW w:w="1188" w:type="dxa"/>
          </w:tcPr>
          <w:p w:rsidR="00E46AC0" w:rsidRPr="00661595" w:rsidRDefault="00FF15C6" w:rsidP="00115052">
            <w:pPr>
              <w:pStyle w:val="InstructionsText"/>
            </w:pPr>
            <w:r>
              <w:t>0216</w:t>
            </w:r>
          </w:p>
        </w:tc>
        <w:tc>
          <w:tcPr>
            <w:tcW w:w="8640" w:type="dxa"/>
          </w:tcPr>
          <w:p w:rsidR="00E46AC0" w:rsidRPr="00661595" w:rsidRDefault="00E46AC0"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 Rettifica dell</w:t>
            </w:r>
            <w:r w:rsidR="000878EC">
              <w:rPr>
                <w:rStyle w:val="InstructionsTabelleberschrift"/>
                <w:rFonts w:ascii="Times New Roman" w:hAnsi="Times New Roman"/>
                <w:sz w:val="24"/>
              </w:rPr>
              <w:t>'</w:t>
            </w:r>
            <w:r>
              <w:rPr>
                <w:rStyle w:val="InstructionsTabelleberschrift"/>
                <w:rFonts w:ascii="Times New Roman" w:hAnsi="Times New Roman"/>
                <w:sz w:val="24"/>
              </w:rPr>
              <w:t>importo dell</w:t>
            </w:r>
            <w:r w:rsidR="000878EC">
              <w:rPr>
                <w:rStyle w:val="InstructionsTabelleberschrift"/>
                <w:rFonts w:ascii="Times New Roman" w:hAnsi="Times New Roman"/>
                <w:sz w:val="24"/>
              </w:rPr>
              <w:t>'</w:t>
            </w:r>
            <w:r>
              <w:rPr>
                <w:rStyle w:val="InstructionsTabelleberschrift"/>
                <w:rFonts w:ascii="Times New Roman" w:hAnsi="Times New Roman"/>
                <w:sz w:val="24"/>
              </w:rPr>
              <w:t>esposizione ponderato per il rischio dovuta al fattore di sostegno alle PMI</w:t>
            </w:r>
          </w:p>
          <w:p w:rsidR="00E46AC0" w:rsidRPr="00661595" w:rsidRDefault="00E46AC0" w:rsidP="00115052">
            <w:pPr>
              <w:pStyle w:val="InstructionsText"/>
              <w:rPr>
                <w:rStyle w:val="InstructionsTabelleberschrift"/>
                <w:rFonts w:ascii="Times New Roman" w:hAnsi="Times New Roman"/>
                <w:sz w:val="24"/>
              </w:rPr>
            </w:pPr>
            <w:r>
              <w:t>Deduzione della differenza tra gli importi ponderati per il rischio delle esposizioni non in stato di default verso una PMI (RWEA), che sono calcolati in conformità della parte tre, titolo II, capo 2, a seconda dei casi, e la RWEA* in conformità dell</w:t>
            </w:r>
            <w:r w:rsidR="000878EC">
              <w:t>'</w:t>
            </w:r>
            <w:r>
              <w:t>articolo 501, paragrafo 1, del CRR</w:t>
            </w:r>
          </w:p>
        </w:tc>
      </w:tr>
      <w:tr w:rsidR="00E46AC0" w:rsidRPr="00661595" w:rsidTr="00672D2A">
        <w:tc>
          <w:tcPr>
            <w:tcW w:w="1188" w:type="dxa"/>
          </w:tcPr>
          <w:p w:rsidR="00E46AC0" w:rsidRPr="00661595" w:rsidRDefault="00FF15C6" w:rsidP="00115052">
            <w:pPr>
              <w:pStyle w:val="InstructionsText"/>
            </w:pPr>
            <w:r>
              <w:t>0217</w:t>
            </w:r>
          </w:p>
        </w:tc>
        <w:tc>
          <w:tcPr>
            <w:tcW w:w="8640" w:type="dxa"/>
          </w:tcPr>
          <w:p w:rsidR="00E46AC0" w:rsidRPr="00661595" w:rsidRDefault="00E46AC0"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 Rettifica dell</w:t>
            </w:r>
            <w:r w:rsidR="000878EC">
              <w:rPr>
                <w:rStyle w:val="InstructionsTabelleberschrift"/>
                <w:rFonts w:ascii="Times New Roman" w:hAnsi="Times New Roman"/>
                <w:sz w:val="24"/>
              </w:rPr>
              <w:t>'</w:t>
            </w:r>
            <w:r>
              <w:rPr>
                <w:rStyle w:val="InstructionsTabelleberschrift"/>
                <w:rFonts w:ascii="Times New Roman" w:hAnsi="Times New Roman"/>
                <w:sz w:val="24"/>
              </w:rPr>
              <w:t>importo dell</w:t>
            </w:r>
            <w:r w:rsidR="000878EC">
              <w:rPr>
                <w:rStyle w:val="InstructionsTabelleberschrift"/>
                <w:rFonts w:ascii="Times New Roman" w:hAnsi="Times New Roman"/>
                <w:sz w:val="24"/>
              </w:rPr>
              <w:t>'</w:t>
            </w:r>
            <w:r>
              <w:rPr>
                <w:rStyle w:val="InstructionsTabelleberschrift"/>
                <w:rFonts w:ascii="Times New Roman" w:hAnsi="Times New Roman"/>
                <w:sz w:val="24"/>
              </w:rPr>
              <w:t>esposizione ponderato per il rischio dovuta al fattore di sostegno alle infrastrutture</w:t>
            </w:r>
          </w:p>
          <w:p w:rsidR="00E46AC0" w:rsidRPr="00661595" w:rsidRDefault="00E46AC0" w:rsidP="00115052">
            <w:pPr>
              <w:pStyle w:val="InstructionsText"/>
              <w:rPr>
                <w:rStyle w:val="InstructionsTabelleberschrift"/>
                <w:rFonts w:ascii="Times New Roman" w:hAnsi="Times New Roman"/>
                <w:sz w:val="24"/>
              </w:rPr>
            </w:pPr>
            <w:r>
              <w:t>Deduzione della differenza tra gli importi delle esposizioni ponderati per il rischio calcolati conformemente alla parte tre, titolo II, del CRR e l</w:t>
            </w:r>
            <w:r w:rsidR="000878EC">
              <w:t>'</w:t>
            </w:r>
            <w:r>
              <w:t>RWEA rettificato per il rischio di credito per le esposizioni verso soggetti che gestiscono o finanziano strutture fisiche o impianti, sistemi e reti che forniscono o sostengono servizi pubblici essenziali conformemente all</w:t>
            </w:r>
            <w:r w:rsidR="000878EC">
              <w:t>'</w:t>
            </w:r>
            <w:r>
              <w:t>articolo 501 bis del CRR.</w:t>
            </w:r>
          </w:p>
        </w:tc>
      </w:tr>
      <w:tr w:rsidR="00E46AC0" w:rsidRPr="00661595" w:rsidTr="00672D2A">
        <w:tc>
          <w:tcPr>
            <w:tcW w:w="1188" w:type="dxa"/>
          </w:tcPr>
          <w:p w:rsidR="00E46AC0" w:rsidRPr="00661595" w:rsidRDefault="00FF15C6" w:rsidP="00115052">
            <w:pPr>
              <w:pStyle w:val="InstructionsText"/>
            </w:pPr>
            <w:r>
              <w:t>0220</w:t>
            </w:r>
          </w:p>
        </w:tc>
        <w:tc>
          <w:tcPr>
            <w:tcW w:w="8640" w:type="dxa"/>
          </w:tcPr>
          <w:p w:rsidR="00E46AC0" w:rsidRPr="00661595" w:rsidRDefault="00E46AC0"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Importo dell</w:t>
            </w:r>
            <w:r w:rsidR="000878EC">
              <w:rPr>
                <w:rStyle w:val="InstructionsTabelleberschrift"/>
                <w:rFonts w:ascii="Times New Roman" w:hAnsi="Times New Roman"/>
                <w:sz w:val="24"/>
              </w:rPr>
              <w:t>'</w:t>
            </w:r>
            <w:r>
              <w:rPr>
                <w:rStyle w:val="InstructionsTabelleberschrift"/>
                <w:rFonts w:ascii="Times New Roman" w:hAnsi="Times New Roman"/>
                <w:sz w:val="24"/>
              </w:rPr>
              <w:t>esposizione ponderato per il rischio dopo l</w:t>
            </w:r>
            <w:r w:rsidR="000878EC">
              <w:rPr>
                <w:rStyle w:val="InstructionsTabelleberschrift"/>
                <w:rFonts w:ascii="Times New Roman" w:hAnsi="Times New Roman"/>
                <w:sz w:val="24"/>
              </w:rPr>
              <w:t>'</w:t>
            </w:r>
            <w:r>
              <w:rPr>
                <w:rStyle w:val="InstructionsTabelleberschrift"/>
                <w:rFonts w:ascii="Times New Roman" w:hAnsi="Times New Roman"/>
                <w:sz w:val="24"/>
              </w:rPr>
              <w:t>applicazione dei fattori di sostegno</w:t>
            </w:r>
          </w:p>
          <w:p w:rsidR="00696434" w:rsidRDefault="00E46AC0" w:rsidP="00115052">
            <w:pPr>
              <w:pStyle w:val="InstructionsText"/>
            </w:pPr>
            <w:r>
              <w:t>Articolo 113, paragrafi da 1 a 5, del CRR tenuto conto dei fattori di sostegno alle PMI e a infrastrutture di cui all</w:t>
            </w:r>
            <w:r w:rsidR="000878EC">
              <w:t>'</w:t>
            </w:r>
            <w:r>
              <w:t>articolo 501 e 501 bis del CRR.</w:t>
            </w:r>
          </w:p>
          <w:p w:rsidR="00E46AC0" w:rsidRPr="00661595" w:rsidRDefault="007D1F12" w:rsidP="00115052">
            <w:pPr>
              <w:pStyle w:val="InstructionsText"/>
              <w:rPr>
                <w:b/>
                <w:u w:val="single"/>
              </w:rPr>
            </w:pPr>
            <w:r>
              <w:t>L</w:t>
            </w:r>
            <w:r w:rsidR="000878EC">
              <w:t>'</w:t>
            </w:r>
            <w:r>
              <w:t>importo dell</w:t>
            </w:r>
            <w:r w:rsidR="000878EC">
              <w:t>'</w:t>
            </w:r>
            <w:r>
              <w:t>esposizione ponderato per il rischio del valore residuo dei beni dati in locazione è soggetto alla frase 5 dell</w:t>
            </w:r>
            <w:r w:rsidR="000878EC">
              <w:t>'</w:t>
            </w:r>
            <w:r>
              <w:t xml:space="preserve">articolo 134, paragrafo 7, ed è calcolato secondo la formula </w:t>
            </w:r>
            <w:r w:rsidR="000878EC">
              <w:t>"</w:t>
            </w:r>
            <w:r>
              <w:t>1/t * 100% * valore residuo</w:t>
            </w:r>
            <w:r w:rsidR="000878EC">
              <w:t>"</w:t>
            </w:r>
            <w:r>
              <w:t>. In particolare, il valore residuo è il valore residuo stimato non attualizzato alla fine della durata del leasing, che viene rivalutato periodicamente per garantire l</w:t>
            </w:r>
            <w:r w:rsidR="000878EC">
              <w:t>'</w:t>
            </w:r>
            <w:r>
              <w:t>adeguatezza.</w:t>
            </w:r>
          </w:p>
        </w:tc>
      </w:tr>
      <w:tr w:rsidR="00E46AC0" w:rsidRPr="00661595" w:rsidTr="00672D2A">
        <w:tc>
          <w:tcPr>
            <w:tcW w:w="1188" w:type="dxa"/>
            <w:shd w:val="clear" w:color="auto" w:fill="auto"/>
          </w:tcPr>
          <w:p w:rsidR="00E46AC0" w:rsidRPr="00661595" w:rsidRDefault="00FF15C6" w:rsidP="00115052">
            <w:pPr>
              <w:pStyle w:val="InstructionsText"/>
            </w:pPr>
            <w:r>
              <w:t>0230</w:t>
            </w:r>
          </w:p>
        </w:tc>
        <w:tc>
          <w:tcPr>
            <w:tcW w:w="8640" w:type="dxa"/>
            <w:shd w:val="clear" w:color="auto" w:fill="auto"/>
          </w:tcPr>
          <w:p w:rsidR="00E46AC0" w:rsidRPr="00661595" w:rsidRDefault="00E46AC0"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di cui: con una valutazione del merito di credito effettuata da un</w:t>
            </w:r>
            <w:r w:rsidR="000878EC">
              <w:rPr>
                <w:rStyle w:val="InstructionsTabelleberschrift"/>
                <w:rFonts w:ascii="Times New Roman" w:hAnsi="Times New Roman"/>
                <w:sz w:val="24"/>
              </w:rPr>
              <w:t>'</w:t>
            </w:r>
            <w:r>
              <w:rPr>
                <w:rStyle w:val="InstructionsTabelleberschrift"/>
                <w:rFonts w:ascii="Times New Roman" w:hAnsi="Times New Roman"/>
                <w:sz w:val="24"/>
              </w:rPr>
              <w:t>ECAI prescelta</w:t>
            </w:r>
          </w:p>
          <w:p w:rsidR="00E46AC0" w:rsidRPr="00661595" w:rsidRDefault="00E46AC0" w:rsidP="00115052">
            <w:pPr>
              <w:pStyle w:val="InstructionsText"/>
            </w:pPr>
            <w:r>
              <w:t>Articolo 112, lettere da a) a d), f), g), l), n), o) e q), del CRR</w:t>
            </w:r>
          </w:p>
        </w:tc>
      </w:tr>
      <w:tr w:rsidR="00E46AC0" w:rsidRPr="00661595" w:rsidTr="00672D2A">
        <w:tc>
          <w:tcPr>
            <w:tcW w:w="1188" w:type="dxa"/>
            <w:shd w:val="clear" w:color="auto" w:fill="auto"/>
          </w:tcPr>
          <w:p w:rsidR="00E46AC0" w:rsidRPr="00661595" w:rsidRDefault="00FF15C6" w:rsidP="00115052">
            <w:pPr>
              <w:pStyle w:val="InstructionsText"/>
            </w:pPr>
            <w:r>
              <w:t>0240</w:t>
            </w:r>
          </w:p>
        </w:tc>
        <w:tc>
          <w:tcPr>
            <w:tcW w:w="8640" w:type="dxa"/>
            <w:shd w:val="clear" w:color="auto" w:fill="auto"/>
          </w:tcPr>
          <w:p w:rsidR="00E46AC0" w:rsidRPr="00661595" w:rsidRDefault="00E46AC0"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di cui: con una valutazione del merito di credito derivata dall</w:t>
            </w:r>
            <w:r w:rsidR="000878EC">
              <w:rPr>
                <w:rStyle w:val="InstructionsTabelleberschrift"/>
                <w:rFonts w:ascii="Times New Roman" w:hAnsi="Times New Roman"/>
                <w:sz w:val="24"/>
              </w:rPr>
              <w:t>'</w:t>
            </w:r>
            <w:r>
              <w:rPr>
                <w:rStyle w:val="InstructionsTabelleberschrift"/>
                <w:rFonts w:ascii="Times New Roman" w:hAnsi="Times New Roman"/>
                <w:sz w:val="24"/>
              </w:rPr>
              <w:t>amministrazione centrale</w:t>
            </w:r>
          </w:p>
          <w:p w:rsidR="00E46AC0" w:rsidRPr="00661595" w:rsidRDefault="00E46AC0" w:rsidP="00115052">
            <w:pPr>
              <w:pStyle w:val="InstructionsText"/>
            </w:pPr>
            <w:r>
              <w:t>Articolo 112, lettere da b) a d), f), g), l) e o), del CRR</w:t>
            </w:r>
          </w:p>
        </w:tc>
      </w:tr>
    </w:tbl>
    <w:p w:rsidR="00464F34" w:rsidRPr="00661595" w:rsidRDefault="00464F34" w:rsidP="00115052">
      <w:pPr>
        <w:pStyle w:val="InstructionsText"/>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464F34" w:rsidRPr="00661595" w:rsidTr="00672D2A">
        <w:tc>
          <w:tcPr>
            <w:tcW w:w="1188" w:type="dxa"/>
            <w:shd w:val="clear" w:color="auto" w:fill="CCCCCC"/>
          </w:tcPr>
          <w:p w:rsidR="00464F34" w:rsidRPr="00661595" w:rsidRDefault="007106FB" w:rsidP="00115052">
            <w:pPr>
              <w:pStyle w:val="InstructionsText"/>
              <w:keepNext/>
              <w:keepLines/>
            </w:pPr>
            <w:r>
              <w:t>Righe</w:t>
            </w:r>
          </w:p>
        </w:tc>
        <w:tc>
          <w:tcPr>
            <w:tcW w:w="8701" w:type="dxa"/>
            <w:shd w:val="clear" w:color="auto" w:fill="CCCCCC"/>
          </w:tcPr>
          <w:p w:rsidR="00464F34" w:rsidRPr="00661595" w:rsidRDefault="00464F34" w:rsidP="00115052">
            <w:pPr>
              <w:pStyle w:val="InstructionsText"/>
              <w:keepNext/>
              <w:keepLines/>
            </w:pPr>
            <w:r>
              <w:t>Istruzioni</w:t>
            </w:r>
          </w:p>
        </w:tc>
      </w:tr>
      <w:tr w:rsidR="00464F34" w:rsidRPr="00661595" w:rsidTr="00672D2A">
        <w:tc>
          <w:tcPr>
            <w:tcW w:w="1188" w:type="dxa"/>
          </w:tcPr>
          <w:p w:rsidR="00464F34" w:rsidRPr="00661595" w:rsidRDefault="00FF15C6" w:rsidP="00115052">
            <w:pPr>
              <w:pStyle w:val="InstructionsText"/>
              <w:keepNext/>
              <w:keepLines/>
            </w:pPr>
            <w:r>
              <w:t>0010</w:t>
            </w:r>
          </w:p>
        </w:tc>
        <w:tc>
          <w:tcPr>
            <w:tcW w:w="8701" w:type="dxa"/>
          </w:tcPr>
          <w:p w:rsidR="00464F34" w:rsidRPr="00661595" w:rsidRDefault="00464F34" w:rsidP="00115052">
            <w:pPr>
              <w:pStyle w:val="InstructionsText"/>
              <w:keepNext/>
              <w:keepLines/>
            </w:pPr>
            <w:r>
              <w:rPr>
                <w:rStyle w:val="InstructionsTabelleberschrift"/>
                <w:rFonts w:ascii="Times New Roman" w:hAnsi="Times New Roman"/>
                <w:sz w:val="24"/>
              </w:rPr>
              <w:t>Esposizioni totali</w:t>
            </w:r>
          </w:p>
        </w:tc>
      </w:tr>
      <w:tr w:rsidR="00610B56" w:rsidRPr="00661595" w:rsidTr="00672D2A">
        <w:tc>
          <w:tcPr>
            <w:tcW w:w="1188" w:type="dxa"/>
          </w:tcPr>
          <w:p w:rsidR="00610B56" w:rsidRPr="00661595" w:rsidRDefault="00FF15C6" w:rsidP="00115052">
            <w:pPr>
              <w:pStyle w:val="InstructionsText"/>
            </w:pPr>
            <w:r>
              <w:t>0015</w:t>
            </w:r>
          </w:p>
        </w:tc>
        <w:tc>
          <w:tcPr>
            <w:tcW w:w="8701" w:type="dxa"/>
          </w:tcPr>
          <w:p w:rsidR="00D21B29" w:rsidRPr="00661595" w:rsidRDefault="00F5132F"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di cui: esposizioni in stato di default nelle classi di esposizioni </w:t>
            </w:r>
            <w:r w:rsidR="000878EC">
              <w:rPr>
                <w:rStyle w:val="InstructionsTabelleberschrift"/>
                <w:rFonts w:ascii="Times New Roman" w:hAnsi="Times New Roman"/>
                <w:sz w:val="24"/>
              </w:rPr>
              <w:t>"</w:t>
            </w:r>
            <w:r>
              <w:rPr>
                <w:rStyle w:val="InstructionsTabelleberschrift"/>
                <w:rFonts w:ascii="Times New Roman" w:hAnsi="Times New Roman"/>
                <w:sz w:val="24"/>
              </w:rPr>
              <w:t>posizioni associate a un rischio particolarmente elevato</w:t>
            </w:r>
            <w:r w:rsidR="000878EC">
              <w:rPr>
                <w:rStyle w:val="InstructionsTabelleberschrift"/>
                <w:rFonts w:ascii="Times New Roman" w:hAnsi="Times New Roman"/>
                <w:sz w:val="24"/>
              </w:rPr>
              <w:t>"</w:t>
            </w:r>
            <w:r>
              <w:rPr>
                <w:rStyle w:val="InstructionsTabelleberschrift"/>
                <w:rFonts w:ascii="Times New Roman" w:hAnsi="Times New Roman"/>
                <w:sz w:val="24"/>
              </w:rPr>
              <w:t xml:space="preserve"> ed </w:t>
            </w:r>
            <w:r w:rsidR="000878EC">
              <w:rPr>
                <w:rStyle w:val="InstructionsTabelleberschrift"/>
                <w:rFonts w:ascii="Times New Roman" w:hAnsi="Times New Roman"/>
                <w:sz w:val="24"/>
              </w:rPr>
              <w:t>"</w:t>
            </w:r>
            <w:r>
              <w:rPr>
                <w:rStyle w:val="InstructionsTabelleberschrift"/>
                <w:rFonts w:ascii="Times New Roman" w:hAnsi="Times New Roman"/>
                <w:sz w:val="24"/>
              </w:rPr>
              <w:t>esposizioni in strumenti di capitale</w:t>
            </w:r>
            <w:r w:rsidR="000878EC">
              <w:rPr>
                <w:rStyle w:val="InstructionsTabelleberschrift"/>
                <w:rFonts w:ascii="Times New Roman" w:hAnsi="Times New Roman"/>
                <w:sz w:val="24"/>
              </w:rPr>
              <w:t>"</w:t>
            </w:r>
          </w:p>
          <w:p w:rsidR="00610B56" w:rsidRPr="00661595" w:rsidRDefault="00610B56" w:rsidP="00115052">
            <w:pPr>
              <w:pStyle w:val="InstructionsText"/>
            </w:pPr>
            <w:r>
              <w:t>Articolo 127 del CRR</w:t>
            </w:r>
          </w:p>
          <w:p w:rsidR="00610B56" w:rsidRPr="00661595" w:rsidRDefault="00610B56" w:rsidP="00115052">
            <w:pPr>
              <w:pStyle w:val="InstructionsText"/>
            </w:pPr>
            <w:r>
              <w:t xml:space="preserve">Completare questa riga solo per le classi di esposizioni </w:t>
            </w:r>
            <w:r w:rsidR="000878EC">
              <w:t>"</w:t>
            </w:r>
            <w:r>
              <w:t>posizioni associate a un rischio particolarmente elevato</w:t>
            </w:r>
            <w:r w:rsidR="000878EC">
              <w:t>"</w:t>
            </w:r>
            <w:r>
              <w:t xml:space="preserve"> ed </w:t>
            </w:r>
            <w:r w:rsidR="000878EC">
              <w:t>"</w:t>
            </w:r>
            <w:r>
              <w:t>esposizioni in strumenti di capitale</w:t>
            </w:r>
            <w:r w:rsidR="000878EC">
              <w:t>"</w:t>
            </w:r>
            <w:r>
              <w:t>.</w:t>
            </w:r>
          </w:p>
          <w:p w:rsidR="00761891" w:rsidRPr="00661595" w:rsidRDefault="00167619" w:rsidP="00115052">
            <w:pPr>
              <w:pStyle w:val="InstructionsText"/>
            </w:pPr>
            <w:r>
              <w:t>Se figura nell</w:t>
            </w:r>
            <w:r w:rsidR="000878EC">
              <w:t>'</w:t>
            </w:r>
            <w:r>
              <w:t>elenco di cui all</w:t>
            </w:r>
            <w:r w:rsidR="000878EC">
              <w:t>'</w:t>
            </w:r>
            <w:r>
              <w:t>articolo 128, paragrafo 2, del CRR o se soddisfa i criteri di cui all</w:t>
            </w:r>
            <w:r w:rsidR="000878EC">
              <w:t>'</w:t>
            </w:r>
            <w:r>
              <w:t>articolo 128, paragrafo 3, o all</w:t>
            </w:r>
            <w:r w:rsidR="000878EC">
              <w:t>'</w:t>
            </w:r>
            <w:r>
              <w:t>articolo 133 del CRR, l</w:t>
            </w:r>
            <w:r w:rsidR="000878EC">
              <w:t>'</w:t>
            </w:r>
            <w:r>
              <w:t xml:space="preserve">esposizione è classificata nella classe di esposizioni </w:t>
            </w:r>
            <w:r w:rsidR="000878EC">
              <w:t>"</w:t>
            </w:r>
            <w:r>
              <w:t>Posizioni associate a un rischio particolarmente elevato</w:t>
            </w:r>
            <w:r w:rsidR="000878EC">
              <w:t>"</w:t>
            </w:r>
            <w:r>
              <w:t xml:space="preserve"> o </w:t>
            </w:r>
            <w:r w:rsidR="000878EC">
              <w:t>"</w:t>
            </w:r>
            <w:r>
              <w:t>Esposizioni in strumenti di capitale</w:t>
            </w:r>
            <w:r w:rsidR="000878EC">
              <w:t>"</w:t>
            </w:r>
            <w:r>
              <w:t>. Di conseguenza, non vi sono altre classificazioni, anche se si tratta di un</w:t>
            </w:r>
            <w:r w:rsidR="000878EC">
              <w:t>'</w:t>
            </w:r>
            <w:r>
              <w:t>esposizione in stato di default di cui all</w:t>
            </w:r>
            <w:r w:rsidR="000878EC">
              <w:t>'</w:t>
            </w:r>
            <w:r>
              <w:t>articolo 127 del CRR.</w:t>
            </w:r>
          </w:p>
        </w:tc>
      </w:tr>
      <w:tr w:rsidR="00464F34" w:rsidRPr="00661595" w:rsidTr="00672D2A">
        <w:tc>
          <w:tcPr>
            <w:tcW w:w="1188" w:type="dxa"/>
            <w:shd w:val="clear" w:color="auto" w:fill="auto"/>
          </w:tcPr>
          <w:p w:rsidR="00464F34" w:rsidRPr="00661595" w:rsidRDefault="00FF15C6" w:rsidP="00115052">
            <w:pPr>
              <w:pStyle w:val="InstructionsText"/>
            </w:pPr>
            <w:r>
              <w:t>0020</w:t>
            </w:r>
          </w:p>
        </w:tc>
        <w:tc>
          <w:tcPr>
            <w:tcW w:w="8701" w:type="dxa"/>
            <w:shd w:val="clear" w:color="auto" w:fill="auto"/>
          </w:tcPr>
          <w:p w:rsidR="00464F34" w:rsidRPr="00661595" w:rsidRDefault="00464F34"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di cui: PMI</w:t>
            </w:r>
          </w:p>
          <w:p w:rsidR="00464F34" w:rsidRPr="00661595" w:rsidRDefault="00464F34" w:rsidP="00115052">
            <w:pPr>
              <w:pStyle w:val="InstructionsText"/>
            </w:pPr>
            <w:r>
              <w:t xml:space="preserve">In questa riga sono segnalate tutte le esposizioni verso PMI. </w:t>
            </w:r>
          </w:p>
        </w:tc>
      </w:tr>
      <w:tr w:rsidR="00464F34" w:rsidRPr="00661595" w:rsidTr="00672D2A">
        <w:tc>
          <w:tcPr>
            <w:tcW w:w="1188" w:type="dxa"/>
            <w:shd w:val="clear" w:color="auto" w:fill="auto"/>
          </w:tcPr>
          <w:p w:rsidR="00464F34" w:rsidRPr="00661595" w:rsidRDefault="00FF15C6" w:rsidP="00115052">
            <w:pPr>
              <w:pStyle w:val="InstructionsText"/>
            </w:pPr>
            <w:r>
              <w:t>0030</w:t>
            </w:r>
          </w:p>
        </w:tc>
        <w:tc>
          <w:tcPr>
            <w:tcW w:w="8701" w:type="dxa"/>
            <w:shd w:val="clear" w:color="auto" w:fill="auto"/>
          </w:tcPr>
          <w:p w:rsidR="00464F34" w:rsidRPr="00661595" w:rsidRDefault="00464F34"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di cui: esposizioni soggette al fattore di sostegno alle PMI</w:t>
            </w:r>
          </w:p>
          <w:p w:rsidR="00464F34" w:rsidRPr="00661595" w:rsidRDefault="00464F34" w:rsidP="00115052">
            <w:pPr>
              <w:pStyle w:val="InstructionsText"/>
            </w:pPr>
            <w:r>
              <w:t>In questa riga sono segnalate soltanto le esposizioni che soddisfano i requisiti dell</w:t>
            </w:r>
            <w:r w:rsidR="000878EC">
              <w:t>'</w:t>
            </w:r>
            <w:r>
              <w:t xml:space="preserve">articolo 501 del CRR. </w:t>
            </w:r>
          </w:p>
        </w:tc>
      </w:tr>
      <w:tr w:rsidR="001B1F77" w:rsidRPr="00661595" w:rsidTr="00672D2A">
        <w:tc>
          <w:tcPr>
            <w:tcW w:w="1188" w:type="dxa"/>
            <w:shd w:val="clear" w:color="auto" w:fill="auto"/>
          </w:tcPr>
          <w:p w:rsidR="001B1F77" w:rsidRPr="00661595" w:rsidRDefault="00FF15C6" w:rsidP="00115052">
            <w:pPr>
              <w:pStyle w:val="InstructionsText"/>
            </w:pPr>
            <w:r>
              <w:t>0035</w:t>
            </w:r>
          </w:p>
        </w:tc>
        <w:tc>
          <w:tcPr>
            <w:tcW w:w="8701" w:type="dxa"/>
            <w:shd w:val="clear" w:color="auto" w:fill="auto"/>
          </w:tcPr>
          <w:p w:rsidR="001B1F77" w:rsidRPr="00661595" w:rsidRDefault="001B1F77"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di cui: esposizioni soggette al fattore di sostegno alle infrastrutture</w:t>
            </w:r>
          </w:p>
          <w:p w:rsidR="001B1F77" w:rsidRPr="00661595" w:rsidRDefault="001B1F77" w:rsidP="00115052">
            <w:pPr>
              <w:pStyle w:val="InstructionsText"/>
              <w:rPr>
                <w:rStyle w:val="InstructionsTabelleberschrift"/>
                <w:rFonts w:ascii="Times New Roman" w:hAnsi="Times New Roman"/>
                <w:sz w:val="24"/>
              </w:rPr>
            </w:pPr>
            <w:r>
              <w:t>In questa riga sono segnalate soltanto le esposizioni che soddisfano i requisiti dell</w:t>
            </w:r>
            <w:r w:rsidR="000878EC">
              <w:t>'</w:t>
            </w:r>
            <w:r>
              <w:t>articolo 501 bis del CRR.</w:t>
            </w:r>
          </w:p>
        </w:tc>
      </w:tr>
      <w:tr w:rsidR="001B1F77" w:rsidRPr="00661595" w:rsidTr="00672D2A">
        <w:tc>
          <w:tcPr>
            <w:tcW w:w="1188" w:type="dxa"/>
            <w:shd w:val="clear" w:color="auto" w:fill="auto"/>
          </w:tcPr>
          <w:p w:rsidR="001B1F77" w:rsidRPr="00661595" w:rsidRDefault="001B1F77" w:rsidP="00115052">
            <w:pPr>
              <w:pStyle w:val="InstructionsText"/>
            </w:pPr>
            <w:r>
              <w:t>0040</w:t>
            </w:r>
          </w:p>
        </w:tc>
        <w:tc>
          <w:tcPr>
            <w:tcW w:w="8701" w:type="dxa"/>
            <w:shd w:val="clear" w:color="auto" w:fill="auto"/>
          </w:tcPr>
          <w:p w:rsidR="001B1F77" w:rsidRPr="00661595" w:rsidRDefault="001B1F77"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di cui: garantite da ipoteche su beni immobili - immobili residenziali</w:t>
            </w:r>
          </w:p>
          <w:p w:rsidR="001B1F77" w:rsidRPr="00661595" w:rsidRDefault="001B1F77" w:rsidP="00115052">
            <w:pPr>
              <w:pStyle w:val="InstructionsText"/>
            </w:pPr>
            <w:r>
              <w:t>Articolo 125 del CRR</w:t>
            </w:r>
          </w:p>
          <w:p w:rsidR="001B1F77" w:rsidRPr="00661595" w:rsidRDefault="001B1F77" w:rsidP="00115052">
            <w:pPr>
              <w:pStyle w:val="InstructionsText"/>
              <w:rPr>
                <w:b/>
                <w:u w:val="single"/>
              </w:rPr>
            </w:pPr>
            <w:r>
              <w:t xml:space="preserve">Segnalate soltanto nella classe di esposizioni </w:t>
            </w:r>
            <w:r w:rsidR="000878EC">
              <w:t>"</w:t>
            </w:r>
            <w:r>
              <w:t>garantite da ipoteche su beni immobili</w:t>
            </w:r>
            <w:r w:rsidR="000878EC">
              <w:t>"</w:t>
            </w:r>
            <w:r>
              <w:t>.</w:t>
            </w:r>
          </w:p>
        </w:tc>
      </w:tr>
      <w:tr w:rsidR="001B1F77" w:rsidRPr="00661595" w:rsidTr="00672D2A">
        <w:tc>
          <w:tcPr>
            <w:tcW w:w="1188" w:type="dxa"/>
            <w:shd w:val="clear" w:color="auto" w:fill="auto"/>
          </w:tcPr>
          <w:p w:rsidR="001B1F77" w:rsidRPr="00661595" w:rsidRDefault="001B1F77" w:rsidP="00115052">
            <w:pPr>
              <w:pStyle w:val="InstructionsText"/>
            </w:pPr>
            <w:r>
              <w:t>0050</w:t>
            </w:r>
          </w:p>
        </w:tc>
        <w:tc>
          <w:tcPr>
            <w:tcW w:w="8701" w:type="dxa"/>
            <w:shd w:val="clear" w:color="auto" w:fill="auto"/>
          </w:tcPr>
          <w:p w:rsidR="001B1F77" w:rsidRPr="00661595" w:rsidRDefault="001B1F77"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di cui: esposizioni nell</w:t>
            </w:r>
            <w:r w:rsidR="000878EC">
              <w:rPr>
                <w:rStyle w:val="InstructionsTabelleberschrift"/>
                <w:rFonts w:ascii="Times New Roman" w:hAnsi="Times New Roman"/>
                <w:sz w:val="24"/>
              </w:rPr>
              <w:t>'</w:t>
            </w:r>
            <w:r>
              <w:rPr>
                <w:rStyle w:val="InstructionsTabelleberschrift"/>
                <w:rFonts w:ascii="Times New Roman" w:hAnsi="Times New Roman"/>
                <w:sz w:val="24"/>
              </w:rPr>
              <w:t>ambito dell</w:t>
            </w:r>
            <w:r w:rsidR="000878EC">
              <w:rPr>
                <w:rStyle w:val="InstructionsTabelleberschrift"/>
                <w:rFonts w:ascii="Times New Roman" w:hAnsi="Times New Roman"/>
                <w:sz w:val="24"/>
              </w:rPr>
              <w:t>'</w:t>
            </w:r>
            <w:r>
              <w:rPr>
                <w:rStyle w:val="InstructionsTabelleberschrift"/>
                <w:rFonts w:ascii="Times New Roman" w:hAnsi="Times New Roman"/>
                <w:sz w:val="24"/>
              </w:rPr>
              <w:t>utilizzo parziale permanente del metodo standardizzato</w:t>
            </w:r>
          </w:p>
          <w:p w:rsidR="001B1F77" w:rsidRPr="00661595" w:rsidRDefault="001B1F77" w:rsidP="00115052">
            <w:pPr>
              <w:pStyle w:val="InstructionsText"/>
            </w:pPr>
            <w:r>
              <w:t>Esposizioni alle quali è stato applicato il metodo standardizzato conformemente all</w:t>
            </w:r>
            <w:r w:rsidR="000878EC">
              <w:t>'</w:t>
            </w:r>
            <w:r>
              <w:t>articolo 150, paragrafo 1, del CRR.</w:t>
            </w:r>
          </w:p>
        </w:tc>
      </w:tr>
      <w:tr w:rsidR="001B1F77" w:rsidRPr="00661595" w:rsidTr="00672D2A">
        <w:tc>
          <w:tcPr>
            <w:tcW w:w="1188" w:type="dxa"/>
            <w:shd w:val="clear" w:color="auto" w:fill="auto"/>
          </w:tcPr>
          <w:p w:rsidR="001B1F77" w:rsidRPr="00661595" w:rsidRDefault="001B1F77" w:rsidP="00115052">
            <w:pPr>
              <w:pStyle w:val="InstructionsText"/>
            </w:pPr>
            <w:r>
              <w:t>0060</w:t>
            </w:r>
          </w:p>
        </w:tc>
        <w:tc>
          <w:tcPr>
            <w:tcW w:w="8701" w:type="dxa"/>
            <w:shd w:val="clear" w:color="auto" w:fill="auto"/>
          </w:tcPr>
          <w:p w:rsidR="001B1F77" w:rsidRPr="00661595" w:rsidRDefault="001B1F77"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di cui: esposizioni in base al metodo standardizzato con autorizzazione preventiva delle autorità di vigilanza ad applicare il metodo IRB in maniera sequenziale</w:t>
            </w:r>
          </w:p>
          <w:p w:rsidR="001B1F77" w:rsidRPr="00661595" w:rsidRDefault="001B1F77" w:rsidP="00115052">
            <w:pPr>
              <w:pStyle w:val="InstructionsText"/>
            </w:pPr>
            <w:r>
              <w:t xml:space="preserve">Articolo 148, paragrafo 1, del CRR </w:t>
            </w:r>
          </w:p>
        </w:tc>
      </w:tr>
      <w:tr w:rsidR="001B1F77" w:rsidRPr="00661595" w:rsidTr="00672D2A">
        <w:tc>
          <w:tcPr>
            <w:tcW w:w="1188" w:type="dxa"/>
          </w:tcPr>
          <w:p w:rsidR="001B1F77" w:rsidRPr="00661595" w:rsidRDefault="001B1F77" w:rsidP="00115052">
            <w:pPr>
              <w:pStyle w:val="InstructionsText"/>
            </w:pPr>
            <w:r>
              <w:t>0070-0130</w:t>
            </w:r>
          </w:p>
        </w:tc>
        <w:tc>
          <w:tcPr>
            <w:tcW w:w="8701" w:type="dxa"/>
          </w:tcPr>
          <w:p w:rsidR="001B1F77" w:rsidRPr="00661595" w:rsidRDefault="001B1F77"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RIPARTIZIONE DELLE ESPOSIZIONI TOTALI PER TIPO DI ESPOSIZIONE</w:t>
            </w:r>
          </w:p>
          <w:p w:rsidR="001B1F77" w:rsidRPr="00661595" w:rsidRDefault="001B1F77" w:rsidP="00115052">
            <w:pPr>
              <w:pStyle w:val="InstructionsText"/>
            </w:pPr>
            <w:r>
              <w:t xml:space="preserve">Le posizioni del </w:t>
            </w:r>
            <w:r w:rsidR="000878EC">
              <w:t>"</w:t>
            </w:r>
            <w:r>
              <w:t>portafoglio bancario</w:t>
            </w:r>
            <w:r w:rsidR="000878EC">
              <w:t>"</w:t>
            </w:r>
            <w:r>
              <w:t xml:space="preserve"> dell</w:t>
            </w:r>
            <w:r w:rsidR="000878EC">
              <w:t>'</w:t>
            </w:r>
            <w:r>
              <w:t xml:space="preserve">ente segnalante sono ripartite sulla base dei criteri indicati sotto, distinguendo tra: esposizioni in bilancio soggette al rischio di credito, esposizioni fuori bilancio soggette al rischio di credito ed esposizioni soggette al rischio di controparte. </w:t>
            </w:r>
          </w:p>
          <w:p w:rsidR="001B1F77" w:rsidRPr="00661595" w:rsidRDefault="001B1F77" w:rsidP="00115052">
            <w:pPr>
              <w:pStyle w:val="InstructionsText"/>
            </w:pPr>
            <w:r>
              <w:t>Le esposizioni soggette al rischio di controparte derivante dalle attività ricomprese nel portafoglio di negoziazione dell</w:t>
            </w:r>
            <w:r w:rsidR="000878EC">
              <w:t>'</w:t>
            </w:r>
            <w:r>
              <w:t>ente di cui all</w:t>
            </w:r>
            <w:r w:rsidR="000878EC">
              <w:t>'</w:t>
            </w:r>
            <w:r>
              <w:t>articolo 92, paragrafo 3, lettera f), e all</w:t>
            </w:r>
            <w:r w:rsidR="000878EC">
              <w:t>'</w:t>
            </w:r>
            <w:r>
              <w:t>articolo 299, paragrafo 2, del CRR sono assegnate alle esposizioni soggette al rischio di controparte. Anche gli enti che applicano l</w:t>
            </w:r>
            <w:r w:rsidR="000878EC">
              <w:t>'</w:t>
            </w:r>
            <w:r>
              <w:t xml:space="preserve">articolo 94, paragrafo 1, del CRR ripartiscono le posizioni interne al </w:t>
            </w:r>
            <w:r w:rsidR="000878EC">
              <w:t>"</w:t>
            </w:r>
            <w:r>
              <w:t>portafoglio di negoziazione</w:t>
            </w:r>
            <w:r w:rsidR="000878EC">
              <w:t>"</w:t>
            </w:r>
            <w:r>
              <w:t xml:space="preserve"> di cui all</w:t>
            </w:r>
            <w:r w:rsidR="000878EC">
              <w:t>'</w:t>
            </w:r>
            <w:r>
              <w:t>articolo 92, paragrafo 3, lettera b), del CRR sulla base dei criteri indicati sotto, distinguendo tra esposizioni in bilancio soggette al rischio di credito, esposizioni fuori bilancio soggette al rischio di credito ed esposizioni soggette al rischio di controparte.</w:t>
            </w:r>
          </w:p>
        </w:tc>
      </w:tr>
      <w:tr w:rsidR="001B1F77" w:rsidRPr="00661595" w:rsidTr="00672D2A">
        <w:tc>
          <w:tcPr>
            <w:tcW w:w="1188" w:type="dxa"/>
          </w:tcPr>
          <w:p w:rsidR="001B1F77" w:rsidRPr="00661595" w:rsidRDefault="00FF15C6" w:rsidP="00115052">
            <w:pPr>
              <w:pStyle w:val="InstructionsText"/>
            </w:pPr>
            <w:r>
              <w:t>0070</w:t>
            </w:r>
          </w:p>
        </w:tc>
        <w:tc>
          <w:tcPr>
            <w:tcW w:w="8701" w:type="dxa"/>
          </w:tcPr>
          <w:p w:rsidR="001B1F77" w:rsidRPr="00661595" w:rsidRDefault="001B1F77"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Esposizioni in bilancio soggette al rischio di credito </w:t>
            </w:r>
          </w:p>
          <w:p w:rsidR="001B1F77" w:rsidRPr="00661595" w:rsidRDefault="001B1F77" w:rsidP="00115052">
            <w:pPr>
              <w:pStyle w:val="InstructionsText"/>
            </w:pPr>
            <w:r>
              <w:t>Attività di cui all</w:t>
            </w:r>
            <w:r w:rsidR="000878EC">
              <w:t>'</w:t>
            </w:r>
            <w:r>
              <w:t>articolo 24 del CRR non comprese in altra categoria.</w:t>
            </w:r>
          </w:p>
          <w:p w:rsidR="001B1F77" w:rsidRPr="00661595" w:rsidRDefault="001B1F77" w:rsidP="00115052">
            <w:pPr>
              <w:pStyle w:val="InstructionsText"/>
            </w:pPr>
            <w:r>
              <w:t>Le esposizioni soggette al rischio di controparte sono segnalate nelle righe da 0090 a 0130 e pertanto non sono segnalate in questa riga.</w:t>
            </w:r>
          </w:p>
          <w:p w:rsidR="001B1F77" w:rsidRPr="00661595" w:rsidRDefault="001B1F77" w:rsidP="00115052">
            <w:pPr>
              <w:pStyle w:val="InstructionsText"/>
            </w:pPr>
            <w:r>
              <w:t>Le operazioni con regolamento non contestuale di cui all</w:t>
            </w:r>
            <w:r w:rsidR="000878EC">
              <w:t>'</w:t>
            </w:r>
            <w:r>
              <w:t>articolo 379, paragrafo 1, del CRR (se non dedotte) non costituiscono elementi in bilancio, ma sono comunque segnalate in questa riga.</w:t>
            </w:r>
          </w:p>
          <w:p w:rsidR="001B1F77" w:rsidRPr="00661595" w:rsidRDefault="001B1F77" w:rsidP="00115052">
            <w:pPr>
              <w:pStyle w:val="InstructionsText"/>
            </w:pPr>
          </w:p>
        </w:tc>
      </w:tr>
      <w:tr w:rsidR="001B1F77" w:rsidRPr="00661595" w:rsidTr="00672D2A">
        <w:tc>
          <w:tcPr>
            <w:tcW w:w="1188" w:type="dxa"/>
          </w:tcPr>
          <w:p w:rsidR="001B1F77" w:rsidRPr="00661595" w:rsidRDefault="00FF15C6" w:rsidP="00115052">
            <w:pPr>
              <w:pStyle w:val="InstructionsText"/>
            </w:pPr>
            <w:r>
              <w:t>0080</w:t>
            </w:r>
          </w:p>
        </w:tc>
        <w:tc>
          <w:tcPr>
            <w:tcW w:w="8701" w:type="dxa"/>
          </w:tcPr>
          <w:p w:rsidR="001B1F77" w:rsidRPr="00661595" w:rsidRDefault="001B1F77"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Esposizioni fuori bilancio soggette al rischio di credito</w:t>
            </w:r>
          </w:p>
          <w:p w:rsidR="001B1F77" w:rsidRPr="00661595" w:rsidRDefault="001B1F77" w:rsidP="00115052">
            <w:pPr>
              <w:pStyle w:val="InstructionsText"/>
            </w:pPr>
            <w:r>
              <w:t>Le posizioni fuori bilancio comprendono gli elementi elencati nell</w:t>
            </w:r>
            <w:r w:rsidR="000878EC">
              <w:t>'</w:t>
            </w:r>
            <w:r>
              <w:t>allegato I del CRR.</w:t>
            </w:r>
          </w:p>
          <w:p w:rsidR="001B1F77" w:rsidRPr="00661595" w:rsidRDefault="001B1F77" w:rsidP="00115052">
            <w:pPr>
              <w:pStyle w:val="InstructionsText"/>
            </w:pPr>
            <w:r>
              <w:t>Le esposizioni soggette al rischio di controparte sono segnalate nelle righe da 0090 a 0130 e pertanto non sono segnalate in questa riga.</w:t>
            </w:r>
          </w:p>
          <w:p w:rsidR="001B1F77" w:rsidRPr="00661595" w:rsidRDefault="001B1F77" w:rsidP="00115052">
            <w:pPr>
              <w:pStyle w:val="InstructionsText"/>
            </w:pPr>
          </w:p>
        </w:tc>
      </w:tr>
      <w:tr w:rsidR="001B1F77" w:rsidRPr="00661595" w:rsidTr="00672D2A">
        <w:tc>
          <w:tcPr>
            <w:tcW w:w="1188" w:type="dxa"/>
            <w:tcBorders>
              <w:top w:val="single" w:sz="4" w:space="0" w:color="auto"/>
              <w:left w:val="single" w:sz="4" w:space="0" w:color="auto"/>
              <w:bottom w:val="single" w:sz="4" w:space="0" w:color="auto"/>
              <w:right w:val="single" w:sz="4" w:space="0" w:color="auto"/>
            </w:tcBorders>
          </w:tcPr>
          <w:p w:rsidR="001B1F77" w:rsidRPr="00661595" w:rsidRDefault="00FF15C6" w:rsidP="00115052">
            <w:pPr>
              <w:pStyle w:val="InstructionsText"/>
            </w:pPr>
            <w:r>
              <w:t>0090-0130</w:t>
            </w:r>
          </w:p>
        </w:tc>
        <w:tc>
          <w:tcPr>
            <w:tcW w:w="8701" w:type="dxa"/>
            <w:tcBorders>
              <w:top w:val="single" w:sz="4" w:space="0" w:color="auto"/>
              <w:left w:val="single" w:sz="4" w:space="0" w:color="auto"/>
              <w:bottom w:val="single" w:sz="4" w:space="0" w:color="auto"/>
              <w:right w:val="single" w:sz="4" w:space="0" w:color="auto"/>
            </w:tcBorders>
          </w:tcPr>
          <w:p w:rsidR="001B1F77" w:rsidRPr="00661595" w:rsidRDefault="001B1F77"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Esposizioni/Operazioni soggette al rischio di controparte</w:t>
            </w:r>
          </w:p>
          <w:p w:rsidR="00E86B98" w:rsidRPr="00661595" w:rsidRDefault="00E86B98" w:rsidP="00115052">
            <w:pPr>
              <w:pStyle w:val="InstructionsText"/>
            </w:pPr>
            <w:r>
              <w:t>Operazioni soggette al rischio di controparte, ossia strumenti derivati, operazioni di vendita con patto di riacquisto, operazioni di concessione e assunzione di titoli o merci in prestito, operazioni con regolamento a lungo termine e operazioni di marginazione.</w:t>
            </w:r>
          </w:p>
        </w:tc>
      </w:tr>
      <w:tr w:rsidR="001B1F77" w:rsidRPr="00661595" w:rsidTr="00672D2A">
        <w:tc>
          <w:tcPr>
            <w:tcW w:w="1188" w:type="dxa"/>
          </w:tcPr>
          <w:p w:rsidR="001B1F77" w:rsidRPr="00661595" w:rsidRDefault="00FF15C6" w:rsidP="00115052">
            <w:pPr>
              <w:pStyle w:val="InstructionsText"/>
            </w:pPr>
            <w:r>
              <w:t>0090</w:t>
            </w:r>
          </w:p>
        </w:tc>
        <w:tc>
          <w:tcPr>
            <w:tcW w:w="8701" w:type="dxa"/>
          </w:tcPr>
          <w:p w:rsidR="001B1F77" w:rsidRPr="00661595" w:rsidRDefault="001B1F77" w:rsidP="00115052">
            <w:pPr>
              <w:pStyle w:val="InstructionsText"/>
            </w:pPr>
            <w:r>
              <w:rPr>
                <w:rStyle w:val="InstructionsTabelleberschrift"/>
                <w:rFonts w:ascii="Times New Roman" w:hAnsi="Times New Roman"/>
                <w:sz w:val="24"/>
              </w:rPr>
              <w:t>Insiemi di attività soggette a compensazione contenenti operazioni di finanziamento tramite titoli</w:t>
            </w:r>
          </w:p>
          <w:p w:rsidR="00E86B98" w:rsidRPr="00661595" w:rsidRDefault="00E86B98" w:rsidP="00115052">
            <w:pPr>
              <w:pStyle w:val="InstructionsText"/>
            </w:pPr>
            <w:r>
              <w:t>Insiemi di attività soggette a compensazione contenenti solo operazioni di finanziamento tramite titoli ai sensi dell</w:t>
            </w:r>
            <w:r w:rsidR="000878EC">
              <w:t>'</w:t>
            </w:r>
            <w:r>
              <w:t>articolo 4, paragrafo 1, punto 139, del CRR.</w:t>
            </w:r>
          </w:p>
          <w:p w:rsidR="00E86B98" w:rsidRPr="00661595" w:rsidRDefault="00E86B98" w:rsidP="00115052">
            <w:pPr>
              <w:pStyle w:val="InstructionsText"/>
            </w:pPr>
            <w:r>
              <w:t>Le operazioni di finanziamento tramite titoli comprese in un insieme di attività soggette ad accordo di compensazione contrattuale tra prodotti differenti sono segnalate nella riga 0130 e pertanto non figurano in questa riga.</w:t>
            </w:r>
          </w:p>
          <w:p w:rsidR="001B1F77" w:rsidRPr="00661595" w:rsidRDefault="001B1F77" w:rsidP="00115052">
            <w:pPr>
              <w:pStyle w:val="InstructionsText"/>
            </w:pPr>
          </w:p>
        </w:tc>
      </w:tr>
      <w:tr w:rsidR="001B1F77" w:rsidRPr="00661595" w:rsidTr="00672D2A">
        <w:tc>
          <w:tcPr>
            <w:tcW w:w="1188" w:type="dxa"/>
          </w:tcPr>
          <w:p w:rsidR="001B1F77" w:rsidRPr="00661595" w:rsidRDefault="00FF15C6" w:rsidP="00115052">
            <w:pPr>
              <w:pStyle w:val="InstructionsText"/>
            </w:pPr>
            <w:r>
              <w:t>0100</w:t>
            </w:r>
          </w:p>
        </w:tc>
        <w:tc>
          <w:tcPr>
            <w:tcW w:w="8701" w:type="dxa"/>
          </w:tcPr>
          <w:p w:rsidR="001B1F77" w:rsidRPr="00661595" w:rsidRDefault="001B1F77"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di cui: compensati a livello centrale tramite una QCCP</w:t>
            </w:r>
          </w:p>
          <w:p w:rsidR="00E86B98" w:rsidRPr="00661595" w:rsidRDefault="00E86B98" w:rsidP="00115052">
            <w:pPr>
              <w:pStyle w:val="InstructionsText"/>
            </w:pPr>
            <w:r>
              <w:t>Contratti e operazioni elenc</w:t>
            </w:r>
            <w:r w:rsidR="00115052">
              <w:t>ati all</w:t>
            </w:r>
            <w:r w:rsidR="000878EC">
              <w:t>'</w:t>
            </w:r>
            <w:r w:rsidR="00115052">
              <w:t xml:space="preserve">articolo 301, paragrafo </w:t>
            </w:r>
            <w:r>
              <w:t>1, del CRR, purché in essere con una controparte centrale qualificat</w:t>
            </w:r>
            <w:r w:rsidR="00115052">
              <w:t>a (QCCP) ai sensi dell</w:t>
            </w:r>
            <w:r w:rsidR="000878EC">
              <w:t>'</w:t>
            </w:r>
            <w:r w:rsidR="00115052">
              <w:t xml:space="preserve">articolo </w:t>
            </w:r>
            <w:r>
              <w:t>4, paragrafo 1, punto 88, del CRR, comprese le operazioni relative a QCCP, per le quali gli importi delle esposizioni ponderati per il rischio sono calcolati conformemente alla parte tre, titolo II, capo 6, sezione 9, del CRR. Operazione relativa a QCCP ha lo stesso significato di operazione relativa a CCP di cui all</w:t>
            </w:r>
            <w:r w:rsidR="000878EC">
              <w:t>'</w:t>
            </w:r>
            <w:r>
              <w:t>articolo 300, punto 2, del CRR, dove la CCP è una QCCP.</w:t>
            </w:r>
          </w:p>
          <w:p w:rsidR="001B1F77" w:rsidRPr="00661595" w:rsidRDefault="001B1F77" w:rsidP="00115052">
            <w:pPr>
              <w:pStyle w:val="InstructionsText"/>
            </w:pPr>
          </w:p>
        </w:tc>
      </w:tr>
      <w:tr w:rsidR="001B1F77" w:rsidRPr="00661595" w:rsidTr="00672D2A">
        <w:tc>
          <w:tcPr>
            <w:tcW w:w="1188" w:type="dxa"/>
          </w:tcPr>
          <w:p w:rsidR="001B1F77" w:rsidRPr="00661595" w:rsidRDefault="00FF15C6" w:rsidP="00115052">
            <w:pPr>
              <w:pStyle w:val="InstructionsText"/>
            </w:pPr>
            <w:r>
              <w:t>0110</w:t>
            </w:r>
          </w:p>
        </w:tc>
        <w:tc>
          <w:tcPr>
            <w:tcW w:w="8701" w:type="dxa"/>
          </w:tcPr>
          <w:p w:rsidR="001B1F77" w:rsidRPr="00661595" w:rsidRDefault="001B1F77"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Insiemi di attività soggette a compensazione contenenti derivati e operazioni con regolamento a lungo termine</w:t>
            </w:r>
          </w:p>
          <w:p w:rsidR="00E86B98" w:rsidRPr="00661595" w:rsidRDefault="00E86B98" w:rsidP="00115052">
            <w:pPr>
              <w:pStyle w:val="InstructionsText"/>
            </w:pPr>
            <w:r>
              <w:t>Insiemi di attività soggette a compensazione contenenti solo derivati elencati nell</w:t>
            </w:r>
            <w:r w:rsidR="000878EC">
              <w:t>'</w:t>
            </w:r>
            <w:r>
              <w:t>allegato II del CRR e operazioni con regolamento a lungo</w:t>
            </w:r>
            <w:r w:rsidR="00115052">
              <w:t xml:space="preserve"> termine ai sensi dell</w:t>
            </w:r>
            <w:r w:rsidR="000878EC">
              <w:t>'</w:t>
            </w:r>
            <w:r w:rsidR="00115052">
              <w:t xml:space="preserve">articolo </w:t>
            </w:r>
            <w:r>
              <w:t>272, punto 2, del CRR.</w:t>
            </w:r>
          </w:p>
          <w:p w:rsidR="001B1F77" w:rsidRPr="00661595" w:rsidRDefault="001B1F77" w:rsidP="00115052">
            <w:pPr>
              <w:pStyle w:val="InstructionsText"/>
            </w:pPr>
            <w:r>
              <w:t>I derivati e le operazioni con regolamento a lungo termine che sono compresi in un insieme di attività soggette ad accordo di compensazione contrattuale tra prodotti differenti sono segnalati nella riga 0130; pertanto non sono inclusi in questa riga.</w:t>
            </w:r>
          </w:p>
        </w:tc>
      </w:tr>
      <w:tr w:rsidR="001B1F77" w:rsidRPr="00661595" w:rsidTr="00672D2A">
        <w:tc>
          <w:tcPr>
            <w:tcW w:w="1188" w:type="dxa"/>
          </w:tcPr>
          <w:p w:rsidR="001B1F77" w:rsidRPr="00661595" w:rsidRDefault="00FF15C6" w:rsidP="00115052">
            <w:pPr>
              <w:pStyle w:val="InstructionsText"/>
            </w:pPr>
            <w:r>
              <w:t>0120</w:t>
            </w:r>
          </w:p>
        </w:tc>
        <w:tc>
          <w:tcPr>
            <w:tcW w:w="8701" w:type="dxa"/>
          </w:tcPr>
          <w:p w:rsidR="001B1F77" w:rsidRPr="00661595" w:rsidRDefault="001B1F77" w:rsidP="00115052">
            <w:pPr>
              <w:pStyle w:val="InstructionsText"/>
            </w:pPr>
            <w:r>
              <w:rPr>
                <w:rStyle w:val="InstructionsTabelleberschrift"/>
                <w:rFonts w:ascii="Times New Roman" w:hAnsi="Times New Roman"/>
                <w:sz w:val="24"/>
              </w:rPr>
              <w:t>di cui: compensati a livello centrale tramite una QCCP</w:t>
            </w:r>
          </w:p>
          <w:p w:rsidR="00E86B98" w:rsidRPr="00661595" w:rsidRDefault="00E86B98" w:rsidP="00115052">
            <w:pPr>
              <w:pStyle w:val="InstructionsText"/>
            </w:pPr>
            <w:r>
              <w:t>Cfr. le istruzioni relative alla riga 0100.</w:t>
            </w:r>
          </w:p>
          <w:p w:rsidR="001B1F77" w:rsidRPr="00661595" w:rsidRDefault="001B1F77" w:rsidP="00115052">
            <w:pPr>
              <w:pStyle w:val="InstructionsText"/>
            </w:pPr>
          </w:p>
        </w:tc>
      </w:tr>
      <w:tr w:rsidR="001B1F77" w:rsidRPr="00661595" w:rsidTr="00672D2A">
        <w:tc>
          <w:tcPr>
            <w:tcW w:w="1188" w:type="dxa"/>
          </w:tcPr>
          <w:p w:rsidR="001B1F77" w:rsidRPr="00661595" w:rsidRDefault="00FF15C6" w:rsidP="00115052">
            <w:pPr>
              <w:pStyle w:val="InstructionsText"/>
            </w:pPr>
            <w:r>
              <w:t>0130</w:t>
            </w:r>
          </w:p>
        </w:tc>
        <w:tc>
          <w:tcPr>
            <w:tcW w:w="8701" w:type="dxa"/>
          </w:tcPr>
          <w:p w:rsidR="001B1F77" w:rsidRPr="00661595" w:rsidRDefault="001B1F77"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Da insiemi di attività soggette ad accordo di compensazione contrattuale tra prodotti differenti</w:t>
            </w:r>
          </w:p>
          <w:p w:rsidR="00E86B98" w:rsidRPr="00661595" w:rsidRDefault="00E86B98" w:rsidP="00115052">
            <w:pPr>
              <w:pStyle w:val="InstructionsText"/>
            </w:pPr>
            <w:r>
              <w:t>Insiemi di attività soggette a compensazione contenenti operazioni di diverse categorie d</w:t>
            </w:r>
            <w:r w:rsidR="00115052">
              <w:t xml:space="preserve">i prodotti (articolo 272, punto </w:t>
            </w:r>
            <w:r>
              <w:t>11, del CRR), ossia derivati e SFT, per i quali esiste un accordo di compensazione contrattuale tra prodotti differenti ai sensi dell</w:t>
            </w:r>
            <w:r w:rsidR="000878EC">
              <w:t>'</w:t>
            </w:r>
            <w:r>
              <w:t>articolo 272, punto 25, del CRR.</w:t>
            </w:r>
          </w:p>
          <w:p w:rsidR="001B1F77" w:rsidRPr="00661595" w:rsidRDefault="001B1F77" w:rsidP="00115052">
            <w:pPr>
              <w:pStyle w:val="InstructionsText"/>
            </w:pPr>
          </w:p>
        </w:tc>
      </w:tr>
      <w:tr w:rsidR="001B1F77" w:rsidRPr="00661595" w:rsidTr="00672D2A">
        <w:tc>
          <w:tcPr>
            <w:tcW w:w="1188" w:type="dxa"/>
          </w:tcPr>
          <w:p w:rsidR="001B1F77" w:rsidRPr="00661595" w:rsidRDefault="00FF15C6" w:rsidP="00115052">
            <w:pPr>
              <w:pStyle w:val="InstructionsText"/>
            </w:pPr>
            <w:r>
              <w:t>0140-0280</w:t>
            </w:r>
          </w:p>
        </w:tc>
        <w:tc>
          <w:tcPr>
            <w:tcW w:w="8701" w:type="dxa"/>
          </w:tcPr>
          <w:p w:rsidR="001B1F77" w:rsidRPr="00661595" w:rsidRDefault="001B1F77"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RIPARTIZIONE DELLE ESPOSIZIONI PER FATTORE DI PONDERAZIONE DEL RISCHIO</w:t>
            </w:r>
          </w:p>
          <w:p w:rsidR="001B1F77" w:rsidRPr="00661595" w:rsidRDefault="001B1F77" w:rsidP="00115052">
            <w:pPr>
              <w:pStyle w:val="InstructionsText"/>
            </w:pPr>
          </w:p>
        </w:tc>
      </w:tr>
      <w:tr w:rsidR="001B1F77" w:rsidRPr="00661595" w:rsidTr="00672D2A">
        <w:tc>
          <w:tcPr>
            <w:tcW w:w="1188" w:type="dxa"/>
            <w:shd w:val="clear" w:color="auto" w:fill="auto"/>
          </w:tcPr>
          <w:p w:rsidR="001B1F77" w:rsidRPr="00661595" w:rsidRDefault="00FF15C6" w:rsidP="00115052">
            <w:pPr>
              <w:pStyle w:val="InstructionsText"/>
            </w:pPr>
            <w:r>
              <w:t>0140</w:t>
            </w:r>
          </w:p>
        </w:tc>
        <w:tc>
          <w:tcPr>
            <w:tcW w:w="8701" w:type="dxa"/>
            <w:shd w:val="clear" w:color="auto" w:fill="auto"/>
          </w:tcPr>
          <w:p w:rsidR="001B1F77" w:rsidRPr="00661595" w:rsidRDefault="00115052"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0 </w:t>
            </w:r>
            <w:r w:rsidR="001B1F77">
              <w:rPr>
                <w:rStyle w:val="InstructionsTabelleberschrift"/>
                <w:rFonts w:ascii="Times New Roman" w:hAnsi="Times New Roman"/>
                <w:sz w:val="24"/>
              </w:rPr>
              <w:t>%</w:t>
            </w:r>
          </w:p>
          <w:p w:rsidR="001B1F77" w:rsidRPr="00661595" w:rsidRDefault="001B1F77" w:rsidP="00115052">
            <w:pPr>
              <w:pStyle w:val="InstructionsText"/>
            </w:pPr>
          </w:p>
        </w:tc>
      </w:tr>
      <w:tr w:rsidR="001B1F77" w:rsidRPr="00661595" w:rsidTr="00672D2A">
        <w:tc>
          <w:tcPr>
            <w:tcW w:w="1188" w:type="dxa"/>
            <w:shd w:val="clear" w:color="auto" w:fill="auto"/>
          </w:tcPr>
          <w:p w:rsidR="001B1F77" w:rsidRPr="00661595" w:rsidRDefault="00FF15C6" w:rsidP="00115052">
            <w:pPr>
              <w:pStyle w:val="InstructionsText"/>
            </w:pPr>
            <w:r>
              <w:t>0150</w:t>
            </w:r>
          </w:p>
        </w:tc>
        <w:tc>
          <w:tcPr>
            <w:tcW w:w="8701" w:type="dxa"/>
            <w:shd w:val="clear" w:color="auto" w:fill="auto"/>
          </w:tcPr>
          <w:p w:rsidR="001B1F77" w:rsidRPr="00661595" w:rsidRDefault="00115052"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2 </w:t>
            </w:r>
            <w:r w:rsidR="001B1F77">
              <w:rPr>
                <w:rStyle w:val="InstructionsTabelleberschrift"/>
                <w:rFonts w:ascii="Times New Roman" w:hAnsi="Times New Roman"/>
                <w:sz w:val="24"/>
              </w:rPr>
              <w:t>%</w:t>
            </w:r>
          </w:p>
          <w:p w:rsidR="001B1F77" w:rsidRPr="00661595" w:rsidRDefault="001B1F77" w:rsidP="00115052">
            <w:pPr>
              <w:pStyle w:val="InstructionsText"/>
              <w:rPr>
                <w:b/>
              </w:rPr>
            </w:pPr>
            <w:r>
              <w:t>Articolo 306, paragrafo 1, del CRR</w:t>
            </w:r>
          </w:p>
        </w:tc>
      </w:tr>
      <w:tr w:rsidR="001B1F77" w:rsidRPr="00661595" w:rsidTr="00672D2A">
        <w:tc>
          <w:tcPr>
            <w:tcW w:w="1188" w:type="dxa"/>
            <w:shd w:val="clear" w:color="auto" w:fill="auto"/>
          </w:tcPr>
          <w:p w:rsidR="001B1F77" w:rsidRPr="00661595" w:rsidRDefault="00FF15C6" w:rsidP="00115052">
            <w:pPr>
              <w:pStyle w:val="InstructionsText"/>
            </w:pPr>
            <w:r>
              <w:t>0160</w:t>
            </w:r>
          </w:p>
        </w:tc>
        <w:tc>
          <w:tcPr>
            <w:tcW w:w="8701" w:type="dxa"/>
            <w:shd w:val="clear" w:color="auto" w:fill="auto"/>
          </w:tcPr>
          <w:p w:rsidR="001B1F77" w:rsidRPr="00661595" w:rsidRDefault="00115052"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4 </w:t>
            </w:r>
            <w:r w:rsidR="001B1F77">
              <w:rPr>
                <w:rStyle w:val="InstructionsTabelleberschrift"/>
                <w:rFonts w:ascii="Times New Roman" w:hAnsi="Times New Roman"/>
                <w:sz w:val="24"/>
              </w:rPr>
              <w:t>%</w:t>
            </w:r>
          </w:p>
          <w:p w:rsidR="001B1F77" w:rsidRPr="00661595" w:rsidRDefault="001B1F77" w:rsidP="00115052">
            <w:pPr>
              <w:pStyle w:val="InstructionsText"/>
              <w:rPr>
                <w:b/>
                <w:u w:val="single"/>
              </w:rPr>
            </w:pPr>
            <w:r>
              <w:t>Articolo 305, paragrafo 3, del CRR</w:t>
            </w:r>
          </w:p>
        </w:tc>
      </w:tr>
      <w:tr w:rsidR="001B1F77" w:rsidRPr="00661595" w:rsidTr="00672D2A">
        <w:tc>
          <w:tcPr>
            <w:tcW w:w="1188" w:type="dxa"/>
            <w:shd w:val="clear" w:color="auto" w:fill="auto"/>
          </w:tcPr>
          <w:p w:rsidR="001B1F77" w:rsidRPr="00661595" w:rsidRDefault="00FF15C6" w:rsidP="00115052">
            <w:pPr>
              <w:pStyle w:val="InstructionsText"/>
            </w:pPr>
            <w:r>
              <w:t>0170</w:t>
            </w:r>
          </w:p>
        </w:tc>
        <w:tc>
          <w:tcPr>
            <w:tcW w:w="8701" w:type="dxa"/>
            <w:shd w:val="clear" w:color="auto" w:fill="auto"/>
          </w:tcPr>
          <w:p w:rsidR="001B1F77" w:rsidRPr="00661595" w:rsidRDefault="00115052"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10 </w:t>
            </w:r>
            <w:r w:rsidR="001B1F77">
              <w:rPr>
                <w:rStyle w:val="InstructionsTabelleberschrift"/>
                <w:rFonts w:ascii="Times New Roman" w:hAnsi="Times New Roman"/>
                <w:sz w:val="24"/>
              </w:rPr>
              <w:t>%</w:t>
            </w:r>
          </w:p>
          <w:p w:rsidR="001B1F77" w:rsidRPr="00661595" w:rsidRDefault="001B1F77" w:rsidP="00115052">
            <w:pPr>
              <w:pStyle w:val="InstructionsText"/>
            </w:pPr>
          </w:p>
        </w:tc>
      </w:tr>
      <w:tr w:rsidR="001B1F77" w:rsidRPr="00661595" w:rsidTr="00672D2A">
        <w:tc>
          <w:tcPr>
            <w:tcW w:w="1188" w:type="dxa"/>
            <w:shd w:val="clear" w:color="auto" w:fill="auto"/>
          </w:tcPr>
          <w:p w:rsidR="001B1F77" w:rsidRPr="00661595" w:rsidRDefault="00FF15C6" w:rsidP="00115052">
            <w:pPr>
              <w:pStyle w:val="InstructionsText"/>
            </w:pPr>
            <w:r>
              <w:t>0180</w:t>
            </w:r>
          </w:p>
        </w:tc>
        <w:tc>
          <w:tcPr>
            <w:tcW w:w="8701" w:type="dxa"/>
            <w:shd w:val="clear" w:color="auto" w:fill="auto"/>
          </w:tcPr>
          <w:p w:rsidR="001B1F77" w:rsidRPr="00661595" w:rsidRDefault="00115052"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20 </w:t>
            </w:r>
            <w:r w:rsidR="001B1F77">
              <w:rPr>
                <w:rStyle w:val="InstructionsTabelleberschrift"/>
                <w:rFonts w:ascii="Times New Roman" w:hAnsi="Times New Roman"/>
                <w:sz w:val="24"/>
              </w:rPr>
              <w:t>%</w:t>
            </w:r>
          </w:p>
          <w:p w:rsidR="001B1F77" w:rsidRPr="00661595" w:rsidRDefault="001B1F77" w:rsidP="00115052">
            <w:pPr>
              <w:pStyle w:val="InstructionsText"/>
            </w:pPr>
          </w:p>
        </w:tc>
      </w:tr>
      <w:tr w:rsidR="001B1F77" w:rsidRPr="00661595" w:rsidTr="00672D2A">
        <w:tc>
          <w:tcPr>
            <w:tcW w:w="1188" w:type="dxa"/>
            <w:shd w:val="clear" w:color="auto" w:fill="auto"/>
          </w:tcPr>
          <w:p w:rsidR="001B1F77" w:rsidRPr="00661595" w:rsidRDefault="00FF15C6" w:rsidP="00115052">
            <w:pPr>
              <w:pStyle w:val="InstructionsText"/>
            </w:pPr>
            <w:r>
              <w:t>0190</w:t>
            </w:r>
          </w:p>
        </w:tc>
        <w:tc>
          <w:tcPr>
            <w:tcW w:w="8701" w:type="dxa"/>
            <w:shd w:val="clear" w:color="auto" w:fill="auto"/>
          </w:tcPr>
          <w:p w:rsidR="001B1F77" w:rsidRPr="00661595" w:rsidRDefault="00115052"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35 </w:t>
            </w:r>
            <w:r w:rsidR="001B1F77">
              <w:rPr>
                <w:rStyle w:val="InstructionsTabelleberschrift"/>
                <w:rFonts w:ascii="Times New Roman" w:hAnsi="Times New Roman"/>
                <w:sz w:val="24"/>
              </w:rPr>
              <w:t>%</w:t>
            </w:r>
          </w:p>
          <w:p w:rsidR="001B1F77" w:rsidRPr="00661595" w:rsidRDefault="001B1F77" w:rsidP="00115052">
            <w:pPr>
              <w:pStyle w:val="InstructionsText"/>
            </w:pPr>
          </w:p>
        </w:tc>
      </w:tr>
      <w:tr w:rsidR="001B1F77" w:rsidRPr="00661595" w:rsidTr="00672D2A">
        <w:tc>
          <w:tcPr>
            <w:tcW w:w="1188" w:type="dxa"/>
            <w:shd w:val="clear" w:color="auto" w:fill="auto"/>
          </w:tcPr>
          <w:p w:rsidR="001B1F77" w:rsidRPr="00661595" w:rsidRDefault="00FF15C6" w:rsidP="00115052">
            <w:pPr>
              <w:pStyle w:val="InstructionsText"/>
            </w:pPr>
            <w:r>
              <w:t>0200</w:t>
            </w:r>
          </w:p>
        </w:tc>
        <w:tc>
          <w:tcPr>
            <w:tcW w:w="8701" w:type="dxa"/>
            <w:shd w:val="clear" w:color="auto" w:fill="auto"/>
          </w:tcPr>
          <w:p w:rsidR="001B1F77" w:rsidRPr="00661595" w:rsidRDefault="00115052"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50 </w:t>
            </w:r>
            <w:r w:rsidR="001B1F77">
              <w:rPr>
                <w:rStyle w:val="InstructionsTabelleberschrift"/>
                <w:rFonts w:ascii="Times New Roman" w:hAnsi="Times New Roman"/>
                <w:sz w:val="24"/>
              </w:rPr>
              <w:t>%</w:t>
            </w:r>
          </w:p>
          <w:p w:rsidR="001B1F77" w:rsidRPr="00661595" w:rsidRDefault="001B1F77" w:rsidP="00115052">
            <w:pPr>
              <w:pStyle w:val="InstructionsText"/>
            </w:pPr>
          </w:p>
        </w:tc>
      </w:tr>
      <w:tr w:rsidR="001B1F77" w:rsidRPr="00661595" w:rsidTr="00672D2A">
        <w:tc>
          <w:tcPr>
            <w:tcW w:w="1188" w:type="dxa"/>
            <w:shd w:val="clear" w:color="auto" w:fill="auto"/>
          </w:tcPr>
          <w:p w:rsidR="001B1F77" w:rsidRPr="00661595" w:rsidRDefault="00FF15C6" w:rsidP="00115052">
            <w:pPr>
              <w:pStyle w:val="InstructionsText"/>
            </w:pPr>
            <w:r>
              <w:t>0210</w:t>
            </w:r>
          </w:p>
        </w:tc>
        <w:tc>
          <w:tcPr>
            <w:tcW w:w="8701" w:type="dxa"/>
            <w:shd w:val="clear" w:color="auto" w:fill="auto"/>
          </w:tcPr>
          <w:p w:rsidR="001B1F77" w:rsidRPr="00661595" w:rsidRDefault="001B1F77"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70 %</w:t>
            </w:r>
          </w:p>
          <w:p w:rsidR="001B1F77" w:rsidRPr="00661595" w:rsidRDefault="001B1F77" w:rsidP="00115052">
            <w:pPr>
              <w:pStyle w:val="InstructionsText"/>
            </w:pPr>
            <w:r>
              <w:t>Articolo 232, paragrafo 3, lettera c), del CRR</w:t>
            </w:r>
          </w:p>
        </w:tc>
      </w:tr>
      <w:tr w:rsidR="001B1F77" w:rsidRPr="00661595" w:rsidTr="00672D2A">
        <w:tc>
          <w:tcPr>
            <w:tcW w:w="1188" w:type="dxa"/>
            <w:shd w:val="clear" w:color="auto" w:fill="auto"/>
          </w:tcPr>
          <w:p w:rsidR="001B1F77" w:rsidRPr="00661595" w:rsidRDefault="00FF15C6" w:rsidP="00115052">
            <w:pPr>
              <w:pStyle w:val="InstructionsText"/>
            </w:pPr>
            <w:r>
              <w:t>0220</w:t>
            </w:r>
          </w:p>
        </w:tc>
        <w:tc>
          <w:tcPr>
            <w:tcW w:w="8701" w:type="dxa"/>
            <w:shd w:val="clear" w:color="auto" w:fill="auto"/>
          </w:tcPr>
          <w:p w:rsidR="001B1F77" w:rsidRPr="00661595" w:rsidRDefault="00115052"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75 </w:t>
            </w:r>
            <w:r w:rsidR="001B1F77">
              <w:rPr>
                <w:rStyle w:val="InstructionsTabelleberschrift"/>
                <w:rFonts w:ascii="Times New Roman" w:hAnsi="Times New Roman"/>
                <w:sz w:val="24"/>
              </w:rPr>
              <w:t>%</w:t>
            </w:r>
          </w:p>
          <w:p w:rsidR="001B1F77" w:rsidRPr="00661595" w:rsidRDefault="001B1F77" w:rsidP="00115052">
            <w:pPr>
              <w:pStyle w:val="InstructionsText"/>
            </w:pPr>
          </w:p>
        </w:tc>
      </w:tr>
      <w:tr w:rsidR="001B1F77" w:rsidRPr="00661595" w:rsidTr="00672D2A">
        <w:tc>
          <w:tcPr>
            <w:tcW w:w="1188" w:type="dxa"/>
            <w:shd w:val="clear" w:color="auto" w:fill="auto"/>
          </w:tcPr>
          <w:p w:rsidR="001B1F77" w:rsidRPr="00661595" w:rsidRDefault="00FF15C6" w:rsidP="00115052">
            <w:pPr>
              <w:pStyle w:val="InstructionsText"/>
            </w:pPr>
            <w:r>
              <w:t>0230</w:t>
            </w:r>
          </w:p>
        </w:tc>
        <w:tc>
          <w:tcPr>
            <w:tcW w:w="8701" w:type="dxa"/>
            <w:shd w:val="clear" w:color="auto" w:fill="auto"/>
          </w:tcPr>
          <w:p w:rsidR="001B1F77" w:rsidRPr="00661595" w:rsidRDefault="00115052"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100 </w:t>
            </w:r>
            <w:r w:rsidR="001B1F77">
              <w:rPr>
                <w:rStyle w:val="InstructionsTabelleberschrift"/>
                <w:rFonts w:ascii="Times New Roman" w:hAnsi="Times New Roman"/>
                <w:sz w:val="24"/>
              </w:rPr>
              <w:t>%</w:t>
            </w:r>
          </w:p>
          <w:p w:rsidR="001B1F77" w:rsidRPr="00661595" w:rsidRDefault="001B1F77" w:rsidP="00115052">
            <w:pPr>
              <w:pStyle w:val="InstructionsText"/>
            </w:pPr>
          </w:p>
        </w:tc>
      </w:tr>
      <w:tr w:rsidR="001B1F77" w:rsidRPr="00661595" w:rsidTr="00672D2A">
        <w:tc>
          <w:tcPr>
            <w:tcW w:w="1188" w:type="dxa"/>
            <w:shd w:val="clear" w:color="auto" w:fill="auto"/>
          </w:tcPr>
          <w:p w:rsidR="001B1F77" w:rsidRPr="00661595" w:rsidRDefault="00FF15C6" w:rsidP="00115052">
            <w:pPr>
              <w:pStyle w:val="InstructionsText"/>
            </w:pPr>
            <w:r>
              <w:t>0240</w:t>
            </w:r>
          </w:p>
        </w:tc>
        <w:tc>
          <w:tcPr>
            <w:tcW w:w="8701" w:type="dxa"/>
            <w:shd w:val="clear" w:color="auto" w:fill="auto"/>
          </w:tcPr>
          <w:p w:rsidR="001B1F77" w:rsidRPr="00661595" w:rsidRDefault="00115052"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150 </w:t>
            </w:r>
            <w:r w:rsidR="001B1F77">
              <w:rPr>
                <w:rStyle w:val="InstructionsTabelleberschrift"/>
                <w:rFonts w:ascii="Times New Roman" w:hAnsi="Times New Roman"/>
                <w:sz w:val="24"/>
              </w:rPr>
              <w:t>%</w:t>
            </w:r>
          </w:p>
          <w:p w:rsidR="001B1F77" w:rsidRPr="00661595" w:rsidRDefault="001B1F77" w:rsidP="00115052">
            <w:pPr>
              <w:pStyle w:val="InstructionsText"/>
            </w:pPr>
          </w:p>
        </w:tc>
      </w:tr>
      <w:tr w:rsidR="001B1F77" w:rsidRPr="00661595" w:rsidTr="00672D2A">
        <w:tc>
          <w:tcPr>
            <w:tcW w:w="1188" w:type="dxa"/>
            <w:shd w:val="clear" w:color="auto" w:fill="auto"/>
          </w:tcPr>
          <w:p w:rsidR="001B1F77" w:rsidRPr="00661595" w:rsidRDefault="00FF15C6" w:rsidP="00115052">
            <w:pPr>
              <w:pStyle w:val="InstructionsText"/>
            </w:pPr>
            <w:r>
              <w:t>0250</w:t>
            </w:r>
          </w:p>
        </w:tc>
        <w:tc>
          <w:tcPr>
            <w:tcW w:w="8701" w:type="dxa"/>
            <w:shd w:val="clear" w:color="auto" w:fill="auto"/>
          </w:tcPr>
          <w:p w:rsidR="001B1F77" w:rsidRPr="00661595" w:rsidRDefault="00115052"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250 </w:t>
            </w:r>
            <w:r w:rsidR="001B1F77">
              <w:rPr>
                <w:rStyle w:val="InstructionsTabelleberschrift"/>
                <w:rFonts w:ascii="Times New Roman" w:hAnsi="Times New Roman"/>
                <w:sz w:val="24"/>
              </w:rPr>
              <w:t>%</w:t>
            </w:r>
          </w:p>
          <w:p w:rsidR="001B1F77" w:rsidRPr="00661595" w:rsidRDefault="001B1F77" w:rsidP="00115052">
            <w:pPr>
              <w:pStyle w:val="InstructionsText"/>
            </w:pPr>
            <w:r>
              <w:t>Articolo 133, paragrafo 2, e articolo 48, paragrafo 4, del CRR</w:t>
            </w:r>
          </w:p>
        </w:tc>
      </w:tr>
      <w:tr w:rsidR="001B1F77" w:rsidRPr="00661595" w:rsidTr="00672D2A">
        <w:tc>
          <w:tcPr>
            <w:tcW w:w="1188" w:type="dxa"/>
            <w:shd w:val="clear" w:color="auto" w:fill="auto"/>
          </w:tcPr>
          <w:p w:rsidR="001B1F77" w:rsidRPr="00661595" w:rsidRDefault="00FF15C6" w:rsidP="00115052">
            <w:pPr>
              <w:pStyle w:val="InstructionsText"/>
            </w:pPr>
            <w:r>
              <w:t>0260</w:t>
            </w:r>
          </w:p>
        </w:tc>
        <w:tc>
          <w:tcPr>
            <w:tcW w:w="8701" w:type="dxa"/>
            <w:shd w:val="clear" w:color="auto" w:fill="auto"/>
          </w:tcPr>
          <w:p w:rsidR="001B1F77" w:rsidRPr="00661595" w:rsidRDefault="00115052"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370 </w:t>
            </w:r>
            <w:r w:rsidR="001B1F77">
              <w:rPr>
                <w:rStyle w:val="InstructionsTabelleberschrift"/>
                <w:rFonts w:ascii="Times New Roman" w:hAnsi="Times New Roman"/>
                <w:sz w:val="24"/>
              </w:rPr>
              <w:t>%</w:t>
            </w:r>
          </w:p>
          <w:p w:rsidR="001B1F77" w:rsidRPr="00661595" w:rsidRDefault="001B1F77" w:rsidP="00115052">
            <w:pPr>
              <w:pStyle w:val="InstructionsText"/>
              <w:rPr>
                <w:b/>
                <w:u w:val="single"/>
              </w:rPr>
            </w:pPr>
            <w:r>
              <w:t>Articolo 471 del CRR</w:t>
            </w:r>
          </w:p>
        </w:tc>
      </w:tr>
      <w:tr w:rsidR="001B1F77" w:rsidRPr="00661595" w:rsidTr="00672D2A">
        <w:tc>
          <w:tcPr>
            <w:tcW w:w="1188" w:type="dxa"/>
            <w:shd w:val="clear" w:color="auto" w:fill="auto"/>
          </w:tcPr>
          <w:p w:rsidR="001B1F77" w:rsidRPr="00661595" w:rsidRDefault="00FF15C6" w:rsidP="00115052">
            <w:pPr>
              <w:pStyle w:val="InstructionsText"/>
            </w:pPr>
            <w:r>
              <w:t>0270</w:t>
            </w:r>
          </w:p>
        </w:tc>
        <w:tc>
          <w:tcPr>
            <w:tcW w:w="8701" w:type="dxa"/>
            <w:shd w:val="clear" w:color="auto" w:fill="auto"/>
          </w:tcPr>
          <w:p w:rsidR="001B1F77" w:rsidRPr="00661595" w:rsidRDefault="00115052"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1 250 </w:t>
            </w:r>
            <w:r w:rsidR="001B1F77">
              <w:rPr>
                <w:rStyle w:val="InstructionsTabelleberschrift"/>
                <w:rFonts w:ascii="Times New Roman" w:hAnsi="Times New Roman"/>
                <w:sz w:val="24"/>
              </w:rPr>
              <w:t>%</w:t>
            </w:r>
          </w:p>
          <w:p w:rsidR="001B1F77" w:rsidRPr="00661595" w:rsidRDefault="001B1F77" w:rsidP="00115052">
            <w:pPr>
              <w:pStyle w:val="InstructionsText"/>
              <w:rPr>
                <w:b/>
                <w:u w:val="single"/>
              </w:rPr>
            </w:pPr>
            <w:r>
              <w:t>Articolo 133, paragrafo 2, e articolo 379 del CRR</w:t>
            </w:r>
          </w:p>
        </w:tc>
      </w:tr>
      <w:tr w:rsidR="001B1F77" w:rsidRPr="00661595" w:rsidTr="00672D2A">
        <w:tc>
          <w:tcPr>
            <w:tcW w:w="1188" w:type="dxa"/>
            <w:shd w:val="clear" w:color="auto" w:fill="auto"/>
          </w:tcPr>
          <w:p w:rsidR="001B1F77" w:rsidRPr="00661595" w:rsidRDefault="00FF15C6" w:rsidP="00115052">
            <w:pPr>
              <w:pStyle w:val="InstructionsText"/>
            </w:pPr>
            <w:r>
              <w:t>0280</w:t>
            </w:r>
          </w:p>
        </w:tc>
        <w:tc>
          <w:tcPr>
            <w:tcW w:w="8701" w:type="dxa"/>
            <w:shd w:val="clear" w:color="auto" w:fill="auto"/>
          </w:tcPr>
          <w:p w:rsidR="001B1F77" w:rsidRPr="00661595" w:rsidRDefault="001B1F77"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Altri fattori di ponderazione del rischio</w:t>
            </w:r>
          </w:p>
          <w:p w:rsidR="001B1F77" w:rsidRPr="00661595" w:rsidRDefault="001B1F77" w:rsidP="00115052">
            <w:pPr>
              <w:pStyle w:val="InstructionsText"/>
            </w:pPr>
            <w:r>
              <w:t xml:space="preserve">Questa riga non è disponibile per le classi di esposizioni </w:t>
            </w:r>
            <w:r w:rsidR="000878EC">
              <w:t>"</w:t>
            </w:r>
            <w:r>
              <w:t>amministrazioni centrali</w:t>
            </w:r>
            <w:r w:rsidR="000878EC">
              <w:t>"</w:t>
            </w:r>
            <w:r>
              <w:t xml:space="preserve">, </w:t>
            </w:r>
            <w:r w:rsidR="000878EC">
              <w:t>"</w:t>
            </w:r>
            <w:r>
              <w:t>imprese</w:t>
            </w:r>
            <w:r w:rsidR="000878EC">
              <w:t>"</w:t>
            </w:r>
            <w:r>
              <w:t xml:space="preserve">, </w:t>
            </w:r>
            <w:r w:rsidR="000878EC">
              <w:t>"</w:t>
            </w:r>
            <w:r>
              <w:t>enti</w:t>
            </w:r>
            <w:r w:rsidR="000878EC">
              <w:t>"</w:t>
            </w:r>
            <w:r>
              <w:t xml:space="preserve"> e </w:t>
            </w:r>
            <w:r w:rsidR="000878EC">
              <w:t>"</w:t>
            </w:r>
            <w:r>
              <w:t>al dettaglio</w:t>
            </w:r>
            <w:r w:rsidR="000878EC">
              <w:t>"</w:t>
            </w:r>
            <w:r>
              <w:t>.</w:t>
            </w:r>
          </w:p>
          <w:p w:rsidR="001B1F77" w:rsidRPr="00661595" w:rsidRDefault="001B1F77" w:rsidP="00115052">
            <w:pPr>
              <w:pStyle w:val="InstructionsText"/>
            </w:pPr>
          </w:p>
          <w:p w:rsidR="001B1F77" w:rsidRPr="00661595" w:rsidRDefault="001B1F77" w:rsidP="00115052">
            <w:pPr>
              <w:pStyle w:val="InstructionsText"/>
            </w:pPr>
            <w:r>
              <w:t>Per segnalare le esposizioni non soggette ai fattori di ponderazione del rischio elencati nel modello.</w:t>
            </w:r>
          </w:p>
          <w:p w:rsidR="001B1F77" w:rsidRPr="00661595" w:rsidRDefault="001B1F77" w:rsidP="00115052">
            <w:pPr>
              <w:pStyle w:val="InstructionsText"/>
            </w:pPr>
            <w:r>
              <w:t xml:space="preserve">Articolo 113, paragrafi da 1 a 5, del CRR </w:t>
            </w:r>
          </w:p>
          <w:p w:rsidR="001B1F77" w:rsidRPr="00661595" w:rsidRDefault="001B1F77" w:rsidP="00115052">
            <w:pPr>
              <w:pStyle w:val="InstructionsText"/>
            </w:pPr>
          </w:p>
          <w:p w:rsidR="001B1F77" w:rsidRPr="00661595" w:rsidRDefault="001B1F77" w:rsidP="00115052">
            <w:pPr>
              <w:pStyle w:val="InstructionsText"/>
            </w:pPr>
            <w:r>
              <w:t>I derivati su crediti nth-to-default privi di rating nell</w:t>
            </w:r>
            <w:r w:rsidR="000878EC">
              <w:t>'</w:t>
            </w:r>
            <w:r>
              <w:t xml:space="preserve">ambito del metodo standardizzato (articolo 134, paragrafo 6, del CRR) sono segnalati in questa riga nella classe di esposizioni </w:t>
            </w:r>
            <w:r w:rsidR="000878EC">
              <w:t>"</w:t>
            </w:r>
            <w:r>
              <w:t>altre posizioni</w:t>
            </w:r>
            <w:r w:rsidR="000878EC">
              <w:t>"</w:t>
            </w:r>
            <w:r>
              <w:t>.</w:t>
            </w:r>
          </w:p>
          <w:p w:rsidR="001B1F77" w:rsidRPr="00661595" w:rsidRDefault="001B1F77" w:rsidP="00115052">
            <w:pPr>
              <w:pStyle w:val="InstructionsText"/>
            </w:pPr>
            <w:r>
              <w:t xml:space="preserve">Cfr. anche articolo 124, paragrafo 2, e articolo 152, paragrafo 2, lettera b), del CRR. </w:t>
            </w:r>
          </w:p>
        </w:tc>
      </w:tr>
      <w:tr w:rsidR="00E86B98" w:rsidRPr="00661595" w:rsidTr="00672D2A">
        <w:tc>
          <w:tcPr>
            <w:tcW w:w="1188" w:type="dxa"/>
            <w:shd w:val="clear" w:color="auto" w:fill="auto"/>
          </w:tcPr>
          <w:p w:rsidR="00E86B98" w:rsidRPr="00661595" w:rsidRDefault="00FF15C6" w:rsidP="00115052">
            <w:pPr>
              <w:pStyle w:val="InstructionsText"/>
            </w:pPr>
            <w:r>
              <w:t>0281-0284</w:t>
            </w:r>
          </w:p>
        </w:tc>
        <w:tc>
          <w:tcPr>
            <w:tcW w:w="8701" w:type="dxa"/>
            <w:shd w:val="clear" w:color="auto" w:fill="auto"/>
          </w:tcPr>
          <w:p w:rsidR="00E86B98" w:rsidRPr="00661595" w:rsidRDefault="00E86B98"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RIPARTIZIONE DELLE ESPOSIZIONI TOTALI IN BASE AL METODO (OIC)</w:t>
            </w:r>
          </w:p>
          <w:p w:rsidR="00E86B98" w:rsidRPr="00661595" w:rsidRDefault="00E86B98" w:rsidP="00115052">
            <w:pPr>
              <w:pStyle w:val="InstructionsText"/>
              <w:rPr>
                <w:rStyle w:val="InstructionsTabelleberschrift"/>
                <w:rFonts w:ascii="Times New Roman" w:hAnsi="Times New Roman"/>
                <w:sz w:val="24"/>
              </w:rPr>
            </w:pPr>
            <w:r>
              <w:rPr>
                <w:rStyle w:val="InstructionsTabelleberschrift"/>
                <w:rFonts w:ascii="Times New Roman" w:hAnsi="Times New Roman"/>
                <w:b w:val="0"/>
                <w:sz w:val="24"/>
                <w:u w:val="none"/>
              </w:rPr>
              <w:t xml:space="preserve">Queste righe sono segnalate solo per la classe di esposizioni </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organismi di investimento collettivo</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 (OIC), in linea con gli articoli 132, 132 bis, 132 ter e 132 quater del CRR.</w:t>
            </w:r>
          </w:p>
        </w:tc>
      </w:tr>
      <w:tr w:rsidR="00E86B98" w:rsidRPr="00661595" w:rsidTr="00672D2A">
        <w:tc>
          <w:tcPr>
            <w:tcW w:w="1188" w:type="dxa"/>
            <w:shd w:val="clear" w:color="auto" w:fill="auto"/>
          </w:tcPr>
          <w:p w:rsidR="00E86B98" w:rsidRPr="00661595" w:rsidRDefault="00FF15C6" w:rsidP="00115052">
            <w:pPr>
              <w:pStyle w:val="InstructionsText"/>
            </w:pPr>
            <w:r>
              <w:t>0281</w:t>
            </w:r>
          </w:p>
        </w:tc>
        <w:tc>
          <w:tcPr>
            <w:tcW w:w="8701" w:type="dxa"/>
            <w:shd w:val="clear" w:color="auto" w:fill="auto"/>
          </w:tcPr>
          <w:p w:rsidR="00E86B98" w:rsidRPr="00661595" w:rsidRDefault="00E86B98"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Metodo look-through</w:t>
            </w:r>
          </w:p>
          <w:p w:rsidR="00E86B98" w:rsidRPr="00661595" w:rsidRDefault="00E86B98" w:rsidP="00115052">
            <w:pPr>
              <w:pStyle w:val="InstructionsText"/>
              <w:rPr>
                <w:rStyle w:val="InstructionsTabelleberschrift"/>
                <w:rFonts w:ascii="Times New Roman" w:hAnsi="Times New Roman"/>
                <w:sz w:val="24"/>
              </w:rPr>
            </w:pPr>
            <w:r>
              <w:t>Articolo 132 bis, paragrafo 1, del CRR</w:t>
            </w:r>
          </w:p>
        </w:tc>
      </w:tr>
      <w:tr w:rsidR="00E86B98" w:rsidRPr="00661595" w:rsidTr="00672D2A">
        <w:tc>
          <w:tcPr>
            <w:tcW w:w="1188" w:type="dxa"/>
            <w:shd w:val="clear" w:color="auto" w:fill="auto"/>
          </w:tcPr>
          <w:p w:rsidR="00E86B98" w:rsidRPr="00661595" w:rsidRDefault="00FF15C6" w:rsidP="00115052">
            <w:pPr>
              <w:pStyle w:val="InstructionsText"/>
            </w:pPr>
            <w:r>
              <w:t>0282</w:t>
            </w:r>
          </w:p>
        </w:tc>
        <w:tc>
          <w:tcPr>
            <w:tcW w:w="8701" w:type="dxa"/>
            <w:shd w:val="clear" w:color="auto" w:fill="auto"/>
          </w:tcPr>
          <w:p w:rsidR="00E86B98" w:rsidRPr="00661595" w:rsidRDefault="00E86B98"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Metodo basato sul regolamento di gestione</w:t>
            </w:r>
          </w:p>
          <w:p w:rsidR="00E86B98" w:rsidRPr="00661595" w:rsidRDefault="00E86B98" w:rsidP="00115052">
            <w:pPr>
              <w:pStyle w:val="InstructionsText"/>
              <w:rPr>
                <w:rStyle w:val="InstructionsTabelleberschrift"/>
                <w:rFonts w:ascii="Times New Roman" w:hAnsi="Times New Roman"/>
                <w:sz w:val="24"/>
              </w:rPr>
            </w:pPr>
            <w:r>
              <w:t>Articolo 132 bis, paragrafo 2, del CRR</w:t>
            </w:r>
          </w:p>
        </w:tc>
      </w:tr>
      <w:tr w:rsidR="00E86B98" w:rsidRPr="00661595" w:rsidTr="00672D2A">
        <w:tc>
          <w:tcPr>
            <w:tcW w:w="1188" w:type="dxa"/>
            <w:shd w:val="clear" w:color="auto" w:fill="auto"/>
          </w:tcPr>
          <w:p w:rsidR="00E86B98" w:rsidRPr="00661595" w:rsidRDefault="00FF15C6" w:rsidP="00115052">
            <w:pPr>
              <w:pStyle w:val="InstructionsText"/>
            </w:pPr>
            <w:r>
              <w:t>0283</w:t>
            </w:r>
          </w:p>
        </w:tc>
        <w:tc>
          <w:tcPr>
            <w:tcW w:w="8701" w:type="dxa"/>
            <w:shd w:val="clear" w:color="auto" w:fill="auto"/>
          </w:tcPr>
          <w:p w:rsidR="00E86B98" w:rsidRPr="00661595" w:rsidRDefault="00E86B98"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Metodo fall-back</w:t>
            </w:r>
          </w:p>
          <w:p w:rsidR="00E86B98" w:rsidRPr="00661595" w:rsidRDefault="00E86B98" w:rsidP="00115052">
            <w:pPr>
              <w:pStyle w:val="InstructionsText"/>
              <w:rPr>
                <w:rStyle w:val="InstructionsTabelleberschrift"/>
                <w:rFonts w:ascii="Times New Roman" w:hAnsi="Times New Roman"/>
                <w:sz w:val="24"/>
              </w:rPr>
            </w:pPr>
            <w:r>
              <w:t>Articolo 132, paragrafo 2, del CRR</w:t>
            </w:r>
          </w:p>
        </w:tc>
      </w:tr>
      <w:tr w:rsidR="00E86B98" w:rsidRPr="00661595" w:rsidTr="00672D2A">
        <w:tc>
          <w:tcPr>
            <w:tcW w:w="1188" w:type="dxa"/>
            <w:shd w:val="clear" w:color="auto" w:fill="auto"/>
          </w:tcPr>
          <w:p w:rsidR="00E86B98" w:rsidRPr="00661595" w:rsidRDefault="00FF15C6" w:rsidP="00115052">
            <w:pPr>
              <w:pStyle w:val="InstructionsText"/>
            </w:pPr>
            <w:r>
              <w:t>0290-0320</w:t>
            </w:r>
          </w:p>
        </w:tc>
        <w:tc>
          <w:tcPr>
            <w:tcW w:w="8701" w:type="dxa"/>
            <w:shd w:val="clear" w:color="auto" w:fill="auto"/>
          </w:tcPr>
          <w:p w:rsidR="00E86B98" w:rsidRPr="00661595" w:rsidRDefault="00E86B98"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Voci per memoria</w:t>
            </w:r>
          </w:p>
          <w:p w:rsidR="00E86B98" w:rsidRPr="00661595" w:rsidRDefault="00E86B98" w:rsidP="00115052">
            <w:pPr>
              <w:pStyle w:val="InstructionsText"/>
              <w:rPr>
                <w:b/>
                <w:u w:val="single"/>
              </w:rPr>
            </w:pPr>
            <w:r>
              <w:t>Per le righe da 0290 a 0320, cfr. anche la spiegazione delle finalità delle voci per memoria nella sezione generale del modello CR SA.</w:t>
            </w:r>
          </w:p>
        </w:tc>
      </w:tr>
      <w:tr w:rsidR="00E86B98" w:rsidRPr="00661595" w:rsidTr="00672D2A">
        <w:tc>
          <w:tcPr>
            <w:tcW w:w="1188" w:type="dxa"/>
            <w:shd w:val="clear" w:color="auto" w:fill="auto"/>
          </w:tcPr>
          <w:p w:rsidR="00E86B98" w:rsidRPr="00661595" w:rsidRDefault="00FF15C6" w:rsidP="00115052">
            <w:pPr>
              <w:pStyle w:val="InstructionsText"/>
              <w:keepNext/>
              <w:keepLines/>
            </w:pPr>
            <w:r>
              <w:t>0290</w:t>
            </w:r>
          </w:p>
          <w:p w:rsidR="00E86B98" w:rsidRPr="00661595" w:rsidRDefault="00E86B98" w:rsidP="00115052">
            <w:pPr>
              <w:pStyle w:val="InstructionsText"/>
              <w:keepNext/>
              <w:keepLines/>
            </w:pPr>
          </w:p>
        </w:tc>
        <w:tc>
          <w:tcPr>
            <w:tcW w:w="8701" w:type="dxa"/>
            <w:shd w:val="clear" w:color="auto" w:fill="auto"/>
          </w:tcPr>
          <w:p w:rsidR="00E86B98" w:rsidRPr="00661595" w:rsidRDefault="00E86B98" w:rsidP="00115052">
            <w:pPr>
              <w:pStyle w:val="InstructionsText"/>
              <w:keepNext/>
              <w:keepLines/>
              <w:rPr>
                <w:rStyle w:val="InstructionsTabelleberschrift"/>
                <w:rFonts w:ascii="Times New Roman" w:hAnsi="Times New Roman"/>
                <w:sz w:val="24"/>
              </w:rPr>
            </w:pPr>
            <w:r>
              <w:rPr>
                <w:rStyle w:val="InstructionsTabelleberschrift"/>
                <w:rFonts w:ascii="Times New Roman" w:hAnsi="Times New Roman"/>
                <w:sz w:val="24"/>
              </w:rPr>
              <w:t>Esposizioni garantite da ipoteche su beni immobili non residenziali</w:t>
            </w:r>
          </w:p>
          <w:p w:rsidR="00E86B98" w:rsidRPr="00661595" w:rsidRDefault="00E86B98" w:rsidP="00115052">
            <w:pPr>
              <w:pStyle w:val="InstructionsText"/>
              <w:keepNext/>
              <w:keepLines/>
            </w:pPr>
            <w:r>
              <w:t>Articolo 112, lettera i), del CRR</w:t>
            </w:r>
          </w:p>
          <w:p w:rsidR="00E86B98" w:rsidRPr="00661595" w:rsidRDefault="00E86B98" w:rsidP="00115052">
            <w:pPr>
              <w:pStyle w:val="InstructionsText"/>
              <w:keepNext/>
              <w:keepLines/>
            </w:pPr>
            <w:r>
              <w:t>Questa è soltanto una voce per memoria. Indipendentemente dal calcolo degli importi delle esposizioni al rischio delle esposizioni garantite da beni immobili non residenziali di cui agli articoli 124 e 126 del CRR, le esposizioni sono ripartite e segnalate in questa riga se sono garantite da beni immobili non residenziali.</w:t>
            </w:r>
          </w:p>
        </w:tc>
      </w:tr>
      <w:tr w:rsidR="00E86B98" w:rsidRPr="00661595" w:rsidTr="00672D2A">
        <w:tc>
          <w:tcPr>
            <w:tcW w:w="1188" w:type="dxa"/>
            <w:shd w:val="clear" w:color="auto" w:fill="auto"/>
          </w:tcPr>
          <w:p w:rsidR="00E86B98" w:rsidRPr="00661595" w:rsidRDefault="00FF15C6" w:rsidP="00115052">
            <w:pPr>
              <w:pStyle w:val="InstructionsText"/>
            </w:pPr>
            <w:r>
              <w:t>0300</w:t>
            </w:r>
          </w:p>
        </w:tc>
        <w:tc>
          <w:tcPr>
            <w:tcW w:w="8701" w:type="dxa"/>
            <w:shd w:val="clear" w:color="auto" w:fill="auto"/>
          </w:tcPr>
          <w:p w:rsidR="00E86B98" w:rsidRPr="00661595" w:rsidRDefault="00E86B98"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Esposizioni in stato di default soggette a un fattore di ponderazione del rischio del 100 %</w:t>
            </w:r>
          </w:p>
          <w:p w:rsidR="00E86B98" w:rsidRPr="00661595" w:rsidRDefault="00E86B98" w:rsidP="00115052">
            <w:pPr>
              <w:pStyle w:val="InstructionsText"/>
            </w:pPr>
            <w:r>
              <w:t>Articolo 112, lettera j), del CRR</w:t>
            </w:r>
          </w:p>
          <w:p w:rsidR="00E86B98" w:rsidRPr="00661595" w:rsidRDefault="00E86B98" w:rsidP="00115052">
            <w:pPr>
              <w:pStyle w:val="InstructionsText"/>
            </w:pPr>
            <w:r>
              <w:t xml:space="preserve">Esposizioni comprese nella classe di esposizioni </w:t>
            </w:r>
            <w:r w:rsidR="000878EC">
              <w:t>"</w:t>
            </w:r>
            <w:r>
              <w:t>esposizioni in stato di default</w:t>
            </w:r>
            <w:r w:rsidR="000878EC">
              <w:t>"</w:t>
            </w:r>
            <w:r>
              <w:t xml:space="preserve"> che sarebbero incluse in questa classe se non fossero in stato di default.</w:t>
            </w:r>
          </w:p>
        </w:tc>
      </w:tr>
      <w:tr w:rsidR="00E86B98" w:rsidRPr="00661595" w:rsidTr="00672D2A">
        <w:tc>
          <w:tcPr>
            <w:tcW w:w="1188" w:type="dxa"/>
            <w:shd w:val="clear" w:color="auto" w:fill="auto"/>
          </w:tcPr>
          <w:p w:rsidR="00E86B98" w:rsidRPr="00661595" w:rsidRDefault="00FF15C6" w:rsidP="00115052">
            <w:pPr>
              <w:pStyle w:val="InstructionsText"/>
            </w:pPr>
            <w:r>
              <w:t>0310</w:t>
            </w:r>
          </w:p>
        </w:tc>
        <w:tc>
          <w:tcPr>
            <w:tcW w:w="8701" w:type="dxa"/>
            <w:shd w:val="clear" w:color="auto" w:fill="auto"/>
          </w:tcPr>
          <w:p w:rsidR="00E86B98" w:rsidRPr="00661595" w:rsidRDefault="00E86B98"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Esposizioni garantite da ipoteche su beni immobili residenziali </w:t>
            </w:r>
          </w:p>
          <w:p w:rsidR="00E86B98" w:rsidRPr="00661595" w:rsidRDefault="00E86B98" w:rsidP="00115052">
            <w:pPr>
              <w:pStyle w:val="InstructionsText"/>
            </w:pPr>
            <w:r>
              <w:t>Articolo 112, lettera i), del CRR</w:t>
            </w:r>
          </w:p>
          <w:p w:rsidR="00E86B98" w:rsidRPr="00661595" w:rsidRDefault="00E86B98" w:rsidP="00115052">
            <w:pPr>
              <w:pStyle w:val="InstructionsText"/>
              <w:rPr>
                <w:b/>
                <w:u w:val="single"/>
              </w:rPr>
            </w:pPr>
            <w:r>
              <w:t>Questa è soltanto una voce per memoria. Indipendentemente dal calcolo degli importi delle esposizioni al rischio delle esposizioni garantite da ipoteche su beni immobili residenziali conformemente agli articoli 124 e 125 del CRR, le esposizioni sono ripartite e segnalate in questa riga se sono garantite da beni immobili residenziali.</w:t>
            </w:r>
          </w:p>
        </w:tc>
      </w:tr>
      <w:tr w:rsidR="00E86B98" w:rsidRPr="00661595" w:rsidTr="00672D2A">
        <w:tc>
          <w:tcPr>
            <w:tcW w:w="1188" w:type="dxa"/>
            <w:shd w:val="clear" w:color="auto" w:fill="auto"/>
          </w:tcPr>
          <w:p w:rsidR="00E86B98" w:rsidRPr="00661595" w:rsidRDefault="00FF15C6" w:rsidP="00115052">
            <w:pPr>
              <w:pStyle w:val="InstructionsText"/>
            </w:pPr>
            <w:r>
              <w:t>0320</w:t>
            </w:r>
          </w:p>
        </w:tc>
        <w:tc>
          <w:tcPr>
            <w:tcW w:w="8701" w:type="dxa"/>
            <w:shd w:val="clear" w:color="auto" w:fill="auto"/>
          </w:tcPr>
          <w:p w:rsidR="00E86B98" w:rsidRPr="00661595" w:rsidRDefault="00E86B98" w:rsidP="00115052">
            <w:pPr>
              <w:pStyle w:val="InstructionsText"/>
              <w:rPr>
                <w:rStyle w:val="InstructionsTabelleberschrift"/>
                <w:rFonts w:ascii="Times New Roman" w:hAnsi="Times New Roman"/>
                <w:sz w:val="24"/>
              </w:rPr>
            </w:pPr>
            <w:r>
              <w:rPr>
                <w:rStyle w:val="InstructionsTabelleberschrift"/>
                <w:rFonts w:ascii="Times New Roman" w:hAnsi="Times New Roman"/>
                <w:sz w:val="24"/>
              </w:rPr>
              <w:t xml:space="preserve">Esposizioni in stato di default soggette a un fattore di ponderazione del rischio del 150 % </w:t>
            </w:r>
          </w:p>
          <w:p w:rsidR="00E86B98" w:rsidRPr="00661595" w:rsidRDefault="00E86B98" w:rsidP="00115052">
            <w:pPr>
              <w:pStyle w:val="InstructionsText"/>
            </w:pPr>
            <w:r>
              <w:t>Articolo 112, lettera j), del CRR</w:t>
            </w:r>
          </w:p>
          <w:p w:rsidR="00E86B98" w:rsidRPr="00661595" w:rsidRDefault="00E86B98" w:rsidP="00115052">
            <w:pPr>
              <w:pStyle w:val="InstructionsText"/>
            </w:pPr>
            <w:r>
              <w:t xml:space="preserve">Esposizioni comprese nella classe di esposizioni </w:t>
            </w:r>
            <w:r w:rsidR="000878EC">
              <w:t>"</w:t>
            </w:r>
            <w:r>
              <w:t>esposizioni in stato di default</w:t>
            </w:r>
            <w:r w:rsidR="000878EC">
              <w:t>"</w:t>
            </w:r>
            <w:r>
              <w:t xml:space="preserve"> che sarebbero incluse in questa classe se non fossero in stato di default.</w:t>
            </w:r>
          </w:p>
        </w:tc>
      </w:tr>
    </w:tbl>
    <w:p w:rsidR="001C7AB7" w:rsidRPr="00661595" w:rsidRDefault="001C7AB7">
      <w:pPr>
        <w:spacing w:before="0" w:after="0"/>
        <w:jc w:val="left"/>
        <w:rPr>
          <w:rFonts w:ascii="Times New Roman" w:hAnsi="Times New Roman"/>
          <w:bCs/>
          <w:sz w:val="24"/>
          <w:lang w:eastAsia="de-DE"/>
        </w:rPr>
      </w:pPr>
    </w:p>
    <w:p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213" w:name="_Toc473560906"/>
      <w:bookmarkStart w:id="214" w:name="_Toc58915749"/>
      <w:r>
        <w:rPr>
          <w:rFonts w:ascii="Times New Roman" w:hAnsi="Times New Roman"/>
          <w:sz w:val="24"/>
          <w:u w:val="none"/>
        </w:rPr>
        <w:t>3.3.</w:t>
      </w:r>
      <w:r w:rsidRPr="00B20DCD">
        <w:rPr>
          <w:u w:val="none"/>
        </w:rPr>
        <w:tab/>
      </w:r>
      <w:r>
        <w:rPr>
          <w:rFonts w:ascii="Times New Roman" w:hAnsi="Times New Roman"/>
          <w:sz w:val="24"/>
        </w:rPr>
        <w:t xml:space="preserve">Rischio di credito e rischio di controparte e operazioni con regolamento non contestuale: </w:t>
      </w:r>
      <w:bookmarkStart w:id="215" w:name="_Toc360188357"/>
      <w:r>
        <w:rPr>
          <w:rFonts w:ascii="Times New Roman" w:hAnsi="Times New Roman"/>
          <w:sz w:val="24"/>
        </w:rPr>
        <w:t>metodo IRB applicato ai requisiti di fondi propri</w:t>
      </w:r>
      <w:bookmarkEnd w:id="215"/>
      <w:r>
        <w:t xml:space="preserve"> </w:t>
      </w:r>
      <w:r>
        <w:rPr>
          <w:rFonts w:ascii="Times New Roman" w:hAnsi="Times New Roman"/>
          <w:sz w:val="24"/>
        </w:rPr>
        <w:t>(CR IRB)</w:t>
      </w:r>
      <w:bookmarkEnd w:id="213"/>
      <w:bookmarkEnd w:id="214"/>
    </w:p>
    <w:p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216" w:name="_Toc360188358"/>
      <w:bookmarkStart w:id="217" w:name="_Toc473560907"/>
      <w:bookmarkStart w:id="218" w:name="_Toc58915750"/>
      <w:r>
        <w:rPr>
          <w:rFonts w:ascii="Times New Roman" w:hAnsi="Times New Roman"/>
          <w:sz w:val="24"/>
          <w:u w:val="none"/>
        </w:rPr>
        <w:t>3.3.1.</w:t>
      </w:r>
      <w:r w:rsidRPr="00B20DCD">
        <w:rPr>
          <w:u w:val="none"/>
        </w:rPr>
        <w:tab/>
      </w:r>
      <w:r>
        <w:rPr>
          <w:rFonts w:ascii="Times New Roman" w:hAnsi="Times New Roman"/>
          <w:sz w:val="24"/>
        </w:rPr>
        <w:t>Ambito di applicazione del modello CR IRB</w:t>
      </w:r>
      <w:bookmarkEnd w:id="216"/>
      <w:bookmarkEnd w:id="217"/>
      <w:bookmarkEnd w:id="218"/>
    </w:p>
    <w:p w:rsidR="001C7AB7" w:rsidRPr="00661595" w:rsidRDefault="00A971CA" w:rsidP="00B20DCD">
      <w:pPr>
        <w:pStyle w:val="InstructionsText2"/>
        <w:numPr>
          <w:ilvl w:val="0"/>
          <w:numId w:val="0"/>
        </w:numPr>
        <w:ind w:left="1560" w:hanging="360"/>
      </w:pPr>
      <w:r>
        <w:fldChar w:fldCharType="begin"/>
      </w:r>
      <w:r>
        <w:instrText xml:space="preserve"> seq paragraphs </w:instrText>
      </w:r>
      <w:r>
        <w:fldChar w:fldCharType="separate"/>
      </w:r>
      <w:r w:rsidR="00D11E4C">
        <w:rPr>
          <w:noProof/>
        </w:rPr>
        <w:t>72</w:t>
      </w:r>
      <w:r>
        <w:rPr>
          <w:noProof/>
        </w:rPr>
        <w:fldChar w:fldCharType="end"/>
      </w:r>
      <w:r w:rsidR="00D11E4C">
        <w:t>.</w:t>
      </w:r>
      <w:r w:rsidR="00D11E4C">
        <w:tab/>
        <w:t>L</w:t>
      </w:r>
      <w:r w:rsidR="000878EC">
        <w:t>'</w:t>
      </w:r>
      <w:r w:rsidR="00D11E4C">
        <w:t>ambito di applicazione del modello CR IRB riguarda:</w:t>
      </w:r>
    </w:p>
    <w:p w:rsidR="001C7AB7" w:rsidRPr="00661595" w:rsidRDefault="00125707" w:rsidP="00B20DCD">
      <w:pPr>
        <w:pStyle w:val="InstructionsText2"/>
        <w:numPr>
          <w:ilvl w:val="0"/>
          <w:numId w:val="0"/>
        </w:numPr>
        <w:ind w:left="1560" w:hanging="360"/>
      </w:pPr>
      <w:r>
        <w:t>i.</w:t>
      </w:r>
      <w:r>
        <w:tab/>
        <w:t>il rischio di credito interno al portafoglio bancario, tra cui:</w:t>
      </w:r>
    </w:p>
    <w:p w:rsidR="001C7AB7" w:rsidRPr="00661595" w:rsidRDefault="001C7AB7" w:rsidP="00B20DCD">
      <w:pPr>
        <w:pStyle w:val="InstructionsText2"/>
        <w:numPr>
          <w:ilvl w:val="0"/>
          <w:numId w:val="49"/>
        </w:numPr>
        <w:ind w:left="1560" w:firstLine="0"/>
      </w:pPr>
      <w:r>
        <w:t>il rischio di controparte interno al portafoglio bancario;</w:t>
      </w:r>
    </w:p>
    <w:p w:rsidR="001C7AB7" w:rsidRPr="00661595" w:rsidRDefault="001C7AB7" w:rsidP="00B20DCD">
      <w:pPr>
        <w:pStyle w:val="InstructionsText2"/>
        <w:numPr>
          <w:ilvl w:val="0"/>
          <w:numId w:val="49"/>
        </w:numPr>
        <w:ind w:left="1560" w:firstLine="0"/>
      </w:pPr>
      <w:r>
        <w:t>il rischio di diluizione per crediti commerciali acquistati;</w:t>
      </w:r>
    </w:p>
    <w:p w:rsidR="001C7AB7" w:rsidRPr="00661595" w:rsidRDefault="00125707" w:rsidP="006D58B8">
      <w:pPr>
        <w:pStyle w:val="InstructionsText2"/>
        <w:numPr>
          <w:ilvl w:val="0"/>
          <w:numId w:val="0"/>
        </w:numPr>
        <w:ind w:left="1560" w:hanging="360"/>
      </w:pPr>
      <w:r>
        <w:t>ii.</w:t>
      </w:r>
      <w:r>
        <w:tab/>
        <w:t>il rischio di controparte interno al portafoglio di negoziazione;</w:t>
      </w:r>
    </w:p>
    <w:p w:rsidR="001C7AB7" w:rsidRPr="00661595" w:rsidRDefault="00125707" w:rsidP="006D58B8">
      <w:pPr>
        <w:pStyle w:val="InstructionsText2"/>
        <w:numPr>
          <w:ilvl w:val="0"/>
          <w:numId w:val="0"/>
        </w:numPr>
        <w:ind w:left="1560" w:hanging="360"/>
      </w:pPr>
      <w:r>
        <w:t>iii.</w:t>
      </w:r>
      <w:r>
        <w:tab/>
        <w:t>le operazioni con regolamento non contestuale derivanti da tutte le attività aziendali.</w:t>
      </w:r>
    </w:p>
    <w:p w:rsidR="001C7AB7" w:rsidRPr="00661595" w:rsidRDefault="00A971CA" w:rsidP="006D58B8">
      <w:pPr>
        <w:pStyle w:val="InstructionsText2"/>
        <w:numPr>
          <w:ilvl w:val="0"/>
          <w:numId w:val="0"/>
        </w:numPr>
        <w:ind w:left="1560" w:hanging="360"/>
      </w:pPr>
      <w:r>
        <w:fldChar w:fldCharType="begin"/>
      </w:r>
      <w:r>
        <w:instrText xml:space="preserve"> seq paragraphs </w:instrText>
      </w:r>
      <w:r>
        <w:fldChar w:fldCharType="separate"/>
      </w:r>
      <w:r w:rsidR="00D11E4C">
        <w:rPr>
          <w:noProof/>
        </w:rPr>
        <w:t>73</w:t>
      </w:r>
      <w:r>
        <w:rPr>
          <w:noProof/>
        </w:rPr>
        <w:fldChar w:fldCharType="end"/>
      </w:r>
      <w:r w:rsidR="00D11E4C">
        <w:t>.</w:t>
      </w:r>
      <w:r w:rsidR="00D11E4C">
        <w:tab/>
        <w:t>L</w:t>
      </w:r>
      <w:r w:rsidR="000878EC">
        <w:t>'</w:t>
      </w:r>
      <w:r w:rsidR="00D11E4C">
        <w:t xml:space="preserve">ambito di applicazione del modello comprende le esposizioni i cui importi ponderati per il rischio sono calcolati ai sensi della parte tre, titolo II, capo 3, articoli da 151 a 157, del CRR (metodo IRB). </w:t>
      </w:r>
    </w:p>
    <w:p w:rsidR="001C7AB7" w:rsidRPr="00661595" w:rsidRDefault="00A971CA" w:rsidP="006D58B8">
      <w:pPr>
        <w:pStyle w:val="InstructionsText2"/>
        <w:numPr>
          <w:ilvl w:val="0"/>
          <w:numId w:val="0"/>
        </w:numPr>
        <w:ind w:left="1560" w:hanging="360"/>
      </w:pPr>
      <w:r>
        <w:fldChar w:fldCharType="begin"/>
      </w:r>
      <w:r>
        <w:instrText xml:space="preserve"> seq paragraphs </w:instrText>
      </w:r>
      <w:r>
        <w:fldChar w:fldCharType="separate"/>
      </w:r>
      <w:r w:rsidR="00D11E4C">
        <w:rPr>
          <w:noProof/>
        </w:rPr>
        <w:t>74</w:t>
      </w:r>
      <w:r>
        <w:rPr>
          <w:noProof/>
        </w:rPr>
        <w:fldChar w:fldCharType="end"/>
      </w:r>
      <w:r w:rsidR="00D11E4C">
        <w:t>.</w:t>
      </w:r>
      <w:r w:rsidR="00D11E4C">
        <w:tab/>
        <w:t xml:space="preserve">Il modello CR IRB non comprende i seguenti dati: </w:t>
      </w:r>
    </w:p>
    <w:p w:rsidR="001C7AB7" w:rsidRPr="00661595" w:rsidRDefault="00125707" w:rsidP="006D58B8">
      <w:pPr>
        <w:pStyle w:val="InstructionsText2"/>
        <w:numPr>
          <w:ilvl w:val="0"/>
          <w:numId w:val="0"/>
        </w:numPr>
        <w:ind w:left="1560" w:hanging="360"/>
      </w:pPr>
      <w:r>
        <w:t>i.</w:t>
      </w:r>
      <w:r>
        <w:tab/>
        <w:t xml:space="preserve">le esposizioni in strumenti di capitale, che sono segnalate nel modello CR EQU IRB; </w:t>
      </w:r>
    </w:p>
    <w:p w:rsidR="001C7AB7" w:rsidRPr="00661595" w:rsidRDefault="00125707" w:rsidP="006D58B8">
      <w:pPr>
        <w:pStyle w:val="InstructionsText2"/>
        <w:numPr>
          <w:ilvl w:val="0"/>
          <w:numId w:val="0"/>
        </w:numPr>
        <w:ind w:left="1560" w:hanging="360"/>
      </w:pPr>
      <w:r>
        <w:t>ii.</w:t>
      </w:r>
      <w:r>
        <w:tab/>
        <w:t>le posizioni verso la cartolarizzazione, che sono segnalate nei modelli CR SEC e/o CR SEC Details;</w:t>
      </w:r>
    </w:p>
    <w:p w:rsidR="001C7AB7" w:rsidRPr="00661595" w:rsidRDefault="00125707" w:rsidP="006D58B8">
      <w:pPr>
        <w:pStyle w:val="InstructionsText2"/>
        <w:numPr>
          <w:ilvl w:val="0"/>
          <w:numId w:val="0"/>
        </w:numPr>
        <w:ind w:left="1560" w:hanging="360"/>
      </w:pPr>
      <w:r>
        <w:t>iii.</w:t>
      </w:r>
      <w:r>
        <w:tab/>
        <w:t xml:space="preserve"> </w:t>
      </w:r>
      <w:r w:rsidR="000878EC">
        <w:t>"</w:t>
      </w:r>
      <w:r>
        <w:t>altre attività diverse da crediti</w:t>
      </w:r>
      <w:r w:rsidR="000878EC">
        <w:t>"</w:t>
      </w:r>
      <w:r>
        <w:t xml:space="preserve"> di cui all</w:t>
      </w:r>
      <w:r w:rsidR="000878EC">
        <w:t>'</w:t>
      </w:r>
      <w:r>
        <w:t xml:space="preserve">articolo 147, paragrafo 2, lettera g), del CRR. Per questa classe di esposizioni il fattore di ponderazione del rischio deve essere sempre del 100 %, esclusi gli elementi </w:t>
      </w:r>
      <w:r w:rsidR="000878EC">
        <w:t>"</w:t>
      </w:r>
      <w:r>
        <w:t>cassa e valori assimilati</w:t>
      </w:r>
      <w:r w:rsidR="000878EC">
        <w:t>"</w:t>
      </w:r>
      <w:r>
        <w:t xml:space="preserve"> e le esposizioni che costituiscono valori residuali di beni dati in locazione, conformemente all</w:t>
      </w:r>
      <w:r w:rsidR="000878EC">
        <w:t>'</w:t>
      </w:r>
      <w:r>
        <w:t>articolo 156 del CRR. Gli importi delle esposizioni ponderati per il rischio di questa classe di esposizioni sono segnalati direttamente nel modello CA;</w:t>
      </w:r>
    </w:p>
    <w:p w:rsidR="001C7AB7" w:rsidRPr="00661595" w:rsidRDefault="00125707" w:rsidP="006D58B8">
      <w:pPr>
        <w:pStyle w:val="InstructionsText2"/>
        <w:numPr>
          <w:ilvl w:val="0"/>
          <w:numId w:val="0"/>
        </w:numPr>
        <w:ind w:left="1560" w:hanging="360"/>
      </w:pPr>
      <w:r>
        <w:t>iv.</w:t>
      </w:r>
      <w:r>
        <w:tab/>
        <w:t>il rischio di aggiustamento della valutazione del credito (CVA), che è segnalato nel modello rischio di CVA.</w:t>
      </w:r>
    </w:p>
    <w:p w:rsidR="001C7AB7" w:rsidRPr="00661595" w:rsidRDefault="001C7AB7" w:rsidP="00B20DCD">
      <w:pPr>
        <w:pStyle w:val="InstructionsText2"/>
        <w:numPr>
          <w:ilvl w:val="0"/>
          <w:numId w:val="0"/>
        </w:numPr>
        <w:ind w:left="1200"/>
      </w:pPr>
      <w:r>
        <w:t xml:space="preserve">Per il modello CR IRB non è richiesta la ripartizione geografica per paese di residenza della controparte delle esposizioni cui è applicato il metodo IRB, che è segnalata nel modello CR GB. </w:t>
      </w:r>
    </w:p>
    <w:p w:rsidR="00FA641C" w:rsidRPr="00661595" w:rsidRDefault="00FA641C" w:rsidP="00FA641C">
      <w:pPr>
        <w:autoSpaceDE w:val="0"/>
        <w:autoSpaceDN w:val="0"/>
        <w:adjustRightInd w:val="0"/>
        <w:spacing w:before="0" w:after="240"/>
        <w:ind w:left="285" w:firstLine="708"/>
        <w:jc w:val="left"/>
        <w:rPr>
          <w:rFonts w:ascii="Times New Roman" w:hAnsi="Times New Roman"/>
          <w:sz w:val="24"/>
        </w:rPr>
      </w:pPr>
      <w:r>
        <w:rPr>
          <w:rFonts w:ascii="Times New Roman" w:hAnsi="Times New Roman"/>
          <w:sz w:val="24"/>
        </w:rPr>
        <w:t>Le voci i) e iii) non si applicano al modello CR IRB 7.</w:t>
      </w:r>
    </w:p>
    <w:p w:rsidR="001C7AB7" w:rsidRPr="00661595" w:rsidRDefault="00A971CA" w:rsidP="00A71F79">
      <w:pPr>
        <w:pStyle w:val="InstructionsText2"/>
        <w:numPr>
          <w:ilvl w:val="0"/>
          <w:numId w:val="0"/>
        </w:numPr>
        <w:ind w:left="1680" w:hanging="480"/>
      </w:pPr>
      <w:r>
        <w:fldChar w:fldCharType="begin"/>
      </w:r>
      <w:r>
        <w:instrText xml:space="preserve"> seq paragraphs </w:instrText>
      </w:r>
      <w:r>
        <w:fldChar w:fldCharType="separate"/>
      </w:r>
      <w:r w:rsidR="00D11E4C">
        <w:rPr>
          <w:noProof/>
        </w:rPr>
        <w:t>75</w:t>
      </w:r>
      <w:r>
        <w:rPr>
          <w:noProof/>
        </w:rPr>
        <w:fldChar w:fldCharType="end"/>
      </w:r>
      <w:r w:rsidR="00D11E4C">
        <w:t>.</w:t>
      </w:r>
      <w:r w:rsidR="00D11E4C">
        <w:tab/>
        <w:t>Per precisare se l</w:t>
      </w:r>
      <w:r w:rsidR="000878EC">
        <w:t>'</w:t>
      </w:r>
      <w:r w:rsidR="00D11E4C">
        <w:t>ente utilizza stime interne della LGD e/o dei fattori di conversione del credito, sono fornite le seguenti informazioni per ciascuna classe di esposizioni segnalata:</w:t>
      </w:r>
    </w:p>
    <w:p w:rsidR="001C7AB7" w:rsidRPr="00661595" w:rsidRDefault="000878EC"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w:t>
      </w:r>
      <w:r w:rsidR="001C7AB7">
        <w:rPr>
          <w:rFonts w:ascii="Times New Roman" w:hAnsi="Times New Roman"/>
          <w:sz w:val="24"/>
        </w:rPr>
        <w:t>NO</w:t>
      </w:r>
      <w:r>
        <w:rPr>
          <w:rFonts w:ascii="Times New Roman" w:hAnsi="Times New Roman"/>
          <w:sz w:val="24"/>
        </w:rPr>
        <w:t>"</w:t>
      </w:r>
      <w:r w:rsidR="001C7AB7">
        <w:rPr>
          <w:rFonts w:ascii="Times New Roman" w:hAnsi="Times New Roman"/>
          <w:sz w:val="24"/>
        </w:rPr>
        <w:t xml:space="preserve"> = se si utilizzano le stime della LGD e dei fattori di conversione del credito compiute dall</w:t>
      </w:r>
      <w:r>
        <w:rPr>
          <w:rFonts w:ascii="Times New Roman" w:hAnsi="Times New Roman"/>
          <w:sz w:val="24"/>
        </w:rPr>
        <w:t>'</w:t>
      </w:r>
      <w:r w:rsidR="001C7AB7">
        <w:rPr>
          <w:rFonts w:ascii="Times New Roman" w:hAnsi="Times New Roman"/>
          <w:sz w:val="24"/>
        </w:rPr>
        <w:t>organismo di vigilanza (IRB di base — F-IRB);</w:t>
      </w:r>
    </w:p>
    <w:p w:rsidR="001C7AB7" w:rsidRPr="00661595" w:rsidRDefault="000878EC" w:rsidP="00AF3C69">
      <w:pPr>
        <w:autoSpaceDE w:val="0"/>
        <w:autoSpaceDN w:val="0"/>
        <w:adjustRightInd w:val="0"/>
        <w:spacing w:before="0" w:after="240"/>
        <w:ind w:left="993"/>
        <w:jc w:val="left"/>
        <w:rPr>
          <w:rFonts w:ascii="Times New Roman" w:hAnsi="Times New Roman"/>
          <w:sz w:val="24"/>
        </w:rPr>
      </w:pPr>
      <w:r>
        <w:rPr>
          <w:rFonts w:ascii="Times New Roman" w:hAnsi="Times New Roman"/>
          <w:sz w:val="24"/>
        </w:rPr>
        <w:t>"</w:t>
      </w:r>
      <w:r w:rsidR="001C7AB7">
        <w:rPr>
          <w:rFonts w:ascii="Times New Roman" w:hAnsi="Times New Roman"/>
          <w:sz w:val="24"/>
        </w:rPr>
        <w:t>SÌ</w:t>
      </w:r>
      <w:r>
        <w:rPr>
          <w:rFonts w:ascii="Times New Roman" w:hAnsi="Times New Roman"/>
          <w:sz w:val="24"/>
        </w:rPr>
        <w:t>"</w:t>
      </w:r>
      <w:r w:rsidR="001C7AB7">
        <w:rPr>
          <w:rFonts w:ascii="Times New Roman" w:hAnsi="Times New Roman"/>
          <w:sz w:val="24"/>
        </w:rPr>
        <w:t xml:space="preserve"> = se si utilizzano le stime interne della LGD e dei fattori di conversione del credito (IRB avanzato — A-IRB). Ciò comprende tutti i portafogli al dettaglio.</w:t>
      </w:r>
    </w:p>
    <w:p w:rsidR="001C7AB7" w:rsidRPr="00661595" w:rsidRDefault="001C7AB7" w:rsidP="00167619">
      <w:pPr>
        <w:autoSpaceDE w:val="0"/>
        <w:autoSpaceDN w:val="0"/>
        <w:adjustRightInd w:val="0"/>
        <w:spacing w:before="0" w:after="240"/>
        <w:ind w:left="993"/>
        <w:jc w:val="left"/>
        <w:rPr>
          <w:rFonts w:ascii="Times New Roman" w:hAnsi="Times New Roman"/>
          <w:sz w:val="24"/>
        </w:rPr>
      </w:pPr>
      <w:r>
        <w:rPr>
          <w:rFonts w:ascii="Times New Roman" w:hAnsi="Times New Roman"/>
          <w:sz w:val="24"/>
        </w:rPr>
        <w:t>L</w:t>
      </w:r>
      <w:r w:rsidR="000878EC">
        <w:rPr>
          <w:rFonts w:ascii="Times New Roman" w:hAnsi="Times New Roman"/>
          <w:sz w:val="24"/>
        </w:rPr>
        <w:t>'</w:t>
      </w:r>
      <w:r>
        <w:rPr>
          <w:rFonts w:ascii="Times New Roman" w:hAnsi="Times New Roman"/>
          <w:sz w:val="24"/>
        </w:rPr>
        <w:t xml:space="preserve">ente che utilizza stime interne della LGD per calcolare </w:t>
      </w:r>
      <w:r>
        <w:rPr>
          <w:rStyle w:val="InstructionsTabelleText"/>
          <w:rFonts w:ascii="Times New Roman" w:hAnsi="Times New Roman"/>
          <w:sz w:val="24"/>
        </w:rPr>
        <w:t>gli importi delle esposizioni ponderati per il rischio</w:t>
      </w:r>
      <w:r>
        <w:rPr>
          <w:rFonts w:ascii="Times New Roman" w:hAnsi="Times New Roman"/>
          <w:sz w:val="24"/>
        </w:rPr>
        <w:t xml:space="preserve"> di una parte delle proprie esposizioni cui è applicato il metodo IRB, e utilizza la LGD determinata dall</w:t>
      </w:r>
      <w:r w:rsidR="000878EC">
        <w:rPr>
          <w:rFonts w:ascii="Times New Roman" w:hAnsi="Times New Roman"/>
          <w:sz w:val="24"/>
        </w:rPr>
        <w:t>'</w:t>
      </w:r>
      <w:r>
        <w:rPr>
          <w:rFonts w:ascii="Times New Roman" w:hAnsi="Times New Roman"/>
          <w:sz w:val="24"/>
        </w:rPr>
        <w:t xml:space="preserve">autorità di vigilanza per calcolare </w:t>
      </w:r>
      <w:r>
        <w:rPr>
          <w:rStyle w:val="InstructionsTabelleText"/>
          <w:rFonts w:ascii="Times New Roman" w:hAnsi="Times New Roman"/>
          <w:sz w:val="24"/>
        </w:rPr>
        <w:t>gli importi delle esposizioni ponderati per il rischio</w:t>
      </w:r>
      <w:r>
        <w:rPr>
          <w:rFonts w:ascii="Times New Roman" w:hAnsi="Times New Roman"/>
          <w:sz w:val="24"/>
        </w:rPr>
        <w:t xml:space="preserve"> dell</w:t>
      </w:r>
      <w:r w:rsidR="000878EC">
        <w:rPr>
          <w:rFonts w:ascii="Times New Roman" w:hAnsi="Times New Roman"/>
          <w:sz w:val="24"/>
        </w:rPr>
        <w:t>'</w:t>
      </w:r>
      <w:r>
        <w:rPr>
          <w:rFonts w:ascii="Times New Roman" w:hAnsi="Times New Roman"/>
          <w:sz w:val="24"/>
        </w:rPr>
        <w:t>altra parte delle proprie esposizioni cui è applicato il metodo IRB, deve segnalare un CR IRB Total per le posizioni cui è applicato il metodo F-IRB e un CR IRB Total per le posizioni cui è applicato il metodo A-IRB.</w:t>
      </w:r>
    </w:p>
    <w:p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219" w:name="_Toc262568037"/>
      <w:bookmarkStart w:id="220" w:name="_Toc264038435"/>
      <w:bookmarkStart w:id="221" w:name="_Toc295829865"/>
      <w:bookmarkStart w:id="222" w:name="_Toc308155142"/>
      <w:bookmarkStart w:id="223" w:name="_Toc310415028"/>
      <w:bookmarkStart w:id="224" w:name="_Toc360188359"/>
      <w:bookmarkStart w:id="225" w:name="_Toc473560908"/>
      <w:bookmarkStart w:id="226" w:name="_Toc58915751"/>
      <w:r>
        <w:rPr>
          <w:rFonts w:ascii="Times New Roman" w:hAnsi="Times New Roman"/>
          <w:sz w:val="24"/>
          <w:u w:val="none"/>
        </w:rPr>
        <w:t>3.3.2.</w:t>
      </w:r>
      <w:r w:rsidRPr="00A71F79">
        <w:rPr>
          <w:u w:val="none"/>
        </w:rPr>
        <w:tab/>
      </w:r>
      <w:r>
        <w:rPr>
          <w:rFonts w:ascii="Times New Roman" w:hAnsi="Times New Roman"/>
          <w:sz w:val="24"/>
        </w:rPr>
        <w:t>Ripartizione del modello CR IRB</w:t>
      </w:r>
      <w:bookmarkEnd w:id="219"/>
      <w:bookmarkEnd w:id="220"/>
      <w:bookmarkEnd w:id="221"/>
      <w:bookmarkEnd w:id="222"/>
      <w:bookmarkEnd w:id="223"/>
      <w:bookmarkEnd w:id="224"/>
      <w:bookmarkEnd w:id="225"/>
      <w:bookmarkEnd w:id="226"/>
    </w:p>
    <w:p w:rsidR="001C7AB7" w:rsidRPr="00661595" w:rsidRDefault="00A971CA" w:rsidP="00A71F79">
      <w:pPr>
        <w:pStyle w:val="InstructionsText2"/>
        <w:numPr>
          <w:ilvl w:val="0"/>
          <w:numId w:val="0"/>
        </w:numPr>
        <w:ind w:left="1560" w:hanging="360"/>
      </w:pPr>
      <w:r>
        <w:fldChar w:fldCharType="begin"/>
      </w:r>
      <w:r>
        <w:instrText xml:space="preserve"> seq paragraphs </w:instrText>
      </w:r>
      <w:r>
        <w:fldChar w:fldCharType="separate"/>
      </w:r>
      <w:r w:rsidR="00D11E4C">
        <w:rPr>
          <w:noProof/>
        </w:rPr>
        <w:t>76</w:t>
      </w:r>
      <w:r>
        <w:rPr>
          <w:noProof/>
        </w:rPr>
        <w:fldChar w:fldCharType="end"/>
      </w:r>
      <w:r w:rsidR="00D11E4C">
        <w:t>.</w:t>
      </w:r>
      <w:r w:rsidR="00D11E4C">
        <w:tab/>
        <w:t>Il modello CR IRB consta di sette modelli. Il modello CR IRB 1 offre un quadro generale delle esposizioni cui è applicato il metodo IRB e dei differenti metodi di calcolo degli importi dell</w:t>
      </w:r>
      <w:r w:rsidR="000878EC">
        <w:t>'</w:t>
      </w:r>
      <w:r w:rsidR="00D11E4C">
        <w:t>esposizione al rischio, nonché la ripartizione delle esposizioni totali in base al tipo di esposizione. Il modello CR IRB 2 indica la ripartizione delle esposizioni totali assegnate alle classi o ai pool di debitori (esposizioni segnalate nella riga 0070 del m</w:t>
      </w:r>
      <w:r w:rsidR="00A71F79">
        <w:t>odello CR IRB 1). Il modello CR </w:t>
      </w:r>
      <w:r w:rsidR="00D11E4C">
        <w:t>IRB 3 fornisce tutti i parametri pertinenti utilizzati per il calcolo dei requisiti patrimoniali per il rischio di credito p</w:t>
      </w:r>
      <w:r w:rsidR="00A71F79">
        <w:t>er i modelli IRB. Il modello CR </w:t>
      </w:r>
      <w:r w:rsidR="00D11E4C">
        <w:t>IRB 4 presenta un prospetto che illustra le variazioni degli importi delle esposizioni ponderati per il rischio determinati secondo il metodo IRB per il rischio di credito. Il modello CR IRB 5 fornisce informazioni sui risultati dei test retrospettivi delle PD per i modelli segnalati. Il modello CR IRB 6 fornisce tutti i parametri pertinenti utilizzati per il calcolo dei requisiti patrimoniali per il rischio di credito in base ai criteri di assegnazione per i finanziamenti specializzati. Il modello CR IRB 7 fornisce una panoramica della percentuale del valore dell</w:t>
      </w:r>
      <w:r w:rsidR="000878EC">
        <w:t>'</w:t>
      </w:r>
      <w:r w:rsidR="00D11E4C">
        <w:t>esposizione soggetta ai metodi SA o IRB per ciascuna classe di esposizioni pertinente. I modelli CR IRB 1, CR IRB 2, CR IRB 3 e CR IRB 5 sono trasmessi separatamente per le seguenti classi e sottoclassi di esposizioni:</w:t>
      </w:r>
    </w:p>
    <w:p w:rsidR="001C7AB7" w:rsidRPr="00661595" w:rsidRDefault="001C7AB7" w:rsidP="00276871">
      <w:pPr>
        <w:suppressAutoHyphens/>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1)</w:t>
      </w:r>
      <w:r>
        <w:tab/>
      </w:r>
      <w:r>
        <w:rPr>
          <w:rFonts w:ascii="Times New Roman" w:hAnsi="Times New Roman"/>
          <w:sz w:val="24"/>
        </w:rPr>
        <w:t>Totale</w:t>
      </w:r>
    </w:p>
    <w:p w:rsidR="001C7AB7" w:rsidRPr="00661595" w:rsidRDefault="001C7AB7" w:rsidP="00276871">
      <w:pPr>
        <w:suppressAutoHyphens/>
        <w:autoSpaceDE w:val="0"/>
        <w:autoSpaceDN w:val="0"/>
        <w:adjustRightInd w:val="0"/>
        <w:spacing w:before="0" w:after="0"/>
        <w:ind w:left="1428" w:hanging="720"/>
        <w:jc w:val="left"/>
        <w:rPr>
          <w:rFonts w:ascii="Times New Roman" w:hAnsi="Times New Roman"/>
          <w:sz w:val="24"/>
        </w:rPr>
      </w:pPr>
      <w:r>
        <w:tab/>
      </w:r>
      <w:r>
        <w:rPr>
          <w:rFonts w:ascii="Times New Roman" w:hAnsi="Times New Roman"/>
          <w:sz w:val="24"/>
        </w:rPr>
        <w:t xml:space="preserve">(Il modello </w:t>
      </w:r>
      <w:r w:rsidR="000878EC">
        <w:rPr>
          <w:rFonts w:ascii="Times New Roman" w:hAnsi="Times New Roman"/>
          <w:sz w:val="24"/>
        </w:rPr>
        <w:t>"</w:t>
      </w:r>
      <w:r>
        <w:rPr>
          <w:rFonts w:ascii="Times New Roman" w:hAnsi="Times New Roman"/>
          <w:sz w:val="24"/>
        </w:rPr>
        <w:t>Total</w:t>
      </w:r>
      <w:r w:rsidR="000878EC">
        <w:rPr>
          <w:rFonts w:ascii="Times New Roman" w:hAnsi="Times New Roman"/>
          <w:sz w:val="24"/>
        </w:rPr>
        <w:t>"</w:t>
      </w:r>
      <w:r>
        <w:rPr>
          <w:rFonts w:ascii="Times New Roman" w:hAnsi="Times New Roman"/>
          <w:sz w:val="24"/>
        </w:rPr>
        <w:t xml:space="preserve"> deve essere segnalato per il metodo IRB di base e separatamente per il metodo IRB avanzato.)</w:t>
      </w:r>
    </w:p>
    <w:p w:rsidR="001C7AB7" w:rsidRPr="00661595" w:rsidRDefault="001C7AB7" w:rsidP="00276871">
      <w:pPr>
        <w:suppressAutoHyphens/>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2)</w:t>
      </w:r>
      <w:r>
        <w:tab/>
      </w:r>
      <w:r>
        <w:rPr>
          <w:rFonts w:ascii="Times New Roman" w:hAnsi="Times New Roman"/>
          <w:sz w:val="24"/>
        </w:rPr>
        <w:t xml:space="preserve">Banche centrali e amministrazioni centrali </w:t>
      </w:r>
    </w:p>
    <w:p w:rsidR="001C7AB7" w:rsidRPr="00661595" w:rsidRDefault="001C7AB7" w:rsidP="00276871">
      <w:pPr>
        <w:suppressAutoHyphens/>
        <w:autoSpaceDE w:val="0"/>
        <w:autoSpaceDN w:val="0"/>
        <w:adjustRightInd w:val="0"/>
        <w:spacing w:before="0" w:after="0"/>
        <w:ind w:left="1428"/>
        <w:jc w:val="left"/>
        <w:rPr>
          <w:rFonts w:ascii="Times New Roman" w:hAnsi="Times New Roman"/>
          <w:sz w:val="24"/>
        </w:rPr>
      </w:pPr>
      <w:r>
        <w:rPr>
          <w:rFonts w:ascii="Times New Roman" w:hAnsi="Times New Roman"/>
          <w:sz w:val="24"/>
        </w:rPr>
        <w:t>(Articolo 147, paragrafo 2, lettera a), del CRR)</w:t>
      </w:r>
    </w:p>
    <w:p w:rsidR="001C7AB7" w:rsidRPr="00661595" w:rsidRDefault="001C7AB7" w:rsidP="00276871">
      <w:pPr>
        <w:suppressAutoHyphens/>
        <w:autoSpaceDE w:val="0"/>
        <w:autoSpaceDN w:val="0"/>
        <w:adjustRightInd w:val="0"/>
        <w:spacing w:before="0" w:after="0"/>
        <w:ind w:left="708"/>
        <w:rPr>
          <w:rFonts w:ascii="Times New Roman" w:hAnsi="Times New Roman"/>
          <w:sz w:val="24"/>
        </w:rPr>
      </w:pPr>
      <w:r>
        <w:rPr>
          <w:rFonts w:ascii="Times New Roman" w:hAnsi="Times New Roman"/>
          <w:sz w:val="24"/>
        </w:rPr>
        <w:t>3)</w:t>
      </w:r>
      <w:r>
        <w:tab/>
      </w:r>
      <w:r>
        <w:rPr>
          <w:rFonts w:ascii="Times New Roman" w:hAnsi="Times New Roman"/>
          <w:sz w:val="24"/>
        </w:rPr>
        <w:t>Enti</w:t>
      </w:r>
    </w:p>
    <w:p w:rsidR="001C7AB7" w:rsidRPr="00661595" w:rsidRDefault="001C7AB7" w:rsidP="00276871">
      <w:pPr>
        <w:suppressAutoHyphens/>
        <w:autoSpaceDE w:val="0"/>
        <w:autoSpaceDN w:val="0"/>
        <w:adjustRightInd w:val="0"/>
        <w:spacing w:before="0" w:after="0"/>
        <w:ind w:left="708" w:firstLine="720"/>
        <w:rPr>
          <w:rFonts w:ascii="Times New Roman" w:hAnsi="Times New Roman"/>
          <w:sz w:val="24"/>
        </w:rPr>
      </w:pPr>
      <w:r>
        <w:rPr>
          <w:rFonts w:ascii="Times New Roman" w:hAnsi="Times New Roman"/>
          <w:sz w:val="24"/>
        </w:rPr>
        <w:t>(Articolo 147, paragrafo 2, lettera b), del CRR)</w:t>
      </w:r>
    </w:p>
    <w:p w:rsidR="001C7AB7" w:rsidRPr="00661595" w:rsidRDefault="001C7AB7" w:rsidP="00276871">
      <w:pPr>
        <w:suppressAutoHyphens/>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4.1)</w:t>
      </w:r>
      <w:r>
        <w:tab/>
      </w:r>
      <w:r>
        <w:rPr>
          <w:rFonts w:ascii="Times New Roman" w:hAnsi="Times New Roman"/>
          <w:sz w:val="24"/>
        </w:rPr>
        <w:t>Imprese — PMI</w:t>
      </w:r>
    </w:p>
    <w:p w:rsidR="001C7AB7" w:rsidRPr="00661595" w:rsidRDefault="001C7AB7" w:rsidP="00276871">
      <w:pPr>
        <w:suppressAutoHyphens/>
        <w:autoSpaceDE w:val="0"/>
        <w:autoSpaceDN w:val="0"/>
        <w:adjustRightInd w:val="0"/>
        <w:spacing w:before="0" w:after="0"/>
        <w:ind w:left="1428"/>
        <w:jc w:val="left"/>
        <w:rPr>
          <w:rFonts w:ascii="Times New Roman" w:hAnsi="Times New Roman"/>
          <w:sz w:val="24"/>
        </w:rPr>
      </w:pPr>
      <w:r>
        <w:rPr>
          <w:rFonts w:ascii="Times New Roman" w:hAnsi="Times New Roman"/>
          <w:sz w:val="24"/>
        </w:rPr>
        <w:t xml:space="preserve">(Articolo 147, paragrafo 2, lettera c), del CRR). Ai fini della classificazione in questa sottoclasse di esposizioni, le entità segnalanti utilizzano la loro definizione interna di PMI applicata nei processi interni di gestione del rischio. </w:t>
      </w:r>
    </w:p>
    <w:p w:rsidR="001C7AB7" w:rsidRPr="00661595" w:rsidRDefault="001C7AB7" w:rsidP="00276871">
      <w:pPr>
        <w:suppressAutoHyphens/>
        <w:autoSpaceDE w:val="0"/>
        <w:autoSpaceDN w:val="0"/>
        <w:adjustRightInd w:val="0"/>
        <w:spacing w:before="0" w:after="0"/>
        <w:ind w:left="708"/>
        <w:jc w:val="left"/>
        <w:rPr>
          <w:rFonts w:ascii="Times New Roman" w:hAnsi="Times New Roman"/>
          <w:sz w:val="24"/>
        </w:rPr>
      </w:pPr>
      <w:r>
        <w:rPr>
          <w:rFonts w:ascii="Times New Roman" w:hAnsi="Times New Roman"/>
          <w:sz w:val="24"/>
        </w:rPr>
        <w:t>4.2)</w:t>
      </w:r>
      <w:r>
        <w:tab/>
      </w:r>
      <w:r>
        <w:rPr>
          <w:rFonts w:ascii="Times New Roman" w:hAnsi="Times New Roman"/>
          <w:sz w:val="24"/>
        </w:rPr>
        <w:t>Imprese — Finanziamenti specializzati</w:t>
      </w:r>
    </w:p>
    <w:p w:rsidR="001C7AB7" w:rsidRPr="00661595" w:rsidRDefault="001C7AB7" w:rsidP="00276871">
      <w:pPr>
        <w:suppressAutoHyphens/>
        <w:autoSpaceDE w:val="0"/>
        <w:autoSpaceDN w:val="0"/>
        <w:adjustRightInd w:val="0"/>
        <w:spacing w:before="0" w:after="0"/>
        <w:ind w:left="1428"/>
        <w:jc w:val="left"/>
        <w:rPr>
          <w:rFonts w:ascii="Times New Roman" w:hAnsi="Times New Roman"/>
          <w:sz w:val="24"/>
        </w:rPr>
      </w:pPr>
      <w:r>
        <w:rPr>
          <w:rFonts w:ascii="Times New Roman" w:hAnsi="Times New Roman"/>
          <w:sz w:val="24"/>
        </w:rPr>
        <w:t>(articolo 147, paragrafo 8, del CRR)</w:t>
      </w:r>
    </w:p>
    <w:p w:rsidR="001C7AB7" w:rsidRPr="00661595" w:rsidRDefault="001C7AB7" w:rsidP="00276871">
      <w:pPr>
        <w:suppressAutoHyphens/>
        <w:autoSpaceDE w:val="0"/>
        <w:autoSpaceDN w:val="0"/>
        <w:adjustRightInd w:val="0"/>
        <w:spacing w:before="0" w:after="0"/>
        <w:ind w:left="708"/>
        <w:jc w:val="left"/>
        <w:rPr>
          <w:rFonts w:ascii="Times New Roman" w:hAnsi="Times New Roman"/>
          <w:sz w:val="24"/>
        </w:rPr>
      </w:pPr>
      <w:r>
        <w:rPr>
          <w:rFonts w:ascii="Times New Roman" w:hAnsi="Times New Roman"/>
          <w:sz w:val="24"/>
        </w:rPr>
        <w:t>4.3)</w:t>
      </w:r>
      <w:r>
        <w:tab/>
      </w:r>
      <w:r>
        <w:rPr>
          <w:rFonts w:ascii="Times New Roman" w:hAnsi="Times New Roman"/>
          <w:sz w:val="24"/>
        </w:rPr>
        <w:t xml:space="preserve">Imprese — Altre </w:t>
      </w:r>
    </w:p>
    <w:p w:rsidR="001C7AB7" w:rsidRPr="00661595" w:rsidRDefault="001C7AB7" w:rsidP="00276871">
      <w:pPr>
        <w:suppressAutoHyphens/>
        <w:autoSpaceDE w:val="0"/>
        <w:autoSpaceDN w:val="0"/>
        <w:adjustRightInd w:val="0"/>
        <w:spacing w:before="0" w:after="0"/>
        <w:ind w:left="1428"/>
        <w:jc w:val="left"/>
        <w:rPr>
          <w:rFonts w:ascii="Times New Roman" w:hAnsi="Times New Roman"/>
          <w:sz w:val="24"/>
        </w:rPr>
      </w:pPr>
      <w:r>
        <w:rPr>
          <w:rFonts w:ascii="Times New Roman" w:hAnsi="Times New Roman"/>
          <w:sz w:val="24"/>
        </w:rPr>
        <w:t>(Tutte le esposizioni verso imprese di cui all</w:t>
      </w:r>
      <w:r w:rsidR="000878EC">
        <w:rPr>
          <w:rFonts w:ascii="Times New Roman" w:hAnsi="Times New Roman"/>
          <w:sz w:val="24"/>
        </w:rPr>
        <w:t>'</w:t>
      </w:r>
      <w:r>
        <w:rPr>
          <w:rFonts w:ascii="Times New Roman" w:hAnsi="Times New Roman"/>
          <w:sz w:val="24"/>
        </w:rPr>
        <w:t>articolo 147, paragrafo 2, lettera c), del CRR non segnalate ai punti 4.1 e 4.2.)</w:t>
      </w:r>
    </w:p>
    <w:p w:rsidR="001C7AB7" w:rsidRPr="00661595" w:rsidRDefault="001C7AB7" w:rsidP="00276871">
      <w:pPr>
        <w:suppressAutoHyphens/>
        <w:autoSpaceDE w:val="0"/>
        <w:autoSpaceDN w:val="0"/>
        <w:adjustRightInd w:val="0"/>
        <w:spacing w:before="0" w:after="0"/>
        <w:ind w:left="708"/>
        <w:jc w:val="left"/>
        <w:rPr>
          <w:rFonts w:ascii="Times New Roman" w:hAnsi="Times New Roman"/>
          <w:sz w:val="24"/>
        </w:rPr>
      </w:pPr>
      <w:r>
        <w:rPr>
          <w:rFonts w:ascii="Times New Roman" w:hAnsi="Times New Roman"/>
          <w:sz w:val="24"/>
        </w:rPr>
        <w:t>5.1)</w:t>
      </w:r>
      <w:r>
        <w:tab/>
      </w:r>
      <w:r>
        <w:rPr>
          <w:rFonts w:ascii="Times New Roman" w:hAnsi="Times New Roman"/>
          <w:sz w:val="24"/>
        </w:rPr>
        <w:t>Al dettaglio — garantite da beni immobili, PMI</w:t>
      </w:r>
    </w:p>
    <w:p w:rsidR="001C7AB7" w:rsidRPr="00661595" w:rsidRDefault="001C7AB7" w:rsidP="00276871">
      <w:pPr>
        <w:suppressAutoHyphens/>
        <w:autoSpaceDE w:val="0"/>
        <w:autoSpaceDN w:val="0"/>
        <w:adjustRightInd w:val="0"/>
        <w:spacing w:before="0" w:after="0"/>
        <w:ind w:left="1428"/>
        <w:jc w:val="left"/>
        <w:rPr>
          <w:rFonts w:ascii="Times New Roman" w:hAnsi="Times New Roman"/>
          <w:sz w:val="24"/>
        </w:rPr>
      </w:pPr>
      <w:r>
        <w:rPr>
          <w:rFonts w:ascii="Times New Roman" w:hAnsi="Times New Roman"/>
          <w:sz w:val="24"/>
        </w:rPr>
        <w:t>(Esposizioni al dettaglio di cui all</w:t>
      </w:r>
      <w:r w:rsidR="000878EC">
        <w:rPr>
          <w:rFonts w:ascii="Times New Roman" w:hAnsi="Times New Roman"/>
          <w:sz w:val="24"/>
        </w:rPr>
        <w:t>'</w:t>
      </w:r>
      <w:r>
        <w:rPr>
          <w:rFonts w:ascii="Times New Roman" w:hAnsi="Times New Roman"/>
          <w:sz w:val="24"/>
        </w:rPr>
        <w:t>articolo 147, paragrafo 2, lettera d), del CRR, in combinato disposto con l</w:t>
      </w:r>
      <w:r w:rsidR="000878EC">
        <w:rPr>
          <w:rFonts w:ascii="Times New Roman" w:hAnsi="Times New Roman"/>
          <w:sz w:val="24"/>
        </w:rPr>
        <w:t>'</w:t>
      </w:r>
      <w:r>
        <w:rPr>
          <w:rFonts w:ascii="Times New Roman" w:hAnsi="Times New Roman"/>
          <w:sz w:val="24"/>
        </w:rPr>
        <w:t>articolo 154, paragrafo 3, del CRR garantite da beni immobili) Ai fini della classificazione in questa sottoclasse di esposizioni, le entità segnalanti utilizzano la loro definizione interna di PMI applicata nei processi interni di gestione del rischio.</w:t>
      </w:r>
    </w:p>
    <w:p w:rsidR="001C7AB7" w:rsidRPr="00661595" w:rsidRDefault="001C7AB7" w:rsidP="00276871">
      <w:pPr>
        <w:suppressAutoHyphens/>
        <w:autoSpaceDE w:val="0"/>
        <w:autoSpaceDN w:val="0"/>
        <w:adjustRightInd w:val="0"/>
        <w:spacing w:before="0" w:after="0"/>
        <w:ind w:left="708"/>
        <w:jc w:val="left"/>
        <w:rPr>
          <w:rFonts w:ascii="Times New Roman" w:hAnsi="Times New Roman"/>
          <w:sz w:val="24"/>
        </w:rPr>
      </w:pPr>
      <w:r>
        <w:rPr>
          <w:rFonts w:ascii="Times New Roman" w:hAnsi="Times New Roman"/>
          <w:sz w:val="24"/>
        </w:rPr>
        <w:t>5.2)</w:t>
      </w:r>
      <w:r>
        <w:tab/>
      </w:r>
      <w:r>
        <w:rPr>
          <w:rFonts w:ascii="Times New Roman" w:hAnsi="Times New Roman"/>
          <w:sz w:val="24"/>
        </w:rPr>
        <w:t>Al dettaglio — garantite da beni immobili, non PMI</w:t>
      </w:r>
    </w:p>
    <w:p w:rsidR="001C7AB7" w:rsidRPr="00661595" w:rsidRDefault="001C7AB7" w:rsidP="00276871">
      <w:pPr>
        <w:suppressAutoHyphens/>
        <w:autoSpaceDE w:val="0"/>
        <w:autoSpaceDN w:val="0"/>
        <w:adjustRightInd w:val="0"/>
        <w:spacing w:before="0" w:after="0"/>
        <w:ind w:left="1428"/>
        <w:jc w:val="left"/>
        <w:rPr>
          <w:rFonts w:ascii="Times New Roman" w:hAnsi="Times New Roman"/>
          <w:sz w:val="24"/>
        </w:rPr>
      </w:pPr>
      <w:r>
        <w:rPr>
          <w:rFonts w:ascii="Times New Roman" w:hAnsi="Times New Roman"/>
          <w:sz w:val="24"/>
        </w:rPr>
        <w:t>(Esposizioni al dettaglio di cui all</w:t>
      </w:r>
      <w:r w:rsidR="000878EC">
        <w:rPr>
          <w:rFonts w:ascii="Times New Roman" w:hAnsi="Times New Roman"/>
          <w:sz w:val="24"/>
        </w:rPr>
        <w:t>'</w:t>
      </w:r>
      <w:r>
        <w:rPr>
          <w:rFonts w:ascii="Times New Roman" w:hAnsi="Times New Roman"/>
          <w:sz w:val="24"/>
        </w:rPr>
        <w:t>articolo 147, paragrafo 2, lettera d), del CRR garantite da beni immobili e non segnalate al punto 5.1.)</w:t>
      </w:r>
    </w:p>
    <w:p w:rsidR="008304E8" w:rsidRPr="00661595" w:rsidRDefault="008304E8" w:rsidP="00276871">
      <w:pPr>
        <w:suppressAutoHyphens/>
        <w:autoSpaceDE w:val="0"/>
        <w:autoSpaceDN w:val="0"/>
        <w:adjustRightInd w:val="0"/>
        <w:spacing w:before="0" w:after="0"/>
        <w:ind w:left="1416"/>
        <w:rPr>
          <w:rFonts w:ascii="Times New Roman" w:hAnsi="Times New Roman"/>
          <w:sz w:val="24"/>
        </w:rPr>
      </w:pPr>
      <w:r>
        <w:rPr>
          <w:rFonts w:ascii="Times New Roman" w:hAnsi="Times New Roman"/>
          <w:sz w:val="24"/>
        </w:rPr>
        <w:t>Ai punti 5.1 e 5.2, sono considerate esposizioni al dettaglio garantite da beni immobili tutte le esposizioni al dettaglio garantite da beni immobili riconosciuti come garanzie, indipendentemente dal rapporto tra il valore della garanzia e l</w:t>
      </w:r>
      <w:r w:rsidR="000878EC">
        <w:rPr>
          <w:rFonts w:ascii="Times New Roman" w:hAnsi="Times New Roman"/>
          <w:sz w:val="24"/>
        </w:rPr>
        <w:t>'</w:t>
      </w:r>
      <w:r>
        <w:rPr>
          <w:rFonts w:ascii="Times New Roman" w:hAnsi="Times New Roman"/>
          <w:sz w:val="24"/>
        </w:rPr>
        <w:t xml:space="preserve">esposizione o dalla finalità del prestito. </w:t>
      </w:r>
    </w:p>
    <w:p w:rsidR="001C7AB7" w:rsidRPr="00661595" w:rsidRDefault="001C7AB7" w:rsidP="00276871">
      <w:pPr>
        <w:suppressAutoHyphens/>
        <w:autoSpaceDE w:val="0"/>
        <w:autoSpaceDN w:val="0"/>
        <w:adjustRightInd w:val="0"/>
        <w:spacing w:before="0" w:after="0"/>
        <w:ind w:left="708"/>
        <w:jc w:val="left"/>
        <w:rPr>
          <w:rFonts w:ascii="Times New Roman" w:hAnsi="Times New Roman"/>
          <w:sz w:val="24"/>
        </w:rPr>
      </w:pPr>
      <w:r>
        <w:rPr>
          <w:rFonts w:ascii="Times New Roman" w:hAnsi="Times New Roman"/>
          <w:sz w:val="24"/>
        </w:rPr>
        <w:t>5.3)</w:t>
      </w:r>
      <w:r>
        <w:tab/>
      </w:r>
      <w:r>
        <w:rPr>
          <w:rFonts w:ascii="Times New Roman" w:hAnsi="Times New Roman"/>
          <w:sz w:val="24"/>
        </w:rPr>
        <w:t>Al dettaglio — Rotative qualificate</w:t>
      </w:r>
    </w:p>
    <w:p w:rsidR="001C7AB7" w:rsidRPr="00661595" w:rsidRDefault="001C7AB7" w:rsidP="00276871">
      <w:pPr>
        <w:suppressAutoHyphens/>
        <w:autoSpaceDE w:val="0"/>
        <w:autoSpaceDN w:val="0"/>
        <w:adjustRightInd w:val="0"/>
        <w:spacing w:before="0" w:after="0"/>
        <w:ind w:left="1428"/>
        <w:jc w:val="left"/>
        <w:rPr>
          <w:rFonts w:ascii="Times New Roman" w:hAnsi="Times New Roman"/>
          <w:sz w:val="24"/>
        </w:rPr>
      </w:pPr>
      <w:r>
        <w:rPr>
          <w:rFonts w:ascii="Times New Roman" w:hAnsi="Times New Roman"/>
          <w:sz w:val="24"/>
        </w:rPr>
        <w:t>(Esposizioni al dettaglio di cui all</w:t>
      </w:r>
      <w:r w:rsidR="000878EC">
        <w:rPr>
          <w:rFonts w:ascii="Times New Roman" w:hAnsi="Times New Roman"/>
          <w:sz w:val="24"/>
        </w:rPr>
        <w:t>'</w:t>
      </w:r>
      <w:r>
        <w:rPr>
          <w:rFonts w:ascii="Times New Roman" w:hAnsi="Times New Roman"/>
          <w:sz w:val="24"/>
        </w:rPr>
        <w:t>articolo 147, paragrafo 2, lettera d), del CRR, in combinato disposto con l</w:t>
      </w:r>
      <w:r w:rsidR="000878EC">
        <w:rPr>
          <w:rFonts w:ascii="Times New Roman" w:hAnsi="Times New Roman"/>
          <w:sz w:val="24"/>
        </w:rPr>
        <w:t>'</w:t>
      </w:r>
      <w:r>
        <w:rPr>
          <w:rFonts w:ascii="Times New Roman" w:hAnsi="Times New Roman"/>
          <w:sz w:val="24"/>
        </w:rPr>
        <w:t xml:space="preserve">articolo 154, paragrafo 4, del CRR) </w:t>
      </w:r>
    </w:p>
    <w:p w:rsidR="001C7AB7" w:rsidRPr="00661595" w:rsidRDefault="001C7AB7" w:rsidP="00276871">
      <w:pPr>
        <w:suppressAutoHyphens/>
        <w:autoSpaceDE w:val="0"/>
        <w:autoSpaceDN w:val="0"/>
        <w:adjustRightInd w:val="0"/>
        <w:spacing w:before="0" w:after="0"/>
        <w:ind w:left="708"/>
        <w:jc w:val="left"/>
        <w:rPr>
          <w:rFonts w:ascii="Times New Roman" w:hAnsi="Times New Roman"/>
          <w:sz w:val="24"/>
        </w:rPr>
      </w:pPr>
      <w:r>
        <w:rPr>
          <w:rFonts w:ascii="Times New Roman" w:hAnsi="Times New Roman"/>
          <w:sz w:val="24"/>
        </w:rPr>
        <w:t>5.4)</w:t>
      </w:r>
      <w:r>
        <w:tab/>
      </w:r>
      <w:r>
        <w:rPr>
          <w:rFonts w:ascii="Times New Roman" w:hAnsi="Times New Roman"/>
          <w:sz w:val="24"/>
        </w:rPr>
        <w:t>Al dettaglio — altre PMI</w:t>
      </w:r>
    </w:p>
    <w:p w:rsidR="001C7AB7" w:rsidRPr="00661595" w:rsidRDefault="001C7AB7" w:rsidP="00276871">
      <w:pPr>
        <w:suppressAutoHyphens/>
        <w:autoSpaceDE w:val="0"/>
        <w:autoSpaceDN w:val="0"/>
        <w:adjustRightInd w:val="0"/>
        <w:spacing w:before="0" w:after="0"/>
        <w:ind w:left="1428"/>
        <w:jc w:val="left"/>
        <w:rPr>
          <w:rFonts w:ascii="Times New Roman" w:hAnsi="Times New Roman"/>
          <w:sz w:val="24"/>
        </w:rPr>
      </w:pPr>
      <w:r>
        <w:rPr>
          <w:rFonts w:ascii="Times New Roman" w:hAnsi="Times New Roman"/>
          <w:sz w:val="24"/>
        </w:rPr>
        <w:t>(Esposizioni al dettaglio di cui all</w:t>
      </w:r>
      <w:r w:rsidR="000878EC">
        <w:rPr>
          <w:rFonts w:ascii="Times New Roman" w:hAnsi="Times New Roman"/>
          <w:sz w:val="24"/>
        </w:rPr>
        <w:t>'</w:t>
      </w:r>
      <w:r>
        <w:rPr>
          <w:rFonts w:ascii="Times New Roman" w:hAnsi="Times New Roman"/>
          <w:sz w:val="24"/>
        </w:rPr>
        <w:t>articolo 147, paragrafo 2, lettera d), del CRR non segnalate ai punti 5.1 e 5.3.) Ai fini della classificazione in questa sottoclasse di esposizioni, le entità segnalanti utilizzano la loro definizione interna di PMI applicata nei processi interni di gestione del rischio.</w:t>
      </w:r>
    </w:p>
    <w:p w:rsidR="001C7AB7" w:rsidRPr="00661595" w:rsidRDefault="00125707" w:rsidP="00276871">
      <w:pPr>
        <w:pStyle w:val="ListParagraph1"/>
        <w:keepNext/>
        <w:keepLines/>
        <w:suppressAutoHyphens/>
        <w:autoSpaceDE w:val="0"/>
        <w:autoSpaceDN w:val="0"/>
        <w:adjustRightInd w:val="0"/>
        <w:spacing w:before="0" w:after="0"/>
        <w:ind w:left="1428" w:hanging="720"/>
        <w:jc w:val="left"/>
        <w:rPr>
          <w:rFonts w:ascii="Times New Roman" w:hAnsi="Times New Roman"/>
          <w:sz w:val="24"/>
        </w:rPr>
      </w:pPr>
      <w:r>
        <w:rPr>
          <w:rFonts w:ascii="Times New Roman" w:hAnsi="Times New Roman"/>
          <w:sz w:val="24"/>
        </w:rPr>
        <w:t>5.5)</w:t>
      </w:r>
      <w:r>
        <w:tab/>
      </w:r>
      <w:r>
        <w:rPr>
          <w:rFonts w:ascii="Times New Roman" w:hAnsi="Times New Roman"/>
          <w:sz w:val="24"/>
        </w:rPr>
        <w:t>Al dettaglio — altre non PMI</w:t>
      </w:r>
    </w:p>
    <w:p w:rsidR="001C7AB7" w:rsidRPr="00661595" w:rsidRDefault="001C7AB7" w:rsidP="00276871">
      <w:pPr>
        <w:suppressAutoHyphens/>
        <w:autoSpaceDE w:val="0"/>
        <w:autoSpaceDN w:val="0"/>
        <w:adjustRightInd w:val="0"/>
        <w:spacing w:before="0" w:after="0"/>
        <w:ind w:left="1428"/>
        <w:jc w:val="left"/>
        <w:rPr>
          <w:rFonts w:ascii="Times New Roman" w:hAnsi="Times New Roman"/>
          <w:sz w:val="24"/>
        </w:rPr>
      </w:pPr>
      <w:r>
        <w:rPr>
          <w:rFonts w:ascii="Times New Roman" w:hAnsi="Times New Roman"/>
          <w:sz w:val="24"/>
        </w:rPr>
        <w:t>(Esposizioni al dettaglio di cui all</w:t>
      </w:r>
      <w:r w:rsidR="000878EC">
        <w:rPr>
          <w:rFonts w:ascii="Times New Roman" w:hAnsi="Times New Roman"/>
          <w:sz w:val="24"/>
        </w:rPr>
        <w:t>'</w:t>
      </w:r>
      <w:r>
        <w:rPr>
          <w:rFonts w:ascii="Times New Roman" w:hAnsi="Times New Roman"/>
          <w:sz w:val="24"/>
        </w:rPr>
        <w:t>articolo 147, paragrafo 2, lettera d), del CRR non segnalate ai punti 5.2 e 5.3.)</w:t>
      </w:r>
    </w:p>
    <w:p w:rsidR="001C7AB7" w:rsidRPr="00661595" w:rsidRDefault="001C7AB7" w:rsidP="00276871">
      <w:pPr>
        <w:suppressAutoHyphens/>
        <w:autoSpaceDE w:val="0"/>
        <w:autoSpaceDN w:val="0"/>
        <w:adjustRightInd w:val="0"/>
        <w:spacing w:before="0" w:after="240"/>
        <w:jc w:val="left"/>
        <w:rPr>
          <w:rFonts w:ascii="Times New Roman" w:hAnsi="Times New Roman"/>
          <w:sz w:val="24"/>
          <w:lang w:eastAsia="de-DE"/>
        </w:rPr>
      </w:pPr>
    </w:p>
    <w:p w:rsidR="00206687" w:rsidRPr="00661595" w:rsidRDefault="00125707" w:rsidP="0023700C">
      <w:pPr>
        <w:pStyle w:val="Instructionsberschrift2"/>
        <w:numPr>
          <w:ilvl w:val="0"/>
          <w:numId w:val="0"/>
        </w:numPr>
        <w:ind w:left="357" w:hanging="357"/>
        <w:rPr>
          <w:rFonts w:ascii="Times New Roman" w:hAnsi="Times New Roman" w:cs="Times New Roman"/>
          <w:sz w:val="24"/>
        </w:rPr>
      </w:pPr>
      <w:bookmarkStart w:id="227" w:name="_Toc473560909"/>
      <w:bookmarkStart w:id="228" w:name="_Toc239157380"/>
      <w:bookmarkStart w:id="229" w:name="_Toc262568038"/>
      <w:bookmarkStart w:id="230" w:name="_Toc264038436"/>
      <w:bookmarkStart w:id="231" w:name="_Toc295829866"/>
      <w:bookmarkStart w:id="232" w:name="_Toc308155143"/>
      <w:bookmarkStart w:id="233" w:name="_Toc310415030"/>
      <w:bookmarkStart w:id="234" w:name="_Toc360188360"/>
      <w:bookmarkStart w:id="235" w:name="_Toc58915752"/>
      <w:r>
        <w:rPr>
          <w:rFonts w:ascii="Times New Roman" w:hAnsi="Times New Roman"/>
          <w:sz w:val="24"/>
          <w:u w:val="none"/>
        </w:rPr>
        <w:t>3.3.3.</w:t>
      </w:r>
      <w:r w:rsidRPr="00604D31">
        <w:rPr>
          <w:u w:val="none"/>
        </w:rPr>
        <w:tab/>
      </w:r>
      <w:r>
        <w:rPr>
          <w:rFonts w:ascii="Times New Roman" w:hAnsi="Times New Roman"/>
          <w:sz w:val="24"/>
        </w:rPr>
        <w:t>C 08.01 — Rischio di credito e rischio di controparte e operazioni con regolamento non contestuale: metodo IRB applicato ai requisiti patrimoniali (CR IRB 1)</w:t>
      </w:r>
      <w:bookmarkEnd w:id="227"/>
      <w:bookmarkEnd w:id="235"/>
    </w:p>
    <w:p w:rsidR="001C7AB7" w:rsidRPr="00661595" w:rsidRDefault="00125707" w:rsidP="0023700C">
      <w:pPr>
        <w:pStyle w:val="Instructionsberschrift2"/>
        <w:numPr>
          <w:ilvl w:val="0"/>
          <w:numId w:val="0"/>
        </w:numPr>
        <w:ind w:left="709" w:hanging="720"/>
        <w:rPr>
          <w:rFonts w:ascii="Times New Roman" w:hAnsi="Times New Roman" w:cs="Times New Roman"/>
          <w:sz w:val="24"/>
        </w:rPr>
      </w:pPr>
      <w:bookmarkStart w:id="236" w:name="_Toc473560910"/>
      <w:bookmarkStart w:id="237" w:name="_Toc58915753"/>
      <w:r>
        <w:rPr>
          <w:rFonts w:ascii="Times New Roman" w:hAnsi="Times New Roman"/>
          <w:sz w:val="24"/>
          <w:u w:val="none"/>
        </w:rPr>
        <w:t>3.3.3.1</w:t>
      </w:r>
      <w:r w:rsidRPr="00604D31">
        <w:rPr>
          <w:u w:val="none"/>
        </w:rPr>
        <w:tab/>
      </w:r>
      <w:r>
        <w:rPr>
          <w:rFonts w:ascii="Times New Roman" w:hAnsi="Times New Roman"/>
          <w:sz w:val="24"/>
        </w:rPr>
        <w:t>Istruzioni relative a posizioni specifiche</w:t>
      </w:r>
      <w:bookmarkEnd w:id="228"/>
      <w:bookmarkEnd w:id="229"/>
      <w:bookmarkEnd w:id="230"/>
      <w:bookmarkEnd w:id="231"/>
      <w:bookmarkEnd w:id="232"/>
      <w:bookmarkEnd w:id="233"/>
      <w:bookmarkEnd w:id="234"/>
      <w:bookmarkEnd w:id="236"/>
      <w:bookmarkEnd w:id="23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1C7AB7" w:rsidRPr="00661595" w:rsidTr="00672D2A">
        <w:tc>
          <w:tcPr>
            <w:tcW w:w="1188" w:type="dxa"/>
            <w:shd w:val="clear" w:color="auto" w:fill="CCCCCC"/>
          </w:tcPr>
          <w:p w:rsidR="001C7AB7" w:rsidRPr="00661595" w:rsidRDefault="001C7AB7" w:rsidP="001C7AB7">
            <w:pPr>
              <w:rPr>
                <w:rFonts w:ascii="Times New Roman" w:hAnsi="Times New Roman"/>
                <w:sz w:val="24"/>
              </w:rPr>
            </w:pPr>
            <w:r>
              <w:rPr>
                <w:rFonts w:ascii="Times New Roman" w:hAnsi="Times New Roman"/>
                <w:sz w:val="24"/>
              </w:rPr>
              <w:t>Colonne</w:t>
            </w:r>
          </w:p>
        </w:tc>
        <w:tc>
          <w:tcPr>
            <w:tcW w:w="8843" w:type="dxa"/>
            <w:shd w:val="clear" w:color="auto" w:fill="CCCCCC"/>
          </w:tcPr>
          <w:p w:rsidR="001C7AB7" w:rsidRPr="00661595" w:rsidRDefault="001C7AB7" w:rsidP="00604D31">
            <w:pPr>
              <w:suppressAutoHyphens/>
              <w:rPr>
                <w:rFonts w:ascii="Times New Roman" w:hAnsi="Times New Roman"/>
                <w:sz w:val="24"/>
              </w:rPr>
            </w:pPr>
            <w:r>
              <w:rPr>
                <w:rFonts w:ascii="Times New Roman" w:hAnsi="Times New Roman"/>
                <w:sz w:val="24"/>
              </w:rPr>
              <w:t>Istruzioni</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0010</w:t>
            </w:r>
          </w:p>
        </w:tc>
        <w:tc>
          <w:tcPr>
            <w:tcW w:w="8843" w:type="dxa"/>
          </w:tcPr>
          <w:p w:rsidR="001C7AB7" w:rsidRPr="00661595" w:rsidRDefault="001C7AB7" w:rsidP="00604D31">
            <w:pPr>
              <w:suppressAutoHyphens/>
              <w:rPr>
                <w:rStyle w:val="InstructionsTabelleberschrift"/>
                <w:rFonts w:ascii="Times New Roman" w:hAnsi="Times New Roman"/>
                <w:sz w:val="24"/>
              </w:rPr>
            </w:pPr>
            <w:r>
              <w:rPr>
                <w:rStyle w:val="InstructionsTabelleberschrift"/>
                <w:rFonts w:ascii="Times New Roman" w:hAnsi="Times New Roman"/>
                <w:sz w:val="24"/>
              </w:rPr>
              <w:t>SCALA DI RATING INTERNI/PROBABILITÀ DI DEFAULT ASSEGNATA ALLA CLASSE O AL POOL DI DEBITORI (%)</w:t>
            </w:r>
          </w:p>
          <w:p w:rsidR="001C7AB7" w:rsidRPr="00661595" w:rsidRDefault="001C7AB7" w:rsidP="00604D31">
            <w:pPr>
              <w:suppressAutoHyphens/>
              <w:rPr>
                <w:rFonts w:ascii="Times New Roman" w:hAnsi="Times New Roman"/>
                <w:sz w:val="24"/>
              </w:rPr>
            </w:pPr>
            <w:r>
              <w:rPr>
                <w:rStyle w:val="InstructionsTabelleText"/>
                <w:rFonts w:ascii="Times New Roman" w:hAnsi="Times New Roman"/>
                <w:sz w:val="24"/>
              </w:rPr>
              <w:t>La probabilità di default (PD) assegnata alla classe o al pool di debitori da segnalare si basa sulle disposizioni di cui all</w:t>
            </w:r>
            <w:r w:rsidR="000878EC">
              <w:rPr>
                <w:rStyle w:val="InstructionsTabelleText"/>
                <w:rFonts w:ascii="Times New Roman" w:hAnsi="Times New Roman"/>
                <w:sz w:val="24"/>
              </w:rPr>
              <w:t>'</w:t>
            </w:r>
            <w:r>
              <w:rPr>
                <w:rStyle w:val="InstructionsTabelleText"/>
                <w:rFonts w:ascii="Times New Roman" w:hAnsi="Times New Roman"/>
                <w:sz w:val="24"/>
              </w:rPr>
              <w:t>articolo 180 del CRR. Per ogni singola classe o singolo pool di debitori è indicata la PD ad essa o ad esso attribuita. Per gli importi relativi a un</w:t>
            </w:r>
            <w:r w:rsidR="000878EC">
              <w:rPr>
                <w:rStyle w:val="InstructionsTabelleText"/>
                <w:rFonts w:ascii="Times New Roman" w:hAnsi="Times New Roman"/>
                <w:sz w:val="24"/>
              </w:rPr>
              <w:t>'</w:t>
            </w:r>
            <w:r>
              <w:rPr>
                <w:rStyle w:val="InstructionsTabelleText"/>
                <w:rFonts w:ascii="Times New Roman" w:hAnsi="Times New Roman"/>
                <w:sz w:val="24"/>
              </w:rPr>
              <w:t>aggregazione di classi o pool di debitori (ad esempio le esposizioni totali), si riporta la media ponderata per l</w:t>
            </w:r>
            <w:r w:rsidR="000878EC">
              <w:rPr>
                <w:rStyle w:val="InstructionsTabelleText"/>
                <w:rFonts w:ascii="Times New Roman" w:hAnsi="Times New Roman"/>
                <w:sz w:val="24"/>
              </w:rPr>
              <w:t>'</w:t>
            </w:r>
            <w:r>
              <w:rPr>
                <w:rStyle w:val="InstructionsTabelleText"/>
                <w:rFonts w:ascii="Times New Roman" w:hAnsi="Times New Roman"/>
                <w:sz w:val="24"/>
              </w:rPr>
              <w:t>esposizione delle PD attribuite alle classi o ai pool di debitori compresi nell</w:t>
            </w:r>
            <w:r w:rsidR="000878EC">
              <w:rPr>
                <w:rStyle w:val="InstructionsTabelleText"/>
                <w:rFonts w:ascii="Times New Roman" w:hAnsi="Times New Roman"/>
                <w:sz w:val="24"/>
              </w:rPr>
              <w:t>'</w:t>
            </w:r>
            <w:r>
              <w:rPr>
                <w:rStyle w:val="InstructionsTabelleText"/>
                <w:rFonts w:ascii="Times New Roman" w:hAnsi="Times New Roman"/>
                <w:sz w:val="24"/>
              </w:rPr>
              <w:t>aggregazione considerata. Il valore dell</w:t>
            </w:r>
            <w:r w:rsidR="000878EC">
              <w:rPr>
                <w:rStyle w:val="InstructionsTabelleText"/>
                <w:rFonts w:ascii="Times New Roman" w:hAnsi="Times New Roman"/>
                <w:sz w:val="24"/>
              </w:rPr>
              <w:t>'</w:t>
            </w:r>
            <w:r>
              <w:rPr>
                <w:rStyle w:val="InstructionsTabelleText"/>
                <w:rFonts w:ascii="Times New Roman" w:hAnsi="Times New Roman"/>
                <w:sz w:val="24"/>
              </w:rPr>
              <w:t>esposizione (colonna 0110) è utilizzato per il calcolo della media ponderata per l</w:t>
            </w:r>
            <w:r w:rsidR="000878EC">
              <w:rPr>
                <w:rStyle w:val="InstructionsTabelleText"/>
                <w:rFonts w:ascii="Times New Roman" w:hAnsi="Times New Roman"/>
                <w:sz w:val="24"/>
              </w:rPr>
              <w:t>'</w:t>
            </w:r>
            <w:r>
              <w:rPr>
                <w:rStyle w:val="InstructionsTabelleText"/>
                <w:rFonts w:ascii="Times New Roman" w:hAnsi="Times New Roman"/>
                <w:sz w:val="24"/>
              </w:rPr>
              <w:t>esposizione della PD</w:t>
            </w:r>
            <w:r>
              <w:rPr>
                <w:rFonts w:ascii="Times New Roman" w:hAnsi="Times New Roman"/>
                <w:sz w:val="24"/>
              </w:rPr>
              <w:t>.</w:t>
            </w:r>
          </w:p>
          <w:p w:rsidR="001C7AB7" w:rsidRPr="00661595" w:rsidRDefault="001C7AB7" w:rsidP="00604D31">
            <w:pPr>
              <w:suppressAutoHyphens/>
              <w:rPr>
                <w:rStyle w:val="InstructionsTabelleText"/>
                <w:rFonts w:ascii="Times New Roman" w:hAnsi="Times New Roman"/>
                <w:sz w:val="24"/>
              </w:rPr>
            </w:pPr>
            <w:r>
              <w:rPr>
                <w:rStyle w:val="InstructionsTabelleText"/>
                <w:rFonts w:ascii="Times New Roman" w:hAnsi="Times New Roman"/>
                <w:sz w:val="24"/>
              </w:rPr>
              <w:t>Per ogni singola classe o singolo pool di debitori è indicata la PD ad essa o ad esso attribuita. Tutti i parametri di rischio segnalati sono ricavati dai parametri di rischio utilizzati nella scala di rating interni approvata dall</w:t>
            </w:r>
            <w:r w:rsidR="000878EC">
              <w:rPr>
                <w:rStyle w:val="InstructionsTabelleText"/>
                <w:rFonts w:ascii="Times New Roman" w:hAnsi="Times New Roman"/>
                <w:sz w:val="24"/>
              </w:rPr>
              <w:t>'</w:t>
            </w:r>
            <w:r>
              <w:rPr>
                <w:rStyle w:val="InstructionsTabelleText"/>
                <w:rFonts w:ascii="Times New Roman" w:hAnsi="Times New Roman"/>
                <w:sz w:val="24"/>
              </w:rPr>
              <w:t>autorità competente.</w:t>
            </w:r>
          </w:p>
          <w:p w:rsidR="001C7AB7" w:rsidRPr="00661595" w:rsidRDefault="001C7AB7" w:rsidP="00604D31">
            <w:pPr>
              <w:suppressAutoHyphens/>
              <w:rPr>
                <w:rStyle w:val="InstructionsTabelleText"/>
                <w:rFonts w:ascii="Times New Roman" w:hAnsi="Times New Roman"/>
                <w:sz w:val="24"/>
              </w:rPr>
            </w:pPr>
            <w:r>
              <w:rPr>
                <w:rStyle w:val="InstructionsTabelleText"/>
                <w:rFonts w:ascii="Times New Roman" w:hAnsi="Times New Roman"/>
                <w:sz w:val="24"/>
              </w:rPr>
              <w:t>Non è richiesto né auspicabile disporre di una scala tipo di vigilanza. Se l</w:t>
            </w:r>
            <w:r w:rsidR="000878EC">
              <w:rPr>
                <w:rStyle w:val="InstructionsTabelleText"/>
                <w:rFonts w:ascii="Times New Roman" w:hAnsi="Times New Roman"/>
                <w:sz w:val="24"/>
              </w:rPr>
              <w:t>'</w:t>
            </w:r>
            <w:r>
              <w:rPr>
                <w:rStyle w:val="InstructionsTabelleText"/>
                <w:rFonts w:ascii="Times New Roman" w:hAnsi="Times New Roman"/>
                <w:sz w:val="24"/>
              </w:rPr>
              <w:t xml:space="preserve">ente segnalante applica una scala di rating unica o è in grado di effettuare le segnalazioni in conformità di una scala tipo interna, si utilizza tale scala. </w:t>
            </w:r>
          </w:p>
          <w:p w:rsidR="001C7AB7" w:rsidRPr="00661595" w:rsidRDefault="001C7AB7" w:rsidP="00604D31">
            <w:pPr>
              <w:suppressAutoHyphens/>
              <w:rPr>
                <w:rStyle w:val="InstructionsTabelleText"/>
                <w:rFonts w:ascii="Times New Roman" w:hAnsi="Times New Roman"/>
                <w:sz w:val="24"/>
              </w:rPr>
            </w:pPr>
            <w:r>
              <w:rPr>
                <w:rStyle w:val="InstructionsTabelleText"/>
                <w:rFonts w:ascii="Times New Roman" w:hAnsi="Times New Roman"/>
                <w:sz w:val="24"/>
              </w:rPr>
              <w:t>Negli altri casi, le differenti scale di rating sono unificate e classificate secondo i seguenti criteri: le classi di debitori delle differenti scale di rating sono accorpate e ordinate a partire dalla PD più bassa assegnata a ciascuna classe a quella più alta. Se utilizza molte classi o molti pool, l</w:t>
            </w:r>
            <w:r w:rsidR="000878EC">
              <w:rPr>
                <w:rStyle w:val="InstructionsTabelleText"/>
                <w:rFonts w:ascii="Times New Roman" w:hAnsi="Times New Roman"/>
                <w:sz w:val="24"/>
              </w:rPr>
              <w:t>'</w:t>
            </w:r>
            <w:r>
              <w:rPr>
                <w:rStyle w:val="InstructionsTabelleText"/>
                <w:rFonts w:ascii="Times New Roman" w:hAnsi="Times New Roman"/>
                <w:sz w:val="24"/>
              </w:rPr>
              <w:t>ente può concordare con le autorità competenti di ridurre il numero delle classi o dei pool da segnalare. Lo stesso vale per le scale di rating continue: un numero ridotto di classi da segnalare è concordato con le autorità competenti.</w:t>
            </w:r>
          </w:p>
          <w:p w:rsidR="001C7AB7" w:rsidRPr="00661595" w:rsidRDefault="001C7AB7" w:rsidP="00604D31">
            <w:pPr>
              <w:suppressAutoHyphens/>
              <w:rPr>
                <w:rStyle w:val="InstructionsTabelleText"/>
                <w:rFonts w:ascii="Times New Roman" w:hAnsi="Times New Roman"/>
                <w:sz w:val="24"/>
              </w:rPr>
            </w:pPr>
            <w:r>
              <w:rPr>
                <w:rStyle w:val="InstructionsTabelleText"/>
                <w:rFonts w:ascii="Times New Roman" w:hAnsi="Times New Roman"/>
                <w:sz w:val="24"/>
              </w:rPr>
              <w:t>Gli enti contattano preventivamente la rispettiva autorità competente se vogliono segnalare un numero di classi diverso da quello utilizzato al proprio interno.</w:t>
            </w:r>
          </w:p>
          <w:p w:rsidR="006C35BA" w:rsidRPr="00661595" w:rsidRDefault="006C35BA" w:rsidP="00604D31">
            <w:pPr>
              <w:suppressAutoHyphens/>
              <w:rPr>
                <w:rStyle w:val="InstructionsTabelleText"/>
                <w:rFonts w:ascii="Times New Roman" w:hAnsi="Times New Roman"/>
                <w:sz w:val="24"/>
              </w:rPr>
            </w:pPr>
            <w:r>
              <w:rPr>
                <w:rStyle w:val="InstructionsTabelleText"/>
                <w:rFonts w:ascii="Times New Roman" w:hAnsi="Times New Roman"/>
                <w:sz w:val="24"/>
              </w:rPr>
              <w:t>L</w:t>
            </w:r>
            <w:r w:rsidR="000878EC">
              <w:rPr>
                <w:rStyle w:val="InstructionsTabelleText"/>
                <w:rFonts w:ascii="Times New Roman" w:hAnsi="Times New Roman"/>
                <w:sz w:val="24"/>
              </w:rPr>
              <w:t>'</w:t>
            </w:r>
            <w:r>
              <w:rPr>
                <w:rStyle w:val="InstructionsTabelleText"/>
                <w:rFonts w:ascii="Times New Roman" w:hAnsi="Times New Roman"/>
                <w:sz w:val="24"/>
              </w:rPr>
              <w:t>ultima o le ultime classi di rating sono dedicate alle esposizioni in stato di default con una PD del 100 %.</w:t>
            </w:r>
          </w:p>
          <w:p w:rsidR="001C7AB7" w:rsidRPr="00661595" w:rsidRDefault="001C7AB7" w:rsidP="00604D31">
            <w:pPr>
              <w:suppressAutoHyphens/>
              <w:rPr>
                <w:rStyle w:val="InstructionsTabelleText"/>
                <w:rFonts w:ascii="Times New Roman" w:hAnsi="Times New Roman"/>
                <w:sz w:val="24"/>
              </w:rPr>
            </w:pPr>
            <w:r>
              <w:rPr>
                <w:rStyle w:val="InstructionsTabelleText"/>
                <w:rFonts w:ascii="Times New Roman" w:hAnsi="Times New Roman"/>
                <w:sz w:val="24"/>
              </w:rPr>
              <w:t>Per la ponderazione della PD media si utilizza il valore dell</w:t>
            </w:r>
            <w:r w:rsidR="000878EC">
              <w:rPr>
                <w:rStyle w:val="InstructionsTabelleText"/>
                <w:rFonts w:ascii="Times New Roman" w:hAnsi="Times New Roman"/>
                <w:sz w:val="24"/>
              </w:rPr>
              <w:t>'</w:t>
            </w:r>
            <w:r>
              <w:rPr>
                <w:rStyle w:val="InstructionsTabelleText"/>
                <w:rFonts w:ascii="Times New Roman" w:hAnsi="Times New Roman"/>
                <w:sz w:val="24"/>
              </w:rPr>
              <w:t>esposizione indicato nella colonna 110. La PD media ponderata per l</w:t>
            </w:r>
            <w:r w:rsidR="000878EC">
              <w:rPr>
                <w:rStyle w:val="InstructionsTabelleText"/>
                <w:rFonts w:ascii="Times New Roman" w:hAnsi="Times New Roman"/>
                <w:sz w:val="24"/>
              </w:rPr>
              <w:t>'</w:t>
            </w:r>
            <w:r>
              <w:rPr>
                <w:rStyle w:val="InstructionsTabelleText"/>
                <w:rFonts w:ascii="Times New Roman" w:hAnsi="Times New Roman"/>
                <w:sz w:val="24"/>
              </w:rPr>
              <w:t>esposizione è calcolata tenendo conto di tutte le esposizioni segnalate in una data riga. Nella riga in cui sono segnalate solo le esposizioni in stato di default, la PD media è del 100 %.</w:t>
            </w:r>
          </w:p>
          <w:p w:rsidR="001C7AB7" w:rsidRPr="00661595" w:rsidRDefault="001C7AB7" w:rsidP="00604D31">
            <w:pPr>
              <w:suppressAutoHyphens/>
              <w:rPr>
                <w:rFonts w:ascii="Times New Roman" w:hAnsi="Times New Roman"/>
                <w:sz w:val="24"/>
              </w:rPr>
            </w:pPr>
          </w:p>
        </w:tc>
      </w:tr>
      <w:tr w:rsidR="001C7AB7" w:rsidRPr="00661595" w:rsidTr="00672D2A">
        <w:tc>
          <w:tcPr>
            <w:tcW w:w="1188" w:type="dxa"/>
          </w:tcPr>
          <w:p w:rsidR="001C7AB7" w:rsidRPr="00661595" w:rsidRDefault="00FF15C6" w:rsidP="00184FE9">
            <w:pPr>
              <w:keepNext/>
              <w:keepLines/>
              <w:rPr>
                <w:rFonts w:ascii="Times New Roman" w:hAnsi="Times New Roman"/>
                <w:sz w:val="24"/>
              </w:rPr>
            </w:pPr>
            <w:r>
              <w:rPr>
                <w:rFonts w:ascii="Times New Roman" w:hAnsi="Times New Roman"/>
                <w:sz w:val="24"/>
              </w:rPr>
              <w:t>0020</w:t>
            </w:r>
          </w:p>
        </w:tc>
        <w:tc>
          <w:tcPr>
            <w:tcW w:w="8843" w:type="dxa"/>
          </w:tcPr>
          <w:p w:rsidR="001C7AB7" w:rsidRPr="00661595" w:rsidRDefault="001C7AB7" w:rsidP="00184FE9">
            <w:pPr>
              <w:keepNext/>
              <w:keepLines/>
              <w:suppressAutoHyphens/>
              <w:rPr>
                <w:rFonts w:ascii="Times New Roman" w:hAnsi="Times New Roman"/>
                <w:b/>
                <w:sz w:val="24"/>
                <w:u w:val="single"/>
              </w:rPr>
            </w:pPr>
            <w:r>
              <w:rPr>
                <w:rFonts w:ascii="Times New Roman" w:hAnsi="Times New Roman"/>
                <w:b/>
                <w:sz w:val="24"/>
                <w:u w:val="single"/>
              </w:rPr>
              <w:t>ESPOSIZIONE ORIGINARIA PRIMA DELL</w:t>
            </w:r>
            <w:r w:rsidR="000878EC">
              <w:rPr>
                <w:rFonts w:ascii="Times New Roman" w:hAnsi="Times New Roman"/>
                <w:b/>
                <w:sz w:val="24"/>
                <w:u w:val="single"/>
              </w:rPr>
              <w:t>'</w:t>
            </w:r>
            <w:r>
              <w:rPr>
                <w:rFonts w:ascii="Times New Roman" w:hAnsi="Times New Roman"/>
                <w:b/>
                <w:sz w:val="24"/>
                <w:u w:val="single"/>
              </w:rPr>
              <w:t>APPLICAZIONE DEI FATTORI DI CONVERSIONE</w:t>
            </w:r>
          </w:p>
          <w:p w:rsidR="001C7AB7" w:rsidRPr="00661595" w:rsidRDefault="001C7AB7" w:rsidP="00184FE9">
            <w:pPr>
              <w:keepNext/>
              <w:keepLines/>
              <w:suppressAutoHyphens/>
              <w:rPr>
                <w:rFonts w:ascii="Times New Roman" w:hAnsi="Times New Roman"/>
                <w:sz w:val="24"/>
              </w:rPr>
            </w:pPr>
            <w:r>
              <w:rPr>
                <w:rFonts w:ascii="Times New Roman" w:hAnsi="Times New Roman"/>
                <w:sz w:val="24"/>
              </w:rPr>
              <w:t>L</w:t>
            </w:r>
            <w:r w:rsidR="000878EC">
              <w:rPr>
                <w:rFonts w:ascii="Times New Roman" w:hAnsi="Times New Roman"/>
                <w:sz w:val="24"/>
              </w:rPr>
              <w:t>'</w:t>
            </w:r>
            <w:r>
              <w:rPr>
                <w:rFonts w:ascii="Times New Roman" w:hAnsi="Times New Roman"/>
                <w:sz w:val="24"/>
              </w:rPr>
              <w:t>ente segnala il valore dell</w:t>
            </w:r>
            <w:r w:rsidR="000878EC">
              <w:rPr>
                <w:rFonts w:ascii="Times New Roman" w:hAnsi="Times New Roman"/>
                <w:sz w:val="24"/>
              </w:rPr>
              <w:t>'</w:t>
            </w:r>
            <w:r>
              <w:rPr>
                <w:rFonts w:ascii="Times New Roman" w:hAnsi="Times New Roman"/>
                <w:sz w:val="24"/>
              </w:rPr>
              <w:t xml:space="preserve">esposizione prima di tener conto di qualsiasi rettifica di valore, di accantonamenti, di effetti dovuti a tecniche di attenuazione del rischio di credito o dei fattori di conversione del credito. </w:t>
            </w:r>
          </w:p>
          <w:p w:rsidR="001C7AB7" w:rsidRPr="00661595" w:rsidRDefault="001C7AB7" w:rsidP="00184FE9">
            <w:pPr>
              <w:keepNext/>
              <w:keepLines/>
              <w:suppressAutoHyphens/>
              <w:rPr>
                <w:rFonts w:ascii="Times New Roman" w:hAnsi="Times New Roman"/>
                <w:sz w:val="24"/>
              </w:rPr>
            </w:pPr>
            <w:r>
              <w:rPr>
                <w:rFonts w:ascii="Times New Roman" w:hAnsi="Times New Roman"/>
                <w:sz w:val="24"/>
              </w:rPr>
              <w:t>Il valore dell</w:t>
            </w:r>
            <w:r w:rsidR="000878EC">
              <w:rPr>
                <w:rFonts w:ascii="Times New Roman" w:hAnsi="Times New Roman"/>
                <w:sz w:val="24"/>
              </w:rPr>
              <w:t>'</w:t>
            </w:r>
            <w:r>
              <w:rPr>
                <w:rFonts w:ascii="Times New Roman" w:hAnsi="Times New Roman"/>
                <w:sz w:val="24"/>
              </w:rPr>
              <w:t>esposizione originaria è segnalato conformemente</w:t>
            </w:r>
            <w:r w:rsidR="00184FE9">
              <w:rPr>
                <w:rFonts w:ascii="Times New Roman" w:hAnsi="Times New Roman"/>
                <w:sz w:val="24"/>
              </w:rPr>
              <w:t xml:space="preserve"> all</w:t>
            </w:r>
            <w:r w:rsidR="000878EC">
              <w:rPr>
                <w:rFonts w:ascii="Times New Roman" w:hAnsi="Times New Roman"/>
                <w:sz w:val="24"/>
              </w:rPr>
              <w:t>'</w:t>
            </w:r>
            <w:r w:rsidR="00184FE9">
              <w:rPr>
                <w:rFonts w:ascii="Times New Roman" w:hAnsi="Times New Roman"/>
                <w:sz w:val="24"/>
              </w:rPr>
              <w:t>articolo 24 e all</w:t>
            </w:r>
            <w:r w:rsidR="000878EC">
              <w:rPr>
                <w:rFonts w:ascii="Times New Roman" w:hAnsi="Times New Roman"/>
                <w:sz w:val="24"/>
              </w:rPr>
              <w:t>'</w:t>
            </w:r>
            <w:r w:rsidR="00184FE9">
              <w:rPr>
                <w:rFonts w:ascii="Times New Roman" w:hAnsi="Times New Roman"/>
                <w:sz w:val="24"/>
              </w:rPr>
              <w:t>articolo </w:t>
            </w:r>
            <w:r>
              <w:rPr>
                <w:rFonts w:ascii="Times New Roman" w:hAnsi="Times New Roman"/>
                <w:sz w:val="24"/>
              </w:rPr>
              <w:t>166, paragrafi 1, 2, 4, 5, 6 e 7, del CRR.</w:t>
            </w:r>
          </w:p>
          <w:p w:rsidR="001C7AB7" w:rsidRPr="00661595" w:rsidRDefault="001C7AB7" w:rsidP="00184FE9">
            <w:pPr>
              <w:keepNext/>
              <w:keepLines/>
              <w:suppressAutoHyphens/>
              <w:rPr>
                <w:rFonts w:ascii="Times New Roman" w:hAnsi="Times New Roman"/>
                <w:sz w:val="24"/>
              </w:rPr>
            </w:pPr>
            <w:r>
              <w:rPr>
                <w:rFonts w:ascii="Times New Roman" w:hAnsi="Times New Roman"/>
                <w:sz w:val="24"/>
              </w:rPr>
              <w:t>L</w:t>
            </w:r>
            <w:r w:rsidR="000878EC">
              <w:rPr>
                <w:rFonts w:ascii="Times New Roman" w:hAnsi="Times New Roman"/>
                <w:sz w:val="24"/>
              </w:rPr>
              <w:t>'</w:t>
            </w:r>
            <w:r>
              <w:rPr>
                <w:rFonts w:ascii="Times New Roman" w:hAnsi="Times New Roman"/>
                <w:sz w:val="24"/>
              </w:rPr>
              <w:t>effetto derivante dall</w:t>
            </w:r>
            <w:r w:rsidR="000878EC">
              <w:rPr>
                <w:rFonts w:ascii="Times New Roman" w:hAnsi="Times New Roman"/>
                <w:sz w:val="24"/>
              </w:rPr>
              <w:t>'</w:t>
            </w:r>
            <w:r>
              <w:rPr>
                <w:rFonts w:ascii="Times New Roman" w:hAnsi="Times New Roman"/>
                <w:sz w:val="24"/>
              </w:rPr>
              <w:t>articolo 166, paragrafo 3, del CRR (effetto della compensazione in bilancio dei crediti e dei depositi) è segnalato separatamente come protezione del credito di tipo reale e pertanto non riduce l</w:t>
            </w:r>
            <w:r w:rsidR="000878EC">
              <w:rPr>
                <w:rFonts w:ascii="Times New Roman" w:hAnsi="Times New Roman"/>
                <w:sz w:val="24"/>
              </w:rPr>
              <w:t>'</w:t>
            </w:r>
            <w:r>
              <w:rPr>
                <w:rFonts w:ascii="Times New Roman" w:hAnsi="Times New Roman"/>
                <w:sz w:val="24"/>
              </w:rPr>
              <w:t xml:space="preserve">esposizione originaria. </w:t>
            </w:r>
          </w:p>
          <w:p w:rsidR="001C7AB7" w:rsidRPr="00661595" w:rsidRDefault="006C35BA" w:rsidP="00184FE9">
            <w:pPr>
              <w:keepNext/>
              <w:keepLines/>
              <w:suppressAutoHyphens/>
              <w:rPr>
                <w:rFonts w:ascii="Times New Roman" w:hAnsi="Times New Roman"/>
                <w:sz w:val="24"/>
              </w:rPr>
            </w:pPr>
            <w:r>
              <w:rPr>
                <w:rFonts w:ascii="Times New Roman" w:hAnsi="Times New Roman"/>
                <w:sz w:val="24"/>
              </w:rPr>
              <w:t>Per gli strumenti derivati, le operazioni di vendita con patto di riacquisto, le operazioni di concessione e assunzione di titoli o merci in prestito, le operazioni con regolamento a lungo termine e i finanziamenti con margini soggetti al rischio di controparte (parte tre, titolo II, capo 4 o capo 6, del CRR), l</w:t>
            </w:r>
            <w:r w:rsidR="000878EC">
              <w:rPr>
                <w:rFonts w:ascii="Times New Roman" w:hAnsi="Times New Roman"/>
                <w:sz w:val="24"/>
              </w:rPr>
              <w:t>'</w:t>
            </w:r>
            <w:r>
              <w:rPr>
                <w:rFonts w:ascii="Times New Roman" w:hAnsi="Times New Roman"/>
                <w:sz w:val="24"/>
              </w:rPr>
              <w:t>esposizione originaria corrisponde al valore dell</w:t>
            </w:r>
            <w:r w:rsidR="000878EC">
              <w:rPr>
                <w:rFonts w:ascii="Times New Roman" w:hAnsi="Times New Roman"/>
                <w:sz w:val="24"/>
              </w:rPr>
              <w:t>'</w:t>
            </w:r>
            <w:r>
              <w:rPr>
                <w:rFonts w:ascii="Times New Roman" w:hAnsi="Times New Roman"/>
                <w:sz w:val="24"/>
              </w:rPr>
              <w:t>esposizione derivante dal rischio di controparte (cfr. istruzioni relative alla colonna 0130).</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0030</w:t>
            </w:r>
          </w:p>
        </w:tc>
        <w:tc>
          <w:tcPr>
            <w:tcW w:w="8843" w:type="dxa"/>
          </w:tcPr>
          <w:p w:rsidR="001C7AB7" w:rsidRPr="00661595" w:rsidRDefault="001C7AB7" w:rsidP="00604D31">
            <w:pPr>
              <w:suppressAutoHyphens/>
              <w:rPr>
                <w:rFonts w:ascii="Times New Roman" w:hAnsi="Times New Roman"/>
                <w:b/>
                <w:sz w:val="24"/>
                <w:u w:val="single"/>
              </w:rPr>
            </w:pPr>
            <w:r>
              <w:rPr>
                <w:rFonts w:ascii="Times New Roman" w:hAnsi="Times New Roman"/>
                <w:b/>
                <w:sz w:val="24"/>
                <w:u w:val="single"/>
              </w:rPr>
              <w:t>DI CUI: SOGGETTI DI GRANDI DIMENSIONI DEL SETTORE FINANZIARIO E SOGGETTI FINANZIARI NON REGOLAMENTATI</w:t>
            </w:r>
          </w:p>
          <w:p w:rsidR="001C7AB7" w:rsidRPr="00661595" w:rsidRDefault="001C7AB7" w:rsidP="00604D31">
            <w:pPr>
              <w:suppressAutoHyphens/>
              <w:rPr>
                <w:rFonts w:ascii="Times New Roman" w:hAnsi="Times New Roman"/>
                <w:b/>
                <w:sz w:val="24"/>
                <w:u w:val="single"/>
              </w:rPr>
            </w:pPr>
            <w:r>
              <w:rPr>
                <w:rFonts w:ascii="Times New Roman" w:hAnsi="Times New Roman"/>
                <w:sz w:val="24"/>
              </w:rPr>
              <w:t>Ripartizione dell</w:t>
            </w:r>
            <w:r w:rsidR="000878EC">
              <w:rPr>
                <w:rFonts w:ascii="Times New Roman" w:hAnsi="Times New Roman"/>
                <w:sz w:val="24"/>
              </w:rPr>
              <w:t>'</w:t>
            </w:r>
            <w:r>
              <w:rPr>
                <w:rFonts w:ascii="Times New Roman" w:hAnsi="Times New Roman"/>
                <w:sz w:val="24"/>
              </w:rPr>
              <w:t>esposizione originaria prima dell</w:t>
            </w:r>
            <w:r w:rsidR="000878EC">
              <w:rPr>
                <w:rFonts w:ascii="Times New Roman" w:hAnsi="Times New Roman"/>
                <w:sz w:val="24"/>
              </w:rPr>
              <w:t>'</w:t>
            </w:r>
            <w:r>
              <w:rPr>
                <w:rFonts w:ascii="Times New Roman" w:hAnsi="Times New Roman"/>
                <w:sz w:val="24"/>
              </w:rPr>
              <w:t>applicazione del fattore di conversione per tutte le esposizioni dei soggetti di cui all</w:t>
            </w:r>
            <w:r w:rsidR="000878EC">
              <w:rPr>
                <w:rFonts w:ascii="Times New Roman" w:hAnsi="Times New Roman"/>
                <w:sz w:val="24"/>
              </w:rPr>
              <w:t>'</w:t>
            </w:r>
            <w:r>
              <w:rPr>
                <w:rFonts w:ascii="Times New Roman" w:hAnsi="Times New Roman"/>
                <w:sz w:val="24"/>
              </w:rPr>
              <w:t>articolo 142, paragrafo 1, punti 4 e 5, del CRR, cui si applica il coefficiente di correlazione più elevato determinato conformemente all</w:t>
            </w:r>
            <w:r w:rsidR="000878EC">
              <w:rPr>
                <w:rFonts w:ascii="Times New Roman" w:hAnsi="Times New Roman"/>
                <w:sz w:val="24"/>
              </w:rPr>
              <w:t>'</w:t>
            </w:r>
            <w:r>
              <w:rPr>
                <w:rFonts w:ascii="Times New Roman" w:hAnsi="Times New Roman"/>
                <w:sz w:val="24"/>
              </w:rPr>
              <w:t>articolo 153, paragrafo 2, del CRR.</w:t>
            </w:r>
          </w:p>
        </w:tc>
      </w:tr>
      <w:tr w:rsidR="001C7AB7" w:rsidRPr="00661595" w:rsidTr="00672D2A">
        <w:tc>
          <w:tcPr>
            <w:tcW w:w="1188" w:type="dxa"/>
          </w:tcPr>
          <w:p w:rsidR="001C7AB7" w:rsidRPr="00661595" w:rsidRDefault="001C7AB7" w:rsidP="004F2B30">
            <w:pPr>
              <w:rPr>
                <w:rFonts w:ascii="Times New Roman" w:hAnsi="Times New Roman"/>
                <w:sz w:val="24"/>
              </w:rPr>
            </w:pPr>
            <w:r>
              <w:rPr>
                <w:rFonts w:ascii="Times New Roman" w:hAnsi="Times New Roman"/>
                <w:sz w:val="24"/>
              </w:rPr>
              <w:t>0040-0080</w:t>
            </w:r>
          </w:p>
        </w:tc>
        <w:tc>
          <w:tcPr>
            <w:tcW w:w="8843" w:type="dxa"/>
          </w:tcPr>
          <w:p w:rsidR="001C7AB7" w:rsidRPr="00661595" w:rsidRDefault="001C7AB7" w:rsidP="00604D31">
            <w:pPr>
              <w:suppressAutoHyphens/>
              <w:rPr>
                <w:rFonts w:ascii="Times New Roman" w:hAnsi="Times New Roman"/>
                <w:b/>
                <w:sz w:val="24"/>
                <w:u w:val="single"/>
              </w:rPr>
            </w:pPr>
            <w:r>
              <w:rPr>
                <w:rFonts w:ascii="Times New Roman" w:hAnsi="Times New Roman"/>
                <w:b/>
                <w:sz w:val="24"/>
                <w:u w:val="single"/>
              </w:rPr>
              <w:t>TECNICHE DI ATTENUAZIONE DEL RISCHIO DI CREDITO (CRM) CON EFFETTI DI SOSTITUZIONE SULL</w:t>
            </w:r>
            <w:r w:rsidR="000878EC">
              <w:rPr>
                <w:rFonts w:ascii="Times New Roman" w:hAnsi="Times New Roman"/>
                <w:b/>
                <w:sz w:val="24"/>
                <w:u w:val="single"/>
              </w:rPr>
              <w:t>'</w:t>
            </w:r>
            <w:r>
              <w:rPr>
                <w:rFonts w:ascii="Times New Roman" w:hAnsi="Times New Roman"/>
                <w:b/>
                <w:sz w:val="24"/>
                <w:u w:val="single"/>
              </w:rPr>
              <w:t>ESPOSIZIONE</w:t>
            </w:r>
          </w:p>
          <w:p w:rsidR="001C7AB7" w:rsidRPr="00661595" w:rsidRDefault="001C7AB7" w:rsidP="00604D31">
            <w:pPr>
              <w:suppressAutoHyphens/>
              <w:rPr>
                <w:rFonts w:ascii="Times New Roman" w:hAnsi="Times New Roman"/>
                <w:sz w:val="24"/>
              </w:rPr>
            </w:pPr>
            <w:r>
              <w:rPr>
                <w:rFonts w:ascii="Times New Roman" w:hAnsi="Times New Roman"/>
                <w:sz w:val="24"/>
              </w:rPr>
              <w:t>Attenuazione del rischio di credito così come definita nell</w:t>
            </w:r>
            <w:r w:rsidR="000878EC">
              <w:rPr>
                <w:rFonts w:ascii="Times New Roman" w:hAnsi="Times New Roman"/>
                <w:sz w:val="24"/>
              </w:rPr>
              <w:t>'</w:t>
            </w:r>
            <w:r>
              <w:rPr>
                <w:rFonts w:ascii="Times New Roman" w:hAnsi="Times New Roman"/>
                <w:sz w:val="24"/>
              </w:rPr>
              <w:t>articolo 4, paragrafo 1, punto 57, del CRR che riduce il rischio di credito di un</w:t>
            </w:r>
            <w:r w:rsidR="000878EC">
              <w:rPr>
                <w:rFonts w:ascii="Times New Roman" w:hAnsi="Times New Roman"/>
                <w:sz w:val="24"/>
              </w:rPr>
              <w:t>'</w:t>
            </w:r>
            <w:r>
              <w:rPr>
                <w:rFonts w:ascii="Times New Roman" w:hAnsi="Times New Roman"/>
                <w:sz w:val="24"/>
              </w:rPr>
              <w:t xml:space="preserve">esposizione o di esposizioni mediante la sostituzione delle esposizioni descritta infra alla voce </w:t>
            </w:r>
            <w:r w:rsidR="000878EC">
              <w:rPr>
                <w:rFonts w:ascii="Times New Roman" w:hAnsi="Times New Roman"/>
                <w:sz w:val="24"/>
              </w:rPr>
              <w:t>"</w:t>
            </w:r>
            <w:r>
              <w:rPr>
                <w:rFonts w:ascii="Times New Roman" w:hAnsi="Times New Roman"/>
                <w:sz w:val="24"/>
              </w:rPr>
              <w:t>SOSTITUZIONE DELL</w:t>
            </w:r>
            <w:r w:rsidR="000878EC">
              <w:rPr>
                <w:rFonts w:ascii="Times New Roman" w:hAnsi="Times New Roman"/>
                <w:sz w:val="24"/>
              </w:rPr>
              <w:t>'</w:t>
            </w:r>
            <w:r>
              <w:rPr>
                <w:rFonts w:ascii="Times New Roman" w:hAnsi="Times New Roman"/>
                <w:sz w:val="24"/>
              </w:rPr>
              <w:t>ESPOSIZIONE DOVUTA ALL</w:t>
            </w:r>
            <w:r w:rsidR="000878EC">
              <w:rPr>
                <w:rFonts w:ascii="Times New Roman" w:hAnsi="Times New Roman"/>
                <w:sz w:val="24"/>
              </w:rPr>
              <w:t>'</w:t>
            </w:r>
            <w:r>
              <w:rPr>
                <w:rFonts w:ascii="Times New Roman" w:hAnsi="Times New Roman"/>
                <w:sz w:val="24"/>
              </w:rPr>
              <w:t>ATTENUAZIONE DEL RISCHIO DI CREDITO</w:t>
            </w:r>
            <w:r w:rsidR="000878EC">
              <w:rPr>
                <w:rFonts w:ascii="Times New Roman" w:hAnsi="Times New Roman"/>
                <w:sz w:val="24"/>
              </w:rPr>
              <w:t>"</w:t>
            </w:r>
            <w:r>
              <w:rPr>
                <w:rFonts w:ascii="Times New Roman" w:hAnsi="Times New Roman"/>
                <w:sz w:val="24"/>
              </w:rPr>
              <w:t>.</w:t>
            </w:r>
          </w:p>
          <w:p w:rsidR="001C7AB7" w:rsidRPr="00661595" w:rsidRDefault="001C7AB7" w:rsidP="00604D31">
            <w:pPr>
              <w:suppressAutoHyphens/>
              <w:autoSpaceDE w:val="0"/>
              <w:autoSpaceDN w:val="0"/>
              <w:adjustRightInd w:val="0"/>
              <w:spacing w:before="0" w:after="0"/>
              <w:jc w:val="left"/>
              <w:rPr>
                <w:rFonts w:ascii="Times New Roman" w:hAnsi="Times New Roman"/>
                <w:sz w:val="24"/>
              </w:rPr>
            </w:pPr>
          </w:p>
        </w:tc>
      </w:tr>
      <w:tr w:rsidR="001C7AB7" w:rsidRPr="00661595" w:rsidTr="00672D2A">
        <w:tc>
          <w:tcPr>
            <w:tcW w:w="1188" w:type="dxa"/>
          </w:tcPr>
          <w:p w:rsidR="001C7AB7" w:rsidRPr="00661595" w:rsidRDefault="001C7AB7" w:rsidP="004F2B30">
            <w:pPr>
              <w:rPr>
                <w:rFonts w:ascii="Times New Roman" w:hAnsi="Times New Roman"/>
                <w:sz w:val="24"/>
              </w:rPr>
            </w:pPr>
            <w:r>
              <w:rPr>
                <w:rFonts w:ascii="Times New Roman" w:hAnsi="Times New Roman"/>
                <w:sz w:val="24"/>
              </w:rPr>
              <w:t>0040-0050</w:t>
            </w:r>
          </w:p>
        </w:tc>
        <w:tc>
          <w:tcPr>
            <w:tcW w:w="8843" w:type="dxa"/>
          </w:tcPr>
          <w:p w:rsidR="001C7AB7" w:rsidRPr="00661595" w:rsidRDefault="001C7AB7" w:rsidP="00604D31">
            <w:pPr>
              <w:suppressAutoHyphens/>
              <w:rPr>
                <w:rFonts w:ascii="Times New Roman" w:hAnsi="Times New Roman"/>
                <w:b/>
                <w:sz w:val="24"/>
                <w:u w:val="single"/>
              </w:rPr>
            </w:pPr>
            <w:r>
              <w:rPr>
                <w:rFonts w:ascii="Times New Roman" w:hAnsi="Times New Roman"/>
                <w:b/>
                <w:sz w:val="24"/>
                <w:u w:val="single"/>
              </w:rPr>
              <w:t>PROTEZIONE DEL CREDITO DI TIPO PERSONALE</w:t>
            </w:r>
          </w:p>
          <w:p w:rsidR="001C7AB7" w:rsidRPr="00661595" w:rsidRDefault="001C7AB7" w:rsidP="00604D31">
            <w:pPr>
              <w:suppressAutoHyphens/>
              <w:rPr>
                <w:rStyle w:val="InstructionsTabelleText"/>
                <w:rFonts w:ascii="Times New Roman" w:hAnsi="Times New Roman"/>
                <w:sz w:val="24"/>
              </w:rPr>
            </w:pPr>
            <w:r>
              <w:rPr>
                <w:rStyle w:val="InstructionsTabelleText"/>
                <w:rFonts w:ascii="Times New Roman" w:hAnsi="Times New Roman"/>
                <w:sz w:val="24"/>
              </w:rPr>
              <w:t>Protezione del credito di tipo personale così come definita nell</w:t>
            </w:r>
            <w:r w:rsidR="000878EC">
              <w:rPr>
                <w:rStyle w:val="InstructionsTabelleText"/>
                <w:rFonts w:ascii="Times New Roman" w:hAnsi="Times New Roman"/>
                <w:sz w:val="24"/>
              </w:rPr>
              <w:t>'</w:t>
            </w:r>
            <w:r>
              <w:rPr>
                <w:rStyle w:val="InstructionsTabelleText"/>
                <w:rFonts w:ascii="Times New Roman" w:hAnsi="Times New Roman"/>
                <w:sz w:val="24"/>
              </w:rPr>
              <w:t>articolo 4, paragrafo 1, punto 59, del CRR.</w:t>
            </w:r>
          </w:p>
          <w:p w:rsidR="001C7AB7" w:rsidRPr="00661595" w:rsidRDefault="005474CB" w:rsidP="00604D31">
            <w:pPr>
              <w:suppressAutoHyphens/>
              <w:rPr>
                <w:rFonts w:ascii="Times New Roman" w:hAnsi="Times New Roman"/>
                <w:sz w:val="24"/>
              </w:rPr>
            </w:pPr>
            <w:r>
              <w:rPr>
                <w:rFonts w:ascii="Times New Roman" w:hAnsi="Times New Roman"/>
                <w:sz w:val="24"/>
              </w:rPr>
              <w:t>Se la protezione del credito di tipo personale influisce sull</w:t>
            </w:r>
            <w:r w:rsidR="000878EC">
              <w:rPr>
                <w:rFonts w:ascii="Times New Roman" w:hAnsi="Times New Roman"/>
                <w:sz w:val="24"/>
              </w:rPr>
              <w:t>'</w:t>
            </w:r>
            <w:r>
              <w:rPr>
                <w:rFonts w:ascii="Times New Roman" w:hAnsi="Times New Roman"/>
                <w:sz w:val="24"/>
              </w:rPr>
              <w:t>esposizione (ad esempio quando è utilizzata per le tecniche di attenuazione del rischio di credito con effetti di sostituzione sull</w:t>
            </w:r>
            <w:r w:rsidR="000878EC">
              <w:rPr>
                <w:rFonts w:ascii="Times New Roman" w:hAnsi="Times New Roman"/>
                <w:sz w:val="24"/>
              </w:rPr>
              <w:t>'</w:t>
            </w:r>
            <w:r>
              <w:rPr>
                <w:rFonts w:ascii="Times New Roman" w:hAnsi="Times New Roman"/>
                <w:sz w:val="24"/>
              </w:rPr>
              <w:t>esposizione), essa è limitata al valore dell</w:t>
            </w:r>
            <w:r w:rsidR="000878EC">
              <w:rPr>
                <w:rFonts w:ascii="Times New Roman" w:hAnsi="Times New Roman"/>
                <w:sz w:val="24"/>
              </w:rPr>
              <w:t>'</w:t>
            </w:r>
            <w:r>
              <w:rPr>
                <w:rFonts w:ascii="Times New Roman" w:hAnsi="Times New Roman"/>
                <w:sz w:val="24"/>
              </w:rPr>
              <w:t>esposizione.</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0040</w:t>
            </w:r>
          </w:p>
        </w:tc>
        <w:tc>
          <w:tcPr>
            <w:tcW w:w="8843" w:type="dxa"/>
          </w:tcPr>
          <w:p w:rsidR="001C7AB7" w:rsidRPr="00661595" w:rsidRDefault="001C7AB7" w:rsidP="00604D31">
            <w:pPr>
              <w:suppressAutoHyphens/>
              <w:jc w:val="left"/>
              <w:rPr>
                <w:rStyle w:val="InstructionsTabelleberschrift"/>
                <w:rFonts w:ascii="Times New Roman" w:hAnsi="Times New Roman"/>
                <w:sz w:val="24"/>
              </w:rPr>
            </w:pPr>
            <w:r>
              <w:rPr>
                <w:rStyle w:val="InstructionsTabelleberschrift"/>
                <w:rFonts w:ascii="Times New Roman" w:hAnsi="Times New Roman"/>
                <w:sz w:val="24"/>
              </w:rPr>
              <w:t>GARANZIE</w:t>
            </w:r>
          </w:p>
          <w:p w:rsidR="001C7AB7" w:rsidRPr="00661595" w:rsidRDefault="001C7AB7" w:rsidP="00604D31">
            <w:pPr>
              <w:suppressAutoHyphens/>
              <w:jc w:val="left"/>
              <w:rPr>
                <w:rFonts w:ascii="Times New Roman" w:hAnsi="Times New Roman"/>
                <w:sz w:val="24"/>
              </w:rPr>
            </w:pPr>
            <w:r>
              <w:rPr>
                <w:rFonts w:ascii="Times New Roman" w:hAnsi="Times New Roman"/>
                <w:sz w:val="24"/>
              </w:rPr>
              <w:t>Se non sono utilizzate stime interne della LGD, è indicato il valore corretto (G</w:t>
            </w:r>
            <w:r>
              <w:rPr>
                <w:rFonts w:ascii="Times New Roman" w:hAnsi="Times New Roman"/>
                <w:sz w:val="24"/>
                <w:vertAlign w:val="subscript"/>
              </w:rPr>
              <w:t>A</w:t>
            </w:r>
            <w:r>
              <w:rPr>
                <w:rFonts w:ascii="Times New Roman" w:hAnsi="Times New Roman"/>
                <w:sz w:val="24"/>
              </w:rPr>
              <w:t>) così come definito nell</w:t>
            </w:r>
            <w:r w:rsidR="000878EC">
              <w:rPr>
                <w:rFonts w:ascii="Times New Roman" w:hAnsi="Times New Roman"/>
                <w:sz w:val="24"/>
              </w:rPr>
              <w:t>'</w:t>
            </w:r>
            <w:r>
              <w:rPr>
                <w:rFonts w:ascii="Times New Roman" w:hAnsi="Times New Roman"/>
                <w:sz w:val="24"/>
              </w:rPr>
              <w:t>articolo 236, paragrafo 3, del CRR.</w:t>
            </w:r>
          </w:p>
          <w:p w:rsidR="001C7AB7" w:rsidRPr="00661595" w:rsidRDefault="001C7AB7" w:rsidP="00604D31">
            <w:pPr>
              <w:suppressAutoHyphens/>
              <w:jc w:val="left"/>
              <w:rPr>
                <w:rFonts w:ascii="Times New Roman" w:hAnsi="Times New Roman"/>
                <w:sz w:val="24"/>
              </w:rPr>
            </w:pPr>
            <w:r>
              <w:rPr>
                <w:rFonts w:ascii="Times New Roman" w:hAnsi="Times New Roman"/>
                <w:sz w:val="24"/>
              </w:rPr>
              <w:t>Se sono utilizzate stime interne della LGD conformemente all</w:t>
            </w:r>
            <w:r w:rsidR="000878EC">
              <w:rPr>
                <w:rFonts w:ascii="Times New Roman" w:hAnsi="Times New Roman"/>
                <w:sz w:val="24"/>
              </w:rPr>
              <w:t>'</w:t>
            </w:r>
            <w:r>
              <w:rPr>
                <w:rFonts w:ascii="Times New Roman" w:hAnsi="Times New Roman"/>
                <w:sz w:val="24"/>
              </w:rPr>
              <w:t xml:space="preserve">articolo 183 del CRR (ad eccezione del paragrafo 3), è segnalato il valore pertinente utilizzato nel modello interno. </w:t>
            </w:r>
          </w:p>
          <w:p w:rsidR="001C7AB7" w:rsidRPr="00661595" w:rsidRDefault="001C7AB7" w:rsidP="00604D31">
            <w:pPr>
              <w:suppressAutoHyphens/>
              <w:jc w:val="left"/>
              <w:rPr>
                <w:rFonts w:ascii="Times New Roman" w:hAnsi="Times New Roman"/>
                <w:sz w:val="24"/>
              </w:rPr>
            </w:pPr>
            <w:r>
              <w:rPr>
                <w:rFonts w:ascii="Times New Roman" w:hAnsi="Times New Roman"/>
                <w:sz w:val="24"/>
              </w:rPr>
              <w:t>Le garanzie sono segnalate nella colonna 0040 se non è effettuata una rettifica nella LGD. Se è effettuata una rettifica nella LGD, l</w:t>
            </w:r>
            <w:r w:rsidR="000878EC">
              <w:rPr>
                <w:rFonts w:ascii="Times New Roman" w:hAnsi="Times New Roman"/>
                <w:sz w:val="24"/>
              </w:rPr>
              <w:t>'</w:t>
            </w:r>
            <w:r>
              <w:rPr>
                <w:rFonts w:ascii="Times New Roman" w:hAnsi="Times New Roman"/>
                <w:sz w:val="24"/>
              </w:rPr>
              <w:t>importo delle garanzie è segnalato nella colonna 0150.</w:t>
            </w:r>
          </w:p>
          <w:p w:rsidR="00785F3E" w:rsidRPr="00661595" w:rsidRDefault="00785F3E" w:rsidP="00604D31">
            <w:pPr>
              <w:suppressAutoHyphens/>
              <w:jc w:val="left"/>
              <w:rPr>
                <w:rFonts w:ascii="Times New Roman" w:hAnsi="Times New Roman"/>
                <w:sz w:val="24"/>
              </w:rPr>
            </w:pPr>
            <w:r>
              <w:rPr>
                <w:rFonts w:ascii="Times New Roman" w:hAnsi="Times New Roman"/>
                <w:sz w:val="24"/>
              </w:rPr>
              <w:t xml:space="preserve">Per le esposizioni soggette al trattamento del </w:t>
            </w:r>
            <w:r w:rsidR="000878EC">
              <w:rPr>
                <w:rFonts w:ascii="Times New Roman" w:hAnsi="Times New Roman"/>
                <w:sz w:val="24"/>
              </w:rPr>
              <w:t>"</w:t>
            </w:r>
            <w:r>
              <w:rPr>
                <w:rFonts w:ascii="Times New Roman" w:hAnsi="Times New Roman"/>
                <w:sz w:val="24"/>
              </w:rPr>
              <w:t>double default</w:t>
            </w:r>
            <w:r w:rsidR="000878EC">
              <w:rPr>
                <w:rFonts w:ascii="Times New Roman" w:hAnsi="Times New Roman"/>
                <w:sz w:val="24"/>
              </w:rPr>
              <w:t>"</w:t>
            </w:r>
            <w:r>
              <w:rPr>
                <w:rFonts w:ascii="Times New Roman" w:hAnsi="Times New Roman"/>
                <w:sz w:val="24"/>
              </w:rPr>
              <w:t>, il valore della protezione del credito di tipo personale è segnalato nella colonna 0220.</w:t>
            </w:r>
          </w:p>
          <w:p w:rsidR="001C7AB7" w:rsidRPr="00661595" w:rsidRDefault="001C7AB7" w:rsidP="00604D31">
            <w:pPr>
              <w:suppressAutoHyphens/>
              <w:jc w:val="left"/>
              <w:rPr>
                <w:rFonts w:ascii="Times New Roman" w:hAnsi="Times New Roman"/>
                <w:sz w:val="24"/>
              </w:rPr>
            </w:pP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0050</w:t>
            </w:r>
          </w:p>
        </w:tc>
        <w:tc>
          <w:tcPr>
            <w:tcW w:w="8843" w:type="dxa"/>
          </w:tcPr>
          <w:p w:rsidR="001C7AB7" w:rsidRPr="00661595" w:rsidRDefault="001C7AB7" w:rsidP="00604D31">
            <w:pPr>
              <w:suppressAutoHyphens/>
              <w:rPr>
                <w:rFonts w:ascii="Times New Roman" w:hAnsi="Times New Roman"/>
                <w:b/>
                <w:sz w:val="24"/>
                <w:u w:val="single"/>
              </w:rPr>
            </w:pPr>
            <w:r>
              <w:rPr>
                <w:rFonts w:ascii="Times New Roman" w:hAnsi="Times New Roman"/>
                <w:b/>
                <w:sz w:val="24"/>
                <w:u w:val="single"/>
              </w:rPr>
              <w:t>DERIVATI SU CREDITI</w:t>
            </w:r>
          </w:p>
          <w:p w:rsidR="001C7AB7" w:rsidRPr="00661595" w:rsidRDefault="001C7AB7" w:rsidP="00604D31">
            <w:pPr>
              <w:suppressAutoHyphens/>
              <w:rPr>
                <w:rFonts w:ascii="Times New Roman" w:hAnsi="Times New Roman"/>
                <w:sz w:val="24"/>
              </w:rPr>
            </w:pPr>
            <w:r>
              <w:rPr>
                <w:rFonts w:ascii="Times New Roman" w:hAnsi="Times New Roman"/>
                <w:sz w:val="24"/>
              </w:rPr>
              <w:t>Se non sono utilizzate stime interne della LGD, è indicato il valore corretto (G</w:t>
            </w:r>
            <w:r>
              <w:rPr>
                <w:rFonts w:ascii="Times New Roman" w:hAnsi="Times New Roman"/>
                <w:sz w:val="24"/>
                <w:vertAlign w:val="subscript"/>
              </w:rPr>
              <w:t>A</w:t>
            </w:r>
            <w:r>
              <w:rPr>
                <w:rFonts w:ascii="Times New Roman" w:hAnsi="Times New Roman"/>
                <w:sz w:val="24"/>
              </w:rPr>
              <w:t>) così come definito nell</w:t>
            </w:r>
            <w:r w:rsidR="000878EC">
              <w:rPr>
                <w:rFonts w:ascii="Times New Roman" w:hAnsi="Times New Roman"/>
                <w:sz w:val="24"/>
              </w:rPr>
              <w:t>'</w:t>
            </w:r>
            <w:r>
              <w:rPr>
                <w:rFonts w:ascii="Times New Roman" w:hAnsi="Times New Roman"/>
                <w:sz w:val="24"/>
              </w:rPr>
              <w:t xml:space="preserve">articolo 236, paragrafo 3, del CRR. </w:t>
            </w:r>
          </w:p>
          <w:p w:rsidR="00785F3E" w:rsidRPr="00661595" w:rsidRDefault="00785F3E" w:rsidP="00604D31">
            <w:pPr>
              <w:suppressAutoHyphens/>
              <w:rPr>
                <w:rFonts w:ascii="Times New Roman" w:hAnsi="Times New Roman"/>
                <w:sz w:val="24"/>
              </w:rPr>
            </w:pPr>
            <w:r>
              <w:rPr>
                <w:rFonts w:ascii="Times New Roman" w:hAnsi="Times New Roman"/>
                <w:sz w:val="24"/>
              </w:rPr>
              <w:t>Se sono utilizzate stime interne della LGD conformemente all</w:t>
            </w:r>
            <w:r w:rsidR="000878EC">
              <w:rPr>
                <w:rFonts w:ascii="Times New Roman" w:hAnsi="Times New Roman"/>
                <w:sz w:val="24"/>
              </w:rPr>
              <w:t>'</w:t>
            </w:r>
            <w:r>
              <w:rPr>
                <w:rFonts w:ascii="Times New Roman" w:hAnsi="Times New Roman"/>
                <w:sz w:val="24"/>
              </w:rPr>
              <w:t>articolo 183, paragrafo 3, del CRR, è segnalato il valore pertinente utilizzato nella modellizzazione interna.</w:t>
            </w:r>
          </w:p>
          <w:p w:rsidR="001C7AB7" w:rsidRPr="00661595" w:rsidRDefault="001C7AB7" w:rsidP="00604D31">
            <w:pPr>
              <w:suppressAutoHyphens/>
              <w:rPr>
                <w:rFonts w:ascii="Times New Roman" w:hAnsi="Times New Roman"/>
                <w:sz w:val="24"/>
              </w:rPr>
            </w:pPr>
            <w:r>
              <w:rPr>
                <w:rFonts w:ascii="Times New Roman" w:hAnsi="Times New Roman"/>
                <w:sz w:val="24"/>
              </w:rPr>
              <w:t>Se è effettuata una rettifica nella LGD, l</w:t>
            </w:r>
            <w:r w:rsidR="000878EC">
              <w:rPr>
                <w:rFonts w:ascii="Times New Roman" w:hAnsi="Times New Roman"/>
                <w:sz w:val="24"/>
              </w:rPr>
              <w:t>'</w:t>
            </w:r>
            <w:r>
              <w:rPr>
                <w:rFonts w:ascii="Times New Roman" w:hAnsi="Times New Roman"/>
                <w:sz w:val="24"/>
              </w:rPr>
              <w:t>importo dei derivati su crediti è segnalato nella colonna 0160.</w:t>
            </w:r>
          </w:p>
          <w:p w:rsidR="001C7AB7" w:rsidRPr="00661595" w:rsidRDefault="001C7AB7" w:rsidP="00604D31">
            <w:pPr>
              <w:suppressAutoHyphens/>
              <w:jc w:val="left"/>
              <w:rPr>
                <w:rFonts w:ascii="Times New Roman" w:hAnsi="Times New Roman"/>
                <w:sz w:val="24"/>
              </w:rPr>
            </w:pPr>
            <w:r>
              <w:rPr>
                <w:rFonts w:ascii="Times New Roman" w:hAnsi="Times New Roman"/>
                <w:sz w:val="24"/>
              </w:rPr>
              <w:t xml:space="preserve">Per le esposizioni soggette al trattamento del </w:t>
            </w:r>
            <w:r w:rsidR="000878EC">
              <w:rPr>
                <w:rFonts w:ascii="Times New Roman" w:hAnsi="Times New Roman"/>
                <w:sz w:val="24"/>
              </w:rPr>
              <w:t>"</w:t>
            </w:r>
            <w:r>
              <w:rPr>
                <w:rFonts w:ascii="Times New Roman" w:hAnsi="Times New Roman"/>
                <w:sz w:val="24"/>
              </w:rPr>
              <w:t>double default</w:t>
            </w:r>
            <w:r w:rsidR="000878EC">
              <w:rPr>
                <w:rFonts w:ascii="Times New Roman" w:hAnsi="Times New Roman"/>
                <w:sz w:val="24"/>
              </w:rPr>
              <w:t>"</w:t>
            </w:r>
            <w:r>
              <w:rPr>
                <w:rFonts w:ascii="Times New Roman" w:hAnsi="Times New Roman"/>
                <w:sz w:val="24"/>
              </w:rPr>
              <w:t>, il valore della protezione del credito di tipo personale è segnalato nella colonna 0220.</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0060</w:t>
            </w:r>
          </w:p>
        </w:tc>
        <w:tc>
          <w:tcPr>
            <w:tcW w:w="8843" w:type="dxa"/>
          </w:tcPr>
          <w:p w:rsidR="001C7AB7" w:rsidRPr="00661595" w:rsidRDefault="001C7AB7" w:rsidP="00604D31">
            <w:pPr>
              <w:suppressAutoHyphens/>
              <w:rPr>
                <w:rFonts w:ascii="Times New Roman" w:hAnsi="Times New Roman"/>
                <w:b/>
                <w:sz w:val="24"/>
                <w:u w:val="single"/>
              </w:rPr>
            </w:pPr>
            <w:r>
              <w:rPr>
                <w:rFonts w:ascii="Times New Roman" w:hAnsi="Times New Roman"/>
                <w:b/>
                <w:sz w:val="24"/>
                <w:u w:val="single"/>
              </w:rPr>
              <w:t>ALTRA PROTEZIONE DEL CREDITO DI TIPO REALE</w:t>
            </w:r>
          </w:p>
          <w:p w:rsidR="00785F3E" w:rsidRPr="00661595" w:rsidRDefault="00BD6DB9" w:rsidP="00604D31">
            <w:pPr>
              <w:suppressAutoHyphens/>
              <w:rPr>
                <w:rStyle w:val="InstructionsTabelleText"/>
                <w:rFonts w:ascii="Times New Roman" w:hAnsi="Times New Roman"/>
                <w:sz w:val="24"/>
              </w:rPr>
            </w:pPr>
            <w:r>
              <w:rPr>
                <w:rStyle w:val="InstructionsTabelleText"/>
                <w:rFonts w:ascii="Times New Roman" w:hAnsi="Times New Roman"/>
                <w:sz w:val="24"/>
              </w:rPr>
              <w:t>Se influisce sulla PD dell</w:t>
            </w:r>
            <w:r w:rsidR="000878EC">
              <w:rPr>
                <w:rStyle w:val="InstructionsTabelleText"/>
                <w:rFonts w:ascii="Times New Roman" w:hAnsi="Times New Roman"/>
                <w:sz w:val="24"/>
              </w:rPr>
              <w:t>'</w:t>
            </w:r>
            <w:r>
              <w:rPr>
                <w:rStyle w:val="InstructionsTabelleText"/>
                <w:rFonts w:ascii="Times New Roman" w:hAnsi="Times New Roman"/>
                <w:sz w:val="24"/>
              </w:rPr>
              <w:t>esposizione, la garanzia reale è limitata al valore dell</w:t>
            </w:r>
            <w:r w:rsidR="000878EC">
              <w:rPr>
                <w:rStyle w:val="InstructionsTabelleText"/>
                <w:rFonts w:ascii="Times New Roman" w:hAnsi="Times New Roman"/>
                <w:sz w:val="24"/>
              </w:rPr>
              <w:t>'</w:t>
            </w:r>
            <w:r>
              <w:rPr>
                <w:rStyle w:val="InstructionsTabelleText"/>
                <w:rFonts w:ascii="Times New Roman" w:hAnsi="Times New Roman"/>
                <w:sz w:val="24"/>
              </w:rPr>
              <w:t>esposizione originaria</w:t>
            </w:r>
            <w:r>
              <w:rPr>
                <w:rFonts w:ascii="Times New Roman" w:hAnsi="Times New Roman"/>
                <w:sz w:val="24"/>
              </w:rPr>
              <w:t xml:space="preserve"> prima dell</w:t>
            </w:r>
            <w:r w:rsidR="000878EC">
              <w:rPr>
                <w:rFonts w:ascii="Times New Roman" w:hAnsi="Times New Roman"/>
                <w:sz w:val="24"/>
              </w:rPr>
              <w:t>'</w:t>
            </w:r>
            <w:r>
              <w:rPr>
                <w:rFonts w:ascii="Times New Roman" w:hAnsi="Times New Roman"/>
                <w:sz w:val="24"/>
              </w:rPr>
              <w:t>applicazione dei fattori di conversione</w:t>
            </w:r>
            <w:r>
              <w:rPr>
                <w:rStyle w:val="InstructionsTabelleText"/>
                <w:rFonts w:ascii="Times New Roman" w:hAnsi="Times New Roman"/>
                <w:sz w:val="24"/>
              </w:rPr>
              <w:t>.</w:t>
            </w:r>
          </w:p>
          <w:p w:rsidR="001C7AB7" w:rsidRPr="00661595" w:rsidRDefault="001C7AB7" w:rsidP="00604D31">
            <w:pPr>
              <w:suppressAutoHyphens/>
              <w:rPr>
                <w:rStyle w:val="InstructionsTabelleText"/>
                <w:rFonts w:ascii="Times New Roman" w:hAnsi="Times New Roman"/>
                <w:sz w:val="24"/>
              </w:rPr>
            </w:pPr>
            <w:r>
              <w:rPr>
                <w:rStyle w:val="InstructionsTabelleText"/>
                <w:rFonts w:ascii="Times New Roman" w:hAnsi="Times New Roman"/>
                <w:sz w:val="24"/>
              </w:rPr>
              <w:t>Se non sono utilizzate stime interne della LGD, si applica l</w:t>
            </w:r>
            <w:r w:rsidR="000878EC">
              <w:rPr>
                <w:rStyle w:val="InstructionsTabelleText"/>
                <w:rFonts w:ascii="Times New Roman" w:hAnsi="Times New Roman"/>
                <w:sz w:val="24"/>
              </w:rPr>
              <w:t>'</w:t>
            </w:r>
            <w:r>
              <w:rPr>
                <w:rStyle w:val="InstructionsTabelleText"/>
                <w:rFonts w:ascii="Times New Roman" w:hAnsi="Times New Roman"/>
                <w:sz w:val="24"/>
              </w:rPr>
              <w:t>articolo 232, paragrafo 1, del CRR.</w:t>
            </w:r>
          </w:p>
          <w:p w:rsidR="001C7AB7" w:rsidRPr="00661595" w:rsidRDefault="001C7AB7" w:rsidP="00604D31">
            <w:pPr>
              <w:suppressAutoHyphens/>
              <w:rPr>
                <w:rStyle w:val="InstructionsTabelleText"/>
                <w:rFonts w:ascii="Times New Roman" w:hAnsi="Times New Roman"/>
                <w:sz w:val="24"/>
              </w:rPr>
            </w:pPr>
            <w:r>
              <w:rPr>
                <w:rStyle w:val="InstructionsTabelleText"/>
                <w:rFonts w:ascii="Times New Roman" w:hAnsi="Times New Roman"/>
                <w:sz w:val="24"/>
              </w:rPr>
              <w:t>Se sono utilizzate stime interne della LGD, sono segnalate le tecniche di attenuazione del rischio di credito che influiscono sulla PD. Indicare il valore nominale o di mercato pertinente.</w:t>
            </w:r>
          </w:p>
          <w:p w:rsidR="001C7AB7" w:rsidRPr="00661595" w:rsidRDefault="001C7AB7" w:rsidP="00604D31">
            <w:pPr>
              <w:suppressAutoHyphens/>
              <w:rPr>
                <w:rFonts w:ascii="Times New Roman" w:hAnsi="Times New Roman"/>
                <w:sz w:val="24"/>
              </w:rPr>
            </w:pPr>
            <w:r>
              <w:rPr>
                <w:rStyle w:val="InstructionsTabelleText"/>
                <w:rFonts w:ascii="Times New Roman" w:hAnsi="Times New Roman"/>
                <w:sz w:val="24"/>
              </w:rPr>
              <w:t>Se è effettuata una rettifica nella LGD, l</w:t>
            </w:r>
            <w:r w:rsidR="000878EC">
              <w:rPr>
                <w:rStyle w:val="InstructionsTabelleText"/>
                <w:rFonts w:ascii="Times New Roman" w:hAnsi="Times New Roman"/>
                <w:sz w:val="24"/>
              </w:rPr>
              <w:t>'</w:t>
            </w:r>
            <w:r>
              <w:rPr>
                <w:rStyle w:val="InstructionsTabelleText"/>
                <w:rFonts w:ascii="Times New Roman" w:hAnsi="Times New Roman"/>
                <w:sz w:val="24"/>
              </w:rPr>
              <w:t>importo è segnalato nella colonna 170.</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0070-0080</w:t>
            </w:r>
          </w:p>
        </w:tc>
        <w:tc>
          <w:tcPr>
            <w:tcW w:w="8843" w:type="dxa"/>
          </w:tcPr>
          <w:p w:rsidR="001C7AB7" w:rsidRPr="00661595" w:rsidRDefault="001C7AB7" w:rsidP="00604D31">
            <w:pPr>
              <w:suppressAutoHyphens/>
              <w:rPr>
                <w:rFonts w:ascii="Times New Roman" w:hAnsi="Times New Roman"/>
                <w:b/>
                <w:sz w:val="24"/>
                <w:u w:val="single"/>
              </w:rPr>
            </w:pPr>
            <w:r>
              <w:rPr>
                <w:rFonts w:ascii="Times New Roman" w:hAnsi="Times New Roman"/>
                <w:b/>
                <w:sz w:val="24"/>
                <w:u w:val="single"/>
              </w:rPr>
              <w:t>SOSTITUZIONE DELL</w:t>
            </w:r>
            <w:r w:rsidR="000878EC">
              <w:rPr>
                <w:rFonts w:ascii="Times New Roman" w:hAnsi="Times New Roman"/>
                <w:b/>
                <w:sz w:val="24"/>
                <w:u w:val="single"/>
              </w:rPr>
              <w:t>'</w:t>
            </w:r>
            <w:r>
              <w:rPr>
                <w:rFonts w:ascii="Times New Roman" w:hAnsi="Times New Roman"/>
                <w:b/>
                <w:sz w:val="24"/>
                <w:u w:val="single"/>
              </w:rPr>
              <w:t>ESPOSIZIONE DOVUTA ALL</w:t>
            </w:r>
            <w:r w:rsidR="000878EC">
              <w:rPr>
                <w:rFonts w:ascii="Times New Roman" w:hAnsi="Times New Roman"/>
                <w:b/>
                <w:sz w:val="24"/>
                <w:u w:val="single"/>
              </w:rPr>
              <w:t>'</w:t>
            </w:r>
            <w:r>
              <w:rPr>
                <w:rFonts w:ascii="Times New Roman" w:hAnsi="Times New Roman"/>
                <w:b/>
                <w:sz w:val="24"/>
                <w:u w:val="single"/>
              </w:rPr>
              <w:t>ATTENUAZIONE DEL RISCHIO DI CREDITO</w:t>
            </w:r>
          </w:p>
          <w:p w:rsidR="001C7AB7" w:rsidRPr="00661595" w:rsidRDefault="001C7AB7" w:rsidP="00604D31">
            <w:pPr>
              <w:suppressAutoHyphens/>
              <w:rPr>
                <w:rFonts w:ascii="Times New Roman" w:hAnsi="Times New Roman"/>
                <w:sz w:val="24"/>
              </w:rPr>
            </w:pPr>
            <w:r>
              <w:rPr>
                <w:rFonts w:ascii="Times New Roman" w:hAnsi="Times New Roman"/>
                <w:sz w:val="24"/>
              </w:rPr>
              <w:t>I deflussi corrispondono alla parte garantita dell</w:t>
            </w:r>
            <w:r w:rsidR="000878EC">
              <w:rPr>
                <w:rFonts w:ascii="Times New Roman" w:hAnsi="Times New Roman"/>
                <w:sz w:val="24"/>
              </w:rPr>
              <w:t>'</w:t>
            </w:r>
            <w:r>
              <w:rPr>
                <w:rFonts w:ascii="Times New Roman" w:hAnsi="Times New Roman"/>
                <w:sz w:val="24"/>
              </w:rPr>
              <w:t>esposizione originaria prima dell</w:t>
            </w:r>
            <w:r w:rsidR="000878EC">
              <w:rPr>
                <w:rFonts w:ascii="Times New Roman" w:hAnsi="Times New Roman"/>
                <w:sz w:val="24"/>
              </w:rPr>
              <w:t>'</w:t>
            </w:r>
            <w:r>
              <w:rPr>
                <w:rFonts w:ascii="Times New Roman" w:hAnsi="Times New Roman"/>
                <w:sz w:val="24"/>
              </w:rPr>
              <w:t>applicazione dei fattori di conversione che è dedotta dalla classe di esposizioni del debitore e, ove rilevante, dalla classe o dal pool di debitori e successivamente assegnata alla classe di esposizioni del garante e, ove rilevante, alla classe o al pool di debitori. Tale importo è considerato un afflusso nella classe di esposizioni del garante e, ove rilevante, nelle classi o nei pool di debitori.</w:t>
            </w:r>
          </w:p>
          <w:p w:rsidR="001C7AB7" w:rsidRPr="00661595" w:rsidRDefault="001C7AB7" w:rsidP="00604D31">
            <w:pPr>
              <w:suppressAutoHyphens/>
              <w:rPr>
                <w:rFonts w:ascii="Times New Roman" w:hAnsi="Times New Roman"/>
                <w:b/>
                <w:sz w:val="24"/>
              </w:rPr>
            </w:pPr>
            <w:r>
              <w:rPr>
                <w:rFonts w:ascii="Times New Roman" w:hAnsi="Times New Roman"/>
                <w:sz w:val="24"/>
              </w:rPr>
              <w:t>Si considerano anche gli afflussi e i deflussi all</w:t>
            </w:r>
            <w:r w:rsidR="000878EC">
              <w:rPr>
                <w:rFonts w:ascii="Times New Roman" w:hAnsi="Times New Roman"/>
                <w:sz w:val="24"/>
              </w:rPr>
              <w:t>'</w:t>
            </w:r>
            <w:r>
              <w:rPr>
                <w:rFonts w:ascii="Times New Roman" w:hAnsi="Times New Roman"/>
                <w:sz w:val="24"/>
              </w:rPr>
              <w:t>interno delle medesime classi di esposizioni e, ove rilevante, delle medesime classi o pool di debitori.</w:t>
            </w:r>
          </w:p>
          <w:p w:rsidR="001C7AB7" w:rsidRPr="00661595" w:rsidRDefault="001C7AB7" w:rsidP="00604D31">
            <w:pPr>
              <w:suppressAutoHyphens/>
              <w:rPr>
                <w:rFonts w:ascii="Times New Roman" w:hAnsi="Times New Roman"/>
                <w:sz w:val="24"/>
              </w:rPr>
            </w:pPr>
            <w:r>
              <w:rPr>
                <w:rFonts w:ascii="Times New Roman" w:hAnsi="Times New Roman"/>
                <w:sz w:val="24"/>
              </w:rPr>
              <w:t>Si tiene conto delle esposizioni derivanti da eventuali afflussi e deflussi da e verso altri modelli.</w:t>
            </w:r>
          </w:p>
          <w:p w:rsidR="006C35BA" w:rsidRPr="00661595" w:rsidRDefault="006C35BA" w:rsidP="00604D31">
            <w:pPr>
              <w:suppressAutoHyphens/>
              <w:rPr>
                <w:rFonts w:ascii="Times New Roman" w:hAnsi="Times New Roman"/>
                <w:sz w:val="24"/>
              </w:rPr>
            </w:pPr>
            <w:r>
              <w:rPr>
                <w:rFonts w:ascii="Times New Roman" w:hAnsi="Times New Roman"/>
                <w:sz w:val="24"/>
              </w:rPr>
              <w:t>Queste colonne sono utilizzate solo se gli enti hanno ottenuto dalla loro autorità competente l</w:t>
            </w:r>
            <w:r w:rsidR="000878EC">
              <w:rPr>
                <w:rFonts w:ascii="Times New Roman" w:hAnsi="Times New Roman"/>
                <w:sz w:val="24"/>
              </w:rPr>
              <w:t>'</w:t>
            </w:r>
            <w:r>
              <w:rPr>
                <w:rFonts w:ascii="Times New Roman" w:hAnsi="Times New Roman"/>
                <w:sz w:val="24"/>
              </w:rPr>
              <w:t>autorizzazione a trattare tali esposizioni garantite nel quadro dell</w:t>
            </w:r>
            <w:r w:rsidR="000878EC">
              <w:rPr>
                <w:rFonts w:ascii="Times New Roman" w:hAnsi="Times New Roman"/>
                <w:sz w:val="24"/>
              </w:rPr>
              <w:t>'</w:t>
            </w:r>
            <w:r>
              <w:rPr>
                <w:rFonts w:ascii="Times New Roman" w:hAnsi="Times New Roman"/>
                <w:sz w:val="24"/>
              </w:rPr>
              <w:t>uso parziale permanente del metodo standardizzato conformemente all</w:t>
            </w:r>
            <w:r w:rsidR="000878EC">
              <w:rPr>
                <w:rFonts w:ascii="Times New Roman" w:hAnsi="Times New Roman"/>
                <w:sz w:val="24"/>
              </w:rPr>
              <w:t>'</w:t>
            </w:r>
            <w:r>
              <w:rPr>
                <w:rFonts w:ascii="Times New Roman" w:hAnsi="Times New Roman"/>
                <w:sz w:val="24"/>
              </w:rPr>
              <w:t>articolo 150 del CRR o a classificare le esposizioni in classi di esposizioni secondo le caratteristiche del garante.</w:t>
            </w:r>
          </w:p>
        </w:tc>
      </w:tr>
      <w:tr w:rsidR="001C7AB7" w:rsidRPr="00661595" w:rsidTr="00672D2A">
        <w:tc>
          <w:tcPr>
            <w:tcW w:w="1188" w:type="dxa"/>
          </w:tcPr>
          <w:p w:rsidR="001C7AB7" w:rsidRPr="00661595" w:rsidRDefault="001C7AB7" w:rsidP="001C7AB7">
            <w:pPr>
              <w:rPr>
                <w:rFonts w:ascii="Times New Roman" w:hAnsi="Times New Roman"/>
                <w:sz w:val="24"/>
              </w:rPr>
            </w:pPr>
            <w:r>
              <w:rPr>
                <w:rFonts w:ascii="Times New Roman" w:hAnsi="Times New Roman"/>
                <w:sz w:val="24"/>
              </w:rPr>
              <w:t>0090</w:t>
            </w:r>
          </w:p>
        </w:tc>
        <w:tc>
          <w:tcPr>
            <w:tcW w:w="8843" w:type="dxa"/>
          </w:tcPr>
          <w:p w:rsidR="001C7AB7" w:rsidRPr="00661595" w:rsidRDefault="001C7AB7" w:rsidP="00604D31">
            <w:pPr>
              <w:suppressAutoHyphens/>
              <w:rPr>
                <w:rFonts w:ascii="Times New Roman" w:hAnsi="Times New Roman"/>
                <w:b/>
                <w:sz w:val="24"/>
                <w:u w:val="single"/>
              </w:rPr>
            </w:pPr>
            <w:r>
              <w:rPr>
                <w:rFonts w:ascii="Times New Roman" w:hAnsi="Times New Roman"/>
                <w:b/>
                <w:sz w:val="24"/>
                <w:u w:val="single"/>
              </w:rPr>
              <w:t>ESPOSIZIONE DOPO GLI EFFETTI DI SOSTITUZIONE DELL</w:t>
            </w:r>
            <w:r w:rsidR="000878EC">
              <w:rPr>
                <w:rFonts w:ascii="Times New Roman" w:hAnsi="Times New Roman"/>
                <w:b/>
                <w:sz w:val="24"/>
                <w:u w:val="single"/>
              </w:rPr>
              <w:t>'</w:t>
            </w:r>
            <w:r>
              <w:rPr>
                <w:rFonts w:ascii="Times New Roman" w:hAnsi="Times New Roman"/>
                <w:b/>
                <w:sz w:val="24"/>
                <w:u w:val="single"/>
              </w:rPr>
              <w:t>ATTENUAZIONE DEL RISCHIO DI CREDITO PRIMA DELL</w:t>
            </w:r>
            <w:r w:rsidR="000878EC">
              <w:rPr>
                <w:rFonts w:ascii="Times New Roman" w:hAnsi="Times New Roman"/>
                <w:b/>
                <w:sz w:val="24"/>
                <w:u w:val="single"/>
              </w:rPr>
              <w:t>'</w:t>
            </w:r>
            <w:r>
              <w:rPr>
                <w:rFonts w:ascii="Times New Roman" w:hAnsi="Times New Roman"/>
                <w:b/>
                <w:sz w:val="24"/>
                <w:u w:val="single"/>
              </w:rPr>
              <w:t>APPLICAZIONE DEI FATTORI DI CONVERSIONE</w:t>
            </w:r>
          </w:p>
          <w:p w:rsidR="001C7AB7" w:rsidRPr="00661595" w:rsidRDefault="001C7AB7" w:rsidP="00604D31">
            <w:pPr>
              <w:suppressAutoHyphens/>
              <w:rPr>
                <w:rFonts w:ascii="Times New Roman" w:hAnsi="Times New Roman"/>
                <w:sz w:val="24"/>
              </w:rPr>
            </w:pPr>
            <w:r>
              <w:rPr>
                <w:rFonts w:ascii="Times New Roman" w:hAnsi="Times New Roman"/>
                <w:sz w:val="24"/>
              </w:rPr>
              <w:t>Esposizioni assegnate alla classe o al pool di debitori corrispondente e alla corrispondente classe di esposizioni dopo aver tenuto conto degli afflussi e dei deflussi dovuti a tecniche di attenuazione del rischio di credito con effetti di sostituzione sull</w:t>
            </w:r>
            <w:r w:rsidR="000878EC">
              <w:rPr>
                <w:rFonts w:ascii="Times New Roman" w:hAnsi="Times New Roman"/>
                <w:sz w:val="24"/>
              </w:rPr>
              <w:t>'</w:t>
            </w:r>
            <w:r>
              <w:rPr>
                <w:rFonts w:ascii="Times New Roman" w:hAnsi="Times New Roman"/>
                <w:sz w:val="24"/>
              </w:rPr>
              <w:t>esposizione.</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0100, 0120</w:t>
            </w:r>
          </w:p>
        </w:tc>
        <w:tc>
          <w:tcPr>
            <w:tcW w:w="8843" w:type="dxa"/>
          </w:tcPr>
          <w:p w:rsidR="001C7AB7" w:rsidRPr="00661595" w:rsidRDefault="001C7AB7" w:rsidP="00604D31">
            <w:pPr>
              <w:suppressAutoHyphens/>
              <w:rPr>
                <w:rStyle w:val="InstructionsTabelleberschrift"/>
                <w:rFonts w:ascii="Times New Roman" w:hAnsi="Times New Roman"/>
                <w:sz w:val="24"/>
              </w:rPr>
            </w:pPr>
            <w:r>
              <w:rPr>
                <w:rStyle w:val="InstructionsTabelleberschrift"/>
                <w:rFonts w:ascii="Times New Roman" w:hAnsi="Times New Roman"/>
                <w:sz w:val="24"/>
              </w:rPr>
              <w:t xml:space="preserve">di cui: elementi fuori bilancio </w:t>
            </w:r>
          </w:p>
          <w:p w:rsidR="001C7AB7" w:rsidRPr="00661595" w:rsidRDefault="001C7AB7" w:rsidP="00604D31">
            <w:pPr>
              <w:suppressAutoHyphens/>
              <w:rPr>
                <w:rFonts w:ascii="Times New Roman" w:hAnsi="Times New Roman"/>
                <w:sz w:val="24"/>
              </w:rPr>
            </w:pPr>
            <w:r>
              <w:rPr>
                <w:rFonts w:ascii="Times New Roman" w:hAnsi="Times New Roman"/>
                <w:sz w:val="24"/>
              </w:rPr>
              <w:t>Cfr. le istruzioni relative al modello CR SA.</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0110</w:t>
            </w:r>
          </w:p>
        </w:tc>
        <w:tc>
          <w:tcPr>
            <w:tcW w:w="8843" w:type="dxa"/>
          </w:tcPr>
          <w:p w:rsidR="001C7AB7" w:rsidRPr="00661595" w:rsidRDefault="001C7AB7" w:rsidP="00604D31">
            <w:pPr>
              <w:suppressAutoHyphens/>
              <w:rPr>
                <w:rFonts w:ascii="Times New Roman" w:hAnsi="Times New Roman"/>
                <w:b/>
                <w:sz w:val="24"/>
                <w:u w:val="single"/>
              </w:rPr>
            </w:pPr>
            <w:r>
              <w:rPr>
                <w:rFonts w:ascii="Times New Roman" w:hAnsi="Times New Roman"/>
                <w:b/>
                <w:sz w:val="24"/>
                <w:u w:val="single"/>
              </w:rPr>
              <w:t>VALORE DELL</w:t>
            </w:r>
            <w:r w:rsidR="000878EC">
              <w:rPr>
                <w:rFonts w:ascii="Times New Roman" w:hAnsi="Times New Roman"/>
                <w:b/>
                <w:sz w:val="24"/>
                <w:u w:val="single"/>
              </w:rPr>
              <w:t>'</w:t>
            </w:r>
            <w:r>
              <w:rPr>
                <w:rFonts w:ascii="Times New Roman" w:hAnsi="Times New Roman"/>
                <w:b/>
                <w:sz w:val="24"/>
                <w:u w:val="single"/>
              </w:rPr>
              <w:t>ESPOSIZIONE</w:t>
            </w:r>
          </w:p>
          <w:p w:rsidR="001C7AB7" w:rsidRPr="00661595" w:rsidRDefault="001C7AB7" w:rsidP="00604D31">
            <w:pPr>
              <w:suppressAutoHyphens/>
              <w:rPr>
                <w:rFonts w:ascii="Times New Roman" w:hAnsi="Times New Roman"/>
                <w:sz w:val="24"/>
              </w:rPr>
            </w:pPr>
            <w:r>
              <w:rPr>
                <w:rFonts w:ascii="Times New Roman" w:hAnsi="Times New Roman"/>
                <w:sz w:val="24"/>
              </w:rPr>
              <w:t>Sono segnalati i valori delle esposizioni determinati conformemente all</w:t>
            </w:r>
            <w:r w:rsidR="000878EC">
              <w:rPr>
                <w:rFonts w:ascii="Times New Roman" w:hAnsi="Times New Roman"/>
                <w:sz w:val="24"/>
              </w:rPr>
              <w:t>'</w:t>
            </w:r>
            <w:r>
              <w:rPr>
                <w:rFonts w:ascii="Times New Roman" w:hAnsi="Times New Roman"/>
                <w:sz w:val="24"/>
              </w:rPr>
              <w:t>articolo 166 e all</w:t>
            </w:r>
            <w:r w:rsidR="000878EC">
              <w:rPr>
                <w:rFonts w:ascii="Times New Roman" w:hAnsi="Times New Roman"/>
                <w:sz w:val="24"/>
              </w:rPr>
              <w:t>'</w:t>
            </w:r>
            <w:r>
              <w:rPr>
                <w:rFonts w:ascii="Times New Roman" w:hAnsi="Times New Roman"/>
                <w:sz w:val="24"/>
              </w:rPr>
              <w:t>articolo 230, paragrafo 1, seconda frase, del CRR.</w:t>
            </w:r>
          </w:p>
          <w:p w:rsidR="001C7AB7" w:rsidRPr="00661595" w:rsidRDefault="001C7AB7" w:rsidP="00604D31">
            <w:pPr>
              <w:suppressAutoHyphens/>
              <w:rPr>
                <w:rFonts w:ascii="Times New Roman" w:hAnsi="Times New Roman"/>
                <w:sz w:val="24"/>
              </w:rPr>
            </w:pPr>
            <w:r>
              <w:rPr>
                <w:rFonts w:ascii="Times New Roman" w:hAnsi="Times New Roman"/>
                <w:sz w:val="24"/>
              </w:rPr>
              <w:t>Agli strumenti di cui all</w:t>
            </w:r>
            <w:r w:rsidR="000878EC">
              <w:rPr>
                <w:rFonts w:ascii="Times New Roman" w:hAnsi="Times New Roman"/>
                <w:sz w:val="24"/>
              </w:rPr>
              <w:t>'</w:t>
            </w:r>
            <w:r>
              <w:rPr>
                <w:rFonts w:ascii="Times New Roman" w:hAnsi="Times New Roman"/>
                <w:sz w:val="24"/>
              </w:rPr>
              <w:t>allegato I si applicano i fattori di conversione del credito e le percentuali di cui all</w:t>
            </w:r>
            <w:r w:rsidR="000878EC">
              <w:rPr>
                <w:rFonts w:ascii="Times New Roman" w:hAnsi="Times New Roman"/>
                <w:sz w:val="24"/>
              </w:rPr>
              <w:t>'</w:t>
            </w:r>
            <w:r>
              <w:rPr>
                <w:rFonts w:ascii="Times New Roman" w:hAnsi="Times New Roman"/>
                <w:sz w:val="24"/>
              </w:rPr>
              <w:t>articolo 166, paragrafi 8, 9 e 10, del CRR, a prescindere dal metodo scelto dall</w:t>
            </w:r>
            <w:r w:rsidR="000878EC">
              <w:rPr>
                <w:rFonts w:ascii="Times New Roman" w:hAnsi="Times New Roman"/>
                <w:sz w:val="24"/>
              </w:rPr>
              <w:t>'</w:t>
            </w:r>
            <w:r>
              <w:rPr>
                <w:rFonts w:ascii="Times New Roman" w:hAnsi="Times New Roman"/>
                <w:sz w:val="24"/>
              </w:rPr>
              <w:t>ente.</w:t>
            </w:r>
          </w:p>
          <w:p w:rsidR="001C7AB7" w:rsidRPr="00661595" w:rsidRDefault="008D24A6" w:rsidP="00604D31">
            <w:pPr>
              <w:suppressAutoHyphens/>
              <w:rPr>
                <w:rFonts w:ascii="Times New Roman" w:hAnsi="Times New Roman"/>
                <w:sz w:val="24"/>
              </w:rPr>
            </w:pPr>
            <w:r>
              <w:rPr>
                <w:rFonts w:ascii="Times New Roman" w:hAnsi="Times New Roman"/>
                <w:sz w:val="24"/>
              </w:rPr>
              <w:t>I valori delle esposizioni soggette al rischio di controparte sono gli stessi indicati nella colonna 0130.</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0130</w:t>
            </w:r>
          </w:p>
        </w:tc>
        <w:tc>
          <w:tcPr>
            <w:tcW w:w="8843" w:type="dxa"/>
          </w:tcPr>
          <w:p w:rsidR="001C7AB7" w:rsidRPr="00661595" w:rsidRDefault="001C7AB7" w:rsidP="00604D31">
            <w:pPr>
              <w:suppressAutoHyphens/>
              <w:rPr>
                <w:rStyle w:val="InstructionsTabelleberschrift"/>
                <w:rFonts w:ascii="Times New Roman" w:hAnsi="Times New Roman"/>
                <w:sz w:val="24"/>
              </w:rPr>
            </w:pPr>
            <w:r>
              <w:rPr>
                <w:rStyle w:val="InstructionsTabelleberschrift"/>
                <w:rFonts w:ascii="Times New Roman" w:hAnsi="Times New Roman"/>
                <w:sz w:val="24"/>
              </w:rPr>
              <w:t xml:space="preserve">di cui: derivante dal rischio di controparte </w:t>
            </w:r>
          </w:p>
          <w:p w:rsidR="001C7AB7" w:rsidRPr="00661595" w:rsidRDefault="001C7AB7" w:rsidP="00604D31">
            <w:pPr>
              <w:suppressAutoHyphens/>
              <w:rPr>
                <w:rFonts w:ascii="Times New Roman" w:hAnsi="Times New Roman"/>
                <w:sz w:val="24"/>
              </w:rPr>
            </w:pPr>
            <w:r>
              <w:rPr>
                <w:rFonts w:ascii="Times New Roman" w:hAnsi="Times New Roman"/>
                <w:sz w:val="24"/>
              </w:rPr>
              <w:t>Cfr. le corrispondenti istruzioni per il modello CR SA nella colonna 0210.</w:t>
            </w:r>
            <w:r>
              <w:rPr>
                <w:rStyle w:val="InstructionsTabelleText"/>
                <w:rFonts w:ascii="Times New Roman" w:hAnsi="Times New Roman"/>
                <w:sz w:val="24"/>
              </w:rPr>
              <w:t xml:space="preserve"> </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0140</w:t>
            </w:r>
          </w:p>
        </w:tc>
        <w:tc>
          <w:tcPr>
            <w:tcW w:w="8843" w:type="dxa"/>
          </w:tcPr>
          <w:p w:rsidR="001C7AB7" w:rsidRPr="00661595" w:rsidRDefault="001C7AB7" w:rsidP="00604D31">
            <w:pPr>
              <w:suppressAutoHyphens/>
              <w:rPr>
                <w:rFonts w:ascii="Times New Roman" w:hAnsi="Times New Roman"/>
                <w:b/>
                <w:sz w:val="24"/>
                <w:u w:val="single"/>
              </w:rPr>
            </w:pPr>
            <w:r>
              <w:rPr>
                <w:rFonts w:ascii="Times New Roman" w:hAnsi="Times New Roman"/>
                <w:b/>
                <w:sz w:val="24"/>
                <w:u w:val="single"/>
              </w:rPr>
              <w:t>DI CUI: SOGGETTI DI GRANDI DIMENSIONI DEL SETTORE FINANZIARIO E SOGGETTI FINANZIARI NON REGOLAMENTATI</w:t>
            </w:r>
          </w:p>
          <w:p w:rsidR="001C7AB7" w:rsidRPr="00661595" w:rsidRDefault="001C7AB7" w:rsidP="00604D31">
            <w:pPr>
              <w:suppressAutoHyphens/>
              <w:rPr>
                <w:rFonts w:ascii="Times New Roman" w:hAnsi="Times New Roman"/>
                <w:b/>
                <w:sz w:val="24"/>
                <w:u w:val="single"/>
              </w:rPr>
            </w:pPr>
            <w:r>
              <w:rPr>
                <w:rFonts w:ascii="Times New Roman" w:hAnsi="Times New Roman"/>
                <w:sz w:val="24"/>
              </w:rPr>
              <w:t>Ripartizione del valore dell</w:t>
            </w:r>
            <w:r w:rsidR="000878EC">
              <w:rPr>
                <w:rFonts w:ascii="Times New Roman" w:hAnsi="Times New Roman"/>
                <w:sz w:val="24"/>
              </w:rPr>
              <w:t>'</w:t>
            </w:r>
            <w:r>
              <w:rPr>
                <w:rFonts w:ascii="Times New Roman" w:hAnsi="Times New Roman"/>
                <w:sz w:val="24"/>
              </w:rPr>
              <w:t>esposizione per tutte le esposizioni verso i soggetti di cui all</w:t>
            </w:r>
            <w:r w:rsidR="000878EC">
              <w:rPr>
                <w:rFonts w:ascii="Times New Roman" w:hAnsi="Times New Roman"/>
                <w:sz w:val="24"/>
              </w:rPr>
              <w:t>'</w:t>
            </w:r>
            <w:r>
              <w:rPr>
                <w:rFonts w:ascii="Times New Roman" w:hAnsi="Times New Roman"/>
                <w:sz w:val="24"/>
              </w:rPr>
              <w:t>articolo 142, paragrafo 1, punti 4 e 5, cui si applica il coefficiente di correlazione più elevato determinato conformemente all</w:t>
            </w:r>
            <w:r w:rsidR="000878EC">
              <w:rPr>
                <w:rFonts w:ascii="Times New Roman" w:hAnsi="Times New Roman"/>
                <w:sz w:val="24"/>
              </w:rPr>
              <w:t>'</w:t>
            </w:r>
            <w:r>
              <w:rPr>
                <w:rFonts w:ascii="Times New Roman" w:hAnsi="Times New Roman"/>
                <w:sz w:val="24"/>
              </w:rPr>
              <w:t>articolo 153, paragrafo 2, del CRR.</w:t>
            </w:r>
          </w:p>
        </w:tc>
      </w:tr>
      <w:tr w:rsidR="001C7AB7" w:rsidRPr="00661595" w:rsidTr="00672D2A">
        <w:trPr>
          <w:trHeight w:val="2109"/>
        </w:trPr>
        <w:tc>
          <w:tcPr>
            <w:tcW w:w="1188" w:type="dxa"/>
          </w:tcPr>
          <w:p w:rsidR="001C7AB7" w:rsidRPr="00661595" w:rsidDel="001D4BE0" w:rsidRDefault="00FF15C6" w:rsidP="001C7AB7">
            <w:pPr>
              <w:rPr>
                <w:rFonts w:ascii="Times New Roman" w:hAnsi="Times New Roman"/>
                <w:sz w:val="24"/>
              </w:rPr>
            </w:pPr>
            <w:r>
              <w:rPr>
                <w:rFonts w:ascii="Times New Roman" w:hAnsi="Times New Roman"/>
                <w:sz w:val="24"/>
              </w:rPr>
              <w:t>0150-0210</w:t>
            </w:r>
          </w:p>
        </w:tc>
        <w:tc>
          <w:tcPr>
            <w:tcW w:w="8843" w:type="dxa"/>
          </w:tcPr>
          <w:p w:rsidR="001C7AB7" w:rsidRPr="00661595" w:rsidRDefault="001C7AB7" w:rsidP="00604D31">
            <w:pPr>
              <w:suppressAutoHyphens/>
              <w:rPr>
                <w:rFonts w:ascii="Times New Roman" w:hAnsi="Times New Roman"/>
                <w:b/>
                <w:sz w:val="24"/>
                <w:u w:val="single"/>
              </w:rPr>
            </w:pPr>
            <w:r>
              <w:rPr>
                <w:rFonts w:ascii="Times New Roman" w:hAnsi="Times New Roman"/>
                <w:b/>
                <w:sz w:val="24"/>
                <w:u w:val="single"/>
              </w:rPr>
              <w:t xml:space="preserve">TECNICHE DI ATTENUAZIONE DEL RISCHIO DI CREDITO PRESE IN CONSIDERAZIONE NELLE STIME DELLA LGD ESCLUSO IL TRATTAMENTO DEL </w:t>
            </w:r>
            <w:r w:rsidR="000878EC">
              <w:rPr>
                <w:rFonts w:ascii="Times New Roman" w:hAnsi="Times New Roman"/>
                <w:b/>
                <w:sz w:val="24"/>
                <w:u w:val="single"/>
              </w:rPr>
              <w:t>"</w:t>
            </w:r>
            <w:r>
              <w:rPr>
                <w:rFonts w:ascii="Times New Roman" w:hAnsi="Times New Roman"/>
                <w:b/>
                <w:sz w:val="24"/>
                <w:u w:val="single"/>
              </w:rPr>
              <w:t>DOUBLE DEFAULT</w:t>
            </w:r>
            <w:r w:rsidR="000878EC">
              <w:rPr>
                <w:rFonts w:ascii="Times New Roman" w:hAnsi="Times New Roman"/>
                <w:b/>
                <w:sz w:val="24"/>
                <w:u w:val="single"/>
              </w:rPr>
              <w:t>"</w:t>
            </w:r>
          </w:p>
          <w:p w:rsidR="001C7AB7" w:rsidRPr="00661595" w:rsidRDefault="001C7AB7" w:rsidP="00604D31">
            <w:pPr>
              <w:suppressAutoHyphens/>
              <w:rPr>
                <w:rFonts w:ascii="Times New Roman" w:hAnsi="Times New Roman"/>
                <w:sz w:val="24"/>
              </w:rPr>
            </w:pPr>
            <w:r>
              <w:rPr>
                <w:rFonts w:ascii="Times New Roman" w:hAnsi="Times New Roman"/>
                <w:sz w:val="24"/>
              </w:rPr>
              <w:t>Non sono comprese in queste colonne le tecniche di attenuazione del rischio di credito che hanno un impatto sulle stime della LGD in conseguenza dell</w:t>
            </w:r>
            <w:r w:rsidR="000878EC">
              <w:rPr>
                <w:rFonts w:ascii="Times New Roman" w:hAnsi="Times New Roman"/>
                <w:sz w:val="24"/>
              </w:rPr>
              <w:t>'</w:t>
            </w:r>
            <w:r>
              <w:rPr>
                <w:rFonts w:ascii="Times New Roman" w:hAnsi="Times New Roman"/>
                <w:sz w:val="24"/>
              </w:rPr>
              <w:t>applicazione del loro effetto di sostituzione.</w:t>
            </w:r>
          </w:p>
          <w:p w:rsidR="001C7AB7" w:rsidRPr="00661595" w:rsidRDefault="00C61FF5" w:rsidP="00604D31">
            <w:pPr>
              <w:suppressAutoHyphens/>
              <w:rPr>
                <w:rFonts w:ascii="Times New Roman" w:hAnsi="Times New Roman"/>
                <w:sz w:val="24"/>
              </w:rPr>
            </w:pPr>
            <w:r>
              <w:rPr>
                <w:rFonts w:ascii="Times New Roman" w:hAnsi="Times New Roman"/>
                <w:sz w:val="24"/>
              </w:rPr>
              <w:t>Se non sono utilizzate stime interne della LGD, si tiene con</w:t>
            </w:r>
            <w:r w:rsidR="00184FE9">
              <w:rPr>
                <w:rFonts w:ascii="Times New Roman" w:hAnsi="Times New Roman"/>
                <w:sz w:val="24"/>
              </w:rPr>
              <w:t>to dell</w:t>
            </w:r>
            <w:r w:rsidR="000878EC">
              <w:rPr>
                <w:rFonts w:ascii="Times New Roman" w:hAnsi="Times New Roman"/>
                <w:sz w:val="24"/>
              </w:rPr>
              <w:t>'</w:t>
            </w:r>
            <w:r w:rsidR="00184FE9">
              <w:rPr>
                <w:rFonts w:ascii="Times New Roman" w:hAnsi="Times New Roman"/>
                <w:sz w:val="24"/>
              </w:rPr>
              <w:t>articolo 228, paragrafo </w:t>
            </w:r>
            <w:r>
              <w:rPr>
                <w:rFonts w:ascii="Times New Roman" w:hAnsi="Times New Roman"/>
                <w:sz w:val="24"/>
              </w:rPr>
              <w:t>2, dell</w:t>
            </w:r>
            <w:r w:rsidR="000878EC">
              <w:rPr>
                <w:rFonts w:ascii="Times New Roman" w:hAnsi="Times New Roman"/>
                <w:sz w:val="24"/>
              </w:rPr>
              <w:t>'</w:t>
            </w:r>
            <w:r>
              <w:rPr>
                <w:rFonts w:ascii="Times New Roman" w:hAnsi="Times New Roman"/>
                <w:sz w:val="24"/>
              </w:rPr>
              <w:t>articolo 230, paragrafi 1 e 2, e dell</w:t>
            </w:r>
            <w:r w:rsidR="000878EC">
              <w:rPr>
                <w:rFonts w:ascii="Times New Roman" w:hAnsi="Times New Roman"/>
                <w:sz w:val="24"/>
              </w:rPr>
              <w:t>'</w:t>
            </w:r>
            <w:r>
              <w:rPr>
                <w:rFonts w:ascii="Times New Roman" w:hAnsi="Times New Roman"/>
                <w:sz w:val="24"/>
              </w:rPr>
              <w:t>articolo 231 del CRR.</w:t>
            </w:r>
          </w:p>
          <w:p w:rsidR="001C7AB7" w:rsidRPr="00661595" w:rsidRDefault="00C61FF5" w:rsidP="00604D31">
            <w:pPr>
              <w:suppressAutoHyphens/>
              <w:rPr>
                <w:rFonts w:ascii="Times New Roman" w:hAnsi="Times New Roman"/>
                <w:sz w:val="24"/>
              </w:rPr>
            </w:pPr>
            <w:r>
              <w:rPr>
                <w:rFonts w:ascii="Times New Roman" w:hAnsi="Times New Roman"/>
                <w:sz w:val="24"/>
              </w:rPr>
              <w:t xml:space="preserve">Se sono utilizzate stime interne della LGD: </w:t>
            </w:r>
          </w:p>
          <w:p w:rsidR="001C7AB7" w:rsidRPr="00661595" w:rsidRDefault="001C7AB7" w:rsidP="00604D31">
            <w:pPr>
              <w:suppressAutoHyphens/>
              <w:rPr>
                <w:rFonts w:ascii="Times New Roman" w:hAnsi="Times New Roman"/>
                <w:sz w:val="24"/>
              </w:rPr>
            </w:pPr>
            <w:r>
              <w:rPr>
                <w:rFonts w:ascii="Times New Roman" w:hAnsi="Times New Roman"/>
                <w:sz w:val="24"/>
              </w:rPr>
              <w:t>- nel caso di protezione del credito di tipo personale, per le esposizioni verso amministrazioni centrali, banche centrali, enti e imprese si tiene conto dell</w:t>
            </w:r>
            <w:r w:rsidR="000878EC">
              <w:rPr>
                <w:rFonts w:ascii="Times New Roman" w:hAnsi="Times New Roman"/>
                <w:sz w:val="24"/>
              </w:rPr>
              <w:t>'</w:t>
            </w:r>
            <w:r>
              <w:rPr>
                <w:rFonts w:ascii="Times New Roman" w:hAnsi="Times New Roman"/>
                <w:sz w:val="24"/>
              </w:rPr>
              <w:t>articolo 161, paragrafo 3, del CRR; per le esposizioni al dettaglio si tiene conto dell</w:t>
            </w:r>
            <w:r w:rsidR="000878EC">
              <w:rPr>
                <w:rFonts w:ascii="Times New Roman" w:hAnsi="Times New Roman"/>
                <w:sz w:val="24"/>
              </w:rPr>
              <w:t>'</w:t>
            </w:r>
            <w:r>
              <w:rPr>
                <w:rFonts w:ascii="Times New Roman" w:hAnsi="Times New Roman"/>
                <w:sz w:val="24"/>
              </w:rPr>
              <w:t>articolo 164, paragrafo 2, del CRR;</w:t>
            </w:r>
          </w:p>
          <w:p w:rsidR="001C7AB7" w:rsidRPr="00661595" w:rsidRDefault="001C7AB7" w:rsidP="00604D31">
            <w:pPr>
              <w:suppressAutoHyphens/>
              <w:rPr>
                <w:rFonts w:ascii="Times New Roman" w:hAnsi="Times New Roman"/>
                <w:b/>
                <w:sz w:val="24"/>
                <w:u w:val="single"/>
              </w:rPr>
            </w:pPr>
            <w:r>
              <w:rPr>
                <w:rFonts w:ascii="Times New Roman" w:hAnsi="Times New Roman"/>
                <w:sz w:val="24"/>
              </w:rPr>
              <w:t>- nel caso di protezione del credito di tipo reale, le garanzie reali sono prese in considerazione nelle stime della LGD conformemente all</w:t>
            </w:r>
            <w:r w:rsidR="000878EC">
              <w:rPr>
                <w:rFonts w:ascii="Times New Roman" w:hAnsi="Times New Roman"/>
                <w:sz w:val="24"/>
              </w:rPr>
              <w:t>'</w:t>
            </w:r>
            <w:r>
              <w:rPr>
                <w:rFonts w:ascii="Times New Roman" w:hAnsi="Times New Roman"/>
                <w:sz w:val="24"/>
              </w:rPr>
              <w:t>articolo 181, paragrafo 1, lettere e) ed f), del CRR.</w:t>
            </w:r>
          </w:p>
        </w:tc>
      </w:tr>
      <w:tr w:rsidR="001C7AB7" w:rsidRPr="00661595" w:rsidTr="00672D2A">
        <w:trPr>
          <w:trHeight w:val="957"/>
        </w:trPr>
        <w:tc>
          <w:tcPr>
            <w:tcW w:w="1188" w:type="dxa"/>
          </w:tcPr>
          <w:p w:rsidR="001C7AB7" w:rsidRPr="00661595" w:rsidRDefault="00FF15C6" w:rsidP="001C7AB7">
            <w:pPr>
              <w:rPr>
                <w:rFonts w:ascii="Times New Roman" w:hAnsi="Times New Roman"/>
                <w:sz w:val="24"/>
              </w:rPr>
            </w:pPr>
            <w:r>
              <w:rPr>
                <w:rFonts w:ascii="Times New Roman" w:hAnsi="Times New Roman"/>
                <w:sz w:val="24"/>
              </w:rPr>
              <w:t>0150</w:t>
            </w:r>
          </w:p>
        </w:tc>
        <w:tc>
          <w:tcPr>
            <w:tcW w:w="8843" w:type="dxa"/>
          </w:tcPr>
          <w:p w:rsidR="001C7AB7" w:rsidRPr="00661595" w:rsidRDefault="001C7AB7" w:rsidP="00604D31">
            <w:pPr>
              <w:suppressAutoHyphens/>
              <w:rPr>
                <w:rFonts w:ascii="Times New Roman" w:hAnsi="Times New Roman"/>
                <w:b/>
                <w:sz w:val="24"/>
                <w:u w:val="single"/>
              </w:rPr>
            </w:pPr>
            <w:r>
              <w:rPr>
                <w:rFonts w:ascii="Times New Roman" w:hAnsi="Times New Roman"/>
                <w:b/>
                <w:sz w:val="24"/>
                <w:u w:val="single"/>
              </w:rPr>
              <w:t xml:space="preserve">GARANZIE </w:t>
            </w:r>
          </w:p>
          <w:p w:rsidR="001C7AB7" w:rsidRPr="00661595" w:rsidRDefault="001C7AB7" w:rsidP="00604D31">
            <w:pPr>
              <w:suppressAutoHyphens/>
              <w:jc w:val="left"/>
              <w:rPr>
                <w:rFonts w:ascii="Times New Roman" w:hAnsi="Times New Roman"/>
                <w:b/>
                <w:sz w:val="24"/>
                <w:u w:val="single"/>
              </w:rPr>
            </w:pPr>
            <w:r>
              <w:rPr>
                <w:rFonts w:ascii="Times New Roman" w:hAnsi="Times New Roman"/>
                <w:sz w:val="24"/>
              </w:rPr>
              <w:t>Cfr. le istruzioni relative alla colonna 0040.</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0160</w:t>
            </w:r>
          </w:p>
        </w:tc>
        <w:tc>
          <w:tcPr>
            <w:tcW w:w="8843" w:type="dxa"/>
          </w:tcPr>
          <w:p w:rsidR="001C7AB7" w:rsidRPr="00661595" w:rsidRDefault="001C7AB7" w:rsidP="00604D31">
            <w:pPr>
              <w:suppressAutoHyphens/>
              <w:rPr>
                <w:rFonts w:ascii="Times New Roman" w:hAnsi="Times New Roman"/>
                <w:b/>
                <w:sz w:val="24"/>
                <w:u w:val="single"/>
              </w:rPr>
            </w:pPr>
            <w:r>
              <w:rPr>
                <w:rFonts w:ascii="Times New Roman" w:hAnsi="Times New Roman"/>
                <w:b/>
                <w:sz w:val="24"/>
                <w:u w:val="single"/>
              </w:rPr>
              <w:t xml:space="preserve">DERIVATI SU CREDITI </w:t>
            </w:r>
          </w:p>
          <w:p w:rsidR="001C7AB7" w:rsidRPr="00661595" w:rsidRDefault="001C7AB7" w:rsidP="00604D31">
            <w:pPr>
              <w:suppressAutoHyphens/>
              <w:rPr>
                <w:rFonts w:ascii="Times New Roman" w:hAnsi="Times New Roman"/>
                <w:sz w:val="24"/>
              </w:rPr>
            </w:pPr>
            <w:r>
              <w:rPr>
                <w:rFonts w:ascii="Times New Roman" w:hAnsi="Times New Roman"/>
                <w:sz w:val="24"/>
              </w:rPr>
              <w:t>Cfr. le istruzioni relative alla colonna 0050.</w:t>
            </w:r>
          </w:p>
        </w:tc>
      </w:tr>
      <w:tr w:rsidR="001C7AB7" w:rsidRPr="00661595" w:rsidTr="00672D2A">
        <w:tc>
          <w:tcPr>
            <w:tcW w:w="1188" w:type="dxa"/>
          </w:tcPr>
          <w:p w:rsidR="001C7AB7" w:rsidRPr="00661595" w:rsidRDefault="00FF15C6" w:rsidP="001C7AB7">
            <w:pPr>
              <w:rPr>
                <w:rFonts w:ascii="Times New Roman" w:hAnsi="Times New Roman"/>
                <w:sz w:val="24"/>
              </w:rPr>
            </w:pPr>
            <w:r>
              <w:rPr>
                <w:rFonts w:ascii="Times New Roman" w:hAnsi="Times New Roman"/>
                <w:sz w:val="24"/>
              </w:rPr>
              <w:t>0170</w:t>
            </w:r>
          </w:p>
        </w:tc>
        <w:tc>
          <w:tcPr>
            <w:tcW w:w="8843" w:type="dxa"/>
          </w:tcPr>
          <w:p w:rsidR="001C7AB7" w:rsidRPr="00661595" w:rsidRDefault="001C7AB7" w:rsidP="00604D31">
            <w:pPr>
              <w:suppressAutoHyphens/>
              <w:rPr>
                <w:rFonts w:ascii="Times New Roman" w:hAnsi="Times New Roman"/>
                <w:b/>
                <w:sz w:val="24"/>
                <w:u w:val="single"/>
              </w:rPr>
            </w:pPr>
            <w:r>
              <w:rPr>
                <w:rFonts w:ascii="Times New Roman" w:hAnsi="Times New Roman"/>
                <w:b/>
                <w:sz w:val="24"/>
                <w:u w:val="single"/>
              </w:rPr>
              <w:t xml:space="preserve">UTILIZZO DI STIME INTERNE DELLA LGD: ALTRA PROTEZIONE DEL CREDITO DI TIPO REALE </w:t>
            </w:r>
          </w:p>
          <w:p w:rsidR="001C7AB7" w:rsidRPr="00661595" w:rsidRDefault="001C7AB7" w:rsidP="00604D31">
            <w:pPr>
              <w:suppressAutoHyphens/>
              <w:rPr>
                <w:rStyle w:val="InstructionsTabelleText"/>
                <w:rFonts w:ascii="Times New Roman" w:hAnsi="Times New Roman"/>
                <w:sz w:val="24"/>
              </w:rPr>
            </w:pPr>
            <w:r>
              <w:rPr>
                <w:rStyle w:val="InstructionsTabelleText"/>
                <w:rFonts w:ascii="Times New Roman" w:hAnsi="Times New Roman"/>
                <w:sz w:val="24"/>
              </w:rPr>
              <w:t>Valore pertinente utilizzato nella modellizzazione interna dell</w:t>
            </w:r>
            <w:r w:rsidR="000878EC">
              <w:rPr>
                <w:rStyle w:val="InstructionsTabelleText"/>
                <w:rFonts w:ascii="Times New Roman" w:hAnsi="Times New Roman"/>
                <w:sz w:val="24"/>
              </w:rPr>
              <w:t>'</w:t>
            </w:r>
            <w:r>
              <w:rPr>
                <w:rStyle w:val="InstructionsTabelleText"/>
                <w:rFonts w:ascii="Times New Roman" w:hAnsi="Times New Roman"/>
                <w:sz w:val="24"/>
              </w:rPr>
              <w:t>ente.</w:t>
            </w:r>
          </w:p>
          <w:p w:rsidR="001C7AB7" w:rsidRPr="00661595" w:rsidRDefault="001C7AB7" w:rsidP="00604D31">
            <w:pPr>
              <w:suppressAutoHyphens/>
              <w:rPr>
                <w:rFonts w:ascii="Times New Roman" w:hAnsi="Times New Roman"/>
                <w:sz w:val="24"/>
              </w:rPr>
            </w:pPr>
            <w:r>
              <w:rPr>
                <w:rFonts w:ascii="Times New Roman" w:hAnsi="Times New Roman"/>
                <w:sz w:val="24"/>
              </w:rPr>
              <w:t>Strumenti di attenuazione del rischio di credito conformi ai criteri di cui all</w:t>
            </w:r>
            <w:r w:rsidR="000878EC">
              <w:rPr>
                <w:rFonts w:ascii="Times New Roman" w:hAnsi="Times New Roman"/>
                <w:sz w:val="24"/>
              </w:rPr>
              <w:t>'</w:t>
            </w:r>
            <w:r>
              <w:rPr>
                <w:rFonts w:ascii="Times New Roman" w:hAnsi="Times New Roman"/>
                <w:sz w:val="24"/>
              </w:rPr>
              <w:t xml:space="preserve">articolo 212 del CRR. </w:t>
            </w:r>
          </w:p>
        </w:tc>
      </w:tr>
      <w:tr w:rsidR="008D24A6" w:rsidRPr="00661595" w:rsidTr="00672D2A">
        <w:tc>
          <w:tcPr>
            <w:tcW w:w="1188" w:type="dxa"/>
          </w:tcPr>
          <w:p w:rsidR="008D24A6" w:rsidRPr="00661595" w:rsidRDefault="00FF15C6" w:rsidP="008D24A6">
            <w:pPr>
              <w:rPr>
                <w:rFonts w:ascii="Times New Roman" w:hAnsi="Times New Roman"/>
                <w:sz w:val="24"/>
              </w:rPr>
            </w:pPr>
            <w:r>
              <w:rPr>
                <w:rFonts w:ascii="Times New Roman" w:hAnsi="Times New Roman"/>
                <w:sz w:val="24"/>
              </w:rPr>
              <w:t>0171</w:t>
            </w:r>
          </w:p>
        </w:tc>
        <w:tc>
          <w:tcPr>
            <w:tcW w:w="8843" w:type="dxa"/>
          </w:tcPr>
          <w:p w:rsidR="008D24A6" w:rsidRPr="00661595" w:rsidRDefault="008D24A6" w:rsidP="00604D31">
            <w:pPr>
              <w:suppressAutoHyphens/>
              <w:rPr>
                <w:rFonts w:ascii="Times New Roman" w:hAnsi="Times New Roman"/>
                <w:b/>
                <w:sz w:val="24"/>
                <w:u w:val="single"/>
              </w:rPr>
            </w:pPr>
            <w:r>
              <w:rPr>
                <w:rFonts w:ascii="Times New Roman" w:hAnsi="Times New Roman"/>
                <w:b/>
                <w:sz w:val="24"/>
                <w:u w:val="single"/>
              </w:rPr>
              <w:t>DEPOSITI IN CONTANTE</w:t>
            </w:r>
          </w:p>
          <w:p w:rsidR="00B85B8C" w:rsidRDefault="008D24A6" w:rsidP="00604D31">
            <w:pPr>
              <w:suppressAutoHyphens/>
              <w:rPr>
                <w:rFonts w:ascii="Times New Roman" w:hAnsi="Times New Roman"/>
                <w:sz w:val="24"/>
              </w:rPr>
            </w:pPr>
            <w:r>
              <w:rPr>
                <w:rFonts w:ascii="Times New Roman" w:hAnsi="Times New Roman"/>
                <w:sz w:val="24"/>
              </w:rPr>
              <w:t xml:space="preserve">Articolo 200, lettera a), del CRR </w:t>
            </w:r>
          </w:p>
          <w:p w:rsidR="008D24A6" w:rsidRPr="00661595" w:rsidRDefault="008D24A6" w:rsidP="00604D31">
            <w:pPr>
              <w:suppressAutoHyphens/>
              <w:rPr>
                <w:rFonts w:ascii="Times New Roman" w:hAnsi="Times New Roman"/>
                <w:b/>
                <w:sz w:val="24"/>
                <w:u w:val="single"/>
              </w:rPr>
            </w:pPr>
            <w:r>
              <w:rPr>
                <w:rFonts w:ascii="Times New Roman" w:hAnsi="Times New Roman"/>
                <w:sz w:val="24"/>
              </w:rPr>
              <w:t>I depositi in contante presso un ente terzo o gli strumenti assimilati detenuti da tale ente non nel quadro di un servizio di custodia e costituiti in garanzia a favore dell</w:t>
            </w:r>
            <w:r w:rsidR="000878EC">
              <w:rPr>
                <w:rFonts w:ascii="Times New Roman" w:hAnsi="Times New Roman"/>
                <w:sz w:val="24"/>
              </w:rPr>
              <w:t>'</w:t>
            </w:r>
            <w:r>
              <w:rPr>
                <w:rFonts w:ascii="Times New Roman" w:hAnsi="Times New Roman"/>
                <w:sz w:val="24"/>
              </w:rPr>
              <w:t>ente prestatore. Il valore delle garanzie reali segnalate è limitato al valore dell</w:t>
            </w:r>
            <w:r w:rsidR="000878EC">
              <w:rPr>
                <w:rFonts w:ascii="Times New Roman" w:hAnsi="Times New Roman"/>
                <w:sz w:val="24"/>
              </w:rPr>
              <w:t>'</w:t>
            </w:r>
            <w:r>
              <w:rPr>
                <w:rFonts w:ascii="Times New Roman" w:hAnsi="Times New Roman"/>
                <w:sz w:val="24"/>
              </w:rPr>
              <w:t>esposizione a livello di singola esposizione.</w:t>
            </w:r>
          </w:p>
        </w:tc>
      </w:tr>
      <w:tr w:rsidR="008D24A6" w:rsidRPr="00661595" w:rsidTr="00672D2A">
        <w:tc>
          <w:tcPr>
            <w:tcW w:w="1188" w:type="dxa"/>
          </w:tcPr>
          <w:p w:rsidR="008D24A6" w:rsidRPr="00661595" w:rsidRDefault="00FF15C6" w:rsidP="008D24A6">
            <w:pPr>
              <w:rPr>
                <w:rFonts w:ascii="Times New Roman" w:hAnsi="Times New Roman"/>
                <w:sz w:val="24"/>
              </w:rPr>
            </w:pPr>
            <w:r>
              <w:rPr>
                <w:rFonts w:ascii="Times New Roman" w:hAnsi="Times New Roman"/>
                <w:sz w:val="24"/>
              </w:rPr>
              <w:t>0172</w:t>
            </w:r>
          </w:p>
        </w:tc>
        <w:tc>
          <w:tcPr>
            <w:tcW w:w="8843" w:type="dxa"/>
          </w:tcPr>
          <w:p w:rsidR="008D24A6" w:rsidRPr="00661595" w:rsidRDefault="008D24A6" w:rsidP="00604D31">
            <w:pPr>
              <w:suppressAutoHyphens/>
              <w:rPr>
                <w:rFonts w:ascii="Times New Roman" w:hAnsi="Times New Roman"/>
                <w:b/>
                <w:sz w:val="24"/>
                <w:u w:val="single"/>
              </w:rPr>
            </w:pPr>
            <w:r>
              <w:rPr>
                <w:rFonts w:ascii="Times New Roman" w:hAnsi="Times New Roman"/>
                <w:b/>
                <w:sz w:val="24"/>
                <w:u w:val="single"/>
              </w:rPr>
              <w:t>POLIZZE DI ASSICURAZIONE VITA</w:t>
            </w:r>
          </w:p>
          <w:p w:rsidR="00B85B8C" w:rsidRDefault="008D24A6" w:rsidP="00604D31">
            <w:pPr>
              <w:suppressAutoHyphens/>
              <w:rPr>
                <w:rFonts w:ascii="Times New Roman" w:hAnsi="Times New Roman"/>
                <w:sz w:val="24"/>
              </w:rPr>
            </w:pPr>
            <w:r>
              <w:rPr>
                <w:rFonts w:ascii="Times New Roman" w:hAnsi="Times New Roman"/>
                <w:sz w:val="24"/>
              </w:rPr>
              <w:t xml:space="preserve">Articolo 200, lettera b), del CRR </w:t>
            </w:r>
          </w:p>
          <w:p w:rsidR="008D24A6" w:rsidRPr="00661595" w:rsidRDefault="008D24A6" w:rsidP="00604D31">
            <w:pPr>
              <w:suppressAutoHyphens/>
              <w:rPr>
                <w:rFonts w:ascii="Times New Roman" w:hAnsi="Times New Roman"/>
                <w:b/>
                <w:sz w:val="24"/>
                <w:u w:val="single"/>
              </w:rPr>
            </w:pPr>
            <w:r>
              <w:rPr>
                <w:rFonts w:ascii="Times New Roman" w:hAnsi="Times New Roman"/>
                <w:sz w:val="24"/>
              </w:rPr>
              <w:t>Il valore delle garanzie reali segnalate è limitato al valore dell</w:t>
            </w:r>
            <w:r w:rsidR="000878EC">
              <w:rPr>
                <w:rFonts w:ascii="Times New Roman" w:hAnsi="Times New Roman"/>
                <w:sz w:val="24"/>
              </w:rPr>
              <w:t>'</w:t>
            </w:r>
            <w:r>
              <w:rPr>
                <w:rFonts w:ascii="Times New Roman" w:hAnsi="Times New Roman"/>
                <w:sz w:val="24"/>
              </w:rPr>
              <w:t>esposizione a livello di singola esposizione.</w:t>
            </w:r>
          </w:p>
        </w:tc>
      </w:tr>
      <w:tr w:rsidR="008D24A6" w:rsidRPr="00661595" w:rsidTr="00672D2A">
        <w:tc>
          <w:tcPr>
            <w:tcW w:w="1188" w:type="dxa"/>
          </w:tcPr>
          <w:p w:rsidR="008D24A6" w:rsidRPr="00661595" w:rsidRDefault="00FF15C6" w:rsidP="008D24A6">
            <w:pPr>
              <w:rPr>
                <w:rFonts w:ascii="Times New Roman" w:hAnsi="Times New Roman"/>
                <w:sz w:val="24"/>
              </w:rPr>
            </w:pPr>
            <w:r>
              <w:rPr>
                <w:rFonts w:ascii="Times New Roman" w:hAnsi="Times New Roman"/>
                <w:sz w:val="24"/>
              </w:rPr>
              <w:t>0173</w:t>
            </w:r>
          </w:p>
        </w:tc>
        <w:tc>
          <w:tcPr>
            <w:tcW w:w="8843" w:type="dxa"/>
          </w:tcPr>
          <w:p w:rsidR="008D24A6" w:rsidRPr="00661595" w:rsidRDefault="008D24A6" w:rsidP="00604D31">
            <w:pPr>
              <w:suppressAutoHyphens/>
              <w:rPr>
                <w:rFonts w:ascii="Times New Roman" w:hAnsi="Times New Roman"/>
                <w:b/>
                <w:sz w:val="24"/>
                <w:u w:val="single"/>
              </w:rPr>
            </w:pPr>
            <w:r>
              <w:rPr>
                <w:rFonts w:ascii="Times New Roman" w:hAnsi="Times New Roman"/>
                <w:b/>
                <w:sz w:val="24"/>
                <w:u w:val="single"/>
              </w:rPr>
              <w:t>STRUMENTI DETENUTI DA TERZI</w:t>
            </w:r>
          </w:p>
          <w:p w:rsidR="00B85B8C" w:rsidRDefault="008D24A6" w:rsidP="00604D31">
            <w:pPr>
              <w:suppressAutoHyphens/>
              <w:rPr>
                <w:rFonts w:ascii="Times New Roman" w:hAnsi="Times New Roman"/>
                <w:sz w:val="24"/>
              </w:rPr>
            </w:pPr>
            <w:r>
              <w:rPr>
                <w:rFonts w:ascii="Times New Roman" w:hAnsi="Times New Roman"/>
                <w:sz w:val="24"/>
              </w:rPr>
              <w:t xml:space="preserve">Articolo 200, lettera c), del CRR </w:t>
            </w:r>
          </w:p>
          <w:p w:rsidR="008D24A6" w:rsidRPr="00661595" w:rsidRDefault="008D24A6" w:rsidP="00604D31">
            <w:pPr>
              <w:suppressAutoHyphens/>
              <w:rPr>
                <w:rFonts w:ascii="Times New Roman" w:hAnsi="Times New Roman"/>
                <w:b/>
                <w:sz w:val="24"/>
                <w:u w:val="single"/>
              </w:rPr>
            </w:pPr>
            <w:r>
              <w:rPr>
                <w:rFonts w:ascii="Times New Roman" w:hAnsi="Times New Roman"/>
                <w:sz w:val="24"/>
              </w:rPr>
              <w:t>Riguarda gli strumenti emessi da enti terzi che saranno riacquistati da tali enti su richiesta. Il valore delle garanzie reali segnalate è limitato al valore dell</w:t>
            </w:r>
            <w:r w:rsidR="000878EC">
              <w:rPr>
                <w:rFonts w:ascii="Times New Roman" w:hAnsi="Times New Roman"/>
                <w:sz w:val="24"/>
              </w:rPr>
              <w:t>'</w:t>
            </w:r>
            <w:r>
              <w:rPr>
                <w:rFonts w:ascii="Times New Roman" w:hAnsi="Times New Roman"/>
                <w:sz w:val="24"/>
              </w:rPr>
              <w:t>esposizione a livello di singola esposizione. In questa colonna sono escluse le esposizioni coperte da strumenti detenuti da terzi quando, conformemente all</w:t>
            </w:r>
            <w:r w:rsidR="000878EC">
              <w:rPr>
                <w:rFonts w:ascii="Times New Roman" w:hAnsi="Times New Roman"/>
                <w:sz w:val="24"/>
              </w:rPr>
              <w:t>'</w:t>
            </w:r>
            <w:r>
              <w:rPr>
                <w:rFonts w:ascii="Times New Roman" w:hAnsi="Times New Roman"/>
                <w:sz w:val="24"/>
              </w:rPr>
              <w:t>articolo 232, paragrafo 4, del CRR, gli enti trattano gli strumenti riacquistati su richiesta che sono amm</w:t>
            </w:r>
            <w:r w:rsidR="00184FE9">
              <w:rPr>
                <w:rFonts w:ascii="Times New Roman" w:hAnsi="Times New Roman"/>
                <w:sz w:val="24"/>
              </w:rPr>
              <w:t>issibili ai sensi dell</w:t>
            </w:r>
            <w:r w:rsidR="000878EC">
              <w:rPr>
                <w:rFonts w:ascii="Times New Roman" w:hAnsi="Times New Roman"/>
                <w:sz w:val="24"/>
              </w:rPr>
              <w:t>'</w:t>
            </w:r>
            <w:r w:rsidR="00184FE9">
              <w:rPr>
                <w:rFonts w:ascii="Times New Roman" w:hAnsi="Times New Roman"/>
                <w:sz w:val="24"/>
              </w:rPr>
              <w:t>articolo </w:t>
            </w:r>
            <w:r>
              <w:rPr>
                <w:rFonts w:ascii="Times New Roman" w:hAnsi="Times New Roman"/>
                <w:sz w:val="24"/>
              </w:rPr>
              <w:t>200, lettera c), del CRR come garanzia dell</w:t>
            </w:r>
            <w:r w:rsidR="000878EC">
              <w:rPr>
                <w:rFonts w:ascii="Times New Roman" w:hAnsi="Times New Roman"/>
                <w:sz w:val="24"/>
              </w:rPr>
              <w:t>'</w:t>
            </w:r>
            <w:r>
              <w:rPr>
                <w:rFonts w:ascii="Times New Roman" w:hAnsi="Times New Roman"/>
                <w:sz w:val="24"/>
              </w:rPr>
              <w:t>ente emittente.</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0180</w:t>
            </w:r>
          </w:p>
        </w:tc>
        <w:tc>
          <w:tcPr>
            <w:tcW w:w="8843" w:type="dxa"/>
          </w:tcPr>
          <w:p w:rsidR="008D24A6" w:rsidRPr="00661595" w:rsidRDefault="008D24A6" w:rsidP="00604D31">
            <w:pPr>
              <w:suppressAutoHyphens/>
              <w:rPr>
                <w:rFonts w:ascii="Times New Roman" w:hAnsi="Times New Roman"/>
                <w:b/>
                <w:sz w:val="24"/>
                <w:u w:val="single"/>
              </w:rPr>
            </w:pPr>
            <w:r>
              <w:rPr>
                <w:rFonts w:ascii="Times New Roman" w:hAnsi="Times New Roman"/>
                <w:b/>
                <w:sz w:val="24"/>
                <w:u w:val="single"/>
              </w:rPr>
              <w:t>GARANZIE REALI FINANZIARIE AMMISSIBILI</w:t>
            </w:r>
          </w:p>
          <w:p w:rsidR="008D24A6" w:rsidRPr="00661595" w:rsidRDefault="008D24A6" w:rsidP="00604D31">
            <w:pPr>
              <w:suppressAutoHyphens/>
              <w:rPr>
                <w:rFonts w:ascii="Times New Roman" w:hAnsi="Times New Roman"/>
                <w:sz w:val="24"/>
              </w:rPr>
            </w:pPr>
            <w:r>
              <w:rPr>
                <w:rFonts w:ascii="Times New Roman" w:hAnsi="Times New Roman"/>
                <w:sz w:val="24"/>
              </w:rPr>
              <w:t>Nel caso delle operazioni interne al portafoglio di negoziazione, sono compresi gli strumenti finanziari e le merci ammissibili come esposizioni nel portafoglio di negoziazione conformemente all</w:t>
            </w:r>
            <w:r w:rsidR="000878EC">
              <w:rPr>
                <w:rFonts w:ascii="Times New Roman" w:hAnsi="Times New Roman"/>
                <w:sz w:val="24"/>
              </w:rPr>
              <w:t>'</w:t>
            </w:r>
            <w:r>
              <w:rPr>
                <w:rFonts w:ascii="Times New Roman" w:hAnsi="Times New Roman"/>
                <w:sz w:val="24"/>
              </w:rPr>
              <w:t>articolo 299, paragrafo 2, lettere da c) a f), del CRR. Conformemente alla parte tre, titolo II, capo 4, sezione 4, del CRR, le credit linked note e la compensazione in bilancio sono trattate come garanzie in contante.</w:t>
            </w:r>
          </w:p>
          <w:p w:rsidR="008D24A6" w:rsidRPr="00661595" w:rsidRDefault="008D24A6" w:rsidP="00604D31">
            <w:pPr>
              <w:suppressAutoHyphens/>
              <w:rPr>
                <w:rFonts w:ascii="Times New Roman" w:hAnsi="Times New Roman"/>
                <w:sz w:val="24"/>
              </w:rPr>
            </w:pPr>
            <w:r>
              <w:rPr>
                <w:rFonts w:ascii="Times New Roman" w:hAnsi="Times New Roman"/>
                <w:sz w:val="24"/>
              </w:rPr>
              <w:t>Se non sono utilizzate stime interne della LGD, per le garanzie reali finanziarie ammissibili ai sensi dell</w:t>
            </w:r>
            <w:r w:rsidR="000878EC">
              <w:rPr>
                <w:rFonts w:ascii="Times New Roman" w:hAnsi="Times New Roman"/>
                <w:sz w:val="24"/>
              </w:rPr>
              <w:t>'</w:t>
            </w:r>
            <w:r>
              <w:rPr>
                <w:rFonts w:ascii="Times New Roman" w:hAnsi="Times New Roman"/>
                <w:sz w:val="24"/>
              </w:rPr>
              <w:t>articolo 197 del CRR è segnalato il valore corretto (Cvam) di cui all</w:t>
            </w:r>
            <w:r w:rsidR="000878EC">
              <w:rPr>
                <w:rFonts w:ascii="Times New Roman" w:hAnsi="Times New Roman"/>
                <w:sz w:val="24"/>
              </w:rPr>
              <w:t>'</w:t>
            </w:r>
            <w:r>
              <w:rPr>
                <w:rFonts w:ascii="Times New Roman" w:hAnsi="Times New Roman"/>
                <w:sz w:val="24"/>
              </w:rPr>
              <w:t>articolo 223, paragrafo 2, del CRR.</w:t>
            </w:r>
          </w:p>
          <w:p w:rsidR="008D24A6" w:rsidRPr="00661595" w:rsidRDefault="008D24A6" w:rsidP="00184FE9">
            <w:pPr>
              <w:keepNext/>
              <w:keepLines/>
              <w:suppressAutoHyphens/>
              <w:rPr>
                <w:rFonts w:ascii="Times New Roman" w:hAnsi="Times New Roman"/>
                <w:b/>
                <w:sz w:val="24"/>
                <w:u w:val="single"/>
              </w:rPr>
            </w:pPr>
            <w:r>
              <w:rPr>
                <w:rFonts w:ascii="Times New Roman" w:hAnsi="Times New Roman"/>
                <w:sz w:val="24"/>
              </w:rPr>
              <w:t>Se sono utilizzate stime interne della LGD, le garanzie reali finanziarie sono prese in considerazione nelle stime della LGD conformemente all</w:t>
            </w:r>
            <w:r w:rsidR="000878EC">
              <w:rPr>
                <w:rFonts w:ascii="Times New Roman" w:hAnsi="Times New Roman"/>
                <w:sz w:val="24"/>
              </w:rPr>
              <w:t>'</w:t>
            </w:r>
            <w:r>
              <w:rPr>
                <w:rFonts w:ascii="Times New Roman" w:hAnsi="Times New Roman"/>
                <w:sz w:val="24"/>
              </w:rPr>
              <w:t>art</w:t>
            </w:r>
            <w:r w:rsidR="00184FE9">
              <w:rPr>
                <w:rFonts w:ascii="Times New Roman" w:hAnsi="Times New Roman"/>
                <w:sz w:val="24"/>
              </w:rPr>
              <w:t>icolo 181, paragrafo 1, lettere </w:t>
            </w:r>
            <w:r>
              <w:rPr>
                <w:rFonts w:ascii="Times New Roman" w:hAnsi="Times New Roman"/>
                <w:sz w:val="24"/>
              </w:rPr>
              <w:t>e) ed f), del CRR. L</w:t>
            </w:r>
            <w:r w:rsidR="000878EC">
              <w:rPr>
                <w:rFonts w:ascii="Times New Roman" w:hAnsi="Times New Roman"/>
                <w:sz w:val="24"/>
              </w:rPr>
              <w:t>'</w:t>
            </w:r>
            <w:r>
              <w:rPr>
                <w:rFonts w:ascii="Times New Roman" w:hAnsi="Times New Roman"/>
                <w:sz w:val="24"/>
              </w:rPr>
              <w:t>importo da segnalare è la stima del valore di mercato della garanzia.</w:t>
            </w:r>
          </w:p>
        </w:tc>
      </w:tr>
      <w:tr w:rsidR="008D24A6" w:rsidRPr="00661595" w:rsidTr="00672D2A">
        <w:tc>
          <w:tcPr>
            <w:tcW w:w="1188" w:type="dxa"/>
          </w:tcPr>
          <w:p w:rsidR="008D24A6" w:rsidRPr="00661595" w:rsidDel="001D4BE0" w:rsidRDefault="001452FC" w:rsidP="008D24A6">
            <w:pPr>
              <w:rPr>
                <w:rFonts w:ascii="Times New Roman" w:hAnsi="Times New Roman"/>
                <w:sz w:val="24"/>
              </w:rPr>
            </w:pPr>
            <w:r>
              <w:rPr>
                <w:rFonts w:ascii="Times New Roman" w:hAnsi="Times New Roman"/>
                <w:sz w:val="24"/>
              </w:rPr>
              <w:t>0190-0210</w:t>
            </w:r>
          </w:p>
        </w:tc>
        <w:tc>
          <w:tcPr>
            <w:tcW w:w="8843" w:type="dxa"/>
          </w:tcPr>
          <w:p w:rsidR="008D24A6" w:rsidRPr="00661595" w:rsidRDefault="008D24A6" w:rsidP="00604D31">
            <w:pPr>
              <w:suppressAutoHyphens/>
              <w:rPr>
                <w:rFonts w:ascii="Times New Roman" w:hAnsi="Times New Roman"/>
                <w:b/>
                <w:sz w:val="24"/>
                <w:u w:val="single"/>
              </w:rPr>
            </w:pPr>
            <w:r>
              <w:rPr>
                <w:rFonts w:ascii="Times New Roman" w:hAnsi="Times New Roman"/>
                <w:b/>
                <w:sz w:val="24"/>
                <w:u w:val="single"/>
              </w:rPr>
              <w:t>ALTRE GARANZIE REALI AMMISSIBILI</w:t>
            </w:r>
          </w:p>
          <w:p w:rsidR="008D24A6" w:rsidRPr="00661595" w:rsidRDefault="008D24A6" w:rsidP="00604D31">
            <w:pPr>
              <w:suppressAutoHyphens/>
              <w:rPr>
                <w:rFonts w:ascii="Times New Roman" w:hAnsi="Times New Roman"/>
                <w:sz w:val="24"/>
              </w:rPr>
            </w:pPr>
            <w:r>
              <w:rPr>
                <w:rFonts w:ascii="Times New Roman" w:hAnsi="Times New Roman"/>
                <w:sz w:val="24"/>
              </w:rPr>
              <w:t>Se non sono utilizzate stime interne della LGD, i valori sono determinati conformemente all</w:t>
            </w:r>
            <w:r w:rsidR="000878EC">
              <w:rPr>
                <w:rFonts w:ascii="Times New Roman" w:hAnsi="Times New Roman"/>
                <w:sz w:val="24"/>
              </w:rPr>
              <w:t>'</w:t>
            </w:r>
            <w:r>
              <w:rPr>
                <w:rFonts w:ascii="Times New Roman" w:hAnsi="Times New Roman"/>
                <w:sz w:val="24"/>
              </w:rPr>
              <w:t>articolo 199, paragrafi da 1 a 8, e all</w:t>
            </w:r>
            <w:r w:rsidR="000878EC">
              <w:rPr>
                <w:rFonts w:ascii="Times New Roman" w:hAnsi="Times New Roman"/>
                <w:sz w:val="24"/>
              </w:rPr>
              <w:t>'</w:t>
            </w:r>
            <w:r>
              <w:rPr>
                <w:rFonts w:ascii="Times New Roman" w:hAnsi="Times New Roman"/>
                <w:sz w:val="24"/>
              </w:rPr>
              <w:t>articolo 229 del CRR.</w:t>
            </w:r>
          </w:p>
          <w:p w:rsidR="008D24A6" w:rsidRPr="00661595" w:rsidRDefault="008D24A6" w:rsidP="00604D31">
            <w:pPr>
              <w:suppressAutoHyphens/>
              <w:rPr>
                <w:rFonts w:ascii="Times New Roman" w:hAnsi="Times New Roman"/>
                <w:b/>
                <w:sz w:val="24"/>
                <w:u w:val="single"/>
              </w:rPr>
            </w:pPr>
            <w:r>
              <w:rPr>
                <w:rFonts w:ascii="Times New Roman" w:hAnsi="Times New Roman"/>
                <w:sz w:val="24"/>
              </w:rPr>
              <w:t>Se sono utilizzate stime interne della LGD, le altre garanzie reali sono prese in considerazione nelle stime della LGD conformemente all</w:t>
            </w:r>
            <w:r w:rsidR="000878EC">
              <w:rPr>
                <w:rFonts w:ascii="Times New Roman" w:hAnsi="Times New Roman"/>
                <w:sz w:val="24"/>
              </w:rPr>
              <w:t>'</w:t>
            </w:r>
            <w:r>
              <w:rPr>
                <w:rFonts w:ascii="Times New Roman" w:hAnsi="Times New Roman"/>
                <w:sz w:val="24"/>
              </w:rPr>
              <w:t>art</w:t>
            </w:r>
            <w:r w:rsidR="00A65557">
              <w:rPr>
                <w:rFonts w:ascii="Times New Roman" w:hAnsi="Times New Roman"/>
                <w:sz w:val="24"/>
              </w:rPr>
              <w:t>icolo 181, paragrafo 1, lettere </w:t>
            </w:r>
            <w:r>
              <w:rPr>
                <w:rFonts w:ascii="Times New Roman" w:hAnsi="Times New Roman"/>
                <w:sz w:val="24"/>
              </w:rPr>
              <w:t>e) ed f), del CRR.</w:t>
            </w:r>
          </w:p>
        </w:tc>
      </w:tr>
      <w:tr w:rsidR="008D24A6" w:rsidRPr="00661595" w:rsidTr="00672D2A">
        <w:tc>
          <w:tcPr>
            <w:tcW w:w="1188" w:type="dxa"/>
          </w:tcPr>
          <w:p w:rsidR="008D24A6" w:rsidRPr="00661595" w:rsidRDefault="001452FC" w:rsidP="008D24A6">
            <w:pPr>
              <w:spacing w:line="240" w:lineRule="exact"/>
              <w:rPr>
                <w:rFonts w:ascii="Times New Roman" w:hAnsi="Times New Roman"/>
                <w:sz w:val="24"/>
              </w:rPr>
            </w:pPr>
            <w:r>
              <w:rPr>
                <w:rFonts w:ascii="Times New Roman" w:hAnsi="Times New Roman"/>
                <w:sz w:val="24"/>
              </w:rPr>
              <w:t>0190</w:t>
            </w:r>
          </w:p>
        </w:tc>
        <w:tc>
          <w:tcPr>
            <w:tcW w:w="8843" w:type="dxa"/>
          </w:tcPr>
          <w:p w:rsidR="008D24A6" w:rsidRPr="00661595" w:rsidRDefault="008D24A6" w:rsidP="00604D31">
            <w:pPr>
              <w:suppressAutoHyphens/>
              <w:spacing w:line="240" w:lineRule="exact"/>
              <w:rPr>
                <w:rFonts w:ascii="Times New Roman" w:hAnsi="Times New Roman"/>
                <w:sz w:val="24"/>
              </w:rPr>
            </w:pPr>
            <w:r>
              <w:rPr>
                <w:rFonts w:ascii="Times New Roman" w:hAnsi="Times New Roman"/>
                <w:b/>
                <w:sz w:val="24"/>
                <w:u w:val="single"/>
              </w:rPr>
              <w:t>IMMOBILI</w:t>
            </w:r>
          </w:p>
          <w:p w:rsidR="008D24A6" w:rsidRPr="00661595" w:rsidRDefault="008D24A6" w:rsidP="00604D31">
            <w:pPr>
              <w:suppressAutoHyphens/>
              <w:spacing w:line="240" w:lineRule="exact"/>
              <w:rPr>
                <w:rFonts w:ascii="Times New Roman" w:hAnsi="Times New Roman"/>
                <w:sz w:val="24"/>
              </w:rPr>
            </w:pPr>
            <w:r>
              <w:rPr>
                <w:rFonts w:ascii="Times New Roman" w:hAnsi="Times New Roman"/>
                <w:sz w:val="24"/>
              </w:rPr>
              <w:t>Se non sono utilizzate stime interne della LGD, i valori sono determinati conformemente all</w:t>
            </w:r>
            <w:r w:rsidR="000878EC">
              <w:rPr>
                <w:rFonts w:ascii="Times New Roman" w:hAnsi="Times New Roman"/>
                <w:sz w:val="24"/>
              </w:rPr>
              <w:t>'</w:t>
            </w:r>
            <w:r>
              <w:rPr>
                <w:rFonts w:ascii="Times New Roman" w:hAnsi="Times New Roman"/>
                <w:sz w:val="24"/>
              </w:rPr>
              <w:t>articolo 199, paragrafi 2, 3 e 4, del CRR e sono segnalati in questa colonna. Sono compresi anche gli immobili dati in leasing (cfr. l</w:t>
            </w:r>
            <w:r w:rsidR="000878EC">
              <w:rPr>
                <w:rFonts w:ascii="Times New Roman" w:hAnsi="Times New Roman"/>
                <w:sz w:val="24"/>
              </w:rPr>
              <w:t>'</w:t>
            </w:r>
            <w:r>
              <w:rPr>
                <w:rFonts w:ascii="Times New Roman" w:hAnsi="Times New Roman"/>
                <w:sz w:val="24"/>
              </w:rPr>
              <w:t>articolo 199, paragrafo 7, del CRR). Cfr. anche l</w:t>
            </w:r>
            <w:r w:rsidR="000878EC">
              <w:rPr>
                <w:rFonts w:ascii="Times New Roman" w:hAnsi="Times New Roman"/>
                <w:sz w:val="24"/>
              </w:rPr>
              <w:t>'</w:t>
            </w:r>
            <w:r>
              <w:rPr>
                <w:rFonts w:ascii="Times New Roman" w:hAnsi="Times New Roman"/>
                <w:sz w:val="24"/>
              </w:rPr>
              <w:t>articolo 229 del CRR.</w:t>
            </w:r>
          </w:p>
          <w:p w:rsidR="008D24A6" w:rsidRPr="00661595" w:rsidRDefault="008D24A6" w:rsidP="00604D31">
            <w:pPr>
              <w:suppressAutoHyphens/>
              <w:spacing w:line="240" w:lineRule="exact"/>
              <w:rPr>
                <w:rFonts w:ascii="Times New Roman" w:hAnsi="Times New Roman"/>
                <w:sz w:val="24"/>
              </w:rPr>
            </w:pPr>
            <w:r>
              <w:rPr>
                <w:rFonts w:ascii="Times New Roman" w:hAnsi="Times New Roman"/>
                <w:sz w:val="24"/>
              </w:rPr>
              <w:t>Se sono utilizzate stime interne della LGD, l</w:t>
            </w:r>
            <w:r w:rsidR="000878EC">
              <w:rPr>
                <w:rFonts w:ascii="Times New Roman" w:hAnsi="Times New Roman"/>
                <w:sz w:val="24"/>
              </w:rPr>
              <w:t>'</w:t>
            </w:r>
            <w:r>
              <w:rPr>
                <w:rFonts w:ascii="Times New Roman" w:hAnsi="Times New Roman"/>
                <w:sz w:val="24"/>
              </w:rPr>
              <w:t>importo da segnalare è la stima del valore di mercato.</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0200</w:t>
            </w:r>
          </w:p>
        </w:tc>
        <w:tc>
          <w:tcPr>
            <w:tcW w:w="8843" w:type="dxa"/>
          </w:tcPr>
          <w:p w:rsidR="008D24A6" w:rsidRPr="00661595" w:rsidRDefault="008D24A6" w:rsidP="00604D31">
            <w:pPr>
              <w:suppressAutoHyphens/>
              <w:rPr>
                <w:rFonts w:ascii="Times New Roman" w:hAnsi="Times New Roman"/>
                <w:b/>
                <w:sz w:val="24"/>
                <w:u w:val="single"/>
              </w:rPr>
            </w:pPr>
            <w:r>
              <w:rPr>
                <w:rFonts w:ascii="Times New Roman" w:hAnsi="Times New Roman"/>
                <w:b/>
                <w:sz w:val="24"/>
                <w:u w:val="single"/>
              </w:rPr>
              <w:t>ALTRE GARANZIE REALI MATERIALI</w:t>
            </w:r>
          </w:p>
          <w:p w:rsidR="008D24A6" w:rsidRPr="00661595" w:rsidRDefault="008D24A6" w:rsidP="00604D31">
            <w:pPr>
              <w:suppressAutoHyphens/>
              <w:rPr>
                <w:rFonts w:ascii="Times New Roman" w:hAnsi="Times New Roman"/>
                <w:sz w:val="24"/>
              </w:rPr>
            </w:pPr>
            <w:r>
              <w:rPr>
                <w:rFonts w:ascii="Times New Roman" w:hAnsi="Times New Roman"/>
                <w:sz w:val="24"/>
              </w:rPr>
              <w:t>Se non sono utilizzate stime interne della LGD, i valori sono determinati conformemente all</w:t>
            </w:r>
            <w:r w:rsidR="000878EC">
              <w:rPr>
                <w:rFonts w:ascii="Times New Roman" w:hAnsi="Times New Roman"/>
                <w:sz w:val="24"/>
              </w:rPr>
              <w:t>'</w:t>
            </w:r>
            <w:r>
              <w:rPr>
                <w:rFonts w:ascii="Times New Roman" w:hAnsi="Times New Roman"/>
                <w:sz w:val="24"/>
              </w:rPr>
              <w:t>articolo 199, paragrafi 6 e 8, del CRR e sono segnalati in questa colonna. Sono compresi anche i beni dati in leasing diversi dagli immobili (cfr. l</w:t>
            </w:r>
            <w:r w:rsidR="000878EC">
              <w:rPr>
                <w:rFonts w:ascii="Times New Roman" w:hAnsi="Times New Roman"/>
                <w:sz w:val="24"/>
              </w:rPr>
              <w:t>'</w:t>
            </w:r>
            <w:r>
              <w:rPr>
                <w:rFonts w:ascii="Times New Roman" w:hAnsi="Times New Roman"/>
                <w:sz w:val="24"/>
              </w:rPr>
              <w:t>articolo 199, paragrafo 7, del CRR). Cfr. anche l</w:t>
            </w:r>
            <w:r w:rsidR="000878EC">
              <w:rPr>
                <w:rFonts w:ascii="Times New Roman" w:hAnsi="Times New Roman"/>
                <w:sz w:val="24"/>
              </w:rPr>
              <w:t>'</w:t>
            </w:r>
            <w:r>
              <w:rPr>
                <w:rFonts w:ascii="Times New Roman" w:hAnsi="Times New Roman"/>
                <w:sz w:val="24"/>
              </w:rPr>
              <w:t xml:space="preserve">articolo 229, paragrafo 3, del CRR. </w:t>
            </w:r>
          </w:p>
          <w:p w:rsidR="008D24A6" w:rsidRPr="00661595" w:rsidRDefault="008D24A6" w:rsidP="00604D31">
            <w:pPr>
              <w:suppressAutoHyphens/>
              <w:rPr>
                <w:rFonts w:ascii="Times New Roman" w:hAnsi="Times New Roman"/>
                <w:b/>
                <w:sz w:val="24"/>
                <w:u w:val="single"/>
              </w:rPr>
            </w:pPr>
            <w:r>
              <w:rPr>
                <w:rFonts w:ascii="Times New Roman" w:hAnsi="Times New Roman"/>
                <w:sz w:val="24"/>
              </w:rPr>
              <w:t>Se sono utilizzate stime interne della LGD, l</w:t>
            </w:r>
            <w:r w:rsidR="000878EC">
              <w:rPr>
                <w:rFonts w:ascii="Times New Roman" w:hAnsi="Times New Roman"/>
                <w:sz w:val="24"/>
              </w:rPr>
              <w:t>'</w:t>
            </w:r>
            <w:r>
              <w:rPr>
                <w:rFonts w:ascii="Times New Roman" w:hAnsi="Times New Roman"/>
                <w:sz w:val="24"/>
              </w:rPr>
              <w:t>importo da segnalare è la stima del valore di mercato della garanzia reale.</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0210</w:t>
            </w:r>
          </w:p>
        </w:tc>
        <w:tc>
          <w:tcPr>
            <w:tcW w:w="8843" w:type="dxa"/>
          </w:tcPr>
          <w:p w:rsidR="008D24A6" w:rsidRPr="00661595" w:rsidRDefault="008D24A6" w:rsidP="00604D31">
            <w:pPr>
              <w:suppressAutoHyphens/>
              <w:rPr>
                <w:rFonts w:ascii="Times New Roman" w:hAnsi="Times New Roman"/>
                <w:b/>
                <w:sz w:val="24"/>
                <w:u w:val="single"/>
              </w:rPr>
            </w:pPr>
            <w:r>
              <w:rPr>
                <w:rFonts w:ascii="Times New Roman" w:hAnsi="Times New Roman"/>
                <w:b/>
                <w:sz w:val="24"/>
                <w:u w:val="single"/>
              </w:rPr>
              <w:t>CREDITI COMMERCIALI</w:t>
            </w:r>
          </w:p>
          <w:p w:rsidR="008D24A6" w:rsidRPr="00661595" w:rsidRDefault="008D24A6" w:rsidP="00604D31">
            <w:pPr>
              <w:suppressAutoHyphens/>
              <w:rPr>
                <w:rFonts w:ascii="Times New Roman" w:hAnsi="Times New Roman"/>
                <w:sz w:val="24"/>
              </w:rPr>
            </w:pPr>
            <w:r>
              <w:rPr>
                <w:rFonts w:ascii="Times New Roman" w:hAnsi="Times New Roman"/>
                <w:sz w:val="24"/>
              </w:rPr>
              <w:t>Se non sono utilizzate stime interne della LGD, i valori sono determinati conformemente all</w:t>
            </w:r>
            <w:r w:rsidR="000878EC">
              <w:rPr>
                <w:rFonts w:ascii="Times New Roman" w:hAnsi="Times New Roman"/>
                <w:sz w:val="24"/>
              </w:rPr>
              <w:t>'</w:t>
            </w:r>
            <w:r>
              <w:rPr>
                <w:rFonts w:ascii="Times New Roman" w:hAnsi="Times New Roman"/>
                <w:sz w:val="24"/>
              </w:rPr>
              <w:t>articolo 199, paragrafo 5, e all</w:t>
            </w:r>
            <w:r w:rsidR="000878EC">
              <w:rPr>
                <w:rFonts w:ascii="Times New Roman" w:hAnsi="Times New Roman"/>
                <w:sz w:val="24"/>
              </w:rPr>
              <w:t>'</w:t>
            </w:r>
            <w:r>
              <w:rPr>
                <w:rFonts w:ascii="Times New Roman" w:hAnsi="Times New Roman"/>
                <w:sz w:val="24"/>
              </w:rPr>
              <w:t>articolo 229, paragrafo 2, del CRR e sono segnalati in questa colonna.</w:t>
            </w:r>
          </w:p>
          <w:p w:rsidR="008D24A6" w:rsidRPr="00661595" w:rsidRDefault="008D24A6" w:rsidP="00604D31">
            <w:pPr>
              <w:suppressAutoHyphens/>
              <w:rPr>
                <w:rFonts w:ascii="Times New Roman" w:hAnsi="Times New Roman"/>
                <w:b/>
                <w:sz w:val="24"/>
                <w:u w:val="single"/>
              </w:rPr>
            </w:pPr>
            <w:r>
              <w:rPr>
                <w:rFonts w:ascii="Times New Roman" w:hAnsi="Times New Roman"/>
                <w:sz w:val="24"/>
              </w:rPr>
              <w:t>Se sono utilizzate stime interne della LGD, l</w:t>
            </w:r>
            <w:r w:rsidR="000878EC">
              <w:rPr>
                <w:rFonts w:ascii="Times New Roman" w:hAnsi="Times New Roman"/>
                <w:sz w:val="24"/>
              </w:rPr>
              <w:t>'</w:t>
            </w:r>
            <w:r>
              <w:rPr>
                <w:rFonts w:ascii="Times New Roman" w:hAnsi="Times New Roman"/>
                <w:sz w:val="24"/>
              </w:rPr>
              <w:t>importo da segnalare è la stima del valore di mercato della garanzia reale.</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0220</w:t>
            </w:r>
          </w:p>
        </w:tc>
        <w:tc>
          <w:tcPr>
            <w:tcW w:w="8843" w:type="dxa"/>
          </w:tcPr>
          <w:p w:rsidR="008D24A6" w:rsidRPr="00661595" w:rsidRDefault="008D24A6" w:rsidP="00604D31">
            <w:pPr>
              <w:suppressAutoHyphens/>
              <w:rPr>
                <w:rFonts w:ascii="Times New Roman" w:hAnsi="Times New Roman"/>
                <w:b/>
                <w:sz w:val="24"/>
                <w:u w:val="single"/>
              </w:rPr>
            </w:pPr>
            <w:r>
              <w:rPr>
                <w:rFonts w:ascii="Times New Roman" w:hAnsi="Times New Roman"/>
                <w:b/>
                <w:sz w:val="24"/>
                <w:u w:val="single"/>
              </w:rPr>
              <w:t xml:space="preserve">SOGGETTE AL TRATTAMENTO DEL </w:t>
            </w:r>
            <w:r w:rsidR="000878EC">
              <w:rPr>
                <w:rFonts w:ascii="Times New Roman" w:hAnsi="Times New Roman"/>
                <w:b/>
                <w:sz w:val="24"/>
                <w:u w:val="single"/>
              </w:rPr>
              <w:t>"</w:t>
            </w:r>
            <w:r>
              <w:rPr>
                <w:rFonts w:ascii="Times New Roman" w:hAnsi="Times New Roman"/>
                <w:b/>
                <w:sz w:val="24"/>
                <w:u w:val="single"/>
              </w:rPr>
              <w:t>DOUBLE DEFAULT</w:t>
            </w:r>
            <w:r w:rsidR="000878EC">
              <w:rPr>
                <w:rFonts w:ascii="Times New Roman" w:hAnsi="Times New Roman"/>
                <w:b/>
                <w:sz w:val="24"/>
                <w:u w:val="single"/>
              </w:rPr>
              <w:t>"</w:t>
            </w:r>
            <w:r>
              <w:rPr>
                <w:rFonts w:ascii="Times New Roman" w:hAnsi="Times New Roman"/>
                <w:b/>
                <w:sz w:val="24"/>
                <w:u w:val="single"/>
              </w:rPr>
              <w:t>: PROTEZIONE DEL CREDITO DI TIPO PERSONALE</w:t>
            </w:r>
          </w:p>
          <w:p w:rsidR="008D24A6" w:rsidRPr="00661595" w:rsidRDefault="008D24A6" w:rsidP="00604D31">
            <w:pPr>
              <w:suppressAutoHyphens/>
              <w:rPr>
                <w:rFonts w:ascii="Times New Roman" w:hAnsi="Times New Roman"/>
                <w:sz w:val="24"/>
              </w:rPr>
            </w:pPr>
            <w:r>
              <w:rPr>
                <w:rFonts w:ascii="Times New Roman" w:hAnsi="Times New Roman"/>
                <w:sz w:val="24"/>
              </w:rPr>
              <w:t xml:space="preserve">Garanzie e derivati su crediti a copertura di esposizioni soggette al trattamento del </w:t>
            </w:r>
            <w:r w:rsidR="000878EC">
              <w:rPr>
                <w:rFonts w:ascii="Times New Roman" w:hAnsi="Times New Roman"/>
                <w:sz w:val="24"/>
              </w:rPr>
              <w:t>"</w:t>
            </w:r>
            <w:r>
              <w:rPr>
                <w:rFonts w:ascii="Times New Roman" w:hAnsi="Times New Roman"/>
                <w:sz w:val="24"/>
              </w:rPr>
              <w:t>double default</w:t>
            </w:r>
            <w:r w:rsidR="000878EC">
              <w:rPr>
                <w:rFonts w:ascii="Times New Roman" w:hAnsi="Times New Roman"/>
                <w:sz w:val="24"/>
              </w:rPr>
              <w:t>"</w:t>
            </w:r>
            <w:r>
              <w:rPr>
                <w:rFonts w:ascii="Times New Roman" w:hAnsi="Times New Roman"/>
                <w:sz w:val="24"/>
              </w:rPr>
              <w:t xml:space="preserve"> a norma dell</w:t>
            </w:r>
            <w:r w:rsidR="000878EC">
              <w:rPr>
                <w:rFonts w:ascii="Times New Roman" w:hAnsi="Times New Roman"/>
                <w:sz w:val="24"/>
              </w:rPr>
              <w:t>'</w:t>
            </w:r>
            <w:r>
              <w:rPr>
                <w:rFonts w:ascii="Times New Roman" w:hAnsi="Times New Roman"/>
                <w:sz w:val="24"/>
              </w:rPr>
              <w:t>articolo 153, paragrafo 3, del CRR, tenuto conto dell</w:t>
            </w:r>
            <w:r w:rsidR="000878EC">
              <w:rPr>
                <w:rFonts w:ascii="Times New Roman" w:hAnsi="Times New Roman"/>
                <w:sz w:val="24"/>
              </w:rPr>
              <w:t>'</w:t>
            </w:r>
            <w:r>
              <w:rPr>
                <w:rFonts w:ascii="Times New Roman" w:hAnsi="Times New Roman"/>
                <w:sz w:val="24"/>
              </w:rPr>
              <w:t>articolo 202 e dell</w:t>
            </w:r>
            <w:r w:rsidR="000878EC">
              <w:rPr>
                <w:rFonts w:ascii="Times New Roman" w:hAnsi="Times New Roman"/>
                <w:sz w:val="24"/>
              </w:rPr>
              <w:t>'</w:t>
            </w:r>
            <w:r>
              <w:rPr>
                <w:rFonts w:ascii="Times New Roman" w:hAnsi="Times New Roman"/>
                <w:sz w:val="24"/>
              </w:rPr>
              <w:t xml:space="preserve">articolo 217, paragrafo 1, del CRR. </w:t>
            </w:r>
          </w:p>
          <w:p w:rsidR="008D24A6" w:rsidRPr="00661595" w:rsidRDefault="008D24A6" w:rsidP="00604D31">
            <w:pPr>
              <w:suppressAutoHyphens/>
              <w:rPr>
                <w:rFonts w:ascii="Times New Roman" w:hAnsi="Times New Roman"/>
                <w:b/>
                <w:sz w:val="24"/>
                <w:u w:val="single"/>
              </w:rPr>
            </w:pPr>
            <w:r>
              <w:rPr>
                <w:rFonts w:ascii="Times New Roman" w:hAnsi="Times New Roman"/>
                <w:sz w:val="24"/>
              </w:rPr>
              <w:t>I valori da segnalare non superano il valore delle esposizioni corrispondenti.</w:t>
            </w:r>
            <w:r w:rsidR="000878EC">
              <w:rPr>
                <w:rFonts w:ascii="Times New Roman" w:hAnsi="Times New Roman"/>
                <w:sz w:val="24"/>
              </w:rPr>
              <w:t xml:space="preserve"> </w:t>
            </w:r>
            <w:r>
              <w:rPr>
                <w:rFonts w:ascii="Times New Roman" w:hAnsi="Times New Roman"/>
                <w:sz w:val="24"/>
              </w:rPr>
              <w:t xml:space="preserve"> </w:t>
            </w:r>
          </w:p>
        </w:tc>
      </w:tr>
      <w:tr w:rsidR="008D24A6" w:rsidRPr="00661595" w:rsidTr="00672D2A">
        <w:tc>
          <w:tcPr>
            <w:tcW w:w="1188" w:type="dxa"/>
          </w:tcPr>
          <w:p w:rsidR="008D24A6" w:rsidRPr="00661595" w:rsidRDefault="001452FC" w:rsidP="00C213E6">
            <w:pPr>
              <w:keepNext/>
              <w:keepLines/>
              <w:rPr>
                <w:rFonts w:ascii="Times New Roman" w:hAnsi="Times New Roman"/>
                <w:sz w:val="24"/>
              </w:rPr>
            </w:pPr>
            <w:r>
              <w:rPr>
                <w:rFonts w:ascii="Times New Roman" w:hAnsi="Times New Roman"/>
                <w:sz w:val="24"/>
              </w:rPr>
              <w:t>0230</w:t>
            </w:r>
          </w:p>
        </w:tc>
        <w:tc>
          <w:tcPr>
            <w:tcW w:w="8843" w:type="dxa"/>
          </w:tcPr>
          <w:p w:rsidR="008D24A6" w:rsidRPr="00661595" w:rsidRDefault="008D24A6" w:rsidP="00C213E6">
            <w:pPr>
              <w:keepNext/>
              <w:keepLines/>
              <w:suppressAutoHyphens/>
              <w:rPr>
                <w:rFonts w:ascii="Times New Roman" w:hAnsi="Times New Roman"/>
                <w:b/>
                <w:sz w:val="24"/>
                <w:u w:val="single"/>
              </w:rPr>
            </w:pPr>
            <w:r>
              <w:rPr>
                <w:rFonts w:ascii="Times New Roman" w:hAnsi="Times New Roman"/>
                <w:b/>
                <w:sz w:val="24"/>
                <w:u w:val="single"/>
              </w:rPr>
              <w:t>LGD MEDIA PONDERATA PER L</w:t>
            </w:r>
            <w:r w:rsidR="000878EC">
              <w:rPr>
                <w:rFonts w:ascii="Times New Roman" w:hAnsi="Times New Roman"/>
                <w:b/>
                <w:sz w:val="24"/>
                <w:u w:val="single"/>
              </w:rPr>
              <w:t>'</w:t>
            </w:r>
            <w:r>
              <w:rPr>
                <w:rFonts w:ascii="Times New Roman" w:hAnsi="Times New Roman"/>
                <w:b/>
                <w:sz w:val="24"/>
                <w:u w:val="single"/>
              </w:rPr>
              <w:t>ESPOSIZIONE (%)</w:t>
            </w:r>
          </w:p>
          <w:p w:rsidR="008D24A6" w:rsidRPr="00661595" w:rsidRDefault="008D24A6" w:rsidP="00C213E6">
            <w:pPr>
              <w:keepNext/>
              <w:keepLines/>
              <w:suppressAutoHyphens/>
              <w:rPr>
                <w:rFonts w:ascii="Times New Roman" w:hAnsi="Times New Roman"/>
                <w:sz w:val="24"/>
              </w:rPr>
            </w:pPr>
            <w:r>
              <w:rPr>
                <w:rFonts w:ascii="Times New Roman" w:hAnsi="Times New Roman"/>
                <w:sz w:val="24"/>
              </w:rPr>
              <w:t xml:space="preserve">Sono presi in considerazione tutti gli impatti delle tecniche di attenuazione del rischio di credito sui valori della LGD specificati nella parte tre, titolo II, capi 3 e 4, del CRR. In caso di esposizioni soggette al trattamento del </w:t>
            </w:r>
            <w:r w:rsidR="000878EC">
              <w:rPr>
                <w:rFonts w:ascii="Times New Roman" w:hAnsi="Times New Roman"/>
                <w:sz w:val="24"/>
              </w:rPr>
              <w:t>"</w:t>
            </w:r>
            <w:r>
              <w:rPr>
                <w:rFonts w:ascii="Times New Roman" w:hAnsi="Times New Roman"/>
                <w:sz w:val="24"/>
              </w:rPr>
              <w:t>double default</w:t>
            </w:r>
            <w:r w:rsidR="000878EC">
              <w:rPr>
                <w:rFonts w:ascii="Times New Roman" w:hAnsi="Times New Roman"/>
                <w:sz w:val="24"/>
              </w:rPr>
              <w:t>"</w:t>
            </w:r>
            <w:r>
              <w:rPr>
                <w:rFonts w:ascii="Times New Roman" w:hAnsi="Times New Roman"/>
                <w:sz w:val="24"/>
              </w:rPr>
              <w:t>, la LGD da segnalare è la LGD selezionata conformemente all</w:t>
            </w:r>
            <w:r w:rsidR="000878EC">
              <w:rPr>
                <w:rFonts w:ascii="Times New Roman" w:hAnsi="Times New Roman"/>
                <w:sz w:val="24"/>
              </w:rPr>
              <w:t>'</w:t>
            </w:r>
            <w:r>
              <w:rPr>
                <w:rFonts w:ascii="Times New Roman" w:hAnsi="Times New Roman"/>
                <w:sz w:val="24"/>
              </w:rPr>
              <w:t>articolo 161, paragrafo 4, del CRR.</w:t>
            </w:r>
          </w:p>
          <w:p w:rsidR="008D24A6" w:rsidRPr="00661595" w:rsidRDefault="008D24A6" w:rsidP="00C213E6">
            <w:pPr>
              <w:keepNext/>
              <w:keepLines/>
              <w:suppressAutoHyphens/>
              <w:rPr>
                <w:rFonts w:ascii="Times New Roman" w:hAnsi="Times New Roman"/>
                <w:sz w:val="24"/>
              </w:rPr>
            </w:pPr>
            <w:r>
              <w:rPr>
                <w:rFonts w:ascii="Times New Roman" w:hAnsi="Times New Roman"/>
                <w:sz w:val="24"/>
              </w:rPr>
              <w:t>Per le esposizioni in stato di default si tiene conto dell</w:t>
            </w:r>
            <w:r w:rsidR="000878EC">
              <w:rPr>
                <w:rFonts w:ascii="Times New Roman" w:hAnsi="Times New Roman"/>
                <w:sz w:val="24"/>
              </w:rPr>
              <w:t>'</w:t>
            </w:r>
            <w:r>
              <w:rPr>
                <w:rFonts w:ascii="Times New Roman" w:hAnsi="Times New Roman"/>
                <w:sz w:val="24"/>
              </w:rPr>
              <w:t>articolo 181, paragrafo 1, lettera h), del CRR.</w:t>
            </w:r>
          </w:p>
          <w:p w:rsidR="008D24A6" w:rsidRPr="00661595" w:rsidRDefault="008D24A6" w:rsidP="00C213E6">
            <w:pPr>
              <w:keepNext/>
              <w:keepLines/>
              <w:suppressAutoHyphens/>
              <w:rPr>
                <w:rFonts w:ascii="Times New Roman" w:hAnsi="Times New Roman"/>
                <w:sz w:val="24"/>
              </w:rPr>
            </w:pPr>
            <w:r>
              <w:rPr>
                <w:rFonts w:ascii="Times New Roman" w:hAnsi="Times New Roman"/>
                <w:sz w:val="24"/>
              </w:rPr>
              <w:t>Per il calcolo delle medie ponderate per l</w:t>
            </w:r>
            <w:r w:rsidR="000878EC">
              <w:rPr>
                <w:rFonts w:ascii="Times New Roman" w:hAnsi="Times New Roman"/>
                <w:sz w:val="24"/>
              </w:rPr>
              <w:t>'</w:t>
            </w:r>
            <w:r>
              <w:rPr>
                <w:rFonts w:ascii="Times New Roman" w:hAnsi="Times New Roman"/>
                <w:sz w:val="24"/>
              </w:rPr>
              <w:t>esposizione è utilizzato il valore dell</w:t>
            </w:r>
            <w:r w:rsidR="000878EC">
              <w:rPr>
                <w:rFonts w:ascii="Times New Roman" w:hAnsi="Times New Roman"/>
                <w:sz w:val="24"/>
              </w:rPr>
              <w:t>'</w:t>
            </w:r>
            <w:r>
              <w:rPr>
                <w:rFonts w:ascii="Times New Roman" w:hAnsi="Times New Roman"/>
                <w:sz w:val="24"/>
              </w:rPr>
              <w:t>esposizione di cui alla colonna 0110.</w:t>
            </w:r>
          </w:p>
          <w:p w:rsidR="008D24A6" w:rsidRPr="00661595" w:rsidRDefault="008D24A6" w:rsidP="00C213E6">
            <w:pPr>
              <w:keepNext/>
              <w:keepLines/>
              <w:suppressAutoHyphens/>
              <w:rPr>
                <w:rFonts w:ascii="Times New Roman" w:hAnsi="Times New Roman"/>
                <w:sz w:val="24"/>
              </w:rPr>
            </w:pPr>
            <w:r>
              <w:rPr>
                <w:rFonts w:ascii="Times New Roman" w:hAnsi="Times New Roman"/>
                <w:sz w:val="24"/>
              </w:rPr>
              <w:t>Sono presi in considerazione tutti gli effetti (pertanto sono inclusi nella segnalazione gli effetti della soglia minima applicabile alle esposizioni garantite da immobili a norma dell</w:t>
            </w:r>
            <w:r w:rsidR="000878EC">
              <w:rPr>
                <w:rFonts w:ascii="Times New Roman" w:hAnsi="Times New Roman"/>
                <w:sz w:val="24"/>
              </w:rPr>
              <w:t>'</w:t>
            </w:r>
            <w:r>
              <w:rPr>
                <w:rFonts w:ascii="Times New Roman" w:hAnsi="Times New Roman"/>
                <w:sz w:val="24"/>
              </w:rPr>
              <w:t>articolo 164, paragrafo 4, del CRR).</w:t>
            </w:r>
          </w:p>
          <w:p w:rsidR="008D24A6" w:rsidRPr="00661595" w:rsidRDefault="008D24A6" w:rsidP="00C213E6">
            <w:pPr>
              <w:keepNext/>
              <w:keepLines/>
              <w:suppressAutoHyphens/>
              <w:rPr>
                <w:rFonts w:ascii="Times New Roman" w:hAnsi="Times New Roman"/>
                <w:sz w:val="24"/>
              </w:rPr>
            </w:pPr>
            <w:r>
              <w:rPr>
                <w:rFonts w:ascii="Times New Roman" w:hAnsi="Times New Roman"/>
                <w:sz w:val="24"/>
              </w:rPr>
              <w:t>Per gli enti che applicano il metodo IRB ma non utilizzano stime interne della LGD, gli effetti di attenuazione del rischio delle garanzie reali finanziarie sono considerati in E*, il valore corretto integralmente dell</w:t>
            </w:r>
            <w:r w:rsidR="000878EC">
              <w:rPr>
                <w:rFonts w:ascii="Times New Roman" w:hAnsi="Times New Roman"/>
                <w:sz w:val="24"/>
              </w:rPr>
              <w:t>'</w:t>
            </w:r>
            <w:r>
              <w:rPr>
                <w:rFonts w:ascii="Times New Roman" w:hAnsi="Times New Roman"/>
                <w:sz w:val="24"/>
              </w:rPr>
              <w:t>esposizione, e poi ripresi</w:t>
            </w:r>
            <w:r w:rsidR="00C213E6">
              <w:rPr>
                <w:rFonts w:ascii="Times New Roman" w:hAnsi="Times New Roman"/>
                <w:sz w:val="24"/>
              </w:rPr>
              <w:t xml:space="preserve"> nella LGD* di cui all</w:t>
            </w:r>
            <w:r w:rsidR="000878EC">
              <w:rPr>
                <w:rFonts w:ascii="Times New Roman" w:hAnsi="Times New Roman"/>
                <w:sz w:val="24"/>
              </w:rPr>
              <w:t>'</w:t>
            </w:r>
            <w:r w:rsidR="00C213E6">
              <w:rPr>
                <w:rFonts w:ascii="Times New Roman" w:hAnsi="Times New Roman"/>
                <w:sz w:val="24"/>
              </w:rPr>
              <w:t>articolo </w:t>
            </w:r>
            <w:r>
              <w:rPr>
                <w:rFonts w:ascii="Times New Roman" w:hAnsi="Times New Roman"/>
                <w:sz w:val="24"/>
              </w:rPr>
              <w:t>228, paragrafo 2, del CRR.</w:t>
            </w:r>
          </w:p>
          <w:p w:rsidR="008D24A6" w:rsidRPr="00661595" w:rsidRDefault="008D24A6" w:rsidP="00C213E6">
            <w:pPr>
              <w:keepNext/>
              <w:keepLines/>
              <w:suppressAutoHyphens/>
              <w:rPr>
                <w:rFonts w:ascii="Times New Roman" w:hAnsi="Times New Roman"/>
                <w:sz w:val="24"/>
              </w:rPr>
            </w:pPr>
            <w:r>
              <w:rPr>
                <w:rFonts w:ascii="Times New Roman" w:hAnsi="Times New Roman"/>
                <w:sz w:val="24"/>
              </w:rPr>
              <w:t>La LGD media ponderata per l</w:t>
            </w:r>
            <w:r w:rsidR="000878EC">
              <w:rPr>
                <w:rFonts w:ascii="Times New Roman" w:hAnsi="Times New Roman"/>
                <w:sz w:val="24"/>
              </w:rPr>
              <w:t>'</w:t>
            </w:r>
            <w:r>
              <w:rPr>
                <w:rFonts w:ascii="Times New Roman" w:hAnsi="Times New Roman"/>
                <w:sz w:val="24"/>
              </w:rPr>
              <w:t xml:space="preserve">esposizione associata a ciascuna </w:t>
            </w:r>
            <w:r w:rsidR="000878EC">
              <w:rPr>
                <w:rFonts w:ascii="Times New Roman" w:hAnsi="Times New Roman"/>
                <w:sz w:val="24"/>
              </w:rPr>
              <w:t>"</w:t>
            </w:r>
            <w:r>
              <w:rPr>
                <w:rFonts w:ascii="Times New Roman" w:hAnsi="Times New Roman"/>
                <w:sz w:val="24"/>
              </w:rPr>
              <w:t>classe o pool di debitori</w:t>
            </w:r>
            <w:r w:rsidR="000878EC">
              <w:rPr>
                <w:rFonts w:ascii="Times New Roman" w:hAnsi="Times New Roman"/>
                <w:sz w:val="24"/>
              </w:rPr>
              <w:t>"</w:t>
            </w:r>
            <w:r>
              <w:rPr>
                <w:rFonts w:ascii="Times New Roman" w:hAnsi="Times New Roman"/>
                <w:sz w:val="24"/>
              </w:rPr>
              <w:t xml:space="preserve"> che presenta una PD deriva dalla media delle LGD prudenziali assegnate alle esposizioni relative alla classe/al pool con la PD in questione, ponderate per il rispettivo valore dell</w:t>
            </w:r>
            <w:r w:rsidR="000878EC">
              <w:rPr>
                <w:rFonts w:ascii="Times New Roman" w:hAnsi="Times New Roman"/>
                <w:sz w:val="24"/>
              </w:rPr>
              <w:t>'</w:t>
            </w:r>
            <w:r>
              <w:rPr>
                <w:rFonts w:ascii="Times New Roman" w:hAnsi="Times New Roman"/>
                <w:sz w:val="24"/>
              </w:rPr>
              <w:t>esposizione di cui alla colonna 0110.</w:t>
            </w:r>
          </w:p>
          <w:p w:rsidR="008D24A6" w:rsidRPr="00661595" w:rsidRDefault="008D24A6" w:rsidP="00C213E6">
            <w:pPr>
              <w:keepNext/>
              <w:keepLines/>
              <w:suppressAutoHyphens/>
              <w:rPr>
                <w:rFonts w:ascii="Times New Roman" w:hAnsi="Times New Roman"/>
                <w:sz w:val="24"/>
              </w:rPr>
            </w:pPr>
            <w:r>
              <w:rPr>
                <w:rFonts w:ascii="Times New Roman" w:hAnsi="Times New Roman"/>
                <w:sz w:val="24"/>
              </w:rPr>
              <w:t>Se sono applicate stime interne della LGD, si tiene conto de</w:t>
            </w:r>
            <w:r w:rsidR="00C213E6">
              <w:rPr>
                <w:rFonts w:ascii="Times New Roman" w:hAnsi="Times New Roman"/>
                <w:sz w:val="24"/>
              </w:rPr>
              <w:t>ll</w:t>
            </w:r>
            <w:r w:rsidR="000878EC">
              <w:rPr>
                <w:rFonts w:ascii="Times New Roman" w:hAnsi="Times New Roman"/>
                <w:sz w:val="24"/>
              </w:rPr>
              <w:t>'</w:t>
            </w:r>
            <w:r w:rsidR="00C213E6">
              <w:rPr>
                <w:rFonts w:ascii="Times New Roman" w:hAnsi="Times New Roman"/>
                <w:sz w:val="24"/>
              </w:rPr>
              <w:t>articolo 175 e dell</w:t>
            </w:r>
            <w:r w:rsidR="000878EC">
              <w:rPr>
                <w:rFonts w:ascii="Times New Roman" w:hAnsi="Times New Roman"/>
                <w:sz w:val="24"/>
              </w:rPr>
              <w:t>'</w:t>
            </w:r>
            <w:r w:rsidR="00C213E6">
              <w:rPr>
                <w:rFonts w:ascii="Times New Roman" w:hAnsi="Times New Roman"/>
                <w:sz w:val="24"/>
              </w:rPr>
              <w:t>articolo </w:t>
            </w:r>
            <w:r>
              <w:rPr>
                <w:rFonts w:ascii="Times New Roman" w:hAnsi="Times New Roman"/>
                <w:sz w:val="24"/>
              </w:rPr>
              <w:t>181, paragrafi 1 e 2, del CRR.</w:t>
            </w:r>
          </w:p>
          <w:p w:rsidR="008D24A6" w:rsidRPr="00661595" w:rsidRDefault="008D24A6" w:rsidP="00C213E6">
            <w:pPr>
              <w:keepNext/>
              <w:keepLines/>
              <w:suppressAutoHyphens/>
              <w:rPr>
                <w:rFonts w:ascii="Times New Roman" w:hAnsi="Times New Roman"/>
                <w:sz w:val="24"/>
              </w:rPr>
            </w:pPr>
            <w:r>
              <w:rPr>
                <w:rFonts w:ascii="Times New Roman" w:hAnsi="Times New Roman"/>
                <w:sz w:val="24"/>
              </w:rPr>
              <w:t xml:space="preserve">In caso di esposizioni soggette al trattamento del </w:t>
            </w:r>
            <w:r w:rsidR="000878EC">
              <w:rPr>
                <w:rFonts w:ascii="Times New Roman" w:hAnsi="Times New Roman"/>
                <w:sz w:val="24"/>
              </w:rPr>
              <w:t>"</w:t>
            </w:r>
            <w:r>
              <w:rPr>
                <w:rFonts w:ascii="Times New Roman" w:hAnsi="Times New Roman"/>
                <w:sz w:val="24"/>
              </w:rPr>
              <w:t>double default</w:t>
            </w:r>
            <w:r w:rsidR="000878EC">
              <w:rPr>
                <w:rFonts w:ascii="Times New Roman" w:hAnsi="Times New Roman"/>
                <w:sz w:val="24"/>
              </w:rPr>
              <w:t>"</w:t>
            </w:r>
            <w:r>
              <w:rPr>
                <w:rFonts w:ascii="Times New Roman" w:hAnsi="Times New Roman"/>
                <w:sz w:val="24"/>
              </w:rPr>
              <w:t>, la LGD da segnalare è la LGD selezionata conformemente all</w:t>
            </w:r>
            <w:r w:rsidR="000878EC">
              <w:rPr>
                <w:rFonts w:ascii="Times New Roman" w:hAnsi="Times New Roman"/>
                <w:sz w:val="24"/>
              </w:rPr>
              <w:t>'</w:t>
            </w:r>
            <w:r>
              <w:rPr>
                <w:rFonts w:ascii="Times New Roman" w:hAnsi="Times New Roman"/>
                <w:sz w:val="24"/>
              </w:rPr>
              <w:t>articolo 161, paragrafo 4, del CRR.</w:t>
            </w:r>
          </w:p>
          <w:p w:rsidR="008D24A6" w:rsidRPr="00661595" w:rsidRDefault="008D24A6" w:rsidP="00C213E6">
            <w:pPr>
              <w:keepNext/>
              <w:keepLines/>
              <w:suppressAutoHyphens/>
              <w:rPr>
                <w:rFonts w:ascii="Times New Roman" w:hAnsi="Times New Roman"/>
                <w:sz w:val="24"/>
              </w:rPr>
            </w:pPr>
            <w:r>
              <w:rPr>
                <w:rFonts w:ascii="Times New Roman" w:hAnsi="Times New Roman"/>
                <w:sz w:val="24"/>
              </w:rPr>
              <w:t>Il calcolo della LGD media ponderata per l</w:t>
            </w:r>
            <w:r w:rsidR="000878EC">
              <w:rPr>
                <w:rFonts w:ascii="Times New Roman" w:hAnsi="Times New Roman"/>
                <w:sz w:val="24"/>
              </w:rPr>
              <w:t>'</w:t>
            </w:r>
            <w:r>
              <w:rPr>
                <w:rFonts w:ascii="Times New Roman" w:hAnsi="Times New Roman"/>
                <w:sz w:val="24"/>
              </w:rPr>
              <w:t>esposizione deriva dai parametri di rischio effettivamente utilizzati nella scala di rating interni approvata dalla rispettiva autorità competente.</w:t>
            </w:r>
          </w:p>
          <w:p w:rsidR="008D24A6" w:rsidRPr="00661595" w:rsidRDefault="008D24A6" w:rsidP="00C213E6">
            <w:pPr>
              <w:keepNext/>
              <w:keepLines/>
              <w:suppressAutoHyphens/>
              <w:rPr>
                <w:rFonts w:ascii="Times New Roman" w:hAnsi="Times New Roman"/>
                <w:sz w:val="24"/>
              </w:rPr>
            </w:pPr>
            <w:r>
              <w:rPr>
                <w:rFonts w:ascii="Times New Roman" w:hAnsi="Times New Roman"/>
                <w:sz w:val="24"/>
              </w:rPr>
              <w:t>Non sono segnalati dati sulle esposizioni da finanziamenti sp</w:t>
            </w:r>
            <w:r w:rsidR="00C213E6">
              <w:rPr>
                <w:rFonts w:ascii="Times New Roman" w:hAnsi="Times New Roman"/>
                <w:sz w:val="24"/>
              </w:rPr>
              <w:t>ecializzati di cui all</w:t>
            </w:r>
            <w:r w:rsidR="000878EC">
              <w:rPr>
                <w:rFonts w:ascii="Times New Roman" w:hAnsi="Times New Roman"/>
                <w:sz w:val="24"/>
              </w:rPr>
              <w:t>'</w:t>
            </w:r>
            <w:r w:rsidR="00C213E6">
              <w:rPr>
                <w:rFonts w:ascii="Times New Roman" w:hAnsi="Times New Roman"/>
                <w:sz w:val="24"/>
              </w:rPr>
              <w:t>articolo </w:t>
            </w:r>
            <w:r>
              <w:rPr>
                <w:rFonts w:ascii="Times New Roman" w:hAnsi="Times New Roman"/>
                <w:sz w:val="24"/>
              </w:rPr>
              <w:t>153, paragrafo 5, del CRR. Se la PD è stimata per le esposizioni da finanziamenti specializzati, i dati sono segnalati sulla base di stime interne delle LGD o delle LGD regolamentari.</w:t>
            </w:r>
          </w:p>
          <w:p w:rsidR="008D24A6" w:rsidRPr="00661595" w:rsidRDefault="008D24A6" w:rsidP="00C213E6">
            <w:pPr>
              <w:keepNext/>
              <w:keepLines/>
              <w:suppressAutoHyphens/>
              <w:rPr>
                <w:rFonts w:ascii="Times New Roman" w:hAnsi="Times New Roman"/>
                <w:sz w:val="24"/>
              </w:rPr>
            </w:pPr>
            <w:r>
              <w:rPr>
                <w:rFonts w:ascii="Times New Roman" w:hAnsi="Times New Roman"/>
                <w:sz w:val="24"/>
              </w:rPr>
              <w:t xml:space="preserve">Le esposizioni e le rispettive LGD dei soggetti regolamentati di grandi dimensioni del settore finanziario e dei soggetti finanziari non regolamentati non sono incluse nel calcolo della colonna 0230, bensì soltanto nel calcolo della colonna 0240. </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0240</w:t>
            </w:r>
          </w:p>
        </w:tc>
        <w:tc>
          <w:tcPr>
            <w:tcW w:w="8843" w:type="dxa"/>
          </w:tcPr>
          <w:p w:rsidR="008D24A6" w:rsidRPr="00661595" w:rsidRDefault="008D24A6" w:rsidP="00604D31">
            <w:pPr>
              <w:suppressAutoHyphens/>
              <w:rPr>
                <w:rFonts w:ascii="Times New Roman" w:hAnsi="Times New Roman"/>
                <w:b/>
                <w:sz w:val="24"/>
                <w:u w:val="single"/>
              </w:rPr>
            </w:pPr>
            <w:r>
              <w:rPr>
                <w:rFonts w:ascii="Times New Roman" w:hAnsi="Times New Roman"/>
                <w:b/>
                <w:sz w:val="24"/>
                <w:u w:val="single"/>
              </w:rPr>
              <w:t>LGD MEDIA PONDERATA PER L</w:t>
            </w:r>
            <w:r w:rsidR="000878EC">
              <w:rPr>
                <w:rFonts w:ascii="Times New Roman" w:hAnsi="Times New Roman"/>
                <w:b/>
                <w:sz w:val="24"/>
                <w:u w:val="single"/>
              </w:rPr>
              <w:t>'</w:t>
            </w:r>
            <w:r>
              <w:rPr>
                <w:rFonts w:ascii="Times New Roman" w:hAnsi="Times New Roman"/>
                <w:b/>
                <w:sz w:val="24"/>
                <w:u w:val="single"/>
              </w:rPr>
              <w:t>ESPOSIZIONE (%) DI SOGGETTI DI GRANDI DIMENSIONI DEL SETTORE FINANZIARIO E SOGGETTI FINANZIARI NON REGOLAMENTATI</w:t>
            </w:r>
          </w:p>
          <w:p w:rsidR="008D24A6" w:rsidRPr="00661595" w:rsidRDefault="008D24A6" w:rsidP="00604D31">
            <w:pPr>
              <w:suppressAutoHyphens/>
              <w:rPr>
                <w:rFonts w:ascii="Times New Roman" w:hAnsi="Times New Roman"/>
                <w:sz w:val="24"/>
              </w:rPr>
            </w:pPr>
            <w:r>
              <w:rPr>
                <w:rFonts w:ascii="Times New Roman" w:hAnsi="Times New Roman"/>
                <w:sz w:val="24"/>
              </w:rPr>
              <w:t>LGD media ponderata per l</w:t>
            </w:r>
            <w:r w:rsidR="000878EC">
              <w:rPr>
                <w:rFonts w:ascii="Times New Roman" w:hAnsi="Times New Roman"/>
                <w:sz w:val="24"/>
              </w:rPr>
              <w:t>'</w:t>
            </w:r>
            <w:r>
              <w:rPr>
                <w:rFonts w:ascii="Times New Roman" w:hAnsi="Times New Roman"/>
                <w:sz w:val="24"/>
              </w:rPr>
              <w:t>esposizione (%) per tutte le esposizioni verso soggetti di grandi dimensioni del settore finanziario ai sensi dell</w:t>
            </w:r>
            <w:r w:rsidR="000878EC">
              <w:rPr>
                <w:rFonts w:ascii="Times New Roman" w:hAnsi="Times New Roman"/>
                <w:sz w:val="24"/>
              </w:rPr>
              <w:t>'</w:t>
            </w:r>
            <w:r>
              <w:rPr>
                <w:rFonts w:ascii="Times New Roman" w:hAnsi="Times New Roman"/>
                <w:sz w:val="24"/>
              </w:rPr>
              <w:t>articolo 142, paragrafo 1, punto 4, del CRR e verso soggetti del settore finanziario non regolamentati ai sensi dell</w:t>
            </w:r>
            <w:r w:rsidR="000878EC">
              <w:rPr>
                <w:rFonts w:ascii="Times New Roman" w:hAnsi="Times New Roman"/>
                <w:sz w:val="24"/>
              </w:rPr>
              <w:t>'</w:t>
            </w:r>
            <w:r>
              <w:rPr>
                <w:rFonts w:ascii="Times New Roman" w:hAnsi="Times New Roman"/>
                <w:sz w:val="24"/>
              </w:rPr>
              <w:t>articolo 142, paragrafo 1, punto 5, del CRR, cui si applica il coefficiente di correlazione più elevato determinato conformemente all</w:t>
            </w:r>
            <w:r w:rsidR="000878EC">
              <w:rPr>
                <w:rFonts w:ascii="Times New Roman" w:hAnsi="Times New Roman"/>
                <w:sz w:val="24"/>
              </w:rPr>
              <w:t>'</w:t>
            </w:r>
            <w:r>
              <w:rPr>
                <w:rFonts w:ascii="Times New Roman" w:hAnsi="Times New Roman"/>
                <w:sz w:val="24"/>
              </w:rPr>
              <w:t>articolo 153, paragrafo 2, del CRR.</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0250</w:t>
            </w:r>
          </w:p>
        </w:tc>
        <w:tc>
          <w:tcPr>
            <w:tcW w:w="8843" w:type="dxa"/>
          </w:tcPr>
          <w:p w:rsidR="008D24A6" w:rsidRPr="00661595" w:rsidRDefault="008D24A6" w:rsidP="00604D31">
            <w:pPr>
              <w:suppressAutoHyphens/>
              <w:rPr>
                <w:rFonts w:ascii="Times New Roman" w:hAnsi="Times New Roman"/>
                <w:b/>
                <w:sz w:val="24"/>
                <w:u w:val="single"/>
              </w:rPr>
            </w:pPr>
            <w:r>
              <w:rPr>
                <w:rFonts w:ascii="Times New Roman" w:hAnsi="Times New Roman"/>
                <w:b/>
                <w:sz w:val="24"/>
                <w:u w:val="single"/>
              </w:rPr>
              <w:t>VALORE DELLA DURATA MEDIA PONDERATA PER L</w:t>
            </w:r>
            <w:r w:rsidR="000878EC">
              <w:rPr>
                <w:rFonts w:ascii="Times New Roman" w:hAnsi="Times New Roman"/>
                <w:b/>
                <w:sz w:val="24"/>
                <w:u w:val="single"/>
              </w:rPr>
              <w:t>'</w:t>
            </w:r>
            <w:r>
              <w:rPr>
                <w:rFonts w:ascii="Times New Roman" w:hAnsi="Times New Roman"/>
                <w:b/>
                <w:sz w:val="24"/>
                <w:u w:val="single"/>
              </w:rPr>
              <w:t>ESPOSIZIONE (GIORNI)</w:t>
            </w:r>
          </w:p>
          <w:p w:rsidR="008D24A6" w:rsidRPr="00661595" w:rsidRDefault="008D24A6" w:rsidP="00604D31">
            <w:pPr>
              <w:suppressAutoHyphens/>
              <w:rPr>
                <w:rFonts w:ascii="Times New Roman" w:hAnsi="Times New Roman"/>
                <w:sz w:val="24"/>
              </w:rPr>
            </w:pPr>
            <w:r>
              <w:rPr>
                <w:rFonts w:ascii="Times New Roman" w:hAnsi="Times New Roman"/>
                <w:sz w:val="24"/>
              </w:rPr>
              <w:t>Il valore segnalato è determinato conformemente all</w:t>
            </w:r>
            <w:r w:rsidR="000878EC">
              <w:rPr>
                <w:rFonts w:ascii="Times New Roman" w:hAnsi="Times New Roman"/>
                <w:sz w:val="24"/>
              </w:rPr>
              <w:t>'</w:t>
            </w:r>
            <w:r>
              <w:rPr>
                <w:rFonts w:ascii="Times New Roman" w:hAnsi="Times New Roman"/>
                <w:sz w:val="24"/>
              </w:rPr>
              <w:t>articolo 162 del CRR. Per il calcolo delle medie ponderate per l</w:t>
            </w:r>
            <w:r w:rsidR="000878EC">
              <w:rPr>
                <w:rFonts w:ascii="Times New Roman" w:hAnsi="Times New Roman"/>
                <w:sz w:val="24"/>
              </w:rPr>
              <w:t>'</w:t>
            </w:r>
            <w:r>
              <w:rPr>
                <w:rFonts w:ascii="Times New Roman" w:hAnsi="Times New Roman"/>
                <w:sz w:val="24"/>
              </w:rPr>
              <w:t>esposizione è utilizzato il v</w:t>
            </w:r>
            <w:r w:rsidR="00C213E6">
              <w:rPr>
                <w:rFonts w:ascii="Times New Roman" w:hAnsi="Times New Roman"/>
                <w:sz w:val="24"/>
              </w:rPr>
              <w:t>alore dell</w:t>
            </w:r>
            <w:r w:rsidR="000878EC">
              <w:rPr>
                <w:rFonts w:ascii="Times New Roman" w:hAnsi="Times New Roman"/>
                <w:sz w:val="24"/>
              </w:rPr>
              <w:t>'</w:t>
            </w:r>
            <w:r w:rsidR="00C213E6">
              <w:rPr>
                <w:rFonts w:ascii="Times New Roman" w:hAnsi="Times New Roman"/>
                <w:sz w:val="24"/>
              </w:rPr>
              <w:t>esposizione (colonna </w:t>
            </w:r>
            <w:r>
              <w:rPr>
                <w:rFonts w:ascii="Times New Roman" w:hAnsi="Times New Roman"/>
                <w:sz w:val="24"/>
              </w:rPr>
              <w:t>0110). La durata media è espressa in giorni.</w:t>
            </w:r>
          </w:p>
          <w:p w:rsidR="008D24A6" w:rsidRPr="00661595" w:rsidRDefault="008D24A6" w:rsidP="00604D31">
            <w:pPr>
              <w:suppressAutoHyphens/>
              <w:rPr>
                <w:rFonts w:ascii="Times New Roman" w:hAnsi="Times New Roman"/>
                <w:sz w:val="24"/>
              </w:rPr>
            </w:pPr>
            <w:r>
              <w:rPr>
                <w:rFonts w:ascii="Times New Roman" w:hAnsi="Times New Roman"/>
                <w:sz w:val="24"/>
              </w:rPr>
              <w:t xml:space="preserve">Questi dati non sono segnalati per i valori delle esposizioni la cui durata non è un elemento compreso nel calcolo degli </w:t>
            </w:r>
            <w:r>
              <w:rPr>
                <w:rStyle w:val="InstructionsTabelleText"/>
                <w:rFonts w:ascii="Times New Roman" w:hAnsi="Times New Roman"/>
                <w:sz w:val="24"/>
              </w:rPr>
              <w:t>importi delle esposizioni ponderati per il rischio</w:t>
            </w:r>
            <w:r>
              <w:rPr>
                <w:rFonts w:ascii="Times New Roman" w:hAnsi="Times New Roman"/>
                <w:sz w:val="24"/>
              </w:rPr>
              <w:t xml:space="preserve">. Ne consegue che questa colonna non è compilata in riferimento alla classe di esposizioni </w:t>
            </w:r>
            <w:r w:rsidR="000878EC">
              <w:rPr>
                <w:rFonts w:ascii="Times New Roman" w:hAnsi="Times New Roman"/>
                <w:sz w:val="24"/>
              </w:rPr>
              <w:t>"</w:t>
            </w:r>
            <w:r>
              <w:rPr>
                <w:rFonts w:ascii="Times New Roman" w:hAnsi="Times New Roman"/>
                <w:sz w:val="24"/>
              </w:rPr>
              <w:t>al dettaglio</w:t>
            </w:r>
            <w:r w:rsidR="000878EC">
              <w:rPr>
                <w:rFonts w:ascii="Times New Roman" w:hAnsi="Times New Roman"/>
                <w:sz w:val="24"/>
              </w:rPr>
              <w:t>"</w:t>
            </w:r>
            <w:r>
              <w:rPr>
                <w:rFonts w:ascii="Times New Roman" w:hAnsi="Times New Roman"/>
                <w:sz w:val="24"/>
              </w:rPr>
              <w:t>.</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0255</w:t>
            </w:r>
          </w:p>
        </w:tc>
        <w:tc>
          <w:tcPr>
            <w:tcW w:w="8843" w:type="dxa"/>
          </w:tcPr>
          <w:p w:rsidR="008D24A6" w:rsidRPr="00661595" w:rsidRDefault="008D24A6" w:rsidP="00604D31">
            <w:pPr>
              <w:suppressAutoHyphens/>
              <w:rPr>
                <w:rFonts w:ascii="Times New Roman" w:hAnsi="Times New Roman"/>
                <w:b/>
                <w:sz w:val="24"/>
                <w:u w:val="single"/>
              </w:rPr>
            </w:pPr>
            <w:r>
              <w:rPr>
                <w:rFonts w:ascii="Times New Roman" w:hAnsi="Times New Roman"/>
                <w:b/>
                <w:sz w:val="24"/>
                <w:u w:val="single"/>
              </w:rPr>
              <w:t>IMPORTO DELL</w:t>
            </w:r>
            <w:r w:rsidR="000878EC">
              <w:rPr>
                <w:rFonts w:ascii="Times New Roman" w:hAnsi="Times New Roman"/>
                <w:b/>
                <w:sz w:val="24"/>
                <w:u w:val="single"/>
              </w:rPr>
              <w:t>'</w:t>
            </w:r>
            <w:r>
              <w:rPr>
                <w:rFonts w:ascii="Times New Roman" w:hAnsi="Times New Roman"/>
                <w:b/>
                <w:sz w:val="24"/>
                <w:u w:val="single"/>
              </w:rPr>
              <w:t>ESPOSIZIONE PONDERATO PER IL RISCHIO PRIMA DELL</w:t>
            </w:r>
            <w:r w:rsidR="000878EC">
              <w:rPr>
                <w:rFonts w:ascii="Times New Roman" w:hAnsi="Times New Roman"/>
                <w:b/>
                <w:sz w:val="24"/>
                <w:u w:val="single"/>
              </w:rPr>
              <w:t>'</w:t>
            </w:r>
            <w:r>
              <w:rPr>
                <w:rFonts w:ascii="Times New Roman" w:hAnsi="Times New Roman"/>
                <w:b/>
                <w:sz w:val="24"/>
                <w:u w:val="single"/>
              </w:rPr>
              <w:t>APPLICAZIONE DEI FATTORI DI SOSTEGNO</w:t>
            </w:r>
          </w:p>
          <w:p w:rsidR="008D24A6" w:rsidRPr="00661595" w:rsidRDefault="008D24A6" w:rsidP="00604D31">
            <w:pPr>
              <w:suppressAutoHyphens/>
              <w:rPr>
                <w:rFonts w:ascii="Times New Roman" w:hAnsi="Times New Roman"/>
                <w:sz w:val="24"/>
              </w:rPr>
            </w:pPr>
            <w:r>
              <w:rPr>
                <w:rFonts w:ascii="Times New Roman" w:hAnsi="Times New Roman"/>
                <w:sz w:val="24"/>
              </w:rPr>
              <w:t>Per le esposizioni verso amministrazioni centrali e banche centrali, imprese ed enti, cfr. l</w:t>
            </w:r>
            <w:r w:rsidR="000878EC">
              <w:rPr>
                <w:rFonts w:ascii="Times New Roman" w:hAnsi="Times New Roman"/>
                <w:sz w:val="24"/>
              </w:rPr>
              <w:t>'</w:t>
            </w:r>
            <w:r>
              <w:rPr>
                <w:rFonts w:ascii="Times New Roman" w:hAnsi="Times New Roman"/>
                <w:sz w:val="24"/>
              </w:rPr>
              <w:t>articolo 153, paragrafi 1, 2, 3 e 4, del CRR. Per le esposizioni al dettaglio, cfr. l</w:t>
            </w:r>
            <w:r w:rsidR="000878EC">
              <w:rPr>
                <w:rFonts w:ascii="Times New Roman" w:hAnsi="Times New Roman"/>
                <w:sz w:val="24"/>
              </w:rPr>
              <w:t>'</w:t>
            </w:r>
            <w:r>
              <w:rPr>
                <w:rFonts w:ascii="Times New Roman" w:hAnsi="Times New Roman"/>
                <w:sz w:val="24"/>
              </w:rPr>
              <w:t>art</w:t>
            </w:r>
            <w:r w:rsidR="00C213E6">
              <w:rPr>
                <w:rFonts w:ascii="Times New Roman" w:hAnsi="Times New Roman"/>
                <w:sz w:val="24"/>
              </w:rPr>
              <w:t>icolo </w:t>
            </w:r>
            <w:r>
              <w:rPr>
                <w:rFonts w:ascii="Times New Roman" w:hAnsi="Times New Roman"/>
                <w:sz w:val="24"/>
              </w:rPr>
              <w:t xml:space="preserve">154, paragrafo 1, del CRR. </w:t>
            </w:r>
          </w:p>
          <w:p w:rsidR="008D24A6" w:rsidRPr="00661595" w:rsidRDefault="008D24A6" w:rsidP="00604D31">
            <w:pPr>
              <w:suppressAutoHyphens/>
              <w:rPr>
                <w:rFonts w:ascii="Times New Roman" w:hAnsi="Times New Roman"/>
                <w:b/>
                <w:sz w:val="24"/>
                <w:u w:val="single"/>
              </w:rPr>
            </w:pPr>
            <w:r>
              <w:rPr>
                <w:rFonts w:ascii="Times New Roman" w:hAnsi="Times New Roman"/>
                <w:sz w:val="24"/>
              </w:rPr>
              <w:t>Non si tiene conto dei fattori di sostegno alle PMI e alle infr</w:t>
            </w:r>
            <w:r w:rsidR="00C213E6">
              <w:rPr>
                <w:rFonts w:ascii="Times New Roman" w:hAnsi="Times New Roman"/>
                <w:sz w:val="24"/>
              </w:rPr>
              <w:t>astrutture di cui agli articoli </w:t>
            </w:r>
            <w:r>
              <w:rPr>
                <w:rFonts w:ascii="Times New Roman" w:hAnsi="Times New Roman"/>
                <w:sz w:val="24"/>
              </w:rPr>
              <w:t>501 e 501 bis del CRR.</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0256</w:t>
            </w:r>
          </w:p>
        </w:tc>
        <w:tc>
          <w:tcPr>
            <w:tcW w:w="8843" w:type="dxa"/>
          </w:tcPr>
          <w:p w:rsidR="008D24A6" w:rsidRPr="00661595" w:rsidRDefault="008D24A6" w:rsidP="00604D31">
            <w:pPr>
              <w:suppressAutoHyphens/>
              <w:rPr>
                <w:rFonts w:ascii="Times New Roman" w:hAnsi="Times New Roman"/>
                <w:b/>
                <w:sz w:val="24"/>
                <w:u w:val="single"/>
              </w:rPr>
            </w:pPr>
            <w:r>
              <w:rPr>
                <w:rFonts w:ascii="Times New Roman" w:hAnsi="Times New Roman"/>
                <w:b/>
                <w:sz w:val="24"/>
                <w:u w:val="single"/>
              </w:rPr>
              <w:t>(-) RETTIFICA DELL</w:t>
            </w:r>
            <w:r w:rsidR="000878EC">
              <w:rPr>
                <w:rFonts w:ascii="Times New Roman" w:hAnsi="Times New Roman"/>
                <w:b/>
                <w:sz w:val="24"/>
                <w:u w:val="single"/>
              </w:rPr>
              <w:t>'</w:t>
            </w:r>
            <w:r>
              <w:rPr>
                <w:rFonts w:ascii="Times New Roman" w:hAnsi="Times New Roman"/>
                <w:b/>
                <w:sz w:val="24"/>
                <w:u w:val="single"/>
              </w:rPr>
              <w:t>IMPORTO DELL</w:t>
            </w:r>
            <w:r w:rsidR="000878EC">
              <w:rPr>
                <w:rFonts w:ascii="Times New Roman" w:hAnsi="Times New Roman"/>
                <w:b/>
                <w:sz w:val="24"/>
                <w:u w:val="single"/>
              </w:rPr>
              <w:t>'</w:t>
            </w:r>
            <w:r>
              <w:rPr>
                <w:rFonts w:ascii="Times New Roman" w:hAnsi="Times New Roman"/>
                <w:b/>
                <w:sz w:val="24"/>
                <w:u w:val="single"/>
              </w:rPr>
              <w:t>ESPOSIZIONE PONDERATO PER IL RISCHIO DOVUTA AL FATTORE DI SOSTEGNO ALLE PMI</w:t>
            </w:r>
          </w:p>
          <w:p w:rsidR="008D24A6" w:rsidRPr="00661595" w:rsidRDefault="008D24A6" w:rsidP="00604D31">
            <w:pPr>
              <w:suppressAutoHyphens/>
              <w:rPr>
                <w:rFonts w:ascii="Times New Roman" w:hAnsi="Times New Roman"/>
                <w:b/>
                <w:sz w:val="24"/>
                <w:u w:val="single"/>
              </w:rPr>
            </w:pPr>
            <w:r>
              <w:rPr>
                <w:rFonts w:ascii="Times New Roman" w:hAnsi="Times New Roman"/>
                <w:sz w:val="24"/>
              </w:rPr>
              <w:t>Deduzione della differenza tra gli importi ponderati per il rischio delle esposizioni non in stato di default verso una PMI (RWEA), che sono calcolati in conformità della parte tre, titolo II, capo 3, a seconda dei casi, e la RWEA* in conformità dell</w:t>
            </w:r>
            <w:r w:rsidR="000878EC">
              <w:rPr>
                <w:rFonts w:ascii="Times New Roman" w:hAnsi="Times New Roman"/>
                <w:sz w:val="24"/>
              </w:rPr>
              <w:t>'</w:t>
            </w:r>
            <w:r>
              <w:rPr>
                <w:rFonts w:ascii="Times New Roman" w:hAnsi="Times New Roman"/>
                <w:sz w:val="24"/>
              </w:rPr>
              <w:t>articolo 501 del CRR</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0257</w:t>
            </w:r>
          </w:p>
        </w:tc>
        <w:tc>
          <w:tcPr>
            <w:tcW w:w="8843" w:type="dxa"/>
          </w:tcPr>
          <w:p w:rsidR="008D24A6" w:rsidRPr="00661595" w:rsidRDefault="008D24A6" w:rsidP="00604D31">
            <w:pPr>
              <w:suppressAutoHyphens/>
              <w:rPr>
                <w:rFonts w:ascii="Times New Roman" w:hAnsi="Times New Roman"/>
                <w:b/>
                <w:sz w:val="24"/>
                <w:u w:val="single"/>
              </w:rPr>
            </w:pPr>
            <w:r>
              <w:rPr>
                <w:rFonts w:ascii="Times New Roman" w:hAnsi="Times New Roman"/>
                <w:b/>
                <w:sz w:val="24"/>
                <w:u w:val="single"/>
              </w:rPr>
              <w:t>(-) RETTIFICA DELL</w:t>
            </w:r>
            <w:r w:rsidR="000878EC">
              <w:rPr>
                <w:rFonts w:ascii="Times New Roman" w:hAnsi="Times New Roman"/>
                <w:b/>
                <w:sz w:val="24"/>
                <w:u w:val="single"/>
              </w:rPr>
              <w:t>'</w:t>
            </w:r>
            <w:r>
              <w:rPr>
                <w:rFonts w:ascii="Times New Roman" w:hAnsi="Times New Roman"/>
                <w:b/>
                <w:sz w:val="24"/>
                <w:u w:val="single"/>
              </w:rPr>
              <w:t>IMPORTO DELL</w:t>
            </w:r>
            <w:r w:rsidR="000878EC">
              <w:rPr>
                <w:rFonts w:ascii="Times New Roman" w:hAnsi="Times New Roman"/>
                <w:b/>
                <w:sz w:val="24"/>
                <w:u w:val="single"/>
              </w:rPr>
              <w:t>'</w:t>
            </w:r>
            <w:r>
              <w:rPr>
                <w:rFonts w:ascii="Times New Roman" w:hAnsi="Times New Roman"/>
                <w:b/>
                <w:sz w:val="24"/>
                <w:u w:val="single"/>
              </w:rPr>
              <w:t>ESPOSIZIONE PONDERATO PER IL RISCHIO DOVUTA AL FATTORE DI SOSTEGNO ALLE INFRASTRUTTURE</w:t>
            </w:r>
          </w:p>
          <w:p w:rsidR="008D24A6" w:rsidRPr="00661595" w:rsidRDefault="008D24A6" w:rsidP="00604D31">
            <w:pPr>
              <w:suppressAutoHyphens/>
              <w:rPr>
                <w:rFonts w:ascii="Times New Roman" w:hAnsi="Times New Roman"/>
                <w:b/>
                <w:sz w:val="24"/>
                <w:u w:val="single"/>
              </w:rPr>
            </w:pPr>
            <w:r>
              <w:rPr>
                <w:rFonts w:ascii="Times New Roman" w:hAnsi="Times New Roman"/>
                <w:sz w:val="24"/>
              </w:rPr>
              <w:t>Deduzione della differenza tra gli importi delle esposizioni ponderati per il rischio calcolati conformemente alla parte tre, titolo II, del CRR e l</w:t>
            </w:r>
            <w:r w:rsidR="000878EC">
              <w:rPr>
                <w:rFonts w:ascii="Times New Roman" w:hAnsi="Times New Roman"/>
                <w:sz w:val="24"/>
              </w:rPr>
              <w:t>'</w:t>
            </w:r>
            <w:r>
              <w:rPr>
                <w:rFonts w:ascii="Times New Roman" w:hAnsi="Times New Roman"/>
                <w:sz w:val="24"/>
              </w:rPr>
              <w:t>RWEA rettificato per il rischio di credito per le esposizioni verso soggetti che gestiscono o finanziano strutture fisiche o impianti, sistemi e reti che forniscono o sostengono servizi pubblici essenziali conformemente all</w:t>
            </w:r>
            <w:r w:rsidR="000878EC">
              <w:rPr>
                <w:rFonts w:ascii="Times New Roman" w:hAnsi="Times New Roman"/>
                <w:sz w:val="24"/>
              </w:rPr>
              <w:t>'</w:t>
            </w:r>
            <w:r>
              <w:rPr>
                <w:rFonts w:ascii="Times New Roman" w:hAnsi="Times New Roman"/>
                <w:sz w:val="24"/>
              </w:rPr>
              <w:t>articolo 501 bis del CRR.</w:t>
            </w:r>
          </w:p>
        </w:tc>
      </w:tr>
      <w:tr w:rsidR="008D24A6" w:rsidRPr="00661595" w:rsidTr="00672D2A">
        <w:tc>
          <w:tcPr>
            <w:tcW w:w="1188" w:type="dxa"/>
            <w:shd w:val="clear" w:color="auto" w:fill="auto"/>
          </w:tcPr>
          <w:p w:rsidR="008D24A6" w:rsidRPr="00661595" w:rsidRDefault="001452FC" w:rsidP="008D24A6">
            <w:pPr>
              <w:rPr>
                <w:rFonts w:ascii="Times New Roman" w:hAnsi="Times New Roman"/>
                <w:sz w:val="24"/>
              </w:rPr>
            </w:pPr>
            <w:r>
              <w:rPr>
                <w:rFonts w:ascii="Times New Roman" w:hAnsi="Times New Roman"/>
                <w:sz w:val="24"/>
              </w:rPr>
              <w:t>0260</w:t>
            </w:r>
          </w:p>
        </w:tc>
        <w:tc>
          <w:tcPr>
            <w:tcW w:w="8843" w:type="dxa"/>
            <w:shd w:val="clear" w:color="auto" w:fill="auto"/>
          </w:tcPr>
          <w:p w:rsidR="008D24A6" w:rsidRPr="00661595" w:rsidRDefault="008D24A6" w:rsidP="00604D31">
            <w:pPr>
              <w:suppressAutoHyphens/>
              <w:rPr>
                <w:rFonts w:ascii="Times New Roman" w:hAnsi="Times New Roman"/>
                <w:b/>
                <w:sz w:val="24"/>
                <w:u w:val="single"/>
              </w:rPr>
            </w:pPr>
            <w:r>
              <w:rPr>
                <w:rFonts w:ascii="Times New Roman" w:hAnsi="Times New Roman"/>
                <w:b/>
                <w:sz w:val="24"/>
                <w:u w:val="single"/>
              </w:rPr>
              <w:t>IMPORTO DELL</w:t>
            </w:r>
            <w:r w:rsidR="000878EC">
              <w:rPr>
                <w:rFonts w:ascii="Times New Roman" w:hAnsi="Times New Roman"/>
                <w:b/>
                <w:sz w:val="24"/>
                <w:u w:val="single"/>
              </w:rPr>
              <w:t>'</w:t>
            </w:r>
            <w:r>
              <w:rPr>
                <w:rFonts w:ascii="Times New Roman" w:hAnsi="Times New Roman"/>
                <w:b/>
                <w:sz w:val="24"/>
                <w:u w:val="single"/>
              </w:rPr>
              <w:t>ESPOSIZIONE PONDERATO PER IL RISCHIO DOPO L</w:t>
            </w:r>
            <w:r w:rsidR="000878EC">
              <w:rPr>
                <w:rFonts w:ascii="Times New Roman" w:hAnsi="Times New Roman"/>
                <w:b/>
                <w:sz w:val="24"/>
                <w:u w:val="single"/>
              </w:rPr>
              <w:t>'</w:t>
            </w:r>
            <w:r>
              <w:rPr>
                <w:rFonts w:ascii="Times New Roman" w:hAnsi="Times New Roman"/>
                <w:b/>
                <w:sz w:val="24"/>
                <w:u w:val="single"/>
              </w:rPr>
              <w:t>APPLICAZIONE DEI FATTORI DI SOSTEGNO</w:t>
            </w:r>
          </w:p>
          <w:p w:rsidR="008D24A6" w:rsidRPr="00661595" w:rsidRDefault="008D24A6" w:rsidP="00604D31">
            <w:pPr>
              <w:suppressAutoHyphens/>
              <w:rPr>
                <w:rFonts w:ascii="Times New Roman" w:hAnsi="Times New Roman"/>
                <w:sz w:val="24"/>
              </w:rPr>
            </w:pPr>
            <w:r>
              <w:rPr>
                <w:rFonts w:ascii="Times New Roman" w:hAnsi="Times New Roman"/>
                <w:sz w:val="24"/>
              </w:rPr>
              <w:t>Per le esposizioni verso amministrazioni centrali e banche centrali, imprese ed enti, cfr. l</w:t>
            </w:r>
            <w:r w:rsidR="000878EC">
              <w:rPr>
                <w:rFonts w:ascii="Times New Roman" w:hAnsi="Times New Roman"/>
                <w:sz w:val="24"/>
              </w:rPr>
              <w:t>'</w:t>
            </w:r>
            <w:r>
              <w:rPr>
                <w:rFonts w:ascii="Times New Roman" w:hAnsi="Times New Roman"/>
                <w:sz w:val="24"/>
              </w:rPr>
              <w:t>articolo 153, paragrafi 1, 2, 3 e 4, del CRR. Per le esposizion</w:t>
            </w:r>
            <w:r w:rsidR="00C213E6">
              <w:rPr>
                <w:rFonts w:ascii="Times New Roman" w:hAnsi="Times New Roman"/>
                <w:sz w:val="24"/>
              </w:rPr>
              <w:t>i al dettaglio, cfr. l</w:t>
            </w:r>
            <w:r w:rsidR="000878EC">
              <w:rPr>
                <w:rFonts w:ascii="Times New Roman" w:hAnsi="Times New Roman"/>
                <w:sz w:val="24"/>
              </w:rPr>
              <w:t>'</w:t>
            </w:r>
            <w:r w:rsidR="00C213E6">
              <w:rPr>
                <w:rFonts w:ascii="Times New Roman" w:hAnsi="Times New Roman"/>
                <w:sz w:val="24"/>
              </w:rPr>
              <w:t>articolo </w:t>
            </w:r>
            <w:r>
              <w:rPr>
                <w:rFonts w:ascii="Times New Roman" w:hAnsi="Times New Roman"/>
                <w:sz w:val="24"/>
              </w:rPr>
              <w:t>154, paragrafo 1, del CRR.</w:t>
            </w:r>
          </w:p>
          <w:p w:rsidR="008D24A6" w:rsidRPr="00661595" w:rsidRDefault="008D24A6" w:rsidP="00604D31">
            <w:pPr>
              <w:suppressAutoHyphens/>
              <w:rPr>
                <w:rFonts w:ascii="Times New Roman" w:hAnsi="Times New Roman"/>
                <w:b/>
                <w:sz w:val="24"/>
                <w:u w:val="single"/>
              </w:rPr>
            </w:pPr>
            <w:r>
              <w:rPr>
                <w:rFonts w:ascii="Times New Roman" w:hAnsi="Times New Roman"/>
                <w:sz w:val="24"/>
              </w:rPr>
              <w:t>Si tiene conto dei fattori di sostegno alle PMI e alle infrastrutture di cui agli articoli 501 e 501 bis del CRR.</w:t>
            </w:r>
          </w:p>
        </w:tc>
      </w:tr>
      <w:tr w:rsidR="008D24A6" w:rsidRPr="00661595" w:rsidTr="00672D2A">
        <w:tc>
          <w:tcPr>
            <w:tcW w:w="1188" w:type="dxa"/>
            <w:shd w:val="clear" w:color="auto" w:fill="auto"/>
          </w:tcPr>
          <w:p w:rsidR="008D24A6" w:rsidRPr="00661595" w:rsidRDefault="001452FC" w:rsidP="008D24A6">
            <w:pPr>
              <w:rPr>
                <w:rFonts w:ascii="Times New Roman" w:hAnsi="Times New Roman"/>
                <w:sz w:val="24"/>
              </w:rPr>
            </w:pPr>
            <w:r>
              <w:rPr>
                <w:rFonts w:ascii="Times New Roman" w:hAnsi="Times New Roman"/>
                <w:sz w:val="24"/>
              </w:rPr>
              <w:t>0270</w:t>
            </w:r>
          </w:p>
        </w:tc>
        <w:tc>
          <w:tcPr>
            <w:tcW w:w="8843" w:type="dxa"/>
            <w:shd w:val="clear" w:color="auto" w:fill="auto"/>
          </w:tcPr>
          <w:p w:rsidR="008D24A6" w:rsidRPr="00661595" w:rsidRDefault="008D24A6" w:rsidP="00604D31">
            <w:pPr>
              <w:suppressAutoHyphens/>
              <w:rPr>
                <w:rFonts w:ascii="Times New Roman" w:hAnsi="Times New Roman"/>
                <w:b/>
                <w:sz w:val="24"/>
                <w:u w:val="single"/>
              </w:rPr>
            </w:pPr>
            <w:r>
              <w:rPr>
                <w:rFonts w:ascii="Times New Roman" w:hAnsi="Times New Roman"/>
                <w:b/>
                <w:sz w:val="24"/>
                <w:u w:val="single"/>
              </w:rPr>
              <w:t>DI CUI: SOGGETTI DI GRANDI DIMENSIONI DEL SETTORE FINANZIARIO E SOGGETTI FINANZIARI NON REGOLAMENTATI</w:t>
            </w:r>
          </w:p>
          <w:p w:rsidR="008D24A6" w:rsidRPr="00661595" w:rsidDel="005A2363" w:rsidRDefault="008D24A6" w:rsidP="00604D31">
            <w:pPr>
              <w:suppressAutoHyphens/>
              <w:rPr>
                <w:rFonts w:ascii="Times New Roman" w:hAnsi="Times New Roman"/>
                <w:sz w:val="24"/>
              </w:rPr>
            </w:pPr>
            <w:r>
              <w:rPr>
                <w:rFonts w:ascii="Times New Roman" w:hAnsi="Times New Roman"/>
                <w:sz w:val="24"/>
              </w:rPr>
              <w:t>Ripartizione dell</w:t>
            </w:r>
            <w:r w:rsidR="000878EC">
              <w:rPr>
                <w:rFonts w:ascii="Times New Roman" w:hAnsi="Times New Roman"/>
                <w:sz w:val="24"/>
              </w:rPr>
              <w:t>'</w:t>
            </w:r>
            <w:r>
              <w:rPr>
                <w:rFonts w:ascii="Times New Roman" w:hAnsi="Times New Roman"/>
                <w:sz w:val="24"/>
              </w:rPr>
              <w:t>importo dell</w:t>
            </w:r>
            <w:r w:rsidR="000878EC">
              <w:rPr>
                <w:rFonts w:ascii="Times New Roman" w:hAnsi="Times New Roman"/>
                <w:sz w:val="24"/>
              </w:rPr>
              <w:t>'</w:t>
            </w:r>
            <w:r>
              <w:rPr>
                <w:rFonts w:ascii="Times New Roman" w:hAnsi="Times New Roman"/>
                <w:sz w:val="24"/>
              </w:rPr>
              <w:t>esposizione ponderato per il rischio dopo l</w:t>
            </w:r>
            <w:r w:rsidR="000878EC">
              <w:rPr>
                <w:rFonts w:ascii="Times New Roman" w:hAnsi="Times New Roman"/>
                <w:sz w:val="24"/>
              </w:rPr>
              <w:t>'</w:t>
            </w:r>
            <w:r>
              <w:rPr>
                <w:rFonts w:ascii="Times New Roman" w:hAnsi="Times New Roman"/>
                <w:sz w:val="24"/>
              </w:rPr>
              <w:t>applicazione del fattore di sostegno alle PMI per tutte le esposizioni verso soggetti di grandi dimensioni del settore finanziario ai sensi dell</w:t>
            </w:r>
            <w:r w:rsidR="000878EC">
              <w:rPr>
                <w:rFonts w:ascii="Times New Roman" w:hAnsi="Times New Roman"/>
                <w:sz w:val="24"/>
              </w:rPr>
              <w:t>'</w:t>
            </w:r>
            <w:r>
              <w:rPr>
                <w:rFonts w:ascii="Times New Roman" w:hAnsi="Times New Roman"/>
                <w:sz w:val="24"/>
              </w:rPr>
              <w:t>articolo 142, paragrafo 1, punto 4, del CRR e verso soggetti del settore finanziario non regolamentati ai sensi dell</w:t>
            </w:r>
            <w:r w:rsidR="000878EC">
              <w:rPr>
                <w:rFonts w:ascii="Times New Roman" w:hAnsi="Times New Roman"/>
                <w:sz w:val="24"/>
              </w:rPr>
              <w:t>'</w:t>
            </w:r>
            <w:r>
              <w:rPr>
                <w:rFonts w:ascii="Times New Roman" w:hAnsi="Times New Roman"/>
                <w:sz w:val="24"/>
              </w:rPr>
              <w:t>articolo 142, paragrafo 1, punto 5, del CRR, cui si applica il coefficiente di correlazione più elevato determinato conformemente all</w:t>
            </w:r>
            <w:r w:rsidR="000878EC">
              <w:rPr>
                <w:rFonts w:ascii="Times New Roman" w:hAnsi="Times New Roman"/>
                <w:sz w:val="24"/>
              </w:rPr>
              <w:t>'</w:t>
            </w:r>
            <w:r>
              <w:rPr>
                <w:rFonts w:ascii="Times New Roman" w:hAnsi="Times New Roman"/>
                <w:sz w:val="24"/>
              </w:rPr>
              <w:t>articolo 153, paragrafo 2, del CRR.</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0280</w:t>
            </w:r>
          </w:p>
        </w:tc>
        <w:tc>
          <w:tcPr>
            <w:tcW w:w="8843" w:type="dxa"/>
          </w:tcPr>
          <w:p w:rsidR="008D24A6" w:rsidRPr="00661595" w:rsidRDefault="008D24A6" w:rsidP="00604D31">
            <w:pPr>
              <w:suppressAutoHyphens/>
              <w:rPr>
                <w:rFonts w:ascii="Times New Roman" w:hAnsi="Times New Roman"/>
                <w:b/>
                <w:sz w:val="24"/>
                <w:u w:val="single"/>
              </w:rPr>
            </w:pPr>
            <w:r>
              <w:rPr>
                <w:rFonts w:ascii="Times New Roman" w:hAnsi="Times New Roman"/>
                <w:b/>
                <w:sz w:val="24"/>
                <w:u w:val="single"/>
              </w:rPr>
              <w:t>IMPORTO DELLE PERDITE ATTESE</w:t>
            </w:r>
          </w:p>
          <w:p w:rsidR="008D24A6" w:rsidRPr="00661595" w:rsidRDefault="008D24A6" w:rsidP="00604D31">
            <w:pPr>
              <w:suppressAutoHyphens/>
              <w:jc w:val="left"/>
              <w:rPr>
                <w:rFonts w:ascii="Times New Roman" w:hAnsi="Times New Roman"/>
                <w:sz w:val="24"/>
              </w:rPr>
            </w:pPr>
            <w:r>
              <w:rPr>
                <w:rFonts w:ascii="Times New Roman" w:hAnsi="Times New Roman"/>
                <w:sz w:val="24"/>
              </w:rPr>
              <w:t>Per la definizione di perdita attesa, cfr. l</w:t>
            </w:r>
            <w:r w:rsidR="000878EC">
              <w:rPr>
                <w:rFonts w:ascii="Times New Roman" w:hAnsi="Times New Roman"/>
                <w:sz w:val="24"/>
              </w:rPr>
              <w:t>'</w:t>
            </w:r>
            <w:r>
              <w:rPr>
                <w:rFonts w:ascii="Times New Roman" w:hAnsi="Times New Roman"/>
                <w:sz w:val="24"/>
              </w:rPr>
              <w:t>articolo 5, punto 3, del CRR; per il calcolo degli importi delle perdite attese, cfr. l</w:t>
            </w:r>
            <w:r w:rsidR="000878EC">
              <w:rPr>
                <w:rFonts w:ascii="Times New Roman" w:hAnsi="Times New Roman"/>
                <w:sz w:val="24"/>
              </w:rPr>
              <w:t>'</w:t>
            </w:r>
            <w:r>
              <w:rPr>
                <w:rFonts w:ascii="Times New Roman" w:hAnsi="Times New Roman"/>
                <w:sz w:val="24"/>
              </w:rPr>
              <w:t>articolo 158 del CRR. Per le esposizioni in stato di default cfr. l</w:t>
            </w:r>
            <w:r w:rsidR="000878EC">
              <w:rPr>
                <w:rFonts w:ascii="Times New Roman" w:hAnsi="Times New Roman"/>
                <w:sz w:val="24"/>
              </w:rPr>
              <w:t>'</w:t>
            </w:r>
            <w:r>
              <w:rPr>
                <w:rFonts w:ascii="Times New Roman" w:hAnsi="Times New Roman"/>
                <w:sz w:val="24"/>
              </w:rPr>
              <w:t>articolo 181, paragrafo 1, lettera h), del CRR. L</w:t>
            </w:r>
            <w:r w:rsidR="000878EC">
              <w:rPr>
                <w:rFonts w:ascii="Times New Roman" w:hAnsi="Times New Roman"/>
                <w:sz w:val="24"/>
              </w:rPr>
              <w:t>'</w:t>
            </w:r>
            <w:r>
              <w:rPr>
                <w:rFonts w:ascii="Times New Roman" w:hAnsi="Times New Roman"/>
                <w:sz w:val="24"/>
              </w:rPr>
              <w:t>importo delle perdite attese da segnalare si basa sui parametri di rischio effettivamente utilizzati nella scala di rating interni approvata dalla rispettiva autorità competente.</w:t>
            </w:r>
          </w:p>
        </w:tc>
      </w:tr>
      <w:tr w:rsidR="008D24A6" w:rsidRPr="00661595" w:rsidTr="00672D2A">
        <w:tc>
          <w:tcPr>
            <w:tcW w:w="1188" w:type="dxa"/>
          </w:tcPr>
          <w:p w:rsidR="008D24A6" w:rsidRPr="00661595" w:rsidRDefault="001452FC" w:rsidP="008D24A6">
            <w:pPr>
              <w:rPr>
                <w:rFonts w:ascii="Times New Roman" w:hAnsi="Times New Roman"/>
                <w:sz w:val="24"/>
              </w:rPr>
            </w:pPr>
            <w:r>
              <w:rPr>
                <w:rFonts w:ascii="Times New Roman" w:hAnsi="Times New Roman"/>
                <w:sz w:val="24"/>
              </w:rPr>
              <w:t>0290</w:t>
            </w:r>
          </w:p>
        </w:tc>
        <w:tc>
          <w:tcPr>
            <w:tcW w:w="8843" w:type="dxa"/>
          </w:tcPr>
          <w:p w:rsidR="008D24A6" w:rsidRPr="00661595" w:rsidRDefault="008D24A6" w:rsidP="00604D31">
            <w:pPr>
              <w:suppressAutoHyphens/>
              <w:rPr>
                <w:rFonts w:ascii="Times New Roman" w:hAnsi="Times New Roman"/>
                <w:b/>
                <w:sz w:val="24"/>
                <w:u w:val="single"/>
              </w:rPr>
            </w:pPr>
            <w:r>
              <w:rPr>
                <w:rFonts w:ascii="Times New Roman" w:hAnsi="Times New Roman"/>
                <w:b/>
                <w:sz w:val="24"/>
                <w:u w:val="single"/>
              </w:rPr>
              <w:t>(-) RETTIFICHE DI VALORE E ACCANTONAMENTI</w:t>
            </w:r>
          </w:p>
          <w:p w:rsidR="008D24A6" w:rsidRPr="00661595" w:rsidRDefault="008D24A6" w:rsidP="00604D31">
            <w:pPr>
              <w:suppressAutoHyphens/>
              <w:rPr>
                <w:rFonts w:ascii="Times New Roman" w:hAnsi="Times New Roman"/>
                <w:sz w:val="24"/>
              </w:rPr>
            </w:pPr>
            <w:r>
              <w:rPr>
                <w:rFonts w:ascii="Times New Roman" w:hAnsi="Times New Roman"/>
                <w:sz w:val="24"/>
              </w:rPr>
              <w:t>In questa riga sono segnalate le rettifiche di valore e le rettifiche di valore su crediti specifiche e generiche conformemente all</w:t>
            </w:r>
            <w:r w:rsidR="000878EC">
              <w:rPr>
                <w:rFonts w:ascii="Times New Roman" w:hAnsi="Times New Roman"/>
                <w:sz w:val="24"/>
              </w:rPr>
              <w:t>'</w:t>
            </w:r>
            <w:r>
              <w:rPr>
                <w:rFonts w:ascii="Times New Roman" w:hAnsi="Times New Roman"/>
                <w:sz w:val="24"/>
              </w:rPr>
              <w:t>articolo 159 del CRR. Le rettifiche di valore su crediti generiche</w:t>
            </w:r>
            <w:r>
              <w:rPr>
                <w:rFonts w:ascii="Times New Roman" w:hAnsi="Times New Roman"/>
                <w:b/>
                <w:bCs/>
                <w:i/>
                <w:iCs/>
                <w:sz w:val="24"/>
              </w:rPr>
              <w:t xml:space="preserve"> </w:t>
            </w:r>
            <w:r>
              <w:rPr>
                <w:rFonts w:ascii="Times New Roman" w:hAnsi="Times New Roman"/>
                <w:sz w:val="24"/>
              </w:rPr>
              <w:t>sono segnalate assegnando un importo pro rata in funzione delle perdite attese delle diverse classi di debitori.</w:t>
            </w:r>
          </w:p>
        </w:tc>
      </w:tr>
      <w:tr w:rsidR="008D24A6" w:rsidRPr="00661595" w:rsidTr="00672D2A">
        <w:tc>
          <w:tcPr>
            <w:tcW w:w="1188" w:type="dxa"/>
          </w:tcPr>
          <w:p w:rsidR="008D24A6" w:rsidRPr="00661595" w:rsidRDefault="001452FC" w:rsidP="008D24A6">
            <w:pPr>
              <w:ind w:right="-288"/>
              <w:rPr>
                <w:rFonts w:ascii="Times New Roman" w:hAnsi="Times New Roman"/>
                <w:sz w:val="24"/>
              </w:rPr>
            </w:pPr>
            <w:r>
              <w:rPr>
                <w:rFonts w:ascii="Times New Roman" w:hAnsi="Times New Roman"/>
                <w:sz w:val="24"/>
              </w:rPr>
              <w:t>0300</w:t>
            </w:r>
          </w:p>
        </w:tc>
        <w:tc>
          <w:tcPr>
            <w:tcW w:w="8843" w:type="dxa"/>
          </w:tcPr>
          <w:p w:rsidR="008D24A6" w:rsidRPr="00661595" w:rsidRDefault="008D24A6" w:rsidP="00604D31">
            <w:pPr>
              <w:suppressAutoHyphens/>
              <w:ind w:right="-288"/>
              <w:rPr>
                <w:rFonts w:ascii="Times New Roman" w:hAnsi="Times New Roman"/>
                <w:b/>
                <w:sz w:val="24"/>
                <w:u w:val="single"/>
              </w:rPr>
            </w:pPr>
            <w:r>
              <w:rPr>
                <w:rFonts w:ascii="Times New Roman" w:hAnsi="Times New Roman"/>
                <w:b/>
                <w:sz w:val="24"/>
                <w:u w:val="single"/>
              </w:rPr>
              <w:t>NUMERO DI DEBITORI</w:t>
            </w:r>
          </w:p>
          <w:p w:rsidR="008D24A6" w:rsidRPr="00661595" w:rsidRDefault="008D24A6" w:rsidP="00604D31">
            <w:pPr>
              <w:suppressAutoHyphens/>
              <w:rPr>
                <w:rFonts w:ascii="Times New Roman" w:hAnsi="Times New Roman"/>
                <w:sz w:val="24"/>
              </w:rPr>
            </w:pPr>
            <w:r>
              <w:rPr>
                <w:rFonts w:ascii="Times New Roman" w:hAnsi="Times New Roman"/>
                <w:sz w:val="24"/>
              </w:rPr>
              <w:t>Articolo 172, paragrafi 1 e 2, del CRR</w:t>
            </w:r>
          </w:p>
          <w:p w:rsidR="008D24A6" w:rsidRPr="00661595" w:rsidRDefault="008D24A6" w:rsidP="00604D31">
            <w:pPr>
              <w:suppressAutoHyphens/>
              <w:rPr>
                <w:rFonts w:ascii="Times New Roman" w:hAnsi="Times New Roman"/>
                <w:sz w:val="24"/>
              </w:rPr>
            </w:pPr>
            <w:r>
              <w:rPr>
                <w:rFonts w:ascii="Times New Roman" w:hAnsi="Times New Roman"/>
                <w:sz w:val="24"/>
              </w:rPr>
              <w:t xml:space="preserve">Per tutte le classi di esposizioni, fatta eccezione per la classe di esposizioni </w:t>
            </w:r>
            <w:r w:rsidR="000878EC">
              <w:rPr>
                <w:rFonts w:ascii="Times New Roman" w:hAnsi="Times New Roman"/>
                <w:sz w:val="24"/>
              </w:rPr>
              <w:t>"</w:t>
            </w:r>
            <w:r>
              <w:rPr>
                <w:rFonts w:ascii="Times New Roman" w:hAnsi="Times New Roman"/>
                <w:sz w:val="24"/>
              </w:rPr>
              <w:t>al dettaglio</w:t>
            </w:r>
            <w:r w:rsidR="000878EC">
              <w:rPr>
                <w:rFonts w:ascii="Times New Roman" w:hAnsi="Times New Roman"/>
                <w:sz w:val="24"/>
              </w:rPr>
              <w:t>"</w:t>
            </w:r>
            <w:r>
              <w:rPr>
                <w:rFonts w:ascii="Times New Roman" w:hAnsi="Times New Roman"/>
                <w:sz w:val="24"/>
              </w:rPr>
              <w:t xml:space="preserve"> e per i casi di cui all</w:t>
            </w:r>
            <w:r w:rsidR="000878EC">
              <w:rPr>
                <w:rFonts w:ascii="Times New Roman" w:hAnsi="Times New Roman"/>
                <w:sz w:val="24"/>
              </w:rPr>
              <w:t>'</w:t>
            </w:r>
            <w:r>
              <w:rPr>
                <w:rFonts w:ascii="Times New Roman" w:hAnsi="Times New Roman"/>
                <w:sz w:val="24"/>
              </w:rPr>
              <w:t>articolo 172, paragrafo 1, lettera e), seconda frase, del CRR, l</w:t>
            </w:r>
            <w:r w:rsidR="000878EC">
              <w:rPr>
                <w:rFonts w:ascii="Times New Roman" w:hAnsi="Times New Roman"/>
                <w:sz w:val="24"/>
              </w:rPr>
              <w:t>'</w:t>
            </w:r>
            <w:r>
              <w:rPr>
                <w:rFonts w:ascii="Times New Roman" w:hAnsi="Times New Roman"/>
                <w:sz w:val="24"/>
              </w:rPr>
              <w:t xml:space="preserve">ente segnala il numero dei soggetti giuridici/debitori valutati separatamente, a prescindere dal numero dei diversi prestiti o esposizioni concessi. </w:t>
            </w:r>
          </w:p>
          <w:p w:rsidR="008D24A6" w:rsidRPr="00661595" w:rsidRDefault="008D24A6" w:rsidP="00604D31">
            <w:pPr>
              <w:suppressAutoHyphens/>
              <w:rPr>
                <w:rFonts w:ascii="Times New Roman" w:hAnsi="Times New Roman"/>
                <w:sz w:val="24"/>
              </w:rPr>
            </w:pPr>
            <w:r>
              <w:rPr>
                <w:rFonts w:ascii="Times New Roman" w:hAnsi="Times New Roman"/>
                <w:sz w:val="24"/>
              </w:rPr>
              <w:t>Nell</w:t>
            </w:r>
            <w:r w:rsidR="000878EC">
              <w:rPr>
                <w:rFonts w:ascii="Times New Roman" w:hAnsi="Times New Roman"/>
                <w:sz w:val="24"/>
              </w:rPr>
              <w:t>'</w:t>
            </w:r>
            <w:r>
              <w:rPr>
                <w:rFonts w:ascii="Times New Roman" w:hAnsi="Times New Roman"/>
                <w:sz w:val="24"/>
              </w:rPr>
              <w:t xml:space="preserve">ambito della classe di esposizioni </w:t>
            </w:r>
            <w:r w:rsidR="000878EC">
              <w:rPr>
                <w:rFonts w:ascii="Times New Roman" w:hAnsi="Times New Roman"/>
                <w:sz w:val="24"/>
              </w:rPr>
              <w:t>"</w:t>
            </w:r>
            <w:r>
              <w:rPr>
                <w:rFonts w:ascii="Times New Roman" w:hAnsi="Times New Roman"/>
                <w:sz w:val="24"/>
              </w:rPr>
              <w:t>al dettaglio</w:t>
            </w:r>
            <w:r w:rsidR="000878EC">
              <w:rPr>
                <w:rFonts w:ascii="Times New Roman" w:hAnsi="Times New Roman"/>
                <w:sz w:val="24"/>
              </w:rPr>
              <w:t>"</w:t>
            </w:r>
            <w:r>
              <w:rPr>
                <w:rFonts w:ascii="Times New Roman" w:hAnsi="Times New Roman"/>
                <w:sz w:val="24"/>
              </w:rPr>
              <w:t xml:space="preserve"> o se le varie esposizioni verso lo stesso debitore sono assegnate a diverse classi di debitori conformemente all</w:t>
            </w:r>
            <w:r w:rsidR="000878EC">
              <w:rPr>
                <w:rFonts w:ascii="Times New Roman" w:hAnsi="Times New Roman"/>
                <w:sz w:val="24"/>
              </w:rPr>
              <w:t>'</w:t>
            </w:r>
            <w:r>
              <w:rPr>
                <w:rFonts w:ascii="Times New Roman" w:hAnsi="Times New Roman"/>
                <w:sz w:val="24"/>
              </w:rPr>
              <w:t>articolo 172, paragrafo 1, lettera e), seconda frase, del CRR in altre classi di esposizioni, l</w:t>
            </w:r>
            <w:r w:rsidR="000878EC">
              <w:rPr>
                <w:rFonts w:ascii="Times New Roman" w:hAnsi="Times New Roman"/>
                <w:sz w:val="24"/>
              </w:rPr>
              <w:t>'</w:t>
            </w:r>
            <w:r>
              <w:rPr>
                <w:rFonts w:ascii="Times New Roman" w:hAnsi="Times New Roman"/>
                <w:sz w:val="24"/>
              </w:rPr>
              <w:t>ente segnala il numero delle esposizioni assegnate separatamente a una determinata classe o pool di rating. Ove trovi applicazione l</w:t>
            </w:r>
            <w:r w:rsidR="000878EC">
              <w:rPr>
                <w:rFonts w:ascii="Times New Roman" w:hAnsi="Times New Roman"/>
                <w:sz w:val="24"/>
              </w:rPr>
              <w:t>'</w:t>
            </w:r>
            <w:r>
              <w:rPr>
                <w:rFonts w:ascii="Times New Roman" w:hAnsi="Times New Roman"/>
                <w:sz w:val="24"/>
              </w:rPr>
              <w:t>articolo 172, paragrafo 2, del CRR, un debitore può essere assegnato a più di una classe.</w:t>
            </w:r>
          </w:p>
          <w:p w:rsidR="008D24A6" w:rsidRPr="00661595" w:rsidRDefault="008D24A6" w:rsidP="00604D31">
            <w:pPr>
              <w:suppressAutoHyphens/>
              <w:rPr>
                <w:rFonts w:ascii="Times New Roman" w:hAnsi="Times New Roman"/>
                <w:sz w:val="24"/>
              </w:rPr>
            </w:pPr>
            <w:r>
              <w:rPr>
                <w:rStyle w:val="InstructionsTabelleText"/>
                <w:rFonts w:ascii="Times New Roman" w:hAnsi="Times New Roman"/>
                <w:sz w:val="24"/>
              </w:rPr>
              <w:t>Poiché riguarda un elemento della struttura delle scale di rating, questa colonna fa riferimento alle esposizioni originarie prima dell</w:t>
            </w:r>
            <w:r w:rsidR="000878EC">
              <w:rPr>
                <w:rStyle w:val="InstructionsTabelleText"/>
                <w:rFonts w:ascii="Times New Roman" w:hAnsi="Times New Roman"/>
                <w:sz w:val="24"/>
              </w:rPr>
              <w:t>'</w:t>
            </w:r>
            <w:r>
              <w:rPr>
                <w:rStyle w:val="InstructionsTabelleText"/>
                <w:rFonts w:ascii="Times New Roman" w:hAnsi="Times New Roman"/>
                <w:sz w:val="24"/>
              </w:rPr>
              <w:t>applicazione del fattore di conversione attribuito a ciascuna classe o pool di debitori, senza considerare l</w:t>
            </w:r>
            <w:r w:rsidR="000878EC">
              <w:rPr>
                <w:rStyle w:val="InstructionsTabelleText"/>
                <w:rFonts w:ascii="Times New Roman" w:hAnsi="Times New Roman"/>
                <w:sz w:val="24"/>
              </w:rPr>
              <w:t>'</w:t>
            </w:r>
            <w:r>
              <w:rPr>
                <w:rStyle w:val="InstructionsTabelleText"/>
                <w:rFonts w:ascii="Times New Roman" w:hAnsi="Times New Roman"/>
                <w:sz w:val="24"/>
              </w:rPr>
              <w:t>effetto delle tecniche di attenuazione del rischio di credito (in particolare gli effetti di riassegnazione).</w:t>
            </w:r>
          </w:p>
        </w:tc>
      </w:tr>
      <w:tr w:rsidR="004D45AA" w:rsidRPr="00661595" w:rsidTr="00672D2A">
        <w:tc>
          <w:tcPr>
            <w:tcW w:w="1188" w:type="dxa"/>
          </w:tcPr>
          <w:p w:rsidR="004D45AA" w:rsidRPr="00661595" w:rsidRDefault="001452FC" w:rsidP="004D45AA">
            <w:pPr>
              <w:ind w:right="-288"/>
              <w:rPr>
                <w:rFonts w:ascii="Times New Roman" w:hAnsi="Times New Roman"/>
                <w:sz w:val="24"/>
              </w:rPr>
            </w:pPr>
            <w:r>
              <w:rPr>
                <w:rFonts w:ascii="Times New Roman" w:hAnsi="Times New Roman"/>
                <w:sz w:val="24"/>
              </w:rPr>
              <w:t>0310</w:t>
            </w:r>
          </w:p>
        </w:tc>
        <w:tc>
          <w:tcPr>
            <w:tcW w:w="8843" w:type="dxa"/>
          </w:tcPr>
          <w:p w:rsidR="004D45AA" w:rsidRPr="00661595" w:rsidRDefault="004D45AA" w:rsidP="00604D31">
            <w:pPr>
              <w:suppressAutoHyphens/>
              <w:ind w:right="-288"/>
              <w:rPr>
                <w:rFonts w:ascii="Times New Roman" w:hAnsi="Times New Roman"/>
                <w:b/>
                <w:sz w:val="24"/>
                <w:u w:val="single"/>
              </w:rPr>
            </w:pPr>
            <w:r>
              <w:rPr>
                <w:rFonts w:ascii="Times New Roman" w:hAnsi="Times New Roman"/>
                <w:b/>
                <w:sz w:val="24"/>
                <w:u w:val="single"/>
              </w:rPr>
              <w:t>IMPORTO DELL</w:t>
            </w:r>
            <w:r w:rsidR="000878EC">
              <w:rPr>
                <w:rFonts w:ascii="Times New Roman" w:hAnsi="Times New Roman"/>
                <w:b/>
                <w:sz w:val="24"/>
                <w:u w:val="single"/>
              </w:rPr>
              <w:t>'</w:t>
            </w:r>
            <w:r>
              <w:rPr>
                <w:rFonts w:ascii="Times New Roman" w:hAnsi="Times New Roman"/>
                <w:b/>
                <w:sz w:val="24"/>
                <w:u w:val="single"/>
              </w:rPr>
              <w:t>ESPOSIZIONE PONDERATO PER IL RISCHIO PRE-DERIVATI SU CREDITI</w:t>
            </w:r>
          </w:p>
          <w:p w:rsidR="004D45AA" w:rsidRPr="00661595" w:rsidRDefault="00BC61F2" w:rsidP="00604D31">
            <w:pPr>
              <w:suppressAutoHyphens/>
              <w:ind w:right="6"/>
              <w:rPr>
                <w:rFonts w:ascii="Times New Roman" w:hAnsi="Times New Roman"/>
                <w:b/>
                <w:sz w:val="24"/>
                <w:u w:val="single"/>
              </w:rPr>
            </w:pPr>
            <w:r>
              <w:rPr>
                <w:rStyle w:val="InstructionsTabelleText"/>
                <w:rFonts w:ascii="Times New Roman" w:hAnsi="Times New Roman"/>
                <w:sz w:val="24"/>
              </w:rPr>
              <w:t>L</w:t>
            </w:r>
            <w:r w:rsidR="000878EC">
              <w:rPr>
                <w:rStyle w:val="InstructionsTabelleText"/>
                <w:rFonts w:ascii="Times New Roman" w:hAnsi="Times New Roman"/>
                <w:sz w:val="24"/>
              </w:rPr>
              <w:t>'</w:t>
            </w:r>
            <w:r>
              <w:rPr>
                <w:rStyle w:val="InstructionsTabelleText"/>
                <w:rFonts w:ascii="Times New Roman" w:hAnsi="Times New Roman"/>
                <w:sz w:val="24"/>
              </w:rPr>
              <w:t>ente segnala l</w:t>
            </w:r>
            <w:r w:rsidR="000878EC">
              <w:rPr>
                <w:rStyle w:val="InstructionsTabelleText"/>
                <w:rFonts w:ascii="Times New Roman" w:hAnsi="Times New Roman"/>
                <w:sz w:val="24"/>
              </w:rPr>
              <w:t>'</w:t>
            </w:r>
            <w:r>
              <w:rPr>
                <w:rStyle w:val="InstructionsTabelleText"/>
                <w:rFonts w:ascii="Times New Roman" w:hAnsi="Times New Roman"/>
                <w:sz w:val="24"/>
              </w:rPr>
              <w:t>importo dell</w:t>
            </w:r>
            <w:r w:rsidR="000878EC">
              <w:rPr>
                <w:rStyle w:val="InstructionsTabelleText"/>
                <w:rFonts w:ascii="Times New Roman" w:hAnsi="Times New Roman"/>
                <w:sz w:val="24"/>
              </w:rPr>
              <w:t>'</w:t>
            </w:r>
            <w:r>
              <w:rPr>
                <w:rStyle w:val="InstructionsTabelleText"/>
                <w:rFonts w:ascii="Times New Roman" w:hAnsi="Times New Roman"/>
                <w:sz w:val="24"/>
              </w:rPr>
              <w:t>esposizione ponderato per il rischio ipotetico da calcolare come l</w:t>
            </w:r>
            <w:r w:rsidR="000878EC">
              <w:rPr>
                <w:rStyle w:val="InstructionsTabelleText"/>
                <w:rFonts w:ascii="Times New Roman" w:hAnsi="Times New Roman"/>
                <w:sz w:val="24"/>
              </w:rPr>
              <w:t>'</w:t>
            </w:r>
            <w:r>
              <w:rPr>
                <w:rStyle w:val="InstructionsTabelleText"/>
                <w:rFonts w:ascii="Times New Roman" w:hAnsi="Times New Roman"/>
                <w:sz w:val="24"/>
              </w:rPr>
              <w:t>RWEA senza il riconoscimento del derivato su crediti ammissibile come tecnica di CRM come specificato all</w:t>
            </w:r>
            <w:r w:rsidR="000878EC">
              <w:rPr>
                <w:rStyle w:val="InstructionsTabelleText"/>
                <w:rFonts w:ascii="Times New Roman" w:hAnsi="Times New Roman"/>
                <w:sz w:val="24"/>
              </w:rPr>
              <w:t>'</w:t>
            </w:r>
            <w:r>
              <w:rPr>
                <w:rStyle w:val="InstructionsTabelleText"/>
                <w:rFonts w:ascii="Times New Roman" w:hAnsi="Times New Roman"/>
                <w:sz w:val="24"/>
              </w:rPr>
              <w:t>articolo 204 del CRR.</w:t>
            </w:r>
            <w:r w:rsidR="000878EC">
              <w:rPr>
                <w:rStyle w:val="InstructionsTabelleText"/>
                <w:rFonts w:ascii="Times New Roman" w:hAnsi="Times New Roman"/>
                <w:sz w:val="24"/>
              </w:rPr>
              <w:t xml:space="preserve"> </w:t>
            </w:r>
            <w:r>
              <w:rPr>
                <w:rStyle w:val="InstructionsTabelleText"/>
                <w:rFonts w:ascii="Times New Roman" w:hAnsi="Times New Roman"/>
                <w:sz w:val="24"/>
              </w:rPr>
              <w:t>Gli importi sono presentati nelle classi di esposizioni pertinenti per le esposizioni verso il debitore originario.</w:t>
            </w:r>
          </w:p>
        </w:tc>
      </w:tr>
    </w:tbl>
    <w:p w:rsidR="001C7AB7" w:rsidRPr="00661595" w:rsidRDefault="001C7AB7" w:rsidP="001C7AB7">
      <w:pPr>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8789"/>
      </w:tblGrid>
      <w:tr w:rsidR="001C7AB7" w:rsidRPr="00661595" w:rsidTr="00672D2A">
        <w:tc>
          <w:tcPr>
            <w:tcW w:w="1242" w:type="dxa"/>
            <w:shd w:val="clear" w:color="auto" w:fill="CCCCCC"/>
          </w:tcPr>
          <w:p w:rsidR="001C7AB7" w:rsidRPr="00661595" w:rsidRDefault="001C7AB7" w:rsidP="00C213E6">
            <w:pPr>
              <w:keepNext/>
              <w:keepLines/>
              <w:rPr>
                <w:rFonts w:ascii="Times New Roman" w:hAnsi="Times New Roman"/>
                <w:sz w:val="24"/>
              </w:rPr>
            </w:pPr>
            <w:r>
              <w:rPr>
                <w:rFonts w:ascii="Times New Roman" w:hAnsi="Times New Roman"/>
                <w:sz w:val="24"/>
              </w:rPr>
              <w:t>Righe</w:t>
            </w:r>
          </w:p>
        </w:tc>
        <w:tc>
          <w:tcPr>
            <w:tcW w:w="8789" w:type="dxa"/>
            <w:shd w:val="clear" w:color="auto" w:fill="CCCCCC"/>
          </w:tcPr>
          <w:p w:rsidR="001C7AB7" w:rsidRPr="00661595" w:rsidRDefault="001C7AB7" w:rsidP="006F44CE">
            <w:pPr>
              <w:keepNext/>
              <w:keepLines/>
              <w:suppressAutoHyphens/>
              <w:ind w:left="72"/>
              <w:rPr>
                <w:rFonts w:ascii="Times New Roman" w:hAnsi="Times New Roman"/>
                <w:sz w:val="24"/>
              </w:rPr>
            </w:pPr>
            <w:r>
              <w:rPr>
                <w:rFonts w:ascii="Times New Roman" w:hAnsi="Times New Roman"/>
                <w:sz w:val="24"/>
              </w:rPr>
              <w:t>Istruzioni</w:t>
            </w:r>
          </w:p>
        </w:tc>
      </w:tr>
      <w:tr w:rsidR="001C7AB7" w:rsidRPr="00661595" w:rsidTr="00672D2A">
        <w:tc>
          <w:tcPr>
            <w:tcW w:w="1242" w:type="dxa"/>
          </w:tcPr>
          <w:p w:rsidR="001C7AB7" w:rsidRPr="00661595" w:rsidRDefault="001452FC" w:rsidP="00C213E6">
            <w:pPr>
              <w:keepNext/>
              <w:keepLines/>
              <w:rPr>
                <w:rFonts w:ascii="Times New Roman" w:hAnsi="Times New Roman"/>
                <w:sz w:val="24"/>
              </w:rPr>
            </w:pPr>
            <w:r>
              <w:rPr>
                <w:rFonts w:ascii="Times New Roman" w:hAnsi="Times New Roman"/>
                <w:sz w:val="24"/>
              </w:rPr>
              <w:t>0010</w:t>
            </w:r>
          </w:p>
        </w:tc>
        <w:tc>
          <w:tcPr>
            <w:tcW w:w="8789" w:type="dxa"/>
          </w:tcPr>
          <w:p w:rsidR="00284A6D" w:rsidRPr="00661595" w:rsidRDefault="001C7AB7" w:rsidP="006F44CE">
            <w:pPr>
              <w:keepNext/>
              <w:keepLines/>
              <w:suppressAutoHyphens/>
              <w:rPr>
                <w:rFonts w:ascii="Times New Roman" w:hAnsi="Times New Roman"/>
                <w:sz w:val="24"/>
              </w:rPr>
            </w:pPr>
            <w:r>
              <w:rPr>
                <w:rFonts w:ascii="Times New Roman" w:hAnsi="Times New Roman"/>
                <w:b/>
                <w:sz w:val="24"/>
                <w:u w:val="single"/>
              </w:rPr>
              <w:t>ESPOSIZIONI TOTALI</w:t>
            </w:r>
          </w:p>
        </w:tc>
      </w:tr>
      <w:tr w:rsidR="00785F3E" w:rsidRPr="00661595" w:rsidTr="00672D2A">
        <w:tc>
          <w:tcPr>
            <w:tcW w:w="1242" w:type="dxa"/>
          </w:tcPr>
          <w:p w:rsidR="00785F3E" w:rsidRPr="00661595" w:rsidRDefault="003C3168" w:rsidP="00C213E6">
            <w:pPr>
              <w:keepNext/>
              <w:keepLines/>
              <w:rPr>
                <w:rFonts w:ascii="Times New Roman" w:hAnsi="Times New Roman"/>
                <w:sz w:val="24"/>
              </w:rPr>
            </w:pPr>
            <w:r>
              <w:rPr>
                <w:rFonts w:ascii="Times New Roman" w:hAnsi="Times New Roman"/>
                <w:sz w:val="24"/>
              </w:rPr>
              <w:t>0015</w:t>
            </w:r>
          </w:p>
        </w:tc>
        <w:tc>
          <w:tcPr>
            <w:tcW w:w="8789" w:type="dxa"/>
          </w:tcPr>
          <w:p w:rsidR="00785F3E" w:rsidRPr="00661595" w:rsidRDefault="00785F3E" w:rsidP="006F44CE">
            <w:pPr>
              <w:keepNext/>
              <w:keepLines/>
              <w:suppressAutoHyphens/>
              <w:rPr>
                <w:rFonts w:ascii="Times New Roman" w:hAnsi="Times New Roman"/>
                <w:b/>
                <w:sz w:val="24"/>
                <w:u w:val="single"/>
              </w:rPr>
            </w:pPr>
            <w:r>
              <w:rPr>
                <w:rFonts w:ascii="Times New Roman" w:hAnsi="Times New Roman"/>
                <w:b/>
                <w:sz w:val="24"/>
                <w:u w:val="single"/>
              </w:rPr>
              <w:t>di cui: esposizioni soggette al fattore di sostegno alle PMI</w:t>
            </w:r>
          </w:p>
          <w:p w:rsidR="00785F3E" w:rsidRPr="00661595" w:rsidRDefault="00785F3E" w:rsidP="006F44CE">
            <w:pPr>
              <w:keepNext/>
              <w:keepLines/>
              <w:suppressAutoHyphens/>
              <w:rPr>
                <w:rFonts w:ascii="Times New Roman" w:hAnsi="Times New Roman"/>
                <w:sz w:val="24"/>
              </w:rPr>
            </w:pPr>
            <w:r>
              <w:rPr>
                <w:rFonts w:ascii="Times New Roman" w:hAnsi="Times New Roman"/>
                <w:sz w:val="24"/>
              </w:rPr>
              <w:t>In questa riga sono segnalate soltanto le esposizioni che soddi</w:t>
            </w:r>
            <w:r w:rsidR="006F44CE">
              <w:rPr>
                <w:rFonts w:ascii="Times New Roman" w:hAnsi="Times New Roman"/>
                <w:sz w:val="24"/>
              </w:rPr>
              <w:t>sfano i requisiti dell</w:t>
            </w:r>
            <w:r w:rsidR="000878EC">
              <w:rPr>
                <w:rFonts w:ascii="Times New Roman" w:hAnsi="Times New Roman"/>
                <w:sz w:val="24"/>
              </w:rPr>
              <w:t>'</w:t>
            </w:r>
            <w:r w:rsidR="006F44CE">
              <w:rPr>
                <w:rFonts w:ascii="Times New Roman" w:hAnsi="Times New Roman"/>
                <w:sz w:val="24"/>
              </w:rPr>
              <w:t>articolo </w:t>
            </w:r>
            <w:r>
              <w:rPr>
                <w:rFonts w:ascii="Times New Roman" w:hAnsi="Times New Roman"/>
                <w:sz w:val="24"/>
              </w:rPr>
              <w:t>501 del CRR.</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0016</w:t>
            </w:r>
          </w:p>
        </w:tc>
        <w:tc>
          <w:tcPr>
            <w:tcW w:w="8789" w:type="dxa"/>
          </w:tcPr>
          <w:p w:rsidR="004D45AA" w:rsidRPr="00661595" w:rsidRDefault="004D45AA" w:rsidP="006F44CE">
            <w:pPr>
              <w:suppressAutoHyphens/>
              <w:rPr>
                <w:rFonts w:ascii="Times New Roman" w:hAnsi="Times New Roman"/>
                <w:b/>
                <w:sz w:val="24"/>
                <w:u w:val="single"/>
              </w:rPr>
            </w:pPr>
            <w:r>
              <w:rPr>
                <w:rFonts w:ascii="Times New Roman" w:hAnsi="Times New Roman"/>
                <w:b/>
                <w:sz w:val="24"/>
                <w:u w:val="single"/>
              </w:rPr>
              <w:t>di cui: esposizioni soggette al fattore di sostegno alle infrastrutture</w:t>
            </w:r>
          </w:p>
          <w:p w:rsidR="004D45AA" w:rsidRPr="00661595" w:rsidRDefault="004D45AA" w:rsidP="006F44CE">
            <w:pPr>
              <w:suppressAutoHyphens/>
              <w:rPr>
                <w:rFonts w:ascii="Times New Roman" w:hAnsi="Times New Roman"/>
                <w:b/>
                <w:sz w:val="24"/>
                <w:u w:val="single"/>
              </w:rPr>
            </w:pPr>
            <w:r>
              <w:rPr>
                <w:rFonts w:ascii="Times New Roman" w:hAnsi="Times New Roman"/>
                <w:sz w:val="24"/>
              </w:rPr>
              <w:t>In questa riga sono segnalate soltanto le esposizioni che soddi</w:t>
            </w:r>
            <w:r w:rsidR="006F44CE">
              <w:rPr>
                <w:rFonts w:ascii="Times New Roman" w:hAnsi="Times New Roman"/>
                <w:sz w:val="24"/>
              </w:rPr>
              <w:t>sfano i requisiti dell</w:t>
            </w:r>
            <w:r w:rsidR="000878EC">
              <w:rPr>
                <w:rFonts w:ascii="Times New Roman" w:hAnsi="Times New Roman"/>
                <w:sz w:val="24"/>
              </w:rPr>
              <w:t>'</w:t>
            </w:r>
            <w:r w:rsidR="006F44CE">
              <w:rPr>
                <w:rFonts w:ascii="Times New Roman" w:hAnsi="Times New Roman"/>
                <w:sz w:val="24"/>
              </w:rPr>
              <w:t>articolo </w:t>
            </w:r>
            <w:r>
              <w:rPr>
                <w:rFonts w:ascii="Times New Roman" w:hAnsi="Times New Roman"/>
                <w:sz w:val="24"/>
              </w:rPr>
              <w:t>501 bis del CRR.</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0020-0060</w:t>
            </w:r>
          </w:p>
        </w:tc>
        <w:tc>
          <w:tcPr>
            <w:tcW w:w="8789" w:type="dxa"/>
          </w:tcPr>
          <w:p w:rsidR="004D45AA" w:rsidRPr="00661595" w:rsidRDefault="004D45AA" w:rsidP="006F44CE">
            <w:pPr>
              <w:suppressAutoHyphens/>
              <w:rPr>
                <w:rFonts w:ascii="Times New Roman" w:hAnsi="Times New Roman"/>
                <w:sz w:val="24"/>
              </w:rPr>
            </w:pPr>
            <w:r>
              <w:rPr>
                <w:rFonts w:ascii="Times New Roman" w:hAnsi="Times New Roman"/>
                <w:sz w:val="24"/>
              </w:rPr>
              <w:t>RIPARTIZIONE DELLE ESPOSIZIONI TOTALI PER TIPO DI ESPOSIZIONE</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0020</w:t>
            </w:r>
          </w:p>
        </w:tc>
        <w:tc>
          <w:tcPr>
            <w:tcW w:w="8789" w:type="dxa"/>
          </w:tcPr>
          <w:p w:rsidR="004D45AA" w:rsidRPr="00661595" w:rsidRDefault="004D45AA" w:rsidP="006F44CE">
            <w:pPr>
              <w:suppressAutoHyphens/>
              <w:rPr>
                <w:rFonts w:ascii="Times New Roman" w:hAnsi="Times New Roman"/>
                <w:b/>
                <w:sz w:val="24"/>
                <w:u w:val="single"/>
              </w:rPr>
            </w:pPr>
            <w:r>
              <w:rPr>
                <w:rFonts w:ascii="Times New Roman" w:hAnsi="Times New Roman"/>
                <w:b/>
                <w:sz w:val="24"/>
                <w:u w:val="single"/>
              </w:rPr>
              <w:t xml:space="preserve">Elementi in bilancio soggetti al rischio di credito </w:t>
            </w:r>
          </w:p>
          <w:p w:rsidR="004D45AA" w:rsidRPr="00661595" w:rsidRDefault="004D45AA" w:rsidP="006F44CE">
            <w:pPr>
              <w:suppressAutoHyphens/>
              <w:rPr>
                <w:rStyle w:val="InstructionsTabelleText"/>
                <w:rFonts w:ascii="Times New Roman" w:hAnsi="Times New Roman"/>
                <w:sz w:val="24"/>
              </w:rPr>
            </w:pPr>
            <w:r>
              <w:rPr>
                <w:rStyle w:val="InstructionsTabelleText"/>
                <w:rFonts w:ascii="Times New Roman" w:hAnsi="Times New Roman"/>
                <w:sz w:val="24"/>
              </w:rPr>
              <w:t>Le attività di cui all</w:t>
            </w:r>
            <w:r w:rsidR="000878EC">
              <w:rPr>
                <w:rStyle w:val="InstructionsTabelleText"/>
                <w:rFonts w:ascii="Times New Roman" w:hAnsi="Times New Roman"/>
                <w:sz w:val="24"/>
              </w:rPr>
              <w:t>'</w:t>
            </w:r>
            <w:r>
              <w:rPr>
                <w:rStyle w:val="InstructionsTabelleText"/>
                <w:rFonts w:ascii="Times New Roman" w:hAnsi="Times New Roman"/>
                <w:sz w:val="24"/>
              </w:rPr>
              <w:t>articolo 24 del CRR non sono comprese in nessun</w:t>
            </w:r>
            <w:r w:rsidR="000878EC">
              <w:rPr>
                <w:rStyle w:val="InstructionsTabelleText"/>
                <w:rFonts w:ascii="Times New Roman" w:hAnsi="Times New Roman"/>
                <w:sz w:val="24"/>
              </w:rPr>
              <w:t>'</w:t>
            </w:r>
            <w:r>
              <w:rPr>
                <w:rStyle w:val="InstructionsTabelleText"/>
                <w:rFonts w:ascii="Times New Roman" w:hAnsi="Times New Roman"/>
                <w:sz w:val="24"/>
              </w:rPr>
              <w:t>altra categoria.</w:t>
            </w:r>
          </w:p>
          <w:p w:rsidR="004D45AA" w:rsidRPr="00661595" w:rsidRDefault="004D45AA" w:rsidP="006F44CE">
            <w:pPr>
              <w:suppressAutoHyphens/>
              <w:rPr>
                <w:rStyle w:val="InstructionsTabelleText"/>
                <w:rFonts w:ascii="Times New Roman" w:hAnsi="Times New Roman"/>
                <w:sz w:val="24"/>
              </w:rPr>
            </w:pPr>
            <w:r>
              <w:rPr>
                <w:rStyle w:val="InstructionsTabelleText"/>
                <w:rFonts w:ascii="Times New Roman" w:hAnsi="Times New Roman"/>
                <w:sz w:val="24"/>
              </w:rPr>
              <w:t>Le esposizioni soggette al rischio di controparte sono segnalate nelle righe da 0040 a 0060 e pertanto non sono segnalate in questa riga.</w:t>
            </w:r>
          </w:p>
          <w:p w:rsidR="004D45AA" w:rsidRPr="00661595" w:rsidRDefault="004D45AA" w:rsidP="006F44CE">
            <w:pPr>
              <w:suppressAutoHyphens/>
              <w:rPr>
                <w:rStyle w:val="InstructionsTabelleText"/>
                <w:rFonts w:ascii="Times New Roman" w:hAnsi="Times New Roman"/>
                <w:sz w:val="24"/>
              </w:rPr>
            </w:pPr>
            <w:r>
              <w:rPr>
                <w:rStyle w:val="InstructionsTabelleText"/>
                <w:rFonts w:ascii="Times New Roman" w:hAnsi="Times New Roman"/>
                <w:sz w:val="24"/>
              </w:rPr>
              <w:t>Le operazioni con regolamento non contestuale di cui all</w:t>
            </w:r>
            <w:r w:rsidR="000878EC">
              <w:rPr>
                <w:rStyle w:val="InstructionsTabelleText"/>
                <w:rFonts w:ascii="Times New Roman" w:hAnsi="Times New Roman"/>
                <w:sz w:val="24"/>
              </w:rPr>
              <w:t>'</w:t>
            </w:r>
            <w:r>
              <w:rPr>
                <w:rStyle w:val="InstructionsTabelleText"/>
                <w:rFonts w:ascii="Times New Roman" w:hAnsi="Times New Roman"/>
                <w:sz w:val="24"/>
              </w:rPr>
              <w:t>articolo 379, paragrafo 1, del CRR (se non dedotte) non costituiscono elementi in bilancio, ma sono comunque segnalate in questa riga.</w:t>
            </w:r>
          </w:p>
          <w:p w:rsidR="004D45AA" w:rsidRPr="00661595" w:rsidRDefault="004D45AA" w:rsidP="006F44CE">
            <w:pPr>
              <w:suppressAutoHyphens/>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0030</w:t>
            </w:r>
          </w:p>
        </w:tc>
        <w:tc>
          <w:tcPr>
            <w:tcW w:w="8789" w:type="dxa"/>
          </w:tcPr>
          <w:p w:rsidR="004D45AA" w:rsidRPr="00661595" w:rsidRDefault="004D45AA" w:rsidP="006F44CE">
            <w:pPr>
              <w:suppressAutoHyphens/>
              <w:rPr>
                <w:rFonts w:ascii="Times New Roman" w:hAnsi="Times New Roman"/>
                <w:b/>
                <w:sz w:val="24"/>
                <w:u w:val="single"/>
              </w:rPr>
            </w:pPr>
            <w:r>
              <w:rPr>
                <w:rFonts w:ascii="Times New Roman" w:hAnsi="Times New Roman"/>
                <w:b/>
                <w:sz w:val="24"/>
                <w:u w:val="single"/>
              </w:rPr>
              <w:t>Elementi fuori bilancio soggetti al rischio di credito</w:t>
            </w:r>
          </w:p>
          <w:p w:rsidR="004D45AA" w:rsidRPr="00661595" w:rsidRDefault="004D45AA" w:rsidP="006F44CE">
            <w:pPr>
              <w:suppressAutoHyphens/>
              <w:rPr>
                <w:rStyle w:val="InstructionsTabelleText"/>
                <w:rFonts w:ascii="Times New Roman" w:hAnsi="Times New Roman"/>
                <w:sz w:val="24"/>
              </w:rPr>
            </w:pPr>
            <w:r>
              <w:rPr>
                <w:rStyle w:val="InstructionsTabelleText"/>
                <w:rFonts w:ascii="Times New Roman" w:hAnsi="Times New Roman"/>
                <w:sz w:val="24"/>
              </w:rPr>
              <w:t>Gli elementi fuori bilancio comprendono g</w:t>
            </w:r>
            <w:r w:rsidR="006F44CE">
              <w:rPr>
                <w:rStyle w:val="InstructionsTabelleText"/>
                <w:rFonts w:ascii="Times New Roman" w:hAnsi="Times New Roman"/>
                <w:sz w:val="24"/>
              </w:rPr>
              <w:t>li elementi di cui all</w:t>
            </w:r>
            <w:r w:rsidR="000878EC">
              <w:rPr>
                <w:rStyle w:val="InstructionsTabelleText"/>
                <w:rFonts w:ascii="Times New Roman" w:hAnsi="Times New Roman"/>
                <w:sz w:val="24"/>
              </w:rPr>
              <w:t>'</w:t>
            </w:r>
            <w:r w:rsidR="006F44CE">
              <w:rPr>
                <w:rStyle w:val="InstructionsTabelleText"/>
                <w:rFonts w:ascii="Times New Roman" w:hAnsi="Times New Roman"/>
                <w:sz w:val="24"/>
              </w:rPr>
              <w:t xml:space="preserve">articolo 166, paragrafo </w:t>
            </w:r>
            <w:r>
              <w:rPr>
                <w:rStyle w:val="InstructionsTabelleText"/>
                <w:rFonts w:ascii="Times New Roman" w:hAnsi="Times New Roman"/>
                <w:sz w:val="24"/>
              </w:rPr>
              <w:t>8, del CRR, nonché gli elementi elencati nell</w:t>
            </w:r>
            <w:r w:rsidR="000878EC">
              <w:rPr>
                <w:rStyle w:val="InstructionsTabelleText"/>
                <w:rFonts w:ascii="Times New Roman" w:hAnsi="Times New Roman"/>
                <w:sz w:val="24"/>
              </w:rPr>
              <w:t>'</w:t>
            </w:r>
            <w:r>
              <w:rPr>
                <w:rStyle w:val="InstructionsTabelleText"/>
                <w:rFonts w:ascii="Times New Roman" w:hAnsi="Times New Roman"/>
                <w:sz w:val="24"/>
              </w:rPr>
              <w:t>allegato I del CRR.</w:t>
            </w:r>
          </w:p>
          <w:p w:rsidR="004D45AA" w:rsidRPr="00661595" w:rsidRDefault="004D45AA" w:rsidP="006F44CE">
            <w:pPr>
              <w:suppressAutoHyphens/>
              <w:rPr>
                <w:rStyle w:val="InstructionsTabelleText"/>
                <w:rFonts w:ascii="Times New Roman" w:hAnsi="Times New Roman"/>
                <w:sz w:val="24"/>
              </w:rPr>
            </w:pPr>
            <w:r>
              <w:rPr>
                <w:rStyle w:val="InstructionsTabelleText"/>
                <w:rFonts w:ascii="Times New Roman" w:hAnsi="Times New Roman"/>
                <w:sz w:val="24"/>
              </w:rPr>
              <w:t>Le esposizioni soggette al rischio di controparte sono segnalate nelle righe da 0040 a 0060 e pertanto non sono segnalate in questa riga.</w:t>
            </w:r>
          </w:p>
          <w:p w:rsidR="004D45AA" w:rsidRPr="00661595" w:rsidRDefault="004D45AA" w:rsidP="006F44CE">
            <w:pPr>
              <w:suppressAutoHyphens/>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Pr>
                <w:rStyle w:val="InstructionsTabelleText"/>
                <w:rFonts w:ascii="Times New Roman" w:hAnsi="Times New Roman"/>
                <w:sz w:val="24"/>
              </w:rPr>
              <w:t>0040-0060</w:t>
            </w:r>
          </w:p>
        </w:tc>
        <w:tc>
          <w:tcPr>
            <w:tcW w:w="8789" w:type="dxa"/>
          </w:tcPr>
          <w:p w:rsidR="004D45AA" w:rsidRPr="00661595" w:rsidRDefault="004D45AA" w:rsidP="006F44CE">
            <w:pPr>
              <w:suppressAutoHyphens/>
              <w:rPr>
                <w:rStyle w:val="InstructionsTabelleberschrift"/>
                <w:rFonts w:ascii="Times New Roman" w:hAnsi="Times New Roman"/>
                <w:sz w:val="24"/>
              </w:rPr>
            </w:pPr>
            <w:r>
              <w:rPr>
                <w:rStyle w:val="InstructionsTabelleberschrift"/>
                <w:rFonts w:ascii="Times New Roman" w:hAnsi="Times New Roman"/>
                <w:sz w:val="24"/>
              </w:rPr>
              <w:t>Esposizioni/Operazioni soggette al rischio di controparte</w:t>
            </w:r>
          </w:p>
          <w:p w:rsidR="004D45AA" w:rsidRPr="00661595" w:rsidRDefault="004D45AA" w:rsidP="006F44CE">
            <w:pPr>
              <w:suppressAutoHyphens/>
              <w:rPr>
                <w:rFonts w:ascii="Times New Roman" w:hAnsi="Times New Roman"/>
                <w:b/>
                <w:sz w:val="24"/>
                <w:u w:val="single"/>
              </w:rPr>
            </w:pPr>
            <w:r>
              <w:rPr>
                <w:rFonts w:ascii="Times New Roman" w:hAnsi="Times New Roman"/>
                <w:sz w:val="24"/>
              </w:rPr>
              <w:t>Cfr. le corrispondenti istruzioni per il modello CR SA nelle righe da 0090 a 0130.</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0040</w:t>
            </w:r>
          </w:p>
        </w:tc>
        <w:tc>
          <w:tcPr>
            <w:tcW w:w="8789" w:type="dxa"/>
          </w:tcPr>
          <w:p w:rsidR="004D45AA" w:rsidRPr="00661595" w:rsidRDefault="004D45AA" w:rsidP="006F44CE">
            <w:pPr>
              <w:suppressAutoHyphens/>
              <w:rPr>
                <w:rStyle w:val="InstructionsTabelleberschrift"/>
                <w:rFonts w:ascii="Times New Roman" w:hAnsi="Times New Roman"/>
                <w:sz w:val="24"/>
              </w:rPr>
            </w:pPr>
            <w:r>
              <w:rPr>
                <w:rStyle w:val="InstructionsTabelleberschrift"/>
                <w:rFonts w:ascii="Times New Roman" w:hAnsi="Times New Roman"/>
                <w:sz w:val="24"/>
              </w:rPr>
              <w:t>Insiemi di attività soggette a compensazione contenenti operazioni di finanziamento tramite titoli</w:t>
            </w:r>
          </w:p>
          <w:p w:rsidR="004D45AA" w:rsidRPr="00661595" w:rsidRDefault="004D45AA" w:rsidP="006F44CE">
            <w:pPr>
              <w:suppressAutoHyphens/>
              <w:rPr>
                <w:rFonts w:ascii="Times New Roman" w:hAnsi="Times New Roman"/>
                <w:sz w:val="24"/>
              </w:rPr>
            </w:pPr>
            <w:r>
              <w:rPr>
                <w:rFonts w:ascii="Times New Roman" w:hAnsi="Times New Roman"/>
                <w:sz w:val="24"/>
              </w:rPr>
              <w:t>Cfr. le corrispondenti istruzioni per il modello CR SA alla riga 0090.</w:t>
            </w:r>
          </w:p>
          <w:p w:rsidR="004D45AA" w:rsidRPr="00661595" w:rsidRDefault="004D45AA" w:rsidP="006F44CE">
            <w:pPr>
              <w:suppressAutoHyphens/>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0050</w:t>
            </w:r>
          </w:p>
        </w:tc>
        <w:tc>
          <w:tcPr>
            <w:tcW w:w="8789" w:type="dxa"/>
          </w:tcPr>
          <w:p w:rsidR="004D45AA" w:rsidRPr="00661595" w:rsidRDefault="004D45AA" w:rsidP="006F44CE">
            <w:pPr>
              <w:suppressAutoHyphens/>
              <w:rPr>
                <w:rFonts w:ascii="Times New Roman" w:hAnsi="Times New Roman"/>
                <w:b/>
                <w:sz w:val="24"/>
                <w:u w:val="single"/>
              </w:rPr>
            </w:pPr>
            <w:r>
              <w:rPr>
                <w:rFonts w:ascii="Times New Roman" w:hAnsi="Times New Roman"/>
                <w:b/>
                <w:sz w:val="24"/>
                <w:u w:val="single"/>
              </w:rPr>
              <w:t>Insiemi di attività soggette a compensazione contenenti derivati e operazioni con regolamento a lungo termine</w:t>
            </w:r>
          </w:p>
          <w:p w:rsidR="004D45AA" w:rsidRPr="00661595" w:rsidRDefault="004D45AA" w:rsidP="006F44CE">
            <w:pPr>
              <w:suppressAutoHyphens/>
              <w:rPr>
                <w:rFonts w:ascii="Times New Roman" w:hAnsi="Times New Roman"/>
                <w:sz w:val="24"/>
              </w:rPr>
            </w:pPr>
            <w:r>
              <w:rPr>
                <w:rFonts w:ascii="Times New Roman" w:hAnsi="Times New Roman"/>
                <w:sz w:val="24"/>
              </w:rPr>
              <w:t>Cfr. le corrispondenti istruzioni per il modello CR SA alla riga 0110.</w:t>
            </w:r>
          </w:p>
          <w:p w:rsidR="004D45AA" w:rsidRPr="00661595" w:rsidRDefault="004D45AA" w:rsidP="006F44CE">
            <w:pPr>
              <w:suppressAutoHyphens/>
              <w:ind w:left="72"/>
              <w:rPr>
                <w:rFonts w:ascii="Times New Roman" w:hAnsi="Times New Roman"/>
                <w:sz w:val="24"/>
              </w:rPr>
            </w:pP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0060</w:t>
            </w:r>
          </w:p>
        </w:tc>
        <w:tc>
          <w:tcPr>
            <w:tcW w:w="8789" w:type="dxa"/>
          </w:tcPr>
          <w:p w:rsidR="004D45AA" w:rsidRPr="00661595" w:rsidRDefault="004D45AA" w:rsidP="006F44CE">
            <w:pPr>
              <w:suppressAutoHyphens/>
              <w:rPr>
                <w:rFonts w:ascii="Times New Roman" w:hAnsi="Times New Roman"/>
                <w:b/>
                <w:sz w:val="24"/>
                <w:u w:val="single"/>
              </w:rPr>
            </w:pPr>
            <w:r>
              <w:rPr>
                <w:rFonts w:ascii="Times New Roman" w:hAnsi="Times New Roman"/>
                <w:b/>
                <w:sz w:val="24"/>
                <w:u w:val="single"/>
              </w:rPr>
              <w:t>Da insiemi di attività soggette ad accordo di compensazione contrattuale tra prodotti differenti</w:t>
            </w:r>
          </w:p>
          <w:p w:rsidR="004D45AA" w:rsidRPr="00661595" w:rsidRDefault="004D45AA" w:rsidP="006F44CE">
            <w:pPr>
              <w:suppressAutoHyphens/>
              <w:rPr>
                <w:rFonts w:ascii="Times New Roman" w:hAnsi="Times New Roman"/>
                <w:sz w:val="24"/>
              </w:rPr>
            </w:pPr>
            <w:r>
              <w:rPr>
                <w:rFonts w:ascii="Times New Roman" w:hAnsi="Times New Roman"/>
                <w:sz w:val="24"/>
              </w:rPr>
              <w:t>Cfr. le corrispondenti istruzioni per il modello CR SA alla riga 0130.</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0070</w:t>
            </w:r>
          </w:p>
        </w:tc>
        <w:tc>
          <w:tcPr>
            <w:tcW w:w="8789" w:type="dxa"/>
          </w:tcPr>
          <w:p w:rsidR="004D45AA" w:rsidRPr="00661595" w:rsidRDefault="004D45AA" w:rsidP="006F44CE">
            <w:pPr>
              <w:suppressAutoHyphens/>
              <w:rPr>
                <w:rFonts w:ascii="Times New Roman" w:hAnsi="Times New Roman"/>
                <w:b/>
                <w:sz w:val="24"/>
                <w:u w:val="single"/>
              </w:rPr>
            </w:pPr>
            <w:r>
              <w:rPr>
                <w:rFonts w:ascii="Times New Roman" w:hAnsi="Times New Roman"/>
                <w:b/>
                <w:sz w:val="24"/>
                <w:u w:val="single"/>
              </w:rPr>
              <w:t>ESPOSIZIONI ASSEGNATE ALLA CLASSE O AL POOL DI DEBITORI: TOTALE</w:t>
            </w:r>
          </w:p>
          <w:p w:rsidR="004D45AA" w:rsidRPr="00661595" w:rsidRDefault="004D45AA" w:rsidP="006F44CE">
            <w:pPr>
              <w:suppressAutoHyphens/>
              <w:rPr>
                <w:rFonts w:ascii="Times New Roman" w:hAnsi="Times New Roman"/>
                <w:sz w:val="24"/>
              </w:rPr>
            </w:pPr>
            <w:r>
              <w:rPr>
                <w:rFonts w:ascii="Times New Roman" w:hAnsi="Times New Roman"/>
                <w:sz w:val="24"/>
              </w:rPr>
              <w:t>Per le esposizioni verso imprese, enti e amministrazioni centrali e banche centrali cfr. l</w:t>
            </w:r>
            <w:r w:rsidR="000878EC">
              <w:rPr>
                <w:rFonts w:ascii="Times New Roman" w:hAnsi="Times New Roman"/>
                <w:sz w:val="24"/>
              </w:rPr>
              <w:t>'</w:t>
            </w:r>
            <w:r>
              <w:rPr>
                <w:rFonts w:ascii="Times New Roman" w:hAnsi="Times New Roman"/>
                <w:sz w:val="24"/>
              </w:rPr>
              <w:t>articolo 142, paragrafo 1, punto 6, e l</w:t>
            </w:r>
            <w:r w:rsidR="000878EC">
              <w:rPr>
                <w:rFonts w:ascii="Times New Roman" w:hAnsi="Times New Roman"/>
                <w:sz w:val="24"/>
              </w:rPr>
              <w:t>'</w:t>
            </w:r>
            <w:r>
              <w:rPr>
                <w:rFonts w:ascii="Times New Roman" w:hAnsi="Times New Roman"/>
                <w:sz w:val="24"/>
              </w:rPr>
              <w:t xml:space="preserve">articolo 170, paragrafo 1, lettera c), del CRR. </w:t>
            </w:r>
          </w:p>
          <w:p w:rsidR="004D45AA" w:rsidRPr="00661595" w:rsidRDefault="004D45AA" w:rsidP="006F44CE">
            <w:pPr>
              <w:suppressAutoHyphens/>
              <w:rPr>
                <w:rFonts w:ascii="Times New Roman" w:hAnsi="Times New Roman"/>
                <w:sz w:val="24"/>
              </w:rPr>
            </w:pPr>
            <w:r>
              <w:rPr>
                <w:rFonts w:ascii="Times New Roman" w:hAnsi="Times New Roman"/>
                <w:sz w:val="24"/>
              </w:rPr>
              <w:t>Per le esposizioni al dettaglio cfr. l</w:t>
            </w:r>
            <w:r w:rsidR="000878EC">
              <w:rPr>
                <w:rFonts w:ascii="Times New Roman" w:hAnsi="Times New Roman"/>
                <w:sz w:val="24"/>
              </w:rPr>
              <w:t>'</w:t>
            </w:r>
            <w:r>
              <w:rPr>
                <w:rFonts w:ascii="Times New Roman" w:hAnsi="Times New Roman"/>
                <w:sz w:val="24"/>
              </w:rPr>
              <w:t>articolo 170, paragrafo 3, lettera b), del CRR. Per le esposizioni derivanti da crediti commerciali acquistati cfr. l</w:t>
            </w:r>
            <w:r w:rsidR="000878EC">
              <w:rPr>
                <w:rFonts w:ascii="Times New Roman" w:hAnsi="Times New Roman"/>
                <w:sz w:val="24"/>
              </w:rPr>
              <w:t>'</w:t>
            </w:r>
            <w:r>
              <w:rPr>
                <w:rFonts w:ascii="Times New Roman" w:hAnsi="Times New Roman"/>
                <w:sz w:val="24"/>
              </w:rPr>
              <w:t xml:space="preserve">articolo 166, paragrafo 6, del CRR. </w:t>
            </w:r>
          </w:p>
          <w:p w:rsidR="004D45AA" w:rsidRPr="00661595" w:rsidRDefault="004D45AA" w:rsidP="006F44CE">
            <w:pPr>
              <w:suppressAutoHyphens/>
              <w:rPr>
                <w:rFonts w:ascii="Times New Roman" w:hAnsi="Times New Roman"/>
                <w:sz w:val="24"/>
              </w:rPr>
            </w:pPr>
            <w:r>
              <w:rPr>
                <w:rFonts w:ascii="Times New Roman" w:hAnsi="Times New Roman"/>
                <w:sz w:val="24"/>
              </w:rPr>
              <w:t>Le esposizioni derivanti da rischi di diluizione di crediti commerciali acquistati non sono segnalate in base alle classi o ai pool di debitori e sono ricomprese nella riga 0180.</w:t>
            </w:r>
          </w:p>
          <w:p w:rsidR="004D45AA" w:rsidRPr="00661595" w:rsidRDefault="004D45AA" w:rsidP="006F44CE">
            <w:pPr>
              <w:suppressAutoHyphens/>
              <w:rPr>
                <w:rFonts w:ascii="Times New Roman" w:hAnsi="Times New Roman"/>
                <w:sz w:val="24"/>
              </w:rPr>
            </w:pPr>
            <w:r>
              <w:rPr>
                <w:rFonts w:ascii="Times New Roman" w:hAnsi="Times New Roman"/>
                <w:sz w:val="24"/>
              </w:rPr>
              <w:t>Se utilizza molte classi o molti pool, l</w:t>
            </w:r>
            <w:r w:rsidR="000878EC">
              <w:rPr>
                <w:rFonts w:ascii="Times New Roman" w:hAnsi="Times New Roman"/>
                <w:sz w:val="24"/>
              </w:rPr>
              <w:t>'</w:t>
            </w:r>
            <w:r>
              <w:rPr>
                <w:rFonts w:ascii="Times New Roman" w:hAnsi="Times New Roman"/>
                <w:sz w:val="24"/>
              </w:rPr>
              <w:t xml:space="preserve">ente può concordare con le autorità competenti di ridurre il numero delle classi o dei pool da segnalare. </w:t>
            </w:r>
          </w:p>
          <w:p w:rsidR="004D45AA" w:rsidRPr="00661595" w:rsidRDefault="004D45AA" w:rsidP="006F44CE">
            <w:pPr>
              <w:suppressAutoHyphens/>
              <w:rPr>
                <w:rFonts w:ascii="Times New Roman" w:hAnsi="Times New Roman"/>
                <w:sz w:val="24"/>
              </w:rPr>
            </w:pPr>
            <w:r>
              <w:rPr>
                <w:rFonts w:ascii="Times New Roman" w:hAnsi="Times New Roman"/>
                <w:sz w:val="24"/>
              </w:rPr>
              <w:t xml:space="preserve">Non è utilizzata una scala tipo di vigilanza. gli enti stabiliscono autonomamente la scala da utilizzare. </w:t>
            </w:r>
          </w:p>
        </w:tc>
      </w:tr>
      <w:tr w:rsidR="004D45AA" w:rsidRPr="00661595" w:rsidTr="00672D2A">
        <w:tc>
          <w:tcPr>
            <w:tcW w:w="1242" w:type="dxa"/>
          </w:tcPr>
          <w:p w:rsidR="004D45AA" w:rsidRPr="00661595" w:rsidRDefault="004D45AA" w:rsidP="004D45AA">
            <w:pPr>
              <w:rPr>
                <w:rFonts w:ascii="Times New Roman" w:hAnsi="Times New Roman"/>
                <w:sz w:val="24"/>
              </w:rPr>
            </w:pPr>
            <w:r>
              <w:rPr>
                <w:rFonts w:ascii="Times New Roman" w:hAnsi="Times New Roman"/>
                <w:sz w:val="24"/>
              </w:rPr>
              <w:t>0080</w:t>
            </w:r>
          </w:p>
        </w:tc>
        <w:tc>
          <w:tcPr>
            <w:tcW w:w="8789" w:type="dxa"/>
          </w:tcPr>
          <w:p w:rsidR="004D45AA" w:rsidRPr="00661595" w:rsidRDefault="004D45AA" w:rsidP="006F44CE">
            <w:pPr>
              <w:suppressAutoHyphens/>
              <w:rPr>
                <w:rFonts w:ascii="Times New Roman" w:hAnsi="Times New Roman"/>
                <w:sz w:val="24"/>
              </w:rPr>
            </w:pPr>
            <w:r>
              <w:rPr>
                <w:rFonts w:ascii="Times New Roman" w:hAnsi="Times New Roman"/>
                <w:b/>
                <w:sz w:val="24"/>
                <w:u w:val="single"/>
              </w:rPr>
              <w:t>METODO DI ASSEGNAZIONE DEI FINANZIAMENTI SPECIALIZZATI: TOTALE</w:t>
            </w:r>
          </w:p>
          <w:p w:rsidR="004D45AA" w:rsidRPr="00661595" w:rsidRDefault="004D45AA" w:rsidP="006F44CE">
            <w:pPr>
              <w:suppressAutoHyphens/>
              <w:rPr>
                <w:rFonts w:ascii="Times New Roman" w:hAnsi="Times New Roman"/>
                <w:sz w:val="24"/>
              </w:rPr>
            </w:pPr>
            <w:r>
              <w:rPr>
                <w:rFonts w:ascii="Times New Roman" w:hAnsi="Times New Roman"/>
                <w:sz w:val="24"/>
              </w:rPr>
              <w:t>Articolo 153, paragrafo 5, del CRR Si applica solo alla classe di esposizioni - imprese - finanziamenti specializzati.</w:t>
            </w:r>
            <w:r w:rsidR="000878EC">
              <w:rPr>
                <w:rFonts w:ascii="Times New Roman" w:hAnsi="Times New Roman"/>
                <w:sz w:val="24"/>
              </w:rPr>
              <w:t xml:space="preserve"> </w:t>
            </w:r>
          </w:p>
        </w:tc>
      </w:tr>
      <w:tr w:rsidR="004D45AA" w:rsidRPr="00661595" w:rsidTr="00672D2A">
        <w:tc>
          <w:tcPr>
            <w:tcW w:w="1242" w:type="dxa"/>
          </w:tcPr>
          <w:p w:rsidR="004D45AA" w:rsidRPr="00661595" w:rsidRDefault="001452FC" w:rsidP="004D45AA">
            <w:pPr>
              <w:rPr>
                <w:rFonts w:ascii="Times New Roman" w:hAnsi="Times New Roman"/>
                <w:sz w:val="24"/>
              </w:rPr>
            </w:pPr>
            <w:r>
              <w:rPr>
                <w:rFonts w:ascii="Times New Roman" w:hAnsi="Times New Roman"/>
                <w:sz w:val="24"/>
              </w:rPr>
              <w:t>0160</w:t>
            </w:r>
          </w:p>
        </w:tc>
        <w:tc>
          <w:tcPr>
            <w:tcW w:w="8789" w:type="dxa"/>
          </w:tcPr>
          <w:p w:rsidR="004D45AA" w:rsidRPr="00661595" w:rsidRDefault="004D45AA" w:rsidP="006F44CE">
            <w:pPr>
              <w:suppressAutoHyphens/>
              <w:rPr>
                <w:rStyle w:val="InstructionsTabelleberschrift"/>
                <w:rFonts w:ascii="Times New Roman" w:hAnsi="Times New Roman"/>
                <w:sz w:val="24"/>
              </w:rPr>
            </w:pPr>
            <w:r>
              <w:rPr>
                <w:rStyle w:val="InstructionsTabelleberschrift"/>
                <w:rFonts w:ascii="Times New Roman" w:hAnsi="Times New Roman"/>
                <w:sz w:val="24"/>
              </w:rPr>
              <w:t>TRATTAMENTO ALTERNATIVO: GARANTITE DA BENI IMMOBILI</w:t>
            </w:r>
          </w:p>
          <w:p w:rsidR="004D45AA" w:rsidRPr="00661595" w:rsidRDefault="004D45AA" w:rsidP="006F44CE">
            <w:pPr>
              <w:suppressAutoHyphens/>
              <w:rPr>
                <w:rFonts w:ascii="Times New Roman" w:hAnsi="Times New Roman"/>
                <w:sz w:val="24"/>
              </w:rPr>
            </w:pPr>
            <w:r>
              <w:rPr>
                <w:rFonts w:ascii="Times New Roman" w:hAnsi="Times New Roman"/>
                <w:sz w:val="24"/>
              </w:rPr>
              <w:t>Articolo 193, paragrafi 1 e 2, articolo 194, paragrafi da 1 a 7, e articolo 230, paragrafo 3, del CRR.</w:t>
            </w:r>
          </w:p>
          <w:p w:rsidR="004D45AA" w:rsidRPr="00661595" w:rsidRDefault="004D45AA" w:rsidP="006F44CE">
            <w:pPr>
              <w:suppressAutoHyphens/>
              <w:rPr>
                <w:rFonts w:ascii="Times New Roman" w:hAnsi="Times New Roman"/>
                <w:sz w:val="24"/>
              </w:rPr>
            </w:pPr>
            <w:r>
              <w:rPr>
                <w:rFonts w:ascii="Times New Roman" w:hAnsi="Times New Roman"/>
                <w:sz w:val="24"/>
              </w:rPr>
              <w:t>Questa alternativa è disponibile solo per gli enti che utilizzano il metodo IRB di base.</w:t>
            </w:r>
          </w:p>
        </w:tc>
      </w:tr>
      <w:tr w:rsidR="004D45AA" w:rsidRPr="00661595" w:rsidTr="00672D2A">
        <w:tc>
          <w:tcPr>
            <w:tcW w:w="1242" w:type="dxa"/>
          </w:tcPr>
          <w:p w:rsidR="004D45AA" w:rsidRPr="00661595" w:rsidRDefault="001452FC" w:rsidP="004D45AA">
            <w:pPr>
              <w:rPr>
                <w:rFonts w:ascii="Times New Roman" w:hAnsi="Times New Roman"/>
                <w:sz w:val="24"/>
              </w:rPr>
            </w:pPr>
            <w:r>
              <w:rPr>
                <w:rFonts w:ascii="Times New Roman" w:hAnsi="Times New Roman"/>
                <w:sz w:val="24"/>
              </w:rPr>
              <w:t>0170</w:t>
            </w:r>
          </w:p>
        </w:tc>
        <w:tc>
          <w:tcPr>
            <w:tcW w:w="8789" w:type="dxa"/>
          </w:tcPr>
          <w:p w:rsidR="004D45AA" w:rsidRPr="00661595" w:rsidRDefault="004D45AA" w:rsidP="006F44CE">
            <w:pPr>
              <w:suppressAutoHyphens/>
              <w:rPr>
                <w:rStyle w:val="InstructionsTabelleberschrift"/>
                <w:rFonts w:ascii="Times New Roman" w:hAnsi="Times New Roman"/>
                <w:sz w:val="24"/>
              </w:rPr>
            </w:pPr>
            <w:r>
              <w:rPr>
                <w:rStyle w:val="InstructionsTabelleberschrift"/>
                <w:rFonts w:ascii="Times New Roman" w:hAnsi="Times New Roman"/>
                <w:sz w:val="24"/>
              </w:rPr>
              <w:t>ESPOSIZIONI DERIVANTI DA OPERAZIONI CON REGOLAMENTO NON CONTESTUALE CHE APPLICANO FATTORI DI PONDERAZIONE DEL RISCHIO NELL</w:t>
            </w:r>
            <w:r w:rsidR="000878EC">
              <w:rPr>
                <w:rStyle w:val="InstructionsTabelleberschrift"/>
                <w:rFonts w:ascii="Times New Roman" w:hAnsi="Times New Roman"/>
                <w:sz w:val="24"/>
              </w:rPr>
              <w:t>'</w:t>
            </w:r>
            <w:r>
              <w:rPr>
                <w:rStyle w:val="InstructionsTabelleberschrift"/>
                <w:rFonts w:ascii="Times New Roman" w:hAnsi="Times New Roman"/>
                <w:sz w:val="24"/>
              </w:rPr>
              <w:t>AMBITO DEL TRATTAMENTO ALTERNATIVO O DEL 100 % E ALTRE ESPOSIZIONI SOGGETTE A FATTORI DI PONDERAZIONE DEL RISCHIO</w:t>
            </w:r>
          </w:p>
          <w:p w:rsidR="004D45AA" w:rsidRPr="00661595" w:rsidRDefault="004D45AA" w:rsidP="006F44CE">
            <w:pPr>
              <w:suppressAutoHyphens/>
              <w:rPr>
                <w:rFonts w:ascii="Times New Roman" w:hAnsi="Times New Roman"/>
                <w:sz w:val="24"/>
              </w:rPr>
            </w:pPr>
            <w:r>
              <w:rPr>
                <w:rFonts w:ascii="Times New Roman" w:hAnsi="Times New Roman"/>
                <w:sz w:val="24"/>
              </w:rPr>
              <w:t>Esposizioni derivanti da operazioni con regolamento non contestuale per le quali si utilizza il trattamento alternativo di cui all</w:t>
            </w:r>
            <w:r w:rsidR="000878EC">
              <w:rPr>
                <w:rFonts w:ascii="Times New Roman" w:hAnsi="Times New Roman"/>
                <w:sz w:val="24"/>
              </w:rPr>
              <w:t>'</w:t>
            </w:r>
            <w:r>
              <w:rPr>
                <w:rFonts w:ascii="Times New Roman" w:hAnsi="Times New Roman"/>
                <w:sz w:val="24"/>
              </w:rPr>
              <w:t>articolo 379, paragrafo 2, primo comma, ultima frase, del CRR o alle quali si applica una ponderazione del rischio pari al 100 % conformemente all</w:t>
            </w:r>
            <w:r w:rsidR="000878EC">
              <w:rPr>
                <w:rFonts w:ascii="Times New Roman" w:hAnsi="Times New Roman"/>
                <w:sz w:val="24"/>
              </w:rPr>
              <w:t>'</w:t>
            </w:r>
            <w:r>
              <w:rPr>
                <w:rFonts w:ascii="Times New Roman" w:hAnsi="Times New Roman"/>
                <w:sz w:val="24"/>
              </w:rPr>
              <w:t>articolo 379, paragrafo 2, ultimo comma, del CRR. In questa riga sono segnalati i derivati su crediti nth-to-default privi di rating conformeme</w:t>
            </w:r>
            <w:r w:rsidR="006F44CE">
              <w:rPr>
                <w:rFonts w:ascii="Times New Roman" w:hAnsi="Times New Roman"/>
                <w:sz w:val="24"/>
              </w:rPr>
              <w:t>nte all</w:t>
            </w:r>
            <w:r w:rsidR="000878EC">
              <w:rPr>
                <w:rFonts w:ascii="Times New Roman" w:hAnsi="Times New Roman"/>
                <w:sz w:val="24"/>
              </w:rPr>
              <w:t>'</w:t>
            </w:r>
            <w:r w:rsidR="006F44CE">
              <w:rPr>
                <w:rFonts w:ascii="Times New Roman" w:hAnsi="Times New Roman"/>
                <w:sz w:val="24"/>
              </w:rPr>
              <w:t>articolo 153, paragrafo </w:t>
            </w:r>
            <w:r>
              <w:rPr>
                <w:rFonts w:ascii="Times New Roman" w:hAnsi="Times New Roman"/>
                <w:sz w:val="24"/>
              </w:rPr>
              <w:t>8, del CRR e qualsiasi altra esposizione soggetta a ponderazione del rischio non compresa in altra riga.</w:t>
            </w:r>
          </w:p>
        </w:tc>
      </w:tr>
      <w:tr w:rsidR="004D45AA" w:rsidRPr="00661595" w:rsidTr="00672D2A">
        <w:tc>
          <w:tcPr>
            <w:tcW w:w="1242" w:type="dxa"/>
          </w:tcPr>
          <w:p w:rsidR="004D45AA" w:rsidRPr="00661595" w:rsidRDefault="001452FC" w:rsidP="006F44CE">
            <w:pPr>
              <w:keepNext/>
              <w:keepLines/>
              <w:rPr>
                <w:rFonts w:ascii="Times New Roman" w:hAnsi="Times New Roman"/>
                <w:sz w:val="24"/>
              </w:rPr>
            </w:pPr>
            <w:r>
              <w:rPr>
                <w:rFonts w:ascii="Times New Roman" w:hAnsi="Times New Roman"/>
                <w:sz w:val="24"/>
              </w:rPr>
              <w:t>0180</w:t>
            </w:r>
          </w:p>
        </w:tc>
        <w:tc>
          <w:tcPr>
            <w:tcW w:w="8789" w:type="dxa"/>
          </w:tcPr>
          <w:p w:rsidR="004D45AA" w:rsidRPr="00661595" w:rsidRDefault="004D45AA" w:rsidP="006F44CE">
            <w:pPr>
              <w:keepNext/>
              <w:keepLines/>
              <w:suppressAutoHyphens/>
              <w:rPr>
                <w:rStyle w:val="InstructionsTabelleberschrift"/>
                <w:rFonts w:ascii="Times New Roman" w:hAnsi="Times New Roman"/>
                <w:sz w:val="24"/>
              </w:rPr>
            </w:pPr>
            <w:r>
              <w:rPr>
                <w:rStyle w:val="InstructionsTabelleberschrift"/>
                <w:rFonts w:ascii="Times New Roman" w:hAnsi="Times New Roman"/>
                <w:sz w:val="24"/>
              </w:rPr>
              <w:t>RISCHIO DI DILUIZIONE: CREDITI COMMERCIALI ACQUISTATI TOTALI</w:t>
            </w:r>
          </w:p>
          <w:p w:rsidR="004D45AA" w:rsidRPr="00661595" w:rsidRDefault="004D45AA" w:rsidP="006F44CE">
            <w:pPr>
              <w:keepNext/>
              <w:keepLines/>
              <w:suppressAutoHyphens/>
              <w:rPr>
                <w:rFonts w:ascii="Times New Roman" w:hAnsi="Times New Roman"/>
                <w:sz w:val="24"/>
              </w:rPr>
            </w:pPr>
            <w:r>
              <w:rPr>
                <w:rFonts w:ascii="Times New Roman" w:hAnsi="Times New Roman"/>
                <w:sz w:val="24"/>
              </w:rPr>
              <w:t>Cfr. l</w:t>
            </w:r>
            <w:r w:rsidR="000878EC">
              <w:rPr>
                <w:rFonts w:ascii="Times New Roman" w:hAnsi="Times New Roman"/>
                <w:sz w:val="24"/>
              </w:rPr>
              <w:t>'</w:t>
            </w:r>
            <w:r>
              <w:rPr>
                <w:rFonts w:ascii="Times New Roman" w:hAnsi="Times New Roman"/>
                <w:sz w:val="24"/>
              </w:rPr>
              <w:t>articolo 4, paragrafo 1, punto 53, del CRR per la definizione del rischio di diluizione. Per il calcolo degli importi delle esposizioni ponderati per il rischio di diluizione, cfr. l</w:t>
            </w:r>
            <w:r w:rsidR="000878EC">
              <w:rPr>
                <w:rFonts w:ascii="Times New Roman" w:hAnsi="Times New Roman"/>
                <w:sz w:val="24"/>
              </w:rPr>
              <w:t>'</w:t>
            </w:r>
            <w:r>
              <w:rPr>
                <w:rFonts w:ascii="Times New Roman" w:hAnsi="Times New Roman"/>
                <w:sz w:val="24"/>
              </w:rPr>
              <w:t>articolo 157 del CRR. Il rischio di diluizione è segnalato per i crediti commerciali acquistati verso imprese e al dettaglio.</w:t>
            </w:r>
          </w:p>
          <w:p w:rsidR="004D45AA" w:rsidRPr="00661595" w:rsidRDefault="004D45AA" w:rsidP="006F44CE">
            <w:pPr>
              <w:keepNext/>
              <w:keepLines/>
              <w:suppressAutoHyphens/>
              <w:rPr>
                <w:rFonts w:ascii="Times New Roman" w:hAnsi="Times New Roman"/>
                <w:sz w:val="24"/>
              </w:rPr>
            </w:pPr>
          </w:p>
        </w:tc>
      </w:tr>
    </w:tbl>
    <w:p w:rsidR="004357B9" w:rsidRPr="00661595" w:rsidRDefault="004357B9" w:rsidP="004357B9">
      <w:pPr>
        <w:autoSpaceDE w:val="0"/>
        <w:autoSpaceDN w:val="0"/>
        <w:adjustRightInd w:val="0"/>
        <w:spacing w:before="0" w:after="0"/>
        <w:ind w:left="284"/>
        <w:jc w:val="left"/>
        <w:rPr>
          <w:rFonts w:ascii="Times New Roman" w:hAnsi="Times New Roman"/>
          <w:sz w:val="24"/>
        </w:rPr>
      </w:pPr>
      <w:bookmarkStart w:id="238" w:name="_Toc120327823"/>
      <w:bookmarkStart w:id="239" w:name="_Toc120072325"/>
      <w:bookmarkStart w:id="240" w:name="_Toc294280272"/>
      <w:bookmarkStart w:id="241" w:name="_Toc294281597"/>
      <w:bookmarkStart w:id="242" w:name="_Toc294281817"/>
      <w:bookmarkStart w:id="243" w:name="_Toc294282031"/>
      <w:bookmarkStart w:id="244" w:name="_Toc294282234"/>
      <w:bookmarkStart w:id="245" w:name="_Toc294714169"/>
      <w:bookmarkStart w:id="246" w:name="_Toc295314195"/>
      <w:bookmarkStart w:id="247" w:name="_Toc295829584"/>
      <w:bookmarkStart w:id="248" w:name="_Toc295829867"/>
      <w:bookmarkStart w:id="249" w:name="_Toc301772755"/>
      <w:bookmarkStart w:id="250" w:name="_Toc301772833"/>
      <w:bookmarkStart w:id="251" w:name="_Toc302657772"/>
      <w:bookmarkStart w:id="252" w:name="_Toc302657891"/>
      <w:bookmarkStart w:id="253" w:name="_Toc294280294"/>
      <w:bookmarkStart w:id="254" w:name="_Toc294281619"/>
      <w:bookmarkStart w:id="255" w:name="_Toc294281839"/>
      <w:bookmarkStart w:id="256" w:name="_Toc294282053"/>
      <w:bookmarkStart w:id="257" w:name="_Toc294282256"/>
      <w:bookmarkStart w:id="258" w:name="_Toc294714191"/>
      <w:bookmarkStart w:id="259" w:name="_Toc295314217"/>
      <w:bookmarkStart w:id="260" w:name="_Toc295829606"/>
      <w:bookmarkStart w:id="261" w:name="_Toc295829889"/>
      <w:bookmarkStart w:id="262" w:name="_Toc301772777"/>
      <w:bookmarkStart w:id="263" w:name="_Toc301772855"/>
      <w:bookmarkStart w:id="264" w:name="_Toc302657794"/>
      <w:bookmarkStart w:id="265" w:name="_Toc302657913"/>
      <w:bookmarkStart w:id="266" w:name="_Toc294280312"/>
      <w:bookmarkStart w:id="267" w:name="_Toc294281637"/>
      <w:bookmarkStart w:id="268" w:name="_Toc294281857"/>
      <w:bookmarkStart w:id="269" w:name="_Toc294282071"/>
      <w:bookmarkStart w:id="270" w:name="_Toc294282274"/>
      <w:bookmarkStart w:id="271" w:name="_Toc294714209"/>
      <w:bookmarkStart w:id="272" w:name="_Toc295314235"/>
      <w:bookmarkStart w:id="273" w:name="_Toc295829624"/>
      <w:bookmarkStart w:id="274" w:name="_Toc295829907"/>
      <w:bookmarkStart w:id="275" w:name="_Toc301772795"/>
      <w:bookmarkStart w:id="276" w:name="_Toc301772873"/>
      <w:bookmarkStart w:id="277" w:name="_Toc302657812"/>
      <w:bookmarkStart w:id="278" w:name="_Toc302657931"/>
      <w:bookmarkStart w:id="279" w:name="_Toc294280316"/>
      <w:bookmarkStart w:id="280" w:name="_Toc294281641"/>
      <w:bookmarkStart w:id="281" w:name="_Toc294281861"/>
      <w:bookmarkStart w:id="282" w:name="_Toc294282075"/>
      <w:bookmarkStart w:id="283" w:name="_Toc294282278"/>
      <w:bookmarkStart w:id="284" w:name="_Toc294714213"/>
      <w:bookmarkStart w:id="285" w:name="_Toc295314239"/>
      <w:bookmarkStart w:id="286" w:name="_Toc295829628"/>
      <w:bookmarkStart w:id="287" w:name="_Toc295829911"/>
      <w:bookmarkStart w:id="288" w:name="_Toc301772799"/>
      <w:bookmarkStart w:id="289" w:name="_Toc301772877"/>
      <w:bookmarkStart w:id="290" w:name="_Toc302657816"/>
      <w:bookmarkStart w:id="291" w:name="_Toc302657935"/>
      <w:bookmarkStart w:id="292" w:name="_Toc294280319"/>
      <w:bookmarkStart w:id="293" w:name="_Toc294281644"/>
      <w:bookmarkStart w:id="294" w:name="_Toc294281864"/>
      <w:bookmarkStart w:id="295" w:name="_Toc294282078"/>
      <w:bookmarkStart w:id="296" w:name="_Toc294282281"/>
      <w:bookmarkStart w:id="297" w:name="_Toc294714216"/>
      <w:bookmarkStart w:id="298" w:name="_Toc295314242"/>
      <w:bookmarkStart w:id="299" w:name="_Toc295829631"/>
      <w:bookmarkStart w:id="300" w:name="_Toc295829914"/>
      <w:bookmarkStart w:id="301" w:name="_Toc301772802"/>
      <w:bookmarkStart w:id="302" w:name="_Toc301772880"/>
      <w:bookmarkStart w:id="303" w:name="_Toc302657819"/>
      <w:bookmarkStart w:id="304" w:name="_Toc302657938"/>
      <w:bookmarkStart w:id="305" w:name="_Toc294280322"/>
      <w:bookmarkStart w:id="306" w:name="_Toc294281647"/>
      <w:bookmarkStart w:id="307" w:name="_Toc294281867"/>
      <w:bookmarkStart w:id="308" w:name="_Toc294282081"/>
      <w:bookmarkStart w:id="309" w:name="_Toc294282284"/>
      <w:bookmarkStart w:id="310" w:name="_Toc294714219"/>
      <w:bookmarkStart w:id="311" w:name="_Toc295314245"/>
      <w:bookmarkStart w:id="312" w:name="_Toc295829634"/>
      <w:bookmarkStart w:id="313" w:name="_Toc295829917"/>
      <w:bookmarkStart w:id="314" w:name="_Toc301772805"/>
      <w:bookmarkStart w:id="315" w:name="_Toc301772883"/>
      <w:bookmarkStart w:id="316" w:name="_Toc302657822"/>
      <w:bookmarkStart w:id="317" w:name="_Toc302657941"/>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p>
    <w:p w:rsidR="001C7AB7" w:rsidRPr="00661595" w:rsidRDefault="00125707" w:rsidP="0023700C">
      <w:pPr>
        <w:pStyle w:val="Instructionsberschrift2"/>
        <w:numPr>
          <w:ilvl w:val="0"/>
          <w:numId w:val="0"/>
        </w:numPr>
        <w:ind w:left="357" w:hanging="357"/>
        <w:rPr>
          <w:rFonts w:ascii="Times New Roman" w:hAnsi="Times New Roman" w:cs="Times New Roman"/>
          <w:sz w:val="24"/>
        </w:rPr>
      </w:pPr>
      <w:bookmarkStart w:id="318" w:name="_Toc473560911"/>
      <w:bookmarkStart w:id="319" w:name="_Toc58915754"/>
      <w:r>
        <w:rPr>
          <w:rFonts w:ascii="Times New Roman" w:hAnsi="Times New Roman"/>
          <w:sz w:val="24"/>
          <w:u w:val="none"/>
        </w:rPr>
        <w:t>3.3.4.</w:t>
      </w:r>
      <w:r w:rsidRPr="00132C93">
        <w:rPr>
          <w:u w:val="none"/>
        </w:rPr>
        <w:tab/>
      </w:r>
      <w:r>
        <w:rPr>
          <w:rFonts w:ascii="Times New Roman" w:hAnsi="Times New Roman"/>
          <w:sz w:val="24"/>
        </w:rPr>
        <w:t>C 08.02 — Rischio di credito e rischio di controparte e operazioni con regolamento non contestuale: metodo IRB applicato ai requisiti patrimoniali - ripartizione per classe o pool di debitori (modello CR IRB 2)</w:t>
      </w:r>
      <w:bookmarkEnd w:id="318"/>
      <w:bookmarkEnd w:id="31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661595" w:rsidTr="00672D2A">
        <w:tc>
          <w:tcPr>
            <w:tcW w:w="2024" w:type="dxa"/>
            <w:shd w:val="clear" w:color="auto" w:fill="BFBFBF"/>
          </w:tcPr>
          <w:p w:rsidR="001C7AB7" w:rsidRPr="00661595" w:rsidRDefault="001C7AB7" w:rsidP="001C7AB7">
            <w:pPr>
              <w:rPr>
                <w:rFonts w:ascii="Times New Roman" w:hAnsi="Times New Roman"/>
                <w:sz w:val="24"/>
              </w:rPr>
            </w:pPr>
            <w:r>
              <w:rPr>
                <w:rFonts w:ascii="Times New Roman" w:hAnsi="Times New Roman"/>
                <w:sz w:val="24"/>
              </w:rPr>
              <w:t>Colonna</w:t>
            </w:r>
          </w:p>
        </w:tc>
        <w:tc>
          <w:tcPr>
            <w:tcW w:w="7804" w:type="dxa"/>
            <w:shd w:val="clear" w:color="auto" w:fill="BFBFBF"/>
          </w:tcPr>
          <w:p w:rsidR="001C7AB7" w:rsidRPr="00661595" w:rsidRDefault="001C7AB7" w:rsidP="00132C93">
            <w:pPr>
              <w:suppressAutoHyphens/>
              <w:rPr>
                <w:rFonts w:ascii="Times New Roman" w:hAnsi="Times New Roman"/>
                <w:sz w:val="24"/>
              </w:rPr>
            </w:pPr>
            <w:r>
              <w:rPr>
                <w:rFonts w:ascii="Times New Roman" w:hAnsi="Times New Roman"/>
                <w:sz w:val="24"/>
              </w:rPr>
              <w:t>Istruzioni</w:t>
            </w:r>
          </w:p>
        </w:tc>
      </w:tr>
      <w:tr w:rsidR="00E97CD2" w:rsidRPr="00661595" w:rsidTr="00672D2A">
        <w:tc>
          <w:tcPr>
            <w:tcW w:w="2024" w:type="dxa"/>
          </w:tcPr>
          <w:p w:rsidR="00E97CD2" w:rsidRPr="00661595" w:rsidRDefault="001452FC" w:rsidP="001C7AB7">
            <w:pPr>
              <w:rPr>
                <w:rFonts w:ascii="Times New Roman" w:hAnsi="Times New Roman"/>
                <w:sz w:val="24"/>
              </w:rPr>
            </w:pPr>
            <w:r>
              <w:rPr>
                <w:rFonts w:ascii="Times New Roman" w:hAnsi="Times New Roman"/>
                <w:sz w:val="24"/>
              </w:rPr>
              <w:t>0005</w:t>
            </w:r>
          </w:p>
        </w:tc>
        <w:tc>
          <w:tcPr>
            <w:tcW w:w="7804" w:type="dxa"/>
          </w:tcPr>
          <w:p w:rsidR="00E97CD2" w:rsidRPr="00661595" w:rsidRDefault="00E97CD2" w:rsidP="00132C93">
            <w:pPr>
              <w:suppressAutoHyphens/>
              <w:rPr>
                <w:rFonts w:ascii="Times New Roman" w:hAnsi="Times New Roman"/>
                <w:b/>
                <w:sz w:val="24"/>
                <w:u w:val="single"/>
              </w:rPr>
            </w:pPr>
            <w:r>
              <w:rPr>
                <w:rFonts w:ascii="Times New Roman" w:hAnsi="Times New Roman"/>
                <w:b/>
                <w:sz w:val="24"/>
                <w:u w:val="single"/>
              </w:rPr>
              <w:t>Classe di debitori (identificativo della riga)</w:t>
            </w:r>
          </w:p>
          <w:p w:rsidR="00E97CD2" w:rsidRPr="00661595" w:rsidRDefault="00E97CD2" w:rsidP="00132C93">
            <w:pPr>
              <w:suppressAutoHyphens/>
              <w:rPr>
                <w:rFonts w:ascii="Times New Roman" w:hAnsi="Times New Roman"/>
                <w:sz w:val="24"/>
              </w:rPr>
            </w:pPr>
            <w:r>
              <w:rPr>
                <w:rFonts w:ascii="Times New Roman" w:hAnsi="Times New Roman"/>
                <w:sz w:val="24"/>
              </w:rPr>
              <w:t>Si tratta di un identificativo della riga ed è unico per ciascuna riga su un dato foglio del modello. Segue l</w:t>
            </w:r>
            <w:r w:rsidR="000878EC">
              <w:rPr>
                <w:rFonts w:ascii="Times New Roman" w:hAnsi="Times New Roman"/>
                <w:sz w:val="24"/>
              </w:rPr>
              <w:t>'</w:t>
            </w:r>
            <w:r>
              <w:rPr>
                <w:rFonts w:ascii="Times New Roman" w:hAnsi="Times New Roman"/>
                <w:sz w:val="24"/>
              </w:rPr>
              <w:t>ordine numerico 1, 2, 3 ecc.</w:t>
            </w:r>
          </w:p>
          <w:p w:rsidR="008151A6" w:rsidRPr="00661595" w:rsidRDefault="008151A6" w:rsidP="00132C93">
            <w:pPr>
              <w:suppressAutoHyphens/>
              <w:rPr>
                <w:rFonts w:ascii="Times New Roman" w:hAnsi="Times New Roman"/>
                <w:sz w:val="24"/>
              </w:rPr>
            </w:pPr>
            <w:r>
              <w:rPr>
                <w:rFonts w:ascii="Times New Roman" w:hAnsi="Times New Roman"/>
                <w:sz w:val="24"/>
              </w:rPr>
              <w:t>La prima classe (o pool) da segnalare è la migliore, poi la seconda migliore e così via. L</w:t>
            </w:r>
            <w:r w:rsidR="000878EC">
              <w:rPr>
                <w:rFonts w:ascii="Times New Roman" w:hAnsi="Times New Roman"/>
                <w:sz w:val="24"/>
              </w:rPr>
              <w:t>'</w:t>
            </w:r>
            <w:r>
              <w:rPr>
                <w:rFonts w:ascii="Times New Roman" w:hAnsi="Times New Roman"/>
                <w:sz w:val="24"/>
              </w:rPr>
              <w:t xml:space="preserve">ultima o le ultime classi (o pool) segnalate sono quelle delle esposizioni in stato di default. </w:t>
            </w:r>
          </w:p>
        </w:tc>
      </w:tr>
      <w:tr w:rsidR="001C7AB7" w:rsidRPr="00661595" w:rsidTr="00672D2A">
        <w:tc>
          <w:tcPr>
            <w:tcW w:w="2024" w:type="dxa"/>
          </w:tcPr>
          <w:p w:rsidR="001C7AB7" w:rsidRPr="00661595" w:rsidRDefault="001452FC" w:rsidP="001C7AB7">
            <w:pPr>
              <w:rPr>
                <w:rFonts w:ascii="Times New Roman" w:hAnsi="Times New Roman"/>
                <w:sz w:val="24"/>
              </w:rPr>
            </w:pPr>
            <w:r>
              <w:rPr>
                <w:rFonts w:ascii="Times New Roman" w:hAnsi="Times New Roman"/>
                <w:sz w:val="24"/>
              </w:rPr>
              <w:t>0010-0300</w:t>
            </w:r>
          </w:p>
        </w:tc>
        <w:tc>
          <w:tcPr>
            <w:tcW w:w="7804" w:type="dxa"/>
          </w:tcPr>
          <w:p w:rsidR="001C7AB7" w:rsidRPr="00661595" w:rsidRDefault="001C7AB7" w:rsidP="00132C93">
            <w:pPr>
              <w:suppressAutoHyphens/>
              <w:rPr>
                <w:rFonts w:ascii="Times New Roman" w:hAnsi="Times New Roman"/>
                <w:sz w:val="24"/>
              </w:rPr>
            </w:pPr>
            <w:r>
              <w:rPr>
                <w:rFonts w:ascii="Times New Roman" w:hAnsi="Times New Roman"/>
                <w:sz w:val="24"/>
              </w:rPr>
              <w:t>Per ciascuna di queste colonne valgono le istruzioni delle colonne numerate in modo corrispondente del modello CR IRB 1.</w:t>
            </w:r>
          </w:p>
        </w:tc>
      </w:tr>
    </w:tbl>
    <w:p w:rsidR="001C7AB7" w:rsidRPr="00661595" w:rsidRDefault="001C7AB7" w:rsidP="001C7AB7">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4"/>
        <w:gridCol w:w="7804"/>
      </w:tblGrid>
      <w:tr w:rsidR="001C7AB7" w:rsidRPr="00661595" w:rsidTr="00672D2A">
        <w:tc>
          <w:tcPr>
            <w:tcW w:w="2024" w:type="dxa"/>
            <w:shd w:val="pct25" w:color="auto" w:fill="auto"/>
          </w:tcPr>
          <w:p w:rsidR="001C7AB7" w:rsidRPr="00661595" w:rsidRDefault="001C7AB7" w:rsidP="001C7AB7">
            <w:pPr>
              <w:rPr>
                <w:rFonts w:ascii="Times New Roman" w:hAnsi="Times New Roman"/>
                <w:sz w:val="24"/>
              </w:rPr>
            </w:pPr>
            <w:r>
              <w:rPr>
                <w:rFonts w:ascii="Times New Roman" w:hAnsi="Times New Roman"/>
                <w:sz w:val="24"/>
              </w:rPr>
              <w:t>Riga</w:t>
            </w:r>
          </w:p>
        </w:tc>
        <w:tc>
          <w:tcPr>
            <w:tcW w:w="7804" w:type="dxa"/>
            <w:shd w:val="pct25" w:color="auto" w:fill="auto"/>
          </w:tcPr>
          <w:p w:rsidR="001C7AB7" w:rsidRPr="00661595" w:rsidRDefault="001C7AB7" w:rsidP="00132C93">
            <w:pPr>
              <w:suppressAutoHyphens/>
              <w:rPr>
                <w:rFonts w:ascii="Times New Roman" w:hAnsi="Times New Roman"/>
                <w:sz w:val="24"/>
              </w:rPr>
            </w:pPr>
            <w:r>
              <w:rPr>
                <w:rFonts w:ascii="Times New Roman" w:hAnsi="Times New Roman"/>
                <w:sz w:val="24"/>
              </w:rPr>
              <w:t>Istruzioni</w:t>
            </w:r>
          </w:p>
        </w:tc>
      </w:tr>
      <w:tr w:rsidR="001C7AB7" w:rsidRPr="00661595" w:rsidTr="00672D2A">
        <w:tc>
          <w:tcPr>
            <w:tcW w:w="2024" w:type="dxa"/>
          </w:tcPr>
          <w:p w:rsidR="001C7AB7" w:rsidRPr="00661595" w:rsidRDefault="001C7AB7" w:rsidP="001C7AB7">
            <w:pPr>
              <w:rPr>
                <w:rFonts w:ascii="Times New Roman" w:hAnsi="Times New Roman"/>
                <w:sz w:val="24"/>
              </w:rPr>
            </w:pPr>
            <w:r>
              <w:rPr>
                <w:rFonts w:ascii="Times New Roman" w:hAnsi="Times New Roman"/>
                <w:sz w:val="24"/>
              </w:rPr>
              <w:t>0010-0001 – 0010-NNNN</w:t>
            </w:r>
          </w:p>
        </w:tc>
        <w:tc>
          <w:tcPr>
            <w:tcW w:w="7804" w:type="dxa"/>
          </w:tcPr>
          <w:p w:rsidR="001C7AB7" w:rsidRPr="00661595" w:rsidRDefault="001C7AB7" w:rsidP="00132C93">
            <w:pPr>
              <w:suppressAutoHyphens/>
              <w:rPr>
                <w:rFonts w:ascii="Times New Roman" w:hAnsi="Times New Roman"/>
                <w:sz w:val="24"/>
              </w:rPr>
            </w:pPr>
            <w:r>
              <w:rPr>
                <w:rFonts w:ascii="Times New Roman" w:hAnsi="Times New Roman"/>
                <w:sz w:val="24"/>
              </w:rPr>
              <w:t>Gli importi segnalati in queste righe sono inseriti nell</w:t>
            </w:r>
            <w:r w:rsidR="000878EC">
              <w:rPr>
                <w:rFonts w:ascii="Times New Roman" w:hAnsi="Times New Roman"/>
                <w:sz w:val="24"/>
              </w:rPr>
              <w:t>'</w:t>
            </w:r>
            <w:r>
              <w:rPr>
                <w:rFonts w:ascii="Times New Roman" w:hAnsi="Times New Roman"/>
                <w:sz w:val="24"/>
              </w:rPr>
              <w:t>ordine corrispondente alla PD assegnata alla classe o al pool di debitori. La PD dei debitori in stato di default è pari al 100 %. Le esposizioni soggette al trattamento alternativo per le garanzie immobiliari (applicabile soltanto se non si utilizzano stime interne della LGD) non sono assegnate in base alla PD del debitore e non sono segnalate in questo modello.</w:t>
            </w:r>
          </w:p>
        </w:tc>
      </w:tr>
    </w:tbl>
    <w:p w:rsidR="004357B9" w:rsidRPr="00661595" w:rsidRDefault="004357B9" w:rsidP="00115052">
      <w:pPr>
        <w:pStyle w:val="InstructionsText"/>
      </w:pPr>
    </w:p>
    <w:p w:rsidR="008151A6" w:rsidRPr="00661595" w:rsidRDefault="008151A6" w:rsidP="00F66371">
      <w:pPr>
        <w:pStyle w:val="Instructionsberschrift2"/>
        <w:numPr>
          <w:ilvl w:val="2"/>
          <w:numId w:val="36"/>
        </w:numPr>
        <w:rPr>
          <w:rFonts w:ascii="Times New Roman" w:hAnsi="Times New Roman" w:cs="Times New Roman"/>
          <w:sz w:val="24"/>
        </w:rPr>
      </w:pPr>
      <w:bookmarkStart w:id="320" w:name="_Toc19715755"/>
      <w:bookmarkStart w:id="321" w:name="_Toc58915755"/>
      <w:r>
        <w:rPr>
          <w:rFonts w:ascii="Times New Roman" w:hAnsi="Times New Roman"/>
          <w:sz w:val="24"/>
        </w:rPr>
        <w:t>C 08.03 — Rischio di credito e operazioni con regolamento non contestuale: metodo IRB applicato ai requisiti patrimoniali (ripartizione per intervalli di PD (CR IRB 3))</w:t>
      </w:r>
      <w:bookmarkEnd w:id="320"/>
      <w:bookmarkEnd w:id="321"/>
    </w:p>
    <w:p w:rsidR="008151A6" w:rsidRPr="00661595" w:rsidRDefault="008151A6" w:rsidP="00F66371">
      <w:pPr>
        <w:pStyle w:val="Instructionsberschrift2"/>
        <w:numPr>
          <w:ilvl w:val="3"/>
          <w:numId w:val="36"/>
        </w:numPr>
        <w:rPr>
          <w:rFonts w:ascii="Times New Roman" w:hAnsi="Times New Roman" w:cs="Times New Roman"/>
          <w:sz w:val="24"/>
        </w:rPr>
      </w:pPr>
      <w:bookmarkStart w:id="322" w:name="_Toc19715756"/>
      <w:bookmarkStart w:id="323" w:name="_Toc58915756"/>
      <w:r>
        <w:rPr>
          <w:rFonts w:ascii="Times New Roman" w:hAnsi="Times New Roman"/>
          <w:sz w:val="24"/>
        </w:rPr>
        <w:t>Osservazioni di carattere generale</w:t>
      </w:r>
      <w:bookmarkEnd w:id="322"/>
      <w:bookmarkEnd w:id="323"/>
    </w:p>
    <w:p w:rsidR="008151A6" w:rsidRPr="00661595" w:rsidRDefault="00A971CA" w:rsidP="00132C93">
      <w:pPr>
        <w:pStyle w:val="InstructionsText2"/>
        <w:numPr>
          <w:ilvl w:val="0"/>
          <w:numId w:val="0"/>
        </w:numPr>
        <w:ind w:left="1560" w:hanging="360"/>
      </w:pPr>
      <w:r>
        <w:fldChar w:fldCharType="begin"/>
      </w:r>
      <w:r>
        <w:instrText xml:space="preserve"> seq paragraphs </w:instrText>
      </w:r>
      <w:r>
        <w:fldChar w:fldCharType="separate"/>
      </w:r>
      <w:r w:rsidR="00D11E4C">
        <w:rPr>
          <w:noProof/>
        </w:rPr>
        <w:t>77</w:t>
      </w:r>
      <w:r>
        <w:rPr>
          <w:noProof/>
        </w:rPr>
        <w:fldChar w:fldCharType="end"/>
      </w:r>
      <w:r w:rsidR="00D11E4C">
        <w:t>. Gli enti segnalano le informazioni incluse in questo modello in applicazione dell</w:t>
      </w:r>
      <w:r w:rsidR="000878EC">
        <w:t>'</w:t>
      </w:r>
      <w:r w:rsidR="00D11E4C">
        <w:t>articolo 452, lettera g), punti da i) a v), del CRR, al fine di fornire informazioni sui principali parametri utilizzati per il calcolo dei requisiti patrimoniali per il metodo IRB. Le informazioni segnalate in questo modello non comprendono i dati sui finanziamenti specializzati di cui all</w:t>
      </w:r>
      <w:r w:rsidR="000878EC">
        <w:t>'</w:t>
      </w:r>
      <w:r w:rsidR="00D11E4C">
        <w:t>articolo 153, paragrafo 5, del CRR che sono inclusi nel modello C 08.06. Da questo modello sono escluse le esposizioni soggette al rischio di controparte (CCR) (parte tre, titolo II, capo 6, del CRR).</w:t>
      </w:r>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24" w:name="_Toc19715757"/>
      <w:bookmarkStart w:id="325" w:name="_Toc58915757"/>
      <w:r>
        <w:rPr>
          <w:rFonts w:ascii="Times New Roman" w:hAnsi="Times New Roman"/>
          <w:sz w:val="24"/>
        </w:rPr>
        <w:t>Istruzioni relative a posizioni specifiche</w:t>
      </w:r>
      <w:bookmarkEnd w:id="324"/>
      <w:bookmarkEnd w:id="325"/>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Colonne</w:t>
            </w:r>
          </w:p>
        </w:tc>
        <w:tc>
          <w:tcPr>
            <w:tcW w:w="8843" w:type="dxa"/>
            <w:shd w:val="clear" w:color="auto" w:fill="CCCCCC"/>
          </w:tcPr>
          <w:p w:rsidR="008151A6" w:rsidRPr="00661595" w:rsidRDefault="008151A6" w:rsidP="00777D3A">
            <w:pPr>
              <w:suppressAutoHyphens/>
              <w:rPr>
                <w:rFonts w:ascii="Times New Roman" w:hAnsi="Times New Roman"/>
                <w:sz w:val="24"/>
              </w:rPr>
            </w:pPr>
            <w:r>
              <w:rPr>
                <w:rFonts w:ascii="Times New Roman" w:hAnsi="Times New Roman"/>
                <w:sz w:val="24"/>
              </w:rPr>
              <w:t>Istruzioni</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0010</w:t>
            </w:r>
          </w:p>
          <w:p w:rsidR="008151A6" w:rsidRPr="00661595"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777D3A">
            <w:pPr>
              <w:suppressAutoHyphens/>
              <w:rPr>
                <w:rFonts w:ascii="Times New Roman" w:hAnsi="Times New Roman"/>
                <w:b/>
                <w:sz w:val="24"/>
                <w:u w:val="single"/>
              </w:rPr>
            </w:pPr>
            <w:r>
              <w:rPr>
                <w:rFonts w:ascii="Times New Roman" w:hAnsi="Times New Roman"/>
                <w:b/>
                <w:sz w:val="24"/>
                <w:u w:val="single"/>
              </w:rPr>
              <w:t>ESPOSIZIONI IN BILANCIO</w:t>
            </w:r>
          </w:p>
          <w:p w:rsidR="008151A6" w:rsidRPr="00661595" w:rsidRDefault="008151A6" w:rsidP="00777D3A">
            <w:pPr>
              <w:suppressAutoHyphens/>
              <w:rPr>
                <w:rFonts w:ascii="Times New Roman" w:hAnsi="Times New Roman"/>
                <w:sz w:val="24"/>
              </w:rPr>
            </w:pPr>
            <w:r>
              <w:rPr>
                <w:rFonts w:ascii="Times New Roman" w:hAnsi="Times New Roman"/>
                <w:sz w:val="24"/>
              </w:rPr>
              <w:t>Valore dell</w:t>
            </w:r>
            <w:r w:rsidR="000878EC">
              <w:rPr>
                <w:rFonts w:ascii="Times New Roman" w:hAnsi="Times New Roman"/>
                <w:sz w:val="24"/>
              </w:rPr>
              <w:t>'</w:t>
            </w:r>
            <w:r>
              <w:rPr>
                <w:rFonts w:ascii="Times New Roman" w:hAnsi="Times New Roman"/>
                <w:sz w:val="24"/>
              </w:rPr>
              <w:t>esposizione calcolato conformemente all</w:t>
            </w:r>
            <w:r w:rsidR="000878EC">
              <w:rPr>
                <w:rFonts w:ascii="Times New Roman" w:hAnsi="Times New Roman"/>
                <w:sz w:val="24"/>
              </w:rPr>
              <w:t>'</w:t>
            </w:r>
            <w:r>
              <w:rPr>
                <w:rFonts w:ascii="Times New Roman" w:hAnsi="Times New Roman"/>
                <w:sz w:val="24"/>
              </w:rPr>
              <w:t>articolo 166, paragrafi da 1 a 7, del CRR senza tener conto delle rettifiche di valore su crediti</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777D3A">
            <w:pPr>
              <w:suppressAutoHyphens/>
              <w:rPr>
                <w:rFonts w:ascii="Times New Roman" w:hAnsi="Times New Roman"/>
                <w:b/>
                <w:sz w:val="24"/>
                <w:u w:val="single"/>
              </w:rPr>
            </w:pPr>
            <w:r>
              <w:rPr>
                <w:rFonts w:ascii="Times New Roman" w:hAnsi="Times New Roman"/>
                <w:b/>
                <w:sz w:val="24"/>
                <w:u w:val="single"/>
              </w:rPr>
              <w:t>ESPOSIZIONI FUORI BILANCIO PRIMA DELL</w:t>
            </w:r>
            <w:r w:rsidR="000878EC">
              <w:rPr>
                <w:rFonts w:ascii="Times New Roman" w:hAnsi="Times New Roman"/>
                <w:b/>
                <w:sz w:val="24"/>
                <w:u w:val="single"/>
              </w:rPr>
              <w:t>'</w:t>
            </w:r>
            <w:r>
              <w:rPr>
                <w:rFonts w:ascii="Times New Roman" w:hAnsi="Times New Roman"/>
                <w:b/>
                <w:sz w:val="24"/>
                <w:u w:val="single"/>
              </w:rPr>
              <w:t>APPLICAZIONE DEI FATTORI DI CONVERSIONE</w:t>
            </w:r>
          </w:p>
          <w:p w:rsidR="008151A6" w:rsidRPr="00661595" w:rsidRDefault="008151A6" w:rsidP="00777D3A">
            <w:pPr>
              <w:suppressAutoHyphens/>
              <w:rPr>
                <w:rFonts w:ascii="Times New Roman" w:hAnsi="Times New Roman"/>
                <w:sz w:val="24"/>
              </w:rPr>
            </w:pPr>
            <w:r>
              <w:rPr>
                <w:rFonts w:ascii="Times New Roman" w:hAnsi="Times New Roman"/>
                <w:sz w:val="24"/>
              </w:rPr>
              <w:t>Valore dell</w:t>
            </w:r>
            <w:r w:rsidR="000878EC">
              <w:rPr>
                <w:rFonts w:ascii="Times New Roman" w:hAnsi="Times New Roman"/>
                <w:sz w:val="24"/>
              </w:rPr>
              <w:t>'</w:t>
            </w:r>
            <w:r>
              <w:rPr>
                <w:rFonts w:ascii="Times New Roman" w:hAnsi="Times New Roman"/>
                <w:sz w:val="24"/>
              </w:rPr>
              <w:t>esposiz</w:t>
            </w:r>
            <w:r w:rsidR="00777D3A">
              <w:rPr>
                <w:rFonts w:ascii="Times New Roman" w:hAnsi="Times New Roman"/>
                <w:sz w:val="24"/>
              </w:rPr>
              <w:t>ione conformemente all</w:t>
            </w:r>
            <w:r w:rsidR="000878EC">
              <w:rPr>
                <w:rFonts w:ascii="Times New Roman" w:hAnsi="Times New Roman"/>
                <w:sz w:val="24"/>
              </w:rPr>
              <w:t>'</w:t>
            </w:r>
            <w:r w:rsidR="00777D3A">
              <w:rPr>
                <w:rFonts w:ascii="Times New Roman" w:hAnsi="Times New Roman"/>
                <w:sz w:val="24"/>
              </w:rPr>
              <w:t xml:space="preserve">articolo </w:t>
            </w:r>
            <w:r>
              <w:rPr>
                <w:rFonts w:ascii="Times New Roman" w:hAnsi="Times New Roman"/>
                <w:sz w:val="24"/>
              </w:rPr>
              <w:t>166, paragrafi da 1 a 7, del CRR, senza tener conto delle rettifiche di valore su crediti e dei fattori di conversione, né delle stime interne e dei fattori di conve</w:t>
            </w:r>
            <w:r w:rsidR="00777D3A">
              <w:rPr>
                <w:rFonts w:ascii="Times New Roman" w:hAnsi="Times New Roman"/>
                <w:sz w:val="24"/>
              </w:rPr>
              <w:t>rsione specificati all</w:t>
            </w:r>
            <w:r w:rsidR="000878EC">
              <w:rPr>
                <w:rFonts w:ascii="Times New Roman" w:hAnsi="Times New Roman"/>
                <w:sz w:val="24"/>
              </w:rPr>
              <w:t>'</w:t>
            </w:r>
            <w:r w:rsidR="00777D3A">
              <w:rPr>
                <w:rFonts w:ascii="Times New Roman" w:hAnsi="Times New Roman"/>
                <w:sz w:val="24"/>
              </w:rPr>
              <w:t xml:space="preserve">articolo </w:t>
            </w:r>
            <w:r>
              <w:rPr>
                <w:rFonts w:ascii="Times New Roman" w:hAnsi="Times New Roman"/>
                <w:sz w:val="24"/>
              </w:rPr>
              <w:t>166, paragrafo 8, del CRR, né di qualsiasi perce</w:t>
            </w:r>
            <w:r w:rsidR="00777D3A">
              <w:rPr>
                <w:rFonts w:ascii="Times New Roman" w:hAnsi="Times New Roman"/>
                <w:sz w:val="24"/>
              </w:rPr>
              <w:t>ntuale specificata all</w:t>
            </w:r>
            <w:r w:rsidR="000878EC">
              <w:rPr>
                <w:rFonts w:ascii="Times New Roman" w:hAnsi="Times New Roman"/>
                <w:sz w:val="24"/>
              </w:rPr>
              <w:t>'</w:t>
            </w:r>
            <w:r w:rsidR="00777D3A">
              <w:rPr>
                <w:rFonts w:ascii="Times New Roman" w:hAnsi="Times New Roman"/>
                <w:sz w:val="24"/>
              </w:rPr>
              <w:t xml:space="preserve">articolo 166, paragrafo </w:t>
            </w:r>
            <w:r>
              <w:rPr>
                <w:rFonts w:ascii="Times New Roman" w:hAnsi="Times New Roman"/>
                <w:sz w:val="24"/>
              </w:rPr>
              <w:t>10, del CRR.</w:t>
            </w:r>
          </w:p>
          <w:p w:rsidR="008151A6" w:rsidRPr="00661595" w:rsidRDefault="008151A6" w:rsidP="00777D3A">
            <w:pPr>
              <w:suppressAutoHyphens/>
              <w:rPr>
                <w:rFonts w:ascii="Times New Roman" w:hAnsi="Times New Roman"/>
                <w:sz w:val="24"/>
              </w:rPr>
            </w:pPr>
            <w:r>
              <w:rPr>
                <w:rFonts w:ascii="Times New Roman" w:hAnsi="Times New Roman"/>
                <w:sz w:val="24"/>
              </w:rPr>
              <w:t>Le esposizioni fuori bilancio comprendono tutti gli importi impegnati ma non utilizzati e tutti gli elementi fuori bilancio elencati nell</w:t>
            </w:r>
            <w:r w:rsidR="000878EC">
              <w:rPr>
                <w:rFonts w:ascii="Times New Roman" w:hAnsi="Times New Roman"/>
                <w:sz w:val="24"/>
              </w:rPr>
              <w:t>'</w:t>
            </w:r>
            <w:r>
              <w:rPr>
                <w:rFonts w:ascii="Times New Roman" w:hAnsi="Times New Roman"/>
                <w:sz w:val="24"/>
              </w:rPr>
              <w:t>allegato I del CRR.</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777D3A">
            <w:pPr>
              <w:suppressAutoHyphens/>
              <w:rPr>
                <w:rFonts w:ascii="Times New Roman" w:hAnsi="Times New Roman"/>
                <w:b/>
                <w:sz w:val="24"/>
                <w:u w:val="single"/>
              </w:rPr>
            </w:pPr>
            <w:r>
              <w:rPr>
                <w:rFonts w:ascii="Times New Roman" w:hAnsi="Times New Roman"/>
                <w:b/>
                <w:sz w:val="24"/>
                <w:u w:val="single"/>
              </w:rPr>
              <w:t>FATTORI DI CONVERSIONE MEDI PONDERATI PER L</w:t>
            </w:r>
            <w:r w:rsidR="000878EC">
              <w:rPr>
                <w:rFonts w:ascii="Times New Roman" w:hAnsi="Times New Roman"/>
                <w:b/>
                <w:sz w:val="24"/>
                <w:u w:val="single"/>
              </w:rPr>
              <w:t>'</w:t>
            </w:r>
            <w:r>
              <w:rPr>
                <w:rFonts w:ascii="Times New Roman" w:hAnsi="Times New Roman"/>
                <w:b/>
                <w:sz w:val="24"/>
                <w:u w:val="single"/>
              </w:rPr>
              <w:t>ESPOSIZIONE</w:t>
            </w:r>
          </w:p>
          <w:p w:rsidR="008151A6" w:rsidRPr="00661595" w:rsidRDefault="008151A6" w:rsidP="00777D3A">
            <w:pPr>
              <w:suppressAutoHyphens/>
              <w:rPr>
                <w:rFonts w:ascii="Times New Roman" w:hAnsi="Times New Roman"/>
                <w:sz w:val="24"/>
              </w:rPr>
            </w:pPr>
            <w:r>
              <w:rPr>
                <w:rFonts w:ascii="Times New Roman" w:hAnsi="Times New Roman"/>
                <w:sz w:val="24"/>
              </w:rPr>
              <w:t>Per tutte le esposizioni incluse in ciascuna categoria dell</w:t>
            </w:r>
            <w:r w:rsidR="000878EC">
              <w:rPr>
                <w:rFonts w:ascii="Times New Roman" w:hAnsi="Times New Roman"/>
                <w:sz w:val="24"/>
              </w:rPr>
              <w:t>'</w:t>
            </w:r>
            <w:r>
              <w:rPr>
                <w:rFonts w:ascii="Times New Roman" w:hAnsi="Times New Roman"/>
                <w:sz w:val="24"/>
              </w:rPr>
              <w:t>intervallo di PD fissato, il fattore di conversione medio utilizzato dagli enti nel calcolo degli importi delle esposizioni ponderati per il rischio, ponderato per l</w:t>
            </w:r>
            <w:r w:rsidR="000878EC">
              <w:rPr>
                <w:rFonts w:ascii="Times New Roman" w:hAnsi="Times New Roman"/>
                <w:sz w:val="24"/>
              </w:rPr>
              <w:t>'</w:t>
            </w:r>
            <w:r>
              <w:rPr>
                <w:rFonts w:ascii="Times New Roman" w:hAnsi="Times New Roman"/>
                <w:sz w:val="24"/>
              </w:rPr>
              <w:t xml:space="preserve">esposizione fuori bilancio pre-CCF di cui alla colonna 0020.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777D3A">
            <w:pPr>
              <w:suppressAutoHyphens/>
              <w:rPr>
                <w:rFonts w:ascii="Times New Roman" w:hAnsi="Times New Roman"/>
                <w:b/>
                <w:sz w:val="24"/>
                <w:u w:val="single"/>
              </w:rPr>
            </w:pPr>
            <w:r>
              <w:rPr>
                <w:rFonts w:ascii="Times New Roman" w:hAnsi="Times New Roman"/>
                <w:b/>
                <w:sz w:val="24"/>
                <w:u w:val="single"/>
              </w:rPr>
              <w:t>VALORE DELL</w:t>
            </w:r>
            <w:r w:rsidR="000878EC">
              <w:rPr>
                <w:rFonts w:ascii="Times New Roman" w:hAnsi="Times New Roman"/>
                <w:b/>
                <w:sz w:val="24"/>
                <w:u w:val="single"/>
              </w:rPr>
              <w:t>'</w:t>
            </w:r>
            <w:r>
              <w:rPr>
                <w:rFonts w:ascii="Times New Roman" w:hAnsi="Times New Roman"/>
                <w:b/>
                <w:sz w:val="24"/>
                <w:u w:val="single"/>
              </w:rPr>
              <w:t>ESPOSIZIONE DOPO L</w:t>
            </w:r>
            <w:r w:rsidR="000878EC">
              <w:rPr>
                <w:rFonts w:ascii="Times New Roman" w:hAnsi="Times New Roman"/>
                <w:b/>
                <w:sz w:val="24"/>
                <w:u w:val="single"/>
              </w:rPr>
              <w:t>'</w:t>
            </w:r>
            <w:r>
              <w:rPr>
                <w:rFonts w:ascii="Times New Roman" w:hAnsi="Times New Roman"/>
                <w:b/>
                <w:sz w:val="24"/>
                <w:u w:val="single"/>
              </w:rPr>
              <w:t>APPLICAZIONE DEI FATTORI DI CONVERSIONE E POST-CRM</w:t>
            </w:r>
          </w:p>
          <w:p w:rsidR="008151A6" w:rsidRPr="00661595" w:rsidRDefault="008151A6" w:rsidP="00777D3A">
            <w:pPr>
              <w:suppressAutoHyphens/>
              <w:rPr>
                <w:rFonts w:ascii="Times New Roman" w:hAnsi="Times New Roman"/>
                <w:sz w:val="24"/>
              </w:rPr>
            </w:pPr>
            <w:r>
              <w:rPr>
                <w:rFonts w:ascii="Times New Roman" w:hAnsi="Times New Roman"/>
                <w:sz w:val="24"/>
              </w:rPr>
              <w:t>Valore dell</w:t>
            </w:r>
            <w:r w:rsidR="000878EC">
              <w:rPr>
                <w:rFonts w:ascii="Times New Roman" w:hAnsi="Times New Roman"/>
                <w:sz w:val="24"/>
              </w:rPr>
              <w:t>'</w:t>
            </w:r>
            <w:r>
              <w:rPr>
                <w:rFonts w:ascii="Times New Roman" w:hAnsi="Times New Roman"/>
                <w:sz w:val="24"/>
              </w:rPr>
              <w:t>esposizione conformemente all</w:t>
            </w:r>
            <w:r w:rsidR="000878EC">
              <w:rPr>
                <w:rFonts w:ascii="Times New Roman" w:hAnsi="Times New Roman"/>
                <w:sz w:val="24"/>
              </w:rPr>
              <w:t>'</w:t>
            </w:r>
            <w:r>
              <w:rPr>
                <w:rFonts w:ascii="Times New Roman" w:hAnsi="Times New Roman"/>
                <w:sz w:val="24"/>
              </w:rPr>
              <w:t>articolo 166 del CRR.</w:t>
            </w:r>
          </w:p>
          <w:p w:rsidR="008151A6" w:rsidRPr="00661595" w:rsidRDefault="008151A6" w:rsidP="00777D3A">
            <w:pPr>
              <w:suppressAutoHyphens/>
              <w:rPr>
                <w:rFonts w:ascii="Times New Roman" w:hAnsi="Times New Roman"/>
                <w:sz w:val="24"/>
              </w:rPr>
            </w:pPr>
            <w:r>
              <w:rPr>
                <w:rFonts w:ascii="Times New Roman" w:hAnsi="Times New Roman"/>
                <w:sz w:val="24"/>
              </w:rPr>
              <w:t>Questa colonna comprende la somma del valore delle esposizioni in bilancio e delle esposizioni fuori bilancio dopo l</w:t>
            </w:r>
            <w:r w:rsidR="000878EC">
              <w:rPr>
                <w:rFonts w:ascii="Times New Roman" w:hAnsi="Times New Roman"/>
                <w:sz w:val="24"/>
              </w:rPr>
              <w:t>'</w:t>
            </w:r>
            <w:r>
              <w:rPr>
                <w:rFonts w:ascii="Times New Roman" w:hAnsi="Times New Roman"/>
                <w:sz w:val="24"/>
              </w:rPr>
              <w:t>applicazione dei fattori di conversione, conformemente all</w:t>
            </w:r>
            <w:r w:rsidR="000878EC">
              <w:rPr>
                <w:rFonts w:ascii="Times New Roman" w:hAnsi="Times New Roman"/>
                <w:sz w:val="24"/>
              </w:rPr>
              <w:t>'</w:t>
            </w:r>
            <w:r>
              <w:rPr>
                <w:rFonts w:ascii="Times New Roman" w:hAnsi="Times New Roman"/>
                <w:sz w:val="24"/>
              </w:rPr>
              <w:t>articolo 166, paragrafi da 8 a 10, del CRR, e delle tecniche di attenuazione del rischio di credito.</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777D3A">
            <w:pPr>
              <w:suppressAutoHyphens/>
              <w:rPr>
                <w:rFonts w:ascii="Times New Roman" w:hAnsi="Times New Roman"/>
                <w:b/>
                <w:sz w:val="24"/>
                <w:u w:val="single"/>
              </w:rPr>
            </w:pPr>
            <w:r>
              <w:rPr>
                <w:rFonts w:ascii="Times New Roman" w:hAnsi="Times New Roman"/>
                <w:b/>
                <w:sz w:val="24"/>
                <w:u w:val="single"/>
              </w:rPr>
              <w:t>PD MEDIA PONDERATA PER L</w:t>
            </w:r>
            <w:r w:rsidR="000878EC">
              <w:rPr>
                <w:rFonts w:ascii="Times New Roman" w:hAnsi="Times New Roman"/>
                <w:b/>
                <w:sz w:val="24"/>
                <w:u w:val="single"/>
              </w:rPr>
              <w:t>'</w:t>
            </w:r>
            <w:r>
              <w:rPr>
                <w:rFonts w:ascii="Times New Roman" w:hAnsi="Times New Roman"/>
                <w:b/>
                <w:sz w:val="24"/>
                <w:u w:val="single"/>
              </w:rPr>
              <w:t>ESPOSIZIONE (%)</w:t>
            </w:r>
          </w:p>
          <w:p w:rsidR="008151A6" w:rsidRPr="00661595" w:rsidRDefault="008151A6" w:rsidP="00777D3A">
            <w:pPr>
              <w:suppressAutoHyphens/>
              <w:rPr>
                <w:rFonts w:ascii="Times New Roman" w:hAnsi="Times New Roman"/>
                <w:sz w:val="24"/>
              </w:rPr>
            </w:pPr>
            <w:r>
              <w:rPr>
                <w:rFonts w:ascii="Times New Roman" w:hAnsi="Times New Roman"/>
                <w:sz w:val="24"/>
              </w:rPr>
              <w:t>Per tutte le esposizioni incluse in ciascuna categoria dell</w:t>
            </w:r>
            <w:r w:rsidR="000878EC">
              <w:rPr>
                <w:rFonts w:ascii="Times New Roman" w:hAnsi="Times New Roman"/>
                <w:sz w:val="24"/>
              </w:rPr>
              <w:t>'</w:t>
            </w:r>
            <w:r>
              <w:rPr>
                <w:rFonts w:ascii="Times New Roman" w:hAnsi="Times New Roman"/>
                <w:sz w:val="24"/>
              </w:rPr>
              <w:t>intervallo di PD fissato, la stima media della PD di ciascun debitore, ponderata per il valore dell</w:t>
            </w:r>
            <w:r w:rsidR="000878EC">
              <w:rPr>
                <w:rFonts w:ascii="Times New Roman" w:hAnsi="Times New Roman"/>
                <w:sz w:val="24"/>
              </w:rPr>
              <w:t>'</w:t>
            </w:r>
            <w:r>
              <w:rPr>
                <w:rFonts w:ascii="Times New Roman" w:hAnsi="Times New Roman"/>
                <w:sz w:val="24"/>
              </w:rPr>
              <w:t>esposizione post-CCF e CRM di cui alla colonna 0040.</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777D3A">
            <w:pPr>
              <w:suppressAutoHyphens/>
              <w:rPr>
                <w:rFonts w:ascii="Times New Roman" w:hAnsi="Times New Roman"/>
                <w:b/>
                <w:sz w:val="24"/>
                <w:u w:val="single"/>
              </w:rPr>
            </w:pPr>
            <w:r>
              <w:rPr>
                <w:rFonts w:ascii="Times New Roman" w:hAnsi="Times New Roman"/>
                <w:b/>
                <w:sz w:val="24"/>
                <w:u w:val="single"/>
              </w:rPr>
              <w:t>NUMERO DI DEBITORI</w:t>
            </w:r>
          </w:p>
          <w:p w:rsidR="00463F88" w:rsidRPr="00661595" w:rsidRDefault="008151A6" w:rsidP="00777D3A">
            <w:pPr>
              <w:suppressAutoHyphens/>
              <w:rPr>
                <w:rFonts w:ascii="Times New Roman" w:hAnsi="Times New Roman"/>
                <w:sz w:val="24"/>
              </w:rPr>
            </w:pPr>
            <w:r>
              <w:rPr>
                <w:rFonts w:ascii="Times New Roman" w:hAnsi="Times New Roman"/>
                <w:sz w:val="24"/>
              </w:rPr>
              <w:t>Numero di soggetti giuridici o debitori assegnati a ciascuna categoria dell</w:t>
            </w:r>
            <w:r w:rsidR="000878EC">
              <w:rPr>
                <w:rFonts w:ascii="Times New Roman" w:hAnsi="Times New Roman"/>
                <w:sz w:val="24"/>
              </w:rPr>
              <w:t>'</w:t>
            </w:r>
            <w:r>
              <w:rPr>
                <w:rFonts w:ascii="Times New Roman" w:hAnsi="Times New Roman"/>
                <w:sz w:val="24"/>
              </w:rPr>
              <w:t xml:space="preserve">intervallo di PD fissato </w:t>
            </w:r>
          </w:p>
          <w:p w:rsidR="001A370B" w:rsidRPr="00661595" w:rsidRDefault="001A370B" w:rsidP="00777D3A">
            <w:pPr>
              <w:suppressAutoHyphens/>
              <w:rPr>
                <w:rFonts w:ascii="Times New Roman" w:hAnsi="Times New Roman"/>
                <w:sz w:val="24"/>
              </w:rPr>
            </w:pPr>
            <w:r>
              <w:rPr>
                <w:rFonts w:ascii="Times New Roman" w:hAnsi="Times New Roman"/>
                <w:sz w:val="24"/>
              </w:rPr>
              <w:t>Il numero dei debitori è conteggiato conformemente alle ist</w:t>
            </w:r>
            <w:r w:rsidR="00777D3A">
              <w:rPr>
                <w:rFonts w:ascii="Times New Roman" w:hAnsi="Times New Roman"/>
                <w:sz w:val="24"/>
              </w:rPr>
              <w:t>ruzioni riportate nella colonna </w:t>
            </w:r>
            <w:r>
              <w:rPr>
                <w:rFonts w:ascii="Times New Roman" w:hAnsi="Times New Roman"/>
                <w:sz w:val="24"/>
              </w:rPr>
              <w:t>0300 del modello C 08.01. I debitori congiunti sono trattati come ai fini della calibratura della PD.</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777D3A">
            <w:pPr>
              <w:suppressAutoHyphens/>
              <w:rPr>
                <w:rFonts w:ascii="Times New Roman" w:hAnsi="Times New Roman"/>
                <w:b/>
                <w:sz w:val="24"/>
                <w:u w:val="single"/>
              </w:rPr>
            </w:pPr>
            <w:r>
              <w:rPr>
                <w:rFonts w:ascii="Times New Roman" w:hAnsi="Times New Roman"/>
                <w:b/>
                <w:sz w:val="24"/>
                <w:u w:val="single"/>
              </w:rPr>
              <w:t>LGD MEDIA PONDERATA PER L</w:t>
            </w:r>
            <w:r w:rsidR="000878EC">
              <w:rPr>
                <w:rFonts w:ascii="Times New Roman" w:hAnsi="Times New Roman"/>
                <w:b/>
                <w:sz w:val="24"/>
                <w:u w:val="single"/>
              </w:rPr>
              <w:t>'</w:t>
            </w:r>
            <w:r>
              <w:rPr>
                <w:rFonts w:ascii="Times New Roman" w:hAnsi="Times New Roman"/>
                <w:b/>
                <w:sz w:val="24"/>
                <w:u w:val="single"/>
              </w:rPr>
              <w:t>ESPOSIZIONE (%)</w:t>
            </w:r>
          </w:p>
          <w:p w:rsidR="008151A6" w:rsidRPr="00661595" w:rsidRDefault="008151A6" w:rsidP="00777D3A">
            <w:pPr>
              <w:suppressAutoHyphens/>
              <w:rPr>
                <w:rFonts w:ascii="Times New Roman" w:hAnsi="Times New Roman"/>
                <w:sz w:val="24"/>
              </w:rPr>
            </w:pPr>
            <w:r>
              <w:rPr>
                <w:rFonts w:ascii="Times New Roman" w:hAnsi="Times New Roman"/>
                <w:sz w:val="24"/>
              </w:rPr>
              <w:t>Per tutte le esposizioni incluse in ciascuna categoria dell</w:t>
            </w:r>
            <w:r w:rsidR="000878EC">
              <w:rPr>
                <w:rFonts w:ascii="Times New Roman" w:hAnsi="Times New Roman"/>
                <w:sz w:val="24"/>
              </w:rPr>
              <w:t>'</w:t>
            </w:r>
            <w:r>
              <w:rPr>
                <w:rFonts w:ascii="Times New Roman" w:hAnsi="Times New Roman"/>
                <w:sz w:val="24"/>
              </w:rPr>
              <w:t>intervallo di PD fissato, la media delle stime della LGD per ciascuna esposizione, ponderata per il valore dell</w:t>
            </w:r>
            <w:r w:rsidR="000878EC">
              <w:rPr>
                <w:rFonts w:ascii="Times New Roman" w:hAnsi="Times New Roman"/>
                <w:sz w:val="24"/>
              </w:rPr>
              <w:t>'</w:t>
            </w:r>
            <w:r>
              <w:rPr>
                <w:rFonts w:ascii="Times New Roman" w:hAnsi="Times New Roman"/>
                <w:sz w:val="24"/>
              </w:rPr>
              <w:t>esposizione post-CCF e post-CRM di cui alla colonna 0040.</w:t>
            </w:r>
          </w:p>
          <w:p w:rsidR="008151A6" w:rsidRPr="00661595" w:rsidRDefault="008151A6" w:rsidP="00777D3A">
            <w:pPr>
              <w:suppressAutoHyphens/>
              <w:rPr>
                <w:rFonts w:ascii="Times New Roman" w:hAnsi="Times New Roman"/>
                <w:sz w:val="24"/>
              </w:rPr>
            </w:pPr>
            <w:r>
              <w:rPr>
                <w:rFonts w:ascii="Times New Roman" w:hAnsi="Times New Roman"/>
                <w:sz w:val="24"/>
              </w:rPr>
              <w:t>La LGD segnalata corrisponde alla stima finale della LGD utilizzata nel calcolo degli importi ponderati per il rischio ottenuti considerando gli effetti della CRM e le condizioni di recessione, se del caso. Per le esposizioni al dettaglio garantite da immobili, la LGD segnalata tiene conto dei livelli minimi specificati all</w:t>
            </w:r>
            <w:r w:rsidR="000878EC">
              <w:rPr>
                <w:rFonts w:ascii="Times New Roman" w:hAnsi="Times New Roman"/>
                <w:sz w:val="24"/>
              </w:rPr>
              <w:t>'</w:t>
            </w:r>
            <w:r>
              <w:rPr>
                <w:rFonts w:ascii="Times New Roman" w:hAnsi="Times New Roman"/>
                <w:sz w:val="24"/>
              </w:rPr>
              <w:t>articolo 164, paragrafo 4, del CRR.</w:t>
            </w:r>
          </w:p>
          <w:p w:rsidR="008151A6" w:rsidRPr="00661595" w:rsidRDefault="008151A6" w:rsidP="00777D3A">
            <w:pPr>
              <w:suppressAutoHyphens/>
              <w:rPr>
                <w:rFonts w:ascii="Times New Roman" w:hAnsi="Times New Roman"/>
                <w:sz w:val="24"/>
              </w:rPr>
            </w:pPr>
            <w:r>
              <w:rPr>
                <w:rFonts w:ascii="Times New Roman" w:hAnsi="Times New Roman"/>
                <w:sz w:val="24"/>
              </w:rPr>
              <w:t xml:space="preserve">In caso di esposizioni soggette al trattamento del </w:t>
            </w:r>
            <w:r w:rsidR="000878EC">
              <w:rPr>
                <w:rFonts w:ascii="Times New Roman" w:hAnsi="Times New Roman"/>
                <w:sz w:val="24"/>
              </w:rPr>
              <w:t>"</w:t>
            </w:r>
            <w:r>
              <w:rPr>
                <w:rFonts w:ascii="Times New Roman" w:hAnsi="Times New Roman"/>
                <w:sz w:val="24"/>
              </w:rPr>
              <w:t>double default</w:t>
            </w:r>
            <w:r w:rsidR="000878EC">
              <w:rPr>
                <w:rFonts w:ascii="Times New Roman" w:hAnsi="Times New Roman"/>
                <w:sz w:val="24"/>
              </w:rPr>
              <w:t>"</w:t>
            </w:r>
            <w:r>
              <w:rPr>
                <w:rFonts w:ascii="Times New Roman" w:hAnsi="Times New Roman"/>
                <w:sz w:val="24"/>
              </w:rPr>
              <w:t xml:space="preserve">, la LGD da segnalare è la LGD selezionata </w:t>
            </w:r>
            <w:r>
              <w:rPr>
                <w:rStyle w:val="InstructionsTabelleText"/>
                <w:rFonts w:ascii="Times New Roman" w:hAnsi="Times New Roman"/>
                <w:sz w:val="24"/>
              </w:rPr>
              <w:t>conformemente</w:t>
            </w:r>
            <w:r>
              <w:rPr>
                <w:rFonts w:ascii="Times New Roman" w:hAnsi="Times New Roman"/>
                <w:sz w:val="24"/>
              </w:rPr>
              <w:t xml:space="preserve"> all</w:t>
            </w:r>
            <w:r w:rsidR="000878EC">
              <w:rPr>
                <w:rFonts w:ascii="Times New Roman" w:hAnsi="Times New Roman"/>
                <w:sz w:val="24"/>
              </w:rPr>
              <w:t>'</w:t>
            </w:r>
            <w:r>
              <w:rPr>
                <w:rFonts w:ascii="Times New Roman" w:hAnsi="Times New Roman"/>
                <w:sz w:val="24"/>
              </w:rPr>
              <w:t>articolo 161, paragrafo 4, del CRR.</w:t>
            </w:r>
          </w:p>
          <w:p w:rsidR="008151A6" w:rsidRPr="00661595" w:rsidRDefault="008151A6" w:rsidP="00777D3A">
            <w:pPr>
              <w:suppressAutoHyphens/>
              <w:rPr>
                <w:rFonts w:ascii="Times New Roman" w:hAnsi="Times New Roman"/>
                <w:sz w:val="24"/>
              </w:rPr>
            </w:pPr>
            <w:r>
              <w:rPr>
                <w:rFonts w:ascii="Times New Roman" w:hAnsi="Times New Roman"/>
                <w:sz w:val="24"/>
              </w:rPr>
              <w:t>Per le esposizioni in stato di default secondo il metodo A-IRB si applicano le disposizioni dell</w:t>
            </w:r>
            <w:r w:rsidR="000878EC">
              <w:rPr>
                <w:rFonts w:ascii="Times New Roman" w:hAnsi="Times New Roman"/>
                <w:sz w:val="24"/>
              </w:rPr>
              <w:t>'</w:t>
            </w:r>
            <w:r>
              <w:rPr>
                <w:rFonts w:ascii="Times New Roman" w:hAnsi="Times New Roman"/>
                <w:sz w:val="24"/>
              </w:rPr>
              <w:t xml:space="preserve">articolo 181, paragrafo 1, lettera h), del CRR. La LGD segnalata corrisponde alla stima della LGD in stato di default </w:t>
            </w:r>
            <w:r>
              <w:rPr>
                <w:rStyle w:val="InstructionsTabelleText"/>
                <w:rFonts w:ascii="Times New Roman" w:hAnsi="Times New Roman"/>
                <w:sz w:val="24"/>
              </w:rPr>
              <w:t>conformemente</w:t>
            </w:r>
            <w:r>
              <w:rPr>
                <w:rFonts w:ascii="Times New Roman" w:hAnsi="Times New Roman"/>
                <w:sz w:val="24"/>
              </w:rPr>
              <w:t xml:space="preserve"> alle metodologie di stima applicabili.</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777D3A">
            <w:pPr>
              <w:suppressAutoHyphens/>
              <w:rPr>
                <w:rFonts w:ascii="Times New Roman" w:hAnsi="Times New Roman"/>
                <w:b/>
                <w:sz w:val="24"/>
                <w:u w:val="single"/>
              </w:rPr>
            </w:pPr>
            <w:r>
              <w:rPr>
                <w:rFonts w:ascii="Times New Roman" w:hAnsi="Times New Roman"/>
                <w:b/>
                <w:sz w:val="24"/>
                <w:u w:val="single"/>
              </w:rPr>
              <w:t>DURATA MEDIA PONDERATA PER L</w:t>
            </w:r>
            <w:r w:rsidR="000878EC">
              <w:rPr>
                <w:rFonts w:ascii="Times New Roman" w:hAnsi="Times New Roman"/>
                <w:b/>
                <w:sz w:val="24"/>
                <w:u w:val="single"/>
              </w:rPr>
              <w:t>'</w:t>
            </w:r>
            <w:r>
              <w:rPr>
                <w:rFonts w:ascii="Times New Roman" w:hAnsi="Times New Roman"/>
                <w:b/>
                <w:sz w:val="24"/>
                <w:u w:val="single"/>
              </w:rPr>
              <w:t>ESPOSIZIONE (ANNI)</w:t>
            </w:r>
          </w:p>
          <w:p w:rsidR="008151A6" w:rsidRPr="00661595" w:rsidRDefault="008151A6" w:rsidP="00777D3A">
            <w:pPr>
              <w:suppressAutoHyphens/>
              <w:rPr>
                <w:rFonts w:ascii="Times New Roman" w:hAnsi="Times New Roman"/>
                <w:sz w:val="24"/>
              </w:rPr>
            </w:pPr>
            <w:r>
              <w:rPr>
                <w:rFonts w:ascii="Times New Roman" w:hAnsi="Times New Roman"/>
                <w:sz w:val="24"/>
              </w:rPr>
              <w:t>Per tutte le esposizioni incluse in ciascuna categoria dell</w:t>
            </w:r>
            <w:r w:rsidR="000878EC">
              <w:rPr>
                <w:rFonts w:ascii="Times New Roman" w:hAnsi="Times New Roman"/>
                <w:sz w:val="24"/>
              </w:rPr>
              <w:t>'</w:t>
            </w:r>
            <w:r>
              <w:rPr>
                <w:rFonts w:ascii="Times New Roman" w:hAnsi="Times New Roman"/>
                <w:sz w:val="24"/>
              </w:rPr>
              <w:t>intervallo di PD fissato, la durata media di ciascuna esposizione, ponderata per il valore dell</w:t>
            </w:r>
            <w:r w:rsidR="000878EC">
              <w:rPr>
                <w:rFonts w:ascii="Times New Roman" w:hAnsi="Times New Roman"/>
                <w:sz w:val="24"/>
              </w:rPr>
              <w:t>'</w:t>
            </w:r>
            <w:r>
              <w:rPr>
                <w:rFonts w:ascii="Times New Roman" w:hAnsi="Times New Roman"/>
                <w:sz w:val="24"/>
              </w:rPr>
              <w:t>esposizione post-CCF di cui alla colonna 0040.</w:t>
            </w:r>
          </w:p>
          <w:p w:rsidR="008151A6" w:rsidRPr="00661595" w:rsidRDefault="008151A6" w:rsidP="00777D3A">
            <w:pPr>
              <w:suppressAutoHyphens/>
              <w:rPr>
                <w:rFonts w:ascii="Times New Roman" w:hAnsi="Times New Roman"/>
                <w:sz w:val="24"/>
              </w:rPr>
            </w:pPr>
            <w:r>
              <w:rPr>
                <w:rFonts w:ascii="Times New Roman" w:hAnsi="Times New Roman"/>
                <w:sz w:val="24"/>
              </w:rPr>
              <w:t>Il valore della durata segnalato è determinato conformemente all</w:t>
            </w:r>
            <w:r w:rsidR="000878EC">
              <w:rPr>
                <w:rFonts w:ascii="Times New Roman" w:hAnsi="Times New Roman"/>
                <w:sz w:val="24"/>
              </w:rPr>
              <w:t>'</w:t>
            </w:r>
            <w:r>
              <w:rPr>
                <w:rFonts w:ascii="Times New Roman" w:hAnsi="Times New Roman"/>
                <w:sz w:val="24"/>
              </w:rPr>
              <w:t xml:space="preserve">articolo 162 del CRR. </w:t>
            </w:r>
          </w:p>
          <w:p w:rsidR="008151A6" w:rsidRPr="00661595" w:rsidRDefault="008151A6" w:rsidP="00777D3A">
            <w:pPr>
              <w:suppressAutoHyphens/>
              <w:rPr>
                <w:rFonts w:ascii="Times New Roman" w:hAnsi="Times New Roman"/>
                <w:sz w:val="24"/>
              </w:rPr>
            </w:pPr>
            <w:r>
              <w:rPr>
                <w:rFonts w:ascii="Times New Roman" w:hAnsi="Times New Roman"/>
                <w:sz w:val="24"/>
              </w:rPr>
              <w:t>La durata media è espressa in anni.</w:t>
            </w:r>
          </w:p>
          <w:p w:rsidR="008151A6" w:rsidRPr="00661595" w:rsidRDefault="008151A6" w:rsidP="00777D3A">
            <w:pPr>
              <w:suppressAutoHyphens/>
              <w:rPr>
                <w:rFonts w:ascii="Times New Roman" w:hAnsi="Times New Roman"/>
                <w:sz w:val="24"/>
              </w:rPr>
            </w:pPr>
            <w:r>
              <w:rPr>
                <w:rFonts w:ascii="Times New Roman" w:hAnsi="Times New Roman"/>
                <w:sz w:val="24"/>
              </w:rPr>
              <w:t xml:space="preserve">Questi dati non sono segnalati per i valori delle esposizioni la cui durata non è un elemento compreso nel calcolo degli </w:t>
            </w:r>
            <w:r>
              <w:rPr>
                <w:rStyle w:val="InstructionsTabelleText"/>
                <w:rFonts w:ascii="Times New Roman" w:hAnsi="Times New Roman"/>
                <w:sz w:val="24"/>
              </w:rPr>
              <w:t>importi delle esposizioni ponderati per il rischio</w:t>
            </w:r>
            <w:r>
              <w:rPr>
                <w:rFonts w:ascii="Times New Roman" w:hAnsi="Times New Roman"/>
                <w:sz w:val="24"/>
              </w:rPr>
              <w:t xml:space="preserve"> a norma della parte tre, titolo II, capo 3, del CRR. Ne consegue che questa colonna non è compilata per la classe di esposizioni </w:t>
            </w:r>
            <w:r w:rsidR="000878EC">
              <w:rPr>
                <w:rFonts w:ascii="Times New Roman" w:hAnsi="Times New Roman"/>
                <w:sz w:val="24"/>
              </w:rPr>
              <w:t>"</w:t>
            </w:r>
            <w:r>
              <w:rPr>
                <w:rFonts w:ascii="Times New Roman" w:hAnsi="Times New Roman"/>
                <w:sz w:val="24"/>
              </w:rPr>
              <w:t>al dettaglio</w:t>
            </w:r>
            <w:r w:rsidR="000878EC">
              <w:rPr>
                <w:rFonts w:ascii="Times New Roman" w:hAnsi="Times New Roman"/>
                <w:sz w:val="24"/>
              </w:rPr>
              <w:t>"</w:t>
            </w:r>
            <w:r>
              <w:rPr>
                <w:rFonts w:ascii="Times New Roman" w:hAnsi="Times New Roman"/>
                <w:sz w:val="24"/>
              </w:rPr>
              <w:t>.</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Del="00F079B2"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777D3A">
            <w:pPr>
              <w:suppressAutoHyphens/>
              <w:rPr>
                <w:rFonts w:ascii="Times New Roman" w:hAnsi="Times New Roman"/>
                <w:b/>
                <w:sz w:val="24"/>
                <w:u w:val="single"/>
              </w:rPr>
            </w:pPr>
            <w:r>
              <w:rPr>
                <w:rFonts w:ascii="Times New Roman" w:hAnsi="Times New Roman"/>
                <w:b/>
                <w:sz w:val="24"/>
                <w:u w:val="single"/>
              </w:rPr>
              <w:t>IMPORTO DELL</w:t>
            </w:r>
            <w:r w:rsidR="000878EC">
              <w:rPr>
                <w:rFonts w:ascii="Times New Roman" w:hAnsi="Times New Roman"/>
                <w:b/>
                <w:sz w:val="24"/>
                <w:u w:val="single"/>
              </w:rPr>
              <w:t>'</w:t>
            </w:r>
            <w:r>
              <w:rPr>
                <w:rFonts w:ascii="Times New Roman" w:hAnsi="Times New Roman"/>
                <w:b/>
                <w:sz w:val="24"/>
                <w:u w:val="single"/>
              </w:rPr>
              <w:t>ESPOSIZIONE PONDERATO PER IL RISCHIO DOPO L</w:t>
            </w:r>
            <w:r w:rsidR="000878EC">
              <w:rPr>
                <w:rFonts w:ascii="Times New Roman" w:hAnsi="Times New Roman"/>
                <w:b/>
                <w:sz w:val="24"/>
                <w:u w:val="single"/>
              </w:rPr>
              <w:t>'</w:t>
            </w:r>
            <w:r>
              <w:rPr>
                <w:rFonts w:ascii="Times New Roman" w:hAnsi="Times New Roman"/>
                <w:b/>
                <w:sz w:val="24"/>
                <w:u w:val="single"/>
              </w:rPr>
              <w:t>APPLICAZIONE DEI FATTORI DI SOSTEGNO</w:t>
            </w:r>
          </w:p>
          <w:p w:rsidR="008151A6" w:rsidRPr="00661595" w:rsidRDefault="008151A6" w:rsidP="00777D3A">
            <w:pPr>
              <w:suppressAutoHyphens/>
              <w:rPr>
                <w:rFonts w:ascii="Times New Roman" w:hAnsi="Times New Roman"/>
                <w:sz w:val="24"/>
              </w:rPr>
            </w:pPr>
            <w:r>
              <w:rPr>
                <w:rFonts w:ascii="Times New Roman" w:hAnsi="Times New Roman"/>
                <w:sz w:val="24"/>
              </w:rPr>
              <w:t>Per le esposizioni verso amministrazioni centrali e banche centrali, enti e imprese, l</w:t>
            </w:r>
            <w:r w:rsidR="000878EC">
              <w:rPr>
                <w:rFonts w:ascii="Times New Roman" w:hAnsi="Times New Roman"/>
                <w:sz w:val="24"/>
              </w:rPr>
              <w:t>'</w:t>
            </w:r>
            <w:r>
              <w:rPr>
                <w:rFonts w:ascii="Times New Roman" w:hAnsi="Times New Roman"/>
                <w:sz w:val="24"/>
              </w:rPr>
              <w:t>importo ponderato per il rischio dell</w:t>
            </w:r>
            <w:r w:rsidR="000878EC">
              <w:rPr>
                <w:rFonts w:ascii="Times New Roman" w:hAnsi="Times New Roman"/>
                <w:sz w:val="24"/>
              </w:rPr>
              <w:t>'</w:t>
            </w:r>
            <w:r>
              <w:rPr>
                <w:rFonts w:ascii="Times New Roman" w:hAnsi="Times New Roman"/>
                <w:sz w:val="24"/>
              </w:rPr>
              <w:t>esposizione calcolato conformemente all</w:t>
            </w:r>
            <w:r w:rsidR="000878EC">
              <w:rPr>
                <w:rFonts w:ascii="Times New Roman" w:hAnsi="Times New Roman"/>
                <w:sz w:val="24"/>
              </w:rPr>
              <w:t>'</w:t>
            </w:r>
            <w:r>
              <w:rPr>
                <w:rFonts w:ascii="Times New Roman" w:hAnsi="Times New Roman"/>
                <w:sz w:val="24"/>
              </w:rPr>
              <w:t>arti</w:t>
            </w:r>
            <w:r w:rsidR="00777D3A">
              <w:rPr>
                <w:rFonts w:ascii="Times New Roman" w:hAnsi="Times New Roman"/>
                <w:sz w:val="24"/>
              </w:rPr>
              <w:t>colo </w:t>
            </w:r>
            <w:r>
              <w:rPr>
                <w:rFonts w:ascii="Times New Roman" w:hAnsi="Times New Roman"/>
                <w:sz w:val="24"/>
              </w:rPr>
              <w:t>153, paragrafi da 1 a 4; per le esposizioni al dettaglio, l</w:t>
            </w:r>
            <w:r w:rsidR="000878EC">
              <w:rPr>
                <w:rFonts w:ascii="Times New Roman" w:hAnsi="Times New Roman"/>
                <w:sz w:val="24"/>
              </w:rPr>
              <w:t>'</w:t>
            </w:r>
            <w:r>
              <w:rPr>
                <w:rFonts w:ascii="Times New Roman" w:hAnsi="Times New Roman"/>
                <w:sz w:val="24"/>
              </w:rPr>
              <w:t>importo dell</w:t>
            </w:r>
            <w:r w:rsidR="000878EC">
              <w:rPr>
                <w:rFonts w:ascii="Times New Roman" w:hAnsi="Times New Roman"/>
                <w:sz w:val="24"/>
              </w:rPr>
              <w:t>'</w:t>
            </w:r>
            <w:r>
              <w:rPr>
                <w:rFonts w:ascii="Times New Roman" w:hAnsi="Times New Roman"/>
                <w:sz w:val="24"/>
              </w:rPr>
              <w:t>esposizione ponderato per il rischio calcolato conformemente all</w:t>
            </w:r>
            <w:r w:rsidR="000878EC">
              <w:rPr>
                <w:rFonts w:ascii="Times New Roman" w:hAnsi="Times New Roman"/>
                <w:sz w:val="24"/>
              </w:rPr>
              <w:t>'</w:t>
            </w:r>
            <w:r>
              <w:rPr>
                <w:rFonts w:ascii="Times New Roman" w:hAnsi="Times New Roman"/>
                <w:sz w:val="24"/>
              </w:rPr>
              <w:t>articolo 154 del CRR.</w:t>
            </w:r>
          </w:p>
          <w:p w:rsidR="008151A6" w:rsidRPr="00661595" w:rsidRDefault="008151A6" w:rsidP="00777D3A">
            <w:pPr>
              <w:suppressAutoHyphens/>
              <w:rPr>
                <w:rFonts w:ascii="Times New Roman" w:hAnsi="Times New Roman"/>
                <w:sz w:val="24"/>
              </w:rPr>
            </w:pPr>
            <w:r>
              <w:rPr>
                <w:rFonts w:ascii="Times New Roman" w:hAnsi="Times New Roman"/>
                <w:sz w:val="24"/>
              </w:rPr>
              <w:t xml:space="preserve">Si tiene conto dei fattori di sostegno alle PMI e alle infrastrutture </w:t>
            </w:r>
            <w:r>
              <w:rPr>
                <w:rStyle w:val="InstructionsTabelleText"/>
                <w:rFonts w:ascii="Times New Roman" w:hAnsi="Times New Roman"/>
                <w:sz w:val="24"/>
              </w:rPr>
              <w:t>di cui</w:t>
            </w:r>
            <w:r>
              <w:rPr>
                <w:rFonts w:ascii="Times New Roman" w:hAnsi="Times New Roman"/>
                <w:sz w:val="24"/>
              </w:rPr>
              <w:t xml:space="preserve"> agli articoli </w:t>
            </w:r>
            <w:r w:rsidR="00777D3A">
              <w:rPr>
                <w:rFonts w:ascii="Times New Roman" w:hAnsi="Times New Roman"/>
                <w:sz w:val="24"/>
              </w:rPr>
              <w:t>501 e </w:t>
            </w:r>
            <w:r>
              <w:rPr>
                <w:rFonts w:ascii="Times New Roman" w:hAnsi="Times New Roman"/>
                <w:sz w:val="24"/>
              </w:rPr>
              <w:t xml:space="preserve">501 bis del CRR.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AC6619">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777D3A">
            <w:pPr>
              <w:suppressAutoHyphens/>
              <w:rPr>
                <w:rFonts w:ascii="Times New Roman" w:hAnsi="Times New Roman"/>
                <w:b/>
                <w:sz w:val="24"/>
                <w:u w:val="single"/>
              </w:rPr>
            </w:pPr>
            <w:r>
              <w:rPr>
                <w:rFonts w:ascii="Times New Roman" w:hAnsi="Times New Roman"/>
                <w:b/>
                <w:sz w:val="24"/>
                <w:u w:val="single"/>
              </w:rPr>
              <w:t>IMPORTO DELLE PERDITE ATTESE</w:t>
            </w:r>
          </w:p>
          <w:p w:rsidR="008151A6" w:rsidRPr="00661595" w:rsidRDefault="008151A6" w:rsidP="00777D3A">
            <w:pPr>
              <w:suppressAutoHyphens/>
              <w:rPr>
                <w:rFonts w:ascii="Times New Roman" w:hAnsi="Times New Roman"/>
                <w:sz w:val="24"/>
              </w:rPr>
            </w:pPr>
            <w:r>
              <w:rPr>
                <w:rFonts w:ascii="Times New Roman" w:hAnsi="Times New Roman"/>
                <w:sz w:val="24"/>
              </w:rPr>
              <w:t>L</w:t>
            </w:r>
            <w:r w:rsidR="000878EC">
              <w:rPr>
                <w:rFonts w:ascii="Times New Roman" w:hAnsi="Times New Roman"/>
                <w:sz w:val="24"/>
              </w:rPr>
              <w:t>'</w:t>
            </w:r>
            <w:r>
              <w:rPr>
                <w:rFonts w:ascii="Times New Roman" w:hAnsi="Times New Roman"/>
                <w:sz w:val="24"/>
              </w:rPr>
              <w:t>importo delle perdite attese calcolato conformemente all</w:t>
            </w:r>
            <w:r w:rsidR="000878EC">
              <w:rPr>
                <w:rFonts w:ascii="Times New Roman" w:hAnsi="Times New Roman"/>
                <w:sz w:val="24"/>
              </w:rPr>
              <w:t>'</w:t>
            </w:r>
            <w:r>
              <w:rPr>
                <w:rFonts w:ascii="Times New Roman" w:hAnsi="Times New Roman"/>
                <w:sz w:val="24"/>
              </w:rPr>
              <w:t>articolo 158 del CRR</w:t>
            </w:r>
          </w:p>
          <w:p w:rsidR="008151A6" w:rsidRPr="00661595" w:rsidRDefault="008151A6" w:rsidP="00777D3A">
            <w:pPr>
              <w:suppressAutoHyphens/>
              <w:rPr>
                <w:rFonts w:ascii="Times New Roman" w:hAnsi="Times New Roman"/>
                <w:sz w:val="24"/>
              </w:rPr>
            </w:pPr>
            <w:r>
              <w:rPr>
                <w:rFonts w:ascii="Times New Roman" w:hAnsi="Times New Roman"/>
                <w:sz w:val="24"/>
              </w:rPr>
              <w:t>L</w:t>
            </w:r>
            <w:r w:rsidR="000878EC">
              <w:rPr>
                <w:rFonts w:ascii="Times New Roman" w:hAnsi="Times New Roman"/>
                <w:sz w:val="24"/>
              </w:rPr>
              <w:t>'</w:t>
            </w:r>
            <w:r>
              <w:rPr>
                <w:rFonts w:ascii="Times New Roman" w:hAnsi="Times New Roman"/>
                <w:sz w:val="24"/>
              </w:rPr>
              <w:t>importo delle perdite attese da segnalare si basa sui parametri di rischio effettivi utilizzati nella scala di rating interni approvata dalla rispettiva autorità competente.</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AC6619">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777D3A">
            <w:pPr>
              <w:suppressAutoHyphens/>
              <w:rPr>
                <w:rFonts w:ascii="Times New Roman" w:hAnsi="Times New Roman"/>
                <w:b/>
                <w:sz w:val="24"/>
                <w:u w:val="single"/>
              </w:rPr>
            </w:pPr>
            <w:r>
              <w:rPr>
                <w:rFonts w:ascii="Times New Roman" w:hAnsi="Times New Roman"/>
                <w:b/>
                <w:sz w:val="24"/>
                <w:u w:val="single"/>
              </w:rPr>
              <w:t>RETTIFICHE DI VALORE E ACCANTONAMENTI</w:t>
            </w:r>
          </w:p>
          <w:p w:rsidR="00A44410" w:rsidRDefault="008151A6" w:rsidP="00777D3A">
            <w:pPr>
              <w:suppressAutoHyphens/>
              <w:rPr>
                <w:rFonts w:ascii="Times New Roman" w:hAnsi="Times New Roman"/>
                <w:sz w:val="24"/>
              </w:rPr>
            </w:pPr>
            <w:r>
              <w:rPr>
                <w:rFonts w:ascii="Times New Roman" w:hAnsi="Times New Roman"/>
                <w:sz w:val="24"/>
              </w:rPr>
              <w:t>Rettifiche di valore su crediti generiche e specifiche ai sensi del regolamento delegato (UE) n. 183/2014</w:t>
            </w:r>
            <w:r w:rsidR="000878EC">
              <w:rPr>
                <w:rFonts w:ascii="Times New Roman" w:hAnsi="Times New Roman"/>
                <w:sz w:val="24"/>
              </w:rPr>
              <w:t xml:space="preserve"> </w:t>
            </w:r>
            <w:r>
              <w:rPr>
                <w:rFonts w:ascii="Times New Roman" w:hAnsi="Times New Roman"/>
                <w:sz w:val="24"/>
              </w:rPr>
              <w:t>della Commissione, rettifiche di valore supple</w:t>
            </w:r>
            <w:r w:rsidR="00777D3A">
              <w:rPr>
                <w:rFonts w:ascii="Times New Roman" w:hAnsi="Times New Roman"/>
                <w:sz w:val="24"/>
              </w:rPr>
              <w:t>mentari a norma degli articoli </w:t>
            </w:r>
            <w:r>
              <w:rPr>
                <w:rFonts w:ascii="Times New Roman" w:hAnsi="Times New Roman"/>
                <w:sz w:val="24"/>
              </w:rPr>
              <w:t>34 e 110 del CRR, nonché altre riduzioni dei fondi propri relative alle esposizioni assegnate a ciascuna categoria nell</w:t>
            </w:r>
            <w:r w:rsidR="000878EC">
              <w:rPr>
                <w:rFonts w:ascii="Times New Roman" w:hAnsi="Times New Roman"/>
                <w:sz w:val="24"/>
              </w:rPr>
              <w:t>'</w:t>
            </w:r>
            <w:r>
              <w:rPr>
                <w:rFonts w:ascii="Times New Roman" w:hAnsi="Times New Roman"/>
                <w:sz w:val="24"/>
              </w:rPr>
              <w:t xml:space="preserve">intervallo di PD fissato </w:t>
            </w:r>
          </w:p>
          <w:p w:rsidR="008151A6" w:rsidRPr="00661595" w:rsidRDefault="008151A6" w:rsidP="00777D3A">
            <w:pPr>
              <w:suppressAutoHyphens/>
              <w:rPr>
                <w:rFonts w:ascii="Times New Roman" w:hAnsi="Times New Roman"/>
                <w:sz w:val="24"/>
              </w:rPr>
            </w:pPr>
            <w:r>
              <w:rPr>
                <w:rFonts w:ascii="Times New Roman" w:hAnsi="Times New Roman"/>
                <w:sz w:val="24"/>
              </w:rPr>
              <w:t>Tali rettifiche di valore e accantonamenti sono quelli considerati ai fini dell</w:t>
            </w:r>
            <w:r w:rsidR="000878EC">
              <w:rPr>
                <w:rFonts w:ascii="Times New Roman" w:hAnsi="Times New Roman"/>
                <w:sz w:val="24"/>
              </w:rPr>
              <w:t>'</w:t>
            </w:r>
            <w:r>
              <w:rPr>
                <w:rFonts w:ascii="Times New Roman" w:hAnsi="Times New Roman"/>
                <w:sz w:val="24"/>
              </w:rPr>
              <w:t>applicazione dell</w:t>
            </w:r>
            <w:r w:rsidR="000878EC">
              <w:rPr>
                <w:rFonts w:ascii="Times New Roman" w:hAnsi="Times New Roman"/>
                <w:sz w:val="24"/>
              </w:rPr>
              <w:t>'</w:t>
            </w:r>
            <w:r>
              <w:rPr>
                <w:rFonts w:ascii="Times New Roman" w:hAnsi="Times New Roman"/>
                <w:sz w:val="24"/>
              </w:rPr>
              <w:t>articolo 159 del CRR.</w:t>
            </w:r>
          </w:p>
          <w:p w:rsidR="008151A6" w:rsidRPr="00661595" w:rsidRDefault="008151A6" w:rsidP="00777D3A">
            <w:pPr>
              <w:suppressAutoHyphens/>
              <w:rPr>
                <w:rFonts w:ascii="Times New Roman" w:hAnsi="Times New Roman"/>
                <w:sz w:val="24"/>
              </w:rPr>
            </w:pPr>
            <w:r>
              <w:rPr>
                <w:rFonts w:ascii="Times New Roman" w:hAnsi="Times New Roman"/>
                <w:sz w:val="24"/>
              </w:rPr>
              <w:t xml:space="preserve">Gli accantonamenti generici sono segnalati assegnando un importo pro rata - </w:t>
            </w:r>
            <w:r>
              <w:rPr>
                <w:rStyle w:val="InstructionsTabelleText"/>
                <w:rFonts w:ascii="Times New Roman" w:hAnsi="Times New Roman"/>
                <w:sz w:val="24"/>
              </w:rPr>
              <w:t>in funzione delle</w:t>
            </w:r>
            <w:r>
              <w:rPr>
                <w:rFonts w:ascii="Times New Roman" w:hAnsi="Times New Roman"/>
                <w:sz w:val="24"/>
              </w:rPr>
              <w:t xml:space="preserve"> perdite attese delle diverse classi di debitori.</w:t>
            </w:r>
            <w:r w:rsidR="000878EC">
              <w:rPr>
                <w:rFonts w:ascii="Times New Roman" w:hAnsi="Times New Roman"/>
                <w:sz w:val="24"/>
              </w:rPr>
              <w:t xml:space="preserve"> </w:t>
            </w:r>
          </w:p>
        </w:tc>
      </w:tr>
    </w:tbl>
    <w:p w:rsidR="008151A6" w:rsidRPr="00661595" w:rsidRDefault="008151A6" w:rsidP="0011505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6"/>
        <w:gridCol w:w="8092"/>
      </w:tblGrid>
      <w:tr w:rsidR="008151A6" w:rsidRPr="00661595" w:rsidTr="00777D3A">
        <w:tc>
          <w:tcPr>
            <w:tcW w:w="1675"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Righe</w:t>
            </w:r>
          </w:p>
        </w:tc>
        <w:tc>
          <w:tcPr>
            <w:tcW w:w="8153"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Istruzioni</w:t>
            </w:r>
          </w:p>
        </w:tc>
      </w:tr>
      <w:tr w:rsidR="008151A6" w:rsidRPr="00661595" w:rsidTr="00777D3A">
        <w:tc>
          <w:tcPr>
            <w:tcW w:w="1675" w:type="dxa"/>
          </w:tcPr>
          <w:p w:rsidR="008151A6" w:rsidRPr="00661595" w:rsidRDefault="008151A6" w:rsidP="00777D3A">
            <w:pPr>
              <w:suppressAutoHyphens/>
              <w:rPr>
                <w:rFonts w:ascii="Times New Roman" w:hAnsi="Times New Roman"/>
                <w:sz w:val="24"/>
              </w:rPr>
            </w:pPr>
            <w:r>
              <w:rPr>
                <w:rFonts w:ascii="Times New Roman" w:hAnsi="Times New Roman"/>
                <w:sz w:val="24"/>
              </w:rPr>
              <w:t>INTERVALLO DI PD</w:t>
            </w:r>
          </w:p>
        </w:tc>
        <w:tc>
          <w:tcPr>
            <w:tcW w:w="8153" w:type="dxa"/>
          </w:tcPr>
          <w:p w:rsidR="008151A6" w:rsidRPr="00661595" w:rsidRDefault="008151A6" w:rsidP="00777D3A">
            <w:pPr>
              <w:suppressAutoHyphens/>
              <w:rPr>
                <w:rFonts w:ascii="Times New Roman" w:hAnsi="Times New Roman"/>
                <w:sz w:val="24"/>
              </w:rPr>
            </w:pPr>
            <w:r>
              <w:rPr>
                <w:rFonts w:ascii="Times New Roman" w:hAnsi="Times New Roman"/>
                <w:sz w:val="24"/>
              </w:rPr>
              <w:t>Le esposizioni sono assegnate a una categoria appropriata dell</w:t>
            </w:r>
            <w:r w:rsidR="000878EC">
              <w:rPr>
                <w:rFonts w:ascii="Times New Roman" w:hAnsi="Times New Roman"/>
                <w:sz w:val="24"/>
              </w:rPr>
              <w:t>'</w:t>
            </w:r>
            <w:r>
              <w:rPr>
                <w:rFonts w:ascii="Times New Roman" w:hAnsi="Times New Roman"/>
                <w:sz w:val="24"/>
              </w:rPr>
              <w:t>intervallo di PD fissato sulla base della PD stimata per ciascun debitore assegnato a questa classe di esposizioni (senza tener conto degli effetti di sostituzione dovuti all</w:t>
            </w:r>
            <w:r w:rsidR="000878EC">
              <w:rPr>
                <w:rFonts w:ascii="Times New Roman" w:hAnsi="Times New Roman"/>
                <w:sz w:val="24"/>
              </w:rPr>
              <w:t>'</w:t>
            </w:r>
            <w:r>
              <w:rPr>
                <w:rFonts w:ascii="Times New Roman" w:hAnsi="Times New Roman"/>
                <w:sz w:val="24"/>
              </w:rPr>
              <w:t>attenuazione del rischio di credito). Gli enti associano ciascuna esposizione all</w:t>
            </w:r>
            <w:r w:rsidR="000878EC">
              <w:rPr>
                <w:rFonts w:ascii="Times New Roman" w:hAnsi="Times New Roman"/>
                <w:sz w:val="24"/>
              </w:rPr>
              <w:t>'</w:t>
            </w:r>
            <w:r>
              <w:rPr>
                <w:rFonts w:ascii="Times New Roman" w:hAnsi="Times New Roman"/>
                <w:sz w:val="24"/>
              </w:rPr>
              <w:t>intervallo di PD indicato nel modello, tenendo conto anche di scale continue. Tutte le esposizioni in stato di default sono incluse nella categoria corrispondente alla PD del 100 %.</w:t>
            </w:r>
          </w:p>
        </w:tc>
      </w:tr>
    </w:tbl>
    <w:p w:rsidR="008151A6" w:rsidRPr="00661595" w:rsidRDefault="008151A6" w:rsidP="00F66371">
      <w:pPr>
        <w:pStyle w:val="Instructionsberschrift2"/>
        <w:numPr>
          <w:ilvl w:val="2"/>
          <w:numId w:val="36"/>
        </w:numPr>
        <w:rPr>
          <w:rFonts w:ascii="Times New Roman" w:hAnsi="Times New Roman" w:cs="Times New Roman"/>
          <w:sz w:val="24"/>
        </w:rPr>
      </w:pPr>
      <w:bookmarkStart w:id="326" w:name="_Toc19715758"/>
      <w:bookmarkStart w:id="327" w:name="_Toc58915758"/>
      <w:r>
        <w:rPr>
          <w:rFonts w:ascii="Times New Roman" w:hAnsi="Times New Roman"/>
          <w:sz w:val="24"/>
        </w:rPr>
        <w:t>C 08.04 - Rischio di credito e operazioni con regolamento non contestuale: metodo IRB applicato ai requisiti patrimoniali (prospetti degli RWEA (CR IRB 4))</w:t>
      </w:r>
      <w:bookmarkEnd w:id="326"/>
      <w:bookmarkEnd w:id="327"/>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28" w:name="_Toc19715759"/>
      <w:bookmarkStart w:id="329" w:name="_Toc58915759"/>
      <w:r>
        <w:rPr>
          <w:rFonts w:ascii="Times New Roman" w:hAnsi="Times New Roman"/>
          <w:sz w:val="24"/>
        </w:rPr>
        <w:t>Osservazioni di carattere generale</w:t>
      </w:r>
      <w:bookmarkEnd w:id="328"/>
      <w:bookmarkEnd w:id="329"/>
    </w:p>
    <w:p w:rsidR="008151A6" w:rsidRDefault="00A971CA" w:rsidP="00777D3A">
      <w:pPr>
        <w:pStyle w:val="InstructionsText2"/>
        <w:numPr>
          <w:ilvl w:val="0"/>
          <w:numId w:val="0"/>
        </w:numPr>
        <w:ind w:left="1560" w:hanging="360"/>
      </w:pPr>
      <w:r>
        <w:fldChar w:fldCharType="begin"/>
      </w:r>
      <w:r>
        <w:instrText xml:space="preserve"> seq paragraphs </w:instrText>
      </w:r>
      <w:r>
        <w:fldChar w:fldCharType="separate"/>
      </w:r>
      <w:r w:rsidR="00D11E4C">
        <w:rPr>
          <w:noProof/>
        </w:rPr>
        <w:t>78</w:t>
      </w:r>
      <w:r>
        <w:rPr>
          <w:noProof/>
        </w:rPr>
        <w:fldChar w:fldCharType="end"/>
      </w:r>
      <w:r w:rsidR="00D11E4C">
        <w:t>. Gli enti segnalano le informazioni incluse in questo modello in applicazione dell</w:t>
      </w:r>
      <w:r w:rsidR="000878EC">
        <w:t>'</w:t>
      </w:r>
      <w:r w:rsidR="00D11E4C">
        <w:t>articolo 438, lettera h), del CRR. Da questo modello sono escluse le esposizioni soggette al rischio di controparte (CCR) (parte tre, titolo II, capo 6, del CRR).</w:t>
      </w:r>
    </w:p>
    <w:p w:rsidR="002F29AF" w:rsidRDefault="00A65557" w:rsidP="00777D3A">
      <w:pPr>
        <w:pStyle w:val="InstructionsText2"/>
        <w:numPr>
          <w:ilvl w:val="0"/>
          <w:numId w:val="0"/>
        </w:numPr>
        <w:ind w:left="1560" w:hanging="360"/>
      </w:pPr>
      <w:r>
        <w:fldChar w:fldCharType="begin"/>
      </w:r>
      <w:r>
        <w:instrText xml:space="preserve"> seq paragraphs </w:instrText>
      </w:r>
      <w:r>
        <w:fldChar w:fldCharType="separate"/>
      </w:r>
      <w:r w:rsidR="002F29AF">
        <w:t>79</w:t>
      </w:r>
      <w:r>
        <w:fldChar w:fldCharType="end"/>
      </w:r>
      <w:r w:rsidR="002F29AF">
        <w:t>. Gli enti segnalano i flussi di RWEA come le variazioni tra gli importi delle esposizioni ponderati per il rischio alla data di riferimento e gli importi delle esposizioni ponderati per il rischio alla precedente data di riferimento.</w:t>
      </w:r>
      <w:r w:rsidR="002F29AF">
        <w:rPr>
          <w:bCs/>
          <w:color w:val="000000"/>
        </w:rPr>
        <w:t xml:space="preserve"> </w:t>
      </w:r>
      <w:r w:rsidR="002F29AF">
        <w:t xml:space="preserve">In caso di segnalazione trimestrale, è indicata la fine del trimestre precedente al trimestre della data di riferimento per le segnalazioni. </w:t>
      </w:r>
    </w:p>
    <w:p w:rsidR="008151A6" w:rsidRPr="00661595" w:rsidRDefault="002F29AF" w:rsidP="000911FE">
      <w:pPr>
        <w:pStyle w:val="Instructionsberschrift2"/>
        <w:numPr>
          <w:ilvl w:val="3"/>
          <w:numId w:val="36"/>
        </w:numPr>
        <w:ind w:left="709"/>
        <w:rPr>
          <w:rFonts w:ascii="Times New Roman" w:hAnsi="Times New Roman" w:cs="Times New Roman"/>
          <w:sz w:val="24"/>
        </w:rPr>
      </w:pPr>
      <w:bookmarkStart w:id="330" w:name="_Toc19715760"/>
      <w:bookmarkStart w:id="331" w:name="_Toc58915760"/>
      <w:r>
        <w:rPr>
          <w:rFonts w:ascii="Times New Roman" w:hAnsi="Times New Roman"/>
          <w:sz w:val="24"/>
        </w:rPr>
        <w:t>Istruzioni relative a posizioni specifiche</w:t>
      </w:r>
      <w:bookmarkEnd w:id="330"/>
      <w:bookmarkEnd w:id="331"/>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393FF2">
        <w:tc>
          <w:tcPr>
            <w:tcW w:w="1188" w:type="dxa"/>
            <w:tcBorders>
              <w:bottom w:val="single" w:sz="4" w:space="0" w:color="auto"/>
            </w:tcBorders>
            <w:shd w:val="clear" w:color="auto" w:fill="CCCCCC"/>
          </w:tcPr>
          <w:p w:rsidR="008151A6" w:rsidRPr="00661595" w:rsidRDefault="008151A6" w:rsidP="00664874">
            <w:pPr>
              <w:rPr>
                <w:rFonts w:ascii="Times New Roman" w:hAnsi="Times New Roman"/>
                <w:sz w:val="24"/>
              </w:rPr>
            </w:pPr>
            <w:r>
              <w:rPr>
                <w:rFonts w:ascii="Times New Roman" w:hAnsi="Times New Roman"/>
                <w:sz w:val="24"/>
              </w:rPr>
              <w:t>Colonna</w:t>
            </w:r>
          </w:p>
        </w:tc>
        <w:tc>
          <w:tcPr>
            <w:tcW w:w="8843" w:type="dxa"/>
            <w:tcBorders>
              <w:bottom w:val="single" w:sz="4" w:space="0" w:color="auto"/>
            </w:tcBorders>
            <w:shd w:val="clear" w:color="auto" w:fill="CCCCCC"/>
          </w:tcPr>
          <w:p w:rsidR="008151A6" w:rsidRPr="00661595" w:rsidRDefault="008151A6" w:rsidP="00230E1B">
            <w:pPr>
              <w:suppressAutoHyphens/>
              <w:rPr>
                <w:rFonts w:ascii="Times New Roman" w:hAnsi="Times New Roman"/>
                <w:sz w:val="24"/>
              </w:rPr>
            </w:pPr>
            <w:r>
              <w:rPr>
                <w:rFonts w:ascii="Times New Roman" w:hAnsi="Times New Roman"/>
                <w:sz w:val="24"/>
              </w:rPr>
              <w:t>Istruzioni</w:t>
            </w:r>
          </w:p>
        </w:tc>
      </w:tr>
      <w:tr w:rsidR="008151A6" w:rsidRPr="00661595" w:rsidTr="00393FF2">
        <w:trPr>
          <w:trHeight w:val="973"/>
        </w:trPr>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0010</w:t>
            </w:r>
          </w:p>
          <w:p w:rsidR="008151A6" w:rsidRPr="00661595" w:rsidRDefault="008151A6" w:rsidP="00664874">
            <w:pPr>
              <w:rPr>
                <w:rFonts w:ascii="Times New Roman" w:hAnsi="Times New Roman"/>
                <w:sz w:val="24"/>
              </w:rPr>
            </w:pP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230E1B">
            <w:pPr>
              <w:suppressAutoHyphens/>
              <w:rPr>
                <w:rFonts w:ascii="Times New Roman" w:hAnsi="Times New Roman"/>
                <w:b/>
                <w:sz w:val="24"/>
                <w:u w:val="single"/>
              </w:rPr>
            </w:pPr>
            <w:r>
              <w:rPr>
                <w:rFonts w:ascii="Times New Roman" w:hAnsi="Times New Roman"/>
                <w:b/>
                <w:sz w:val="24"/>
                <w:u w:val="single"/>
              </w:rPr>
              <w:t>IMPORTO DELLE ESPOSIZIONI PONDERATO PER IL RISCHIO</w:t>
            </w:r>
          </w:p>
          <w:p w:rsidR="008151A6" w:rsidRPr="00661595" w:rsidRDefault="008151A6" w:rsidP="00230E1B">
            <w:pPr>
              <w:suppressAutoHyphens/>
              <w:rPr>
                <w:rFonts w:ascii="Times New Roman" w:hAnsi="Times New Roman"/>
                <w:sz w:val="24"/>
              </w:rPr>
            </w:pPr>
            <w:r>
              <w:rPr>
                <w:rFonts w:ascii="Times New Roman" w:hAnsi="Times New Roman"/>
                <w:sz w:val="24"/>
              </w:rPr>
              <w:t>Importo complessivo dell</w:t>
            </w:r>
            <w:r w:rsidR="000878EC">
              <w:rPr>
                <w:rFonts w:ascii="Times New Roman" w:hAnsi="Times New Roman"/>
                <w:sz w:val="24"/>
              </w:rPr>
              <w:t>'</w:t>
            </w:r>
            <w:r>
              <w:rPr>
                <w:rFonts w:ascii="Times New Roman" w:hAnsi="Times New Roman"/>
                <w:sz w:val="24"/>
              </w:rPr>
              <w:t>esposizione ponderato per il rischio di credito calcolato secondo il metodo IRB, tenendo conto dei fattori di sostegno a norma degli articoli 501 e 501 bis del CRR.</w:t>
            </w:r>
          </w:p>
        </w:tc>
      </w:tr>
      <w:tr w:rsidR="00393FF2" w:rsidRPr="00661595" w:rsidTr="00393FF2">
        <w:trPr>
          <w:trHeight w:val="338"/>
        </w:trPr>
        <w:tc>
          <w:tcPr>
            <w:tcW w:w="1188" w:type="dxa"/>
            <w:tcBorders>
              <w:top w:val="single" w:sz="4" w:space="0" w:color="auto"/>
              <w:left w:val="nil"/>
              <w:bottom w:val="nil"/>
              <w:right w:val="nil"/>
            </w:tcBorders>
            <w:shd w:val="clear" w:color="auto" w:fill="auto"/>
          </w:tcPr>
          <w:p w:rsidR="00393FF2" w:rsidRPr="00661595" w:rsidRDefault="00393FF2" w:rsidP="00664874">
            <w:pPr>
              <w:rPr>
                <w:rFonts w:ascii="Times New Roman" w:hAnsi="Times New Roman"/>
                <w:sz w:val="24"/>
              </w:rPr>
            </w:pPr>
          </w:p>
        </w:tc>
        <w:tc>
          <w:tcPr>
            <w:tcW w:w="8843" w:type="dxa"/>
            <w:tcBorders>
              <w:top w:val="single" w:sz="4" w:space="0" w:color="auto"/>
              <w:left w:val="nil"/>
              <w:bottom w:val="nil"/>
              <w:right w:val="nil"/>
            </w:tcBorders>
            <w:shd w:val="clear" w:color="auto" w:fill="auto"/>
          </w:tcPr>
          <w:p w:rsidR="00393FF2" w:rsidRPr="00661595" w:rsidRDefault="00393FF2" w:rsidP="00230E1B">
            <w:pPr>
              <w:suppressAutoHyphens/>
              <w:rPr>
                <w:rFonts w:ascii="Times New Roman" w:hAnsi="Times New Roman"/>
                <w:b/>
                <w:sz w:val="24"/>
              </w:rPr>
            </w:pPr>
          </w:p>
        </w:tc>
      </w:tr>
      <w:tr w:rsidR="008151A6" w:rsidRPr="00661595" w:rsidTr="00664874">
        <w:tc>
          <w:tcPr>
            <w:tcW w:w="1188" w:type="dxa"/>
            <w:shd w:val="clear" w:color="auto" w:fill="CCCCCC"/>
          </w:tcPr>
          <w:p w:rsidR="008151A6" w:rsidRPr="00661595" w:rsidRDefault="008151A6" w:rsidP="00777D3A">
            <w:pPr>
              <w:keepNext/>
              <w:keepLines/>
              <w:rPr>
                <w:rFonts w:ascii="Times New Roman" w:hAnsi="Times New Roman"/>
                <w:sz w:val="24"/>
              </w:rPr>
            </w:pPr>
            <w:r>
              <w:rPr>
                <w:rFonts w:ascii="Times New Roman" w:hAnsi="Times New Roman"/>
                <w:sz w:val="24"/>
              </w:rPr>
              <w:t>Righe</w:t>
            </w:r>
          </w:p>
        </w:tc>
        <w:tc>
          <w:tcPr>
            <w:tcW w:w="8843" w:type="dxa"/>
            <w:shd w:val="clear" w:color="auto" w:fill="CCCCCC"/>
          </w:tcPr>
          <w:p w:rsidR="008151A6" w:rsidRPr="00661595" w:rsidRDefault="008151A6" w:rsidP="00230E1B">
            <w:pPr>
              <w:keepNext/>
              <w:keepLines/>
              <w:suppressAutoHyphens/>
              <w:rPr>
                <w:rFonts w:ascii="Times New Roman" w:hAnsi="Times New Roman"/>
                <w:sz w:val="24"/>
              </w:rPr>
            </w:pPr>
            <w:r>
              <w:rPr>
                <w:rFonts w:ascii="Times New Roman" w:hAnsi="Times New Roman"/>
                <w:sz w:val="24"/>
              </w:rPr>
              <w:t>Istruzioni</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777D3A">
            <w:pPr>
              <w:keepNext/>
              <w:keepLines/>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230E1B">
            <w:pPr>
              <w:keepNext/>
              <w:keepLines/>
              <w:suppressAutoHyphens/>
              <w:rPr>
                <w:rFonts w:ascii="Times New Roman" w:hAnsi="Times New Roman"/>
                <w:b/>
                <w:sz w:val="24"/>
                <w:u w:val="single"/>
              </w:rPr>
            </w:pPr>
            <w:r>
              <w:rPr>
                <w:rFonts w:ascii="Times New Roman" w:hAnsi="Times New Roman"/>
                <w:b/>
                <w:sz w:val="24"/>
                <w:u w:val="single"/>
              </w:rPr>
              <w:t>IMPORTO DELL</w:t>
            </w:r>
            <w:r w:rsidR="000878EC">
              <w:rPr>
                <w:rFonts w:ascii="Times New Roman" w:hAnsi="Times New Roman"/>
                <w:b/>
                <w:sz w:val="24"/>
                <w:u w:val="single"/>
              </w:rPr>
              <w:t>'</w:t>
            </w:r>
            <w:r>
              <w:rPr>
                <w:rFonts w:ascii="Times New Roman" w:hAnsi="Times New Roman"/>
                <w:b/>
                <w:sz w:val="24"/>
                <w:u w:val="single"/>
              </w:rPr>
              <w:t>ESPOSIZIONE PONDERATO PER IL RISCHIO ALLA FINE DEL PRECEDENTE PERIODO DI RIFERIMENTO PER LE SEGNALAZIONI</w:t>
            </w:r>
          </w:p>
          <w:p w:rsidR="008151A6" w:rsidRPr="00661595" w:rsidRDefault="008151A6" w:rsidP="00230E1B">
            <w:pPr>
              <w:keepNext/>
              <w:keepLines/>
              <w:suppressAutoHyphens/>
              <w:rPr>
                <w:rFonts w:ascii="Times New Roman" w:hAnsi="Times New Roman"/>
                <w:sz w:val="24"/>
              </w:rPr>
            </w:pPr>
            <w:r>
              <w:rPr>
                <w:rFonts w:ascii="Times New Roman" w:hAnsi="Times New Roman"/>
                <w:sz w:val="24"/>
              </w:rPr>
              <w:t>Importo dell</w:t>
            </w:r>
            <w:r w:rsidR="000878EC">
              <w:rPr>
                <w:rFonts w:ascii="Times New Roman" w:hAnsi="Times New Roman"/>
                <w:sz w:val="24"/>
              </w:rPr>
              <w:t>'</w:t>
            </w:r>
            <w:r>
              <w:rPr>
                <w:rFonts w:ascii="Times New Roman" w:hAnsi="Times New Roman"/>
                <w:sz w:val="24"/>
              </w:rPr>
              <w:t>esposizione ponderato per il rischio al termine del precedente periodo di riferimento per le segnalazioni dopo l</w:t>
            </w:r>
            <w:r w:rsidR="000878EC">
              <w:rPr>
                <w:rFonts w:ascii="Times New Roman" w:hAnsi="Times New Roman"/>
                <w:sz w:val="24"/>
              </w:rPr>
              <w:t>'</w:t>
            </w:r>
            <w:r>
              <w:rPr>
                <w:rFonts w:ascii="Times New Roman" w:hAnsi="Times New Roman"/>
                <w:sz w:val="24"/>
              </w:rPr>
              <w:t>applicazione dei fattori di sostegno alle PMI e alle infrastrutture di cui agli articoli 501 e 501 bis del CRR</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230E1B">
            <w:pPr>
              <w:suppressAutoHyphens/>
              <w:rPr>
                <w:rFonts w:ascii="Times New Roman" w:hAnsi="Times New Roman"/>
                <w:b/>
                <w:sz w:val="24"/>
                <w:u w:val="single"/>
              </w:rPr>
            </w:pPr>
            <w:r>
              <w:rPr>
                <w:rFonts w:ascii="Times New Roman" w:hAnsi="Times New Roman"/>
                <w:b/>
                <w:sz w:val="24"/>
                <w:u w:val="single"/>
              </w:rPr>
              <w:t>DIMENSIONI DELLE ATTIVI</w:t>
            </w:r>
            <w:r w:rsidR="00230E1B">
              <w:rPr>
                <w:rFonts w:ascii="Times New Roman" w:hAnsi="Times New Roman"/>
                <w:b/>
                <w:sz w:val="24"/>
                <w:u w:val="single"/>
              </w:rPr>
              <w:t>TÀ</w:t>
            </w:r>
            <w:r>
              <w:rPr>
                <w:rFonts w:ascii="Times New Roman" w:hAnsi="Times New Roman"/>
                <w:b/>
                <w:sz w:val="24"/>
                <w:u w:val="single"/>
              </w:rPr>
              <w:t xml:space="preserve"> (+/-)</w:t>
            </w:r>
          </w:p>
          <w:p w:rsidR="008151A6" w:rsidRPr="00661595" w:rsidRDefault="008151A6" w:rsidP="00230E1B">
            <w:pPr>
              <w:suppressAutoHyphens/>
              <w:rPr>
                <w:rFonts w:ascii="Times New Roman" w:hAnsi="Times New Roman"/>
                <w:sz w:val="24"/>
              </w:rPr>
            </w:pPr>
            <w:r>
              <w:rPr>
                <w:rFonts w:ascii="Times New Roman" w:hAnsi="Times New Roman"/>
                <w:sz w:val="24"/>
              </w:rPr>
              <w:t>Variazione dell</w:t>
            </w:r>
            <w:r w:rsidR="000878EC">
              <w:rPr>
                <w:rFonts w:ascii="Times New Roman" w:hAnsi="Times New Roman"/>
                <w:sz w:val="24"/>
              </w:rPr>
              <w:t>'</w:t>
            </w:r>
            <w:r>
              <w:rPr>
                <w:rFonts w:ascii="Times New Roman" w:hAnsi="Times New Roman"/>
                <w:sz w:val="24"/>
              </w:rPr>
              <w:t>importo dell</w:t>
            </w:r>
            <w:r w:rsidR="000878EC">
              <w:rPr>
                <w:rFonts w:ascii="Times New Roman" w:hAnsi="Times New Roman"/>
                <w:sz w:val="24"/>
              </w:rPr>
              <w:t>'</w:t>
            </w:r>
            <w:r>
              <w:rPr>
                <w:rFonts w:ascii="Times New Roman" w:hAnsi="Times New Roman"/>
                <w:sz w:val="24"/>
              </w:rPr>
              <w:t>esposizione ponderato per il rischio tra la fine del precedente periodo di riferimento per le segnalazioni e la fine di quello corrente, dovuta alle dimensioni delle attività, ossia modifiche organiche delle dimensioni e della composizione del portafoglio (compresa la creazione di nuove attività e prestiti in scadenza), ma escluse le variazioni delle dimensioni del portafoglio dovute ad acquisizioni e dismissioni di soggetti</w:t>
            </w:r>
          </w:p>
          <w:p w:rsidR="008151A6" w:rsidRPr="00661595" w:rsidRDefault="008151A6" w:rsidP="00230E1B">
            <w:pPr>
              <w:suppressAutoHyphens/>
              <w:rPr>
                <w:rFonts w:ascii="Times New Roman" w:hAnsi="Times New Roman"/>
                <w:sz w:val="24"/>
              </w:rPr>
            </w:pPr>
            <w:r>
              <w:rPr>
                <w:rFonts w:ascii="Times New Roman" w:hAnsi="Times New Roman"/>
                <w:sz w:val="24"/>
              </w:rPr>
              <w:t>Gli aumenti degli importi delle esposizioni ponderati per il rischio sono segnalati come importo positivo e le diminuzioni degli importi delle esposizioni ponderati per il rischio sono segnalate come importo negativo.</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230E1B">
            <w:pPr>
              <w:suppressAutoHyphens/>
              <w:rPr>
                <w:rFonts w:ascii="Times New Roman" w:hAnsi="Times New Roman"/>
                <w:b/>
                <w:sz w:val="24"/>
                <w:u w:val="single"/>
              </w:rPr>
            </w:pPr>
            <w:r>
              <w:rPr>
                <w:rFonts w:ascii="Times New Roman" w:hAnsi="Times New Roman"/>
                <w:b/>
                <w:sz w:val="24"/>
                <w:u w:val="single"/>
              </w:rPr>
              <w:t>QUALITÀ DELLE ATTIVITÀ</w:t>
            </w:r>
            <w:r w:rsidR="000878EC">
              <w:rPr>
                <w:rFonts w:ascii="Times New Roman" w:hAnsi="Times New Roman"/>
                <w:b/>
                <w:sz w:val="24"/>
                <w:u w:val="single"/>
              </w:rPr>
              <w:t xml:space="preserve"> </w:t>
            </w:r>
            <w:r>
              <w:rPr>
                <w:rFonts w:ascii="Times New Roman" w:hAnsi="Times New Roman"/>
                <w:b/>
                <w:sz w:val="24"/>
                <w:u w:val="single"/>
              </w:rPr>
              <w:t>(+/-)</w:t>
            </w:r>
          </w:p>
          <w:p w:rsidR="008151A6" w:rsidRPr="00661595" w:rsidRDefault="008151A6" w:rsidP="00230E1B">
            <w:pPr>
              <w:suppressAutoHyphens/>
              <w:rPr>
                <w:rFonts w:ascii="Times New Roman" w:hAnsi="Times New Roman"/>
                <w:sz w:val="24"/>
              </w:rPr>
            </w:pPr>
            <w:r>
              <w:rPr>
                <w:rFonts w:ascii="Times New Roman" w:hAnsi="Times New Roman"/>
                <w:sz w:val="24"/>
              </w:rPr>
              <w:t>Variazione dell</w:t>
            </w:r>
            <w:r w:rsidR="000878EC">
              <w:rPr>
                <w:rFonts w:ascii="Times New Roman" w:hAnsi="Times New Roman"/>
                <w:sz w:val="24"/>
              </w:rPr>
              <w:t>'</w:t>
            </w:r>
            <w:r>
              <w:rPr>
                <w:rFonts w:ascii="Times New Roman" w:hAnsi="Times New Roman"/>
                <w:sz w:val="24"/>
              </w:rPr>
              <w:t>importo dell</w:t>
            </w:r>
            <w:r w:rsidR="000878EC">
              <w:rPr>
                <w:rFonts w:ascii="Times New Roman" w:hAnsi="Times New Roman"/>
                <w:sz w:val="24"/>
              </w:rPr>
              <w:t>'</w:t>
            </w:r>
            <w:r>
              <w:rPr>
                <w:rFonts w:ascii="Times New Roman" w:hAnsi="Times New Roman"/>
                <w:sz w:val="24"/>
              </w:rPr>
              <w:t>esposizione ponderato per il rischio tra la fine del precedente periodo di riferimento per le segnalazioni e la fine di quello corrente, dovuta alla qualità delle attività, ossia modifiche nella valutazione della qualità delle attività dell</w:t>
            </w:r>
            <w:r w:rsidR="000878EC">
              <w:rPr>
                <w:rFonts w:ascii="Times New Roman" w:hAnsi="Times New Roman"/>
                <w:sz w:val="24"/>
              </w:rPr>
              <w:t>'</w:t>
            </w:r>
            <w:r>
              <w:rPr>
                <w:rFonts w:ascii="Times New Roman" w:hAnsi="Times New Roman"/>
                <w:sz w:val="24"/>
              </w:rPr>
              <w:t>ente dovute a variazioni del rischio del debitore, quali la migrazione della classe di rating o effetti analoghi</w:t>
            </w:r>
          </w:p>
          <w:p w:rsidR="008151A6" w:rsidRPr="00661595" w:rsidRDefault="008151A6" w:rsidP="00230E1B">
            <w:pPr>
              <w:suppressAutoHyphens/>
              <w:rPr>
                <w:rFonts w:ascii="Times New Roman" w:hAnsi="Times New Roman"/>
                <w:sz w:val="24"/>
              </w:rPr>
            </w:pPr>
            <w:r>
              <w:rPr>
                <w:rFonts w:ascii="Times New Roman" w:hAnsi="Times New Roman"/>
                <w:sz w:val="24"/>
              </w:rPr>
              <w:t>Gli aumenti degli importi delle esposizioni ponderati per il rischio sono segnalati come importo positivo e le diminuzioni degli importi delle esposizioni ponderati per il rischio sono segnalate come importo negativo.</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230E1B">
            <w:pPr>
              <w:suppressAutoHyphens/>
              <w:rPr>
                <w:rFonts w:ascii="Times New Roman" w:hAnsi="Times New Roman"/>
                <w:b/>
                <w:sz w:val="24"/>
                <w:u w:val="single"/>
              </w:rPr>
            </w:pPr>
            <w:r>
              <w:rPr>
                <w:rFonts w:ascii="Times New Roman" w:hAnsi="Times New Roman"/>
                <w:b/>
                <w:sz w:val="24"/>
                <w:u w:val="single"/>
              </w:rPr>
              <w:t>AGGIORNAMENTI DEL MODELLO (+/-)</w:t>
            </w:r>
          </w:p>
          <w:p w:rsidR="008151A6" w:rsidRPr="00661595" w:rsidRDefault="008151A6" w:rsidP="00230E1B">
            <w:pPr>
              <w:suppressAutoHyphens/>
              <w:rPr>
                <w:rFonts w:ascii="Times New Roman" w:hAnsi="Times New Roman"/>
                <w:sz w:val="24"/>
              </w:rPr>
            </w:pPr>
            <w:r>
              <w:rPr>
                <w:rFonts w:ascii="Times New Roman" w:hAnsi="Times New Roman"/>
                <w:sz w:val="24"/>
              </w:rPr>
              <w:t>Variazione dell</w:t>
            </w:r>
            <w:r w:rsidR="000878EC">
              <w:rPr>
                <w:rFonts w:ascii="Times New Roman" w:hAnsi="Times New Roman"/>
                <w:sz w:val="24"/>
              </w:rPr>
              <w:t>'</w:t>
            </w:r>
            <w:r>
              <w:rPr>
                <w:rFonts w:ascii="Times New Roman" w:hAnsi="Times New Roman"/>
                <w:sz w:val="24"/>
              </w:rPr>
              <w:t>importo dell</w:t>
            </w:r>
            <w:r w:rsidR="000878EC">
              <w:rPr>
                <w:rFonts w:ascii="Times New Roman" w:hAnsi="Times New Roman"/>
                <w:sz w:val="24"/>
              </w:rPr>
              <w:t>'</w:t>
            </w:r>
            <w:r>
              <w:rPr>
                <w:rFonts w:ascii="Times New Roman" w:hAnsi="Times New Roman"/>
                <w:sz w:val="24"/>
              </w:rPr>
              <w:t>esposizione ponderato per il rischio tra la fine del precedente periodo di riferimento per le segnalazioni e la fine di quello corrente, dovuta ad aggiornamenti dei modelli, ossia modifiche dovute all</w:t>
            </w:r>
            <w:r w:rsidR="000878EC">
              <w:rPr>
                <w:rFonts w:ascii="Times New Roman" w:hAnsi="Times New Roman"/>
                <w:sz w:val="24"/>
              </w:rPr>
              <w:t>'</w:t>
            </w:r>
            <w:r>
              <w:rPr>
                <w:rFonts w:ascii="Times New Roman" w:hAnsi="Times New Roman"/>
                <w:sz w:val="24"/>
              </w:rPr>
              <w:t>attuazione di nuovi modelli, modifiche dei modelli, modifiche dell</w:t>
            </w:r>
            <w:r w:rsidR="000878EC">
              <w:rPr>
                <w:rFonts w:ascii="Times New Roman" w:hAnsi="Times New Roman"/>
                <w:sz w:val="24"/>
              </w:rPr>
              <w:t>'</w:t>
            </w:r>
            <w:r>
              <w:rPr>
                <w:rFonts w:ascii="Times New Roman" w:hAnsi="Times New Roman"/>
                <w:sz w:val="24"/>
              </w:rPr>
              <w:t>ambito di applicazione del modello o qualsiasi altra modifica intesa a ovviare alle debolezze del modello</w:t>
            </w:r>
          </w:p>
          <w:p w:rsidR="008151A6" w:rsidRPr="00661595" w:rsidRDefault="008151A6" w:rsidP="00230E1B">
            <w:pPr>
              <w:suppressAutoHyphens/>
              <w:rPr>
                <w:rFonts w:ascii="Times New Roman" w:hAnsi="Times New Roman"/>
                <w:sz w:val="24"/>
              </w:rPr>
            </w:pPr>
            <w:r>
              <w:rPr>
                <w:rFonts w:ascii="Times New Roman" w:hAnsi="Times New Roman"/>
                <w:sz w:val="24"/>
              </w:rPr>
              <w:t>Gli aumenti degli importi delle esposizioni ponderati per il rischio sono segnalati come importo positivo e le diminuzioni degli importi delle esposizioni ponderati per il rischio sono segnalate come importo negativo.</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230E1B">
            <w:pPr>
              <w:suppressAutoHyphens/>
              <w:rPr>
                <w:rFonts w:ascii="Times New Roman" w:hAnsi="Times New Roman"/>
                <w:b/>
                <w:sz w:val="24"/>
                <w:u w:val="single"/>
              </w:rPr>
            </w:pPr>
            <w:r>
              <w:rPr>
                <w:rFonts w:ascii="Times New Roman" w:hAnsi="Times New Roman"/>
                <w:b/>
                <w:sz w:val="24"/>
                <w:u w:val="single"/>
              </w:rPr>
              <w:t>METODOLOGIA E POLITICA (+/-)</w:t>
            </w:r>
          </w:p>
          <w:p w:rsidR="008151A6" w:rsidRPr="00661595" w:rsidRDefault="008151A6" w:rsidP="00230E1B">
            <w:pPr>
              <w:suppressAutoHyphens/>
              <w:rPr>
                <w:rFonts w:ascii="Times New Roman" w:hAnsi="Times New Roman"/>
                <w:sz w:val="24"/>
              </w:rPr>
            </w:pPr>
            <w:r>
              <w:rPr>
                <w:rFonts w:ascii="Times New Roman" w:hAnsi="Times New Roman"/>
                <w:sz w:val="24"/>
              </w:rPr>
              <w:t>Variazione dell</w:t>
            </w:r>
            <w:r w:rsidR="000878EC">
              <w:rPr>
                <w:rFonts w:ascii="Times New Roman" w:hAnsi="Times New Roman"/>
                <w:sz w:val="24"/>
              </w:rPr>
              <w:t>'</w:t>
            </w:r>
            <w:r>
              <w:rPr>
                <w:rFonts w:ascii="Times New Roman" w:hAnsi="Times New Roman"/>
                <w:sz w:val="24"/>
              </w:rPr>
              <w:t>importo dell</w:t>
            </w:r>
            <w:r w:rsidR="000878EC">
              <w:rPr>
                <w:rFonts w:ascii="Times New Roman" w:hAnsi="Times New Roman"/>
                <w:sz w:val="24"/>
              </w:rPr>
              <w:t>'</w:t>
            </w:r>
            <w:r>
              <w:rPr>
                <w:rFonts w:ascii="Times New Roman" w:hAnsi="Times New Roman"/>
                <w:sz w:val="24"/>
              </w:rPr>
              <w:t>esposizione ponderato per il rischio tra la fine del precedente periodo di riferimento per le segnalazioni e la fine di quello corrente, dovuta alla metodologia e alla politica, ossia variazioni dovute a modifiche metodologiche nei calcoli derivanti da modifiche della politica normativa, comprese le revisioni dei regolamenti vigenti e i nuovi regolamenti, escluse le modifiche dei model</w:t>
            </w:r>
            <w:r w:rsidR="00230E1B">
              <w:rPr>
                <w:rFonts w:ascii="Times New Roman" w:hAnsi="Times New Roman"/>
                <w:sz w:val="24"/>
              </w:rPr>
              <w:t>li, che sono incluse nella riga </w:t>
            </w:r>
            <w:r>
              <w:rPr>
                <w:rFonts w:ascii="Times New Roman" w:hAnsi="Times New Roman"/>
                <w:sz w:val="24"/>
              </w:rPr>
              <w:t xml:space="preserve">0040 </w:t>
            </w:r>
          </w:p>
          <w:p w:rsidR="008151A6" w:rsidRPr="00661595" w:rsidRDefault="008151A6" w:rsidP="00230E1B">
            <w:pPr>
              <w:suppressAutoHyphens/>
              <w:rPr>
                <w:rFonts w:ascii="Times New Roman" w:hAnsi="Times New Roman"/>
                <w:sz w:val="24"/>
              </w:rPr>
            </w:pPr>
            <w:r>
              <w:rPr>
                <w:rFonts w:ascii="Times New Roman" w:hAnsi="Times New Roman"/>
                <w:sz w:val="24"/>
              </w:rPr>
              <w:t>Gli aumenti degli importi delle esposizioni ponderati per il rischio sono segnalati come importo positivo e le diminuzioni degli importi delle esposizioni ponderati per il rischio sono segnalate come importo negativo.</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230E1B">
            <w:pPr>
              <w:suppressAutoHyphens/>
              <w:rPr>
                <w:rFonts w:ascii="Times New Roman" w:hAnsi="Times New Roman"/>
                <w:b/>
                <w:sz w:val="24"/>
                <w:u w:val="single"/>
              </w:rPr>
            </w:pPr>
            <w:r>
              <w:rPr>
                <w:rFonts w:ascii="Times New Roman" w:hAnsi="Times New Roman"/>
                <w:b/>
                <w:sz w:val="24"/>
                <w:u w:val="single"/>
              </w:rPr>
              <w:t>ACQUISIZIONI E DISMISSIONI (+/-)</w:t>
            </w:r>
          </w:p>
          <w:p w:rsidR="008151A6" w:rsidRPr="00661595" w:rsidRDefault="008151A6" w:rsidP="00230E1B">
            <w:pPr>
              <w:suppressAutoHyphens/>
              <w:rPr>
                <w:rFonts w:ascii="Times New Roman" w:hAnsi="Times New Roman"/>
                <w:sz w:val="24"/>
              </w:rPr>
            </w:pPr>
            <w:r>
              <w:rPr>
                <w:rFonts w:ascii="Times New Roman" w:hAnsi="Times New Roman"/>
                <w:sz w:val="24"/>
              </w:rPr>
              <w:t>Variazione dell</w:t>
            </w:r>
            <w:r w:rsidR="000878EC">
              <w:rPr>
                <w:rFonts w:ascii="Times New Roman" w:hAnsi="Times New Roman"/>
                <w:sz w:val="24"/>
              </w:rPr>
              <w:t>'</w:t>
            </w:r>
            <w:r>
              <w:rPr>
                <w:rFonts w:ascii="Times New Roman" w:hAnsi="Times New Roman"/>
                <w:sz w:val="24"/>
              </w:rPr>
              <w:t>importo dell</w:t>
            </w:r>
            <w:r w:rsidR="000878EC">
              <w:rPr>
                <w:rFonts w:ascii="Times New Roman" w:hAnsi="Times New Roman"/>
                <w:sz w:val="24"/>
              </w:rPr>
              <w:t>'</w:t>
            </w:r>
            <w:r>
              <w:rPr>
                <w:rFonts w:ascii="Times New Roman" w:hAnsi="Times New Roman"/>
                <w:sz w:val="24"/>
              </w:rPr>
              <w:t>esposizione ponderato per il rischio tra la fine del precedente periodo di riferimento per le segnalazioni e la fine di quello corrente, a causa di acquisizioni e cessioni, ossia modifiche delle dimensioni del portafoglio dovute ad acquisizioni e dismissioni di soggetti</w:t>
            </w:r>
          </w:p>
          <w:p w:rsidR="008151A6" w:rsidRPr="00661595" w:rsidRDefault="008151A6" w:rsidP="00230E1B">
            <w:pPr>
              <w:suppressAutoHyphens/>
              <w:rPr>
                <w:rFonts w:ascii="Times New Roman" w:hAnsi="Times New Roman"/>
                <w:sz w:val="24"/>
              </w:rPr>
            </w:pPr>
            <w:r>
              <w:rPr>
                <w:rFonts w:ascii="Times New Roman" w:hAnsi="Times New Roman"/>
                <w:sz w:val="24"/>
              </w:rPr>
              <w:t>Gli aumenti degli importi delle esposizioni ponderati per il rischio sono segnalati come importo positivo e le diminuzioni degli importi delle esposizioni ponderati per il rischio sono segnalate come importo negativo.</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230E1B">
            <w:pPr>
              <w:suppressAutoHyphens/>
              <w:rPr>
                <w:rFonts w:ascii="Times New Roman" w:hAnsi="Times New Roman"/>
                <w:b/>
                <w:sz w:val="24"/>
                <w:u w:val="single"/>
              </w:rPr>
            </w:pPr>
            <w:r>
              <w:rPr>
                <w:rFonts w:ascii="Times New Roman" w:hAnsi="Times New Roman"/>
                <w:b/>
                <w:sz w:val="24"/>
                <w:u w:val="single"/>
              </w:rPr>
              <w:t>OSCILLAZIONI DEL CAMBIO (+/-)</w:t>
            </w:r>
          </w:p>
          <w:p w:rsidR="008151A6" w:rsidRPr="00661595" w:rsidRDefault="008151A6" w:rsidP="00230E1B">
            <w:pPr>
              <w:suppressAutoHyphens/>
              <w:rPr>
                <w:rFonts w:ascii="Times New Roman" w:hAnsi="Times New Roman"/>
                <w:sz w:val="24"/>
              </w:rPr>
            </w:pPr>
            <w:r>
              <w:rPr>
                <w:rFonts w:ascii="Times New Roman" w:hAnsi="Times New Roman"/>
                <w:sz w:val="24"/>
              </w:rPr>
              <w:t>Variazione dell</w:t>
            </w:r>
            <w:r w:rsidR="000878EC">
              <w:rPr>
                <w:rFonts w:ascii="Times New Roman" w:hAnsi="Times New Roman"/>
                <w:sz w:val="24"/>
              </w:rPr>
              <w:t>'</w:t>
            </w:r>
            <w:r>
              <w:rPr>
                <w:rFonts w:ascii="Times New Roman" w:hAnsi="Times New Roman"/>
                <w:sz w:val="24"/>
              </w:rPr>
              <w:t>importo dell</w:t>
            </w:r>
            <w:r w:rsidR="000878EC">
              <w:rPr>
                <w:rFonts w:ascii="Times New Roman" w:hAnsi="Times New Roman"/>
                <w:sz w:val="24"/>
              </w:rPr>
              <w:t>'</w:t>
            </w:r>
            <w:r>
              <w:rPr>
                <w:rFonts w:ascii="Times New Roman" w:hAnsi="Times New Roman"/>
                <w:sz w:val="24"/>
              </w:rPr>
              <w:t>esposizione ponderato per il rischio tra la fine del precedente periodo di riferimento per le segnalazioni e la fine di quello corrente, dovuta a oscillazioni del cambio, ossia a variazioni derivanti da oscillazioni della conversione in valuta</w:t>
            </w:r>
          </w:p>
          <w:p w:rsidR="008151A6" w:rsidRPr="00661595" w:rsidRDefault="008151A6" w:rsidP="00230E1B">
            <w:pPr>
              <w:suppressAutoHyphens/>
              <w:rPr>
                <w:rFonts w:ascii="Times New Roman" w:hAnsi="Times New Roman"/>
                <w:sz w:val="24"/>
              </w:rPr>
            </w:pPr>
            <w:r>
              <w:rPr>
                <w:rFonts w:ascii="Times New Roman" w:hAnsi="Times New Roman"/>
                <w:sz w:val="24"/>
              </w:rPr>
              <w:t>Gli aumenti degli importi delle esposizioni ponderati per il rischio sono segnalati come importo positivo e le diminuzioni degli importi delle esposizioni ponderati per il rischio sono segnalate come importo negativo.</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230E1B">
            <w:pPr>
              <w:suppressAutoHyphens/>
              <w:rPr>
                <w:rFonts w:ascii="Times New Roman" w:hAnsi="Times New Roman"/>
                <w:b/>
                <w:sz w:val="24"/>
                <w:u w:val="single"/>
              </w:rPr>
            </w:pPr>
            <w:r>
              <w:rPr>
                <w:rFonts w:ascii="Times New Roman" w:hAnsi="Times New Roman"/>
                <w:b/>
                <w:sz w:val="24"/>
                <w:u w:val="single"/>
              </w:rPr>
              <w:t>ALTRO (+/-)</w:t>
            </w:r>
          </w:p>
          <w:p w:rsidR="008151A6" w:rsidRPr="00661595" w:rsidRDefault="008151A6" w:rsidP="00230E1B">
            <w:pPr>
              <w:suppressAutoHyphens/>
              <w:rPr>
                <w:rFonts w:ascii="Times New Roman" w:hAnsi="Times New Roman"/>
                <w:sz w:val="24"/>
              </w:rPr>
            </w:pPr>
            <w:r>
              <w:rPr>
                <w:rFonts w:ascii="Times New Roman" w:hAnsi="Times New Roman"/>
                <w:sz w:val="24"/>
              </w:rPr>
              <w:t>Variazione dell</w:t>
            </w:r>
            <w:r w:rsidR="000878EC">
              <w:rPr>
                <w:rFonts w:ascii="Times New Roman" w:hAnsi="Times New Roman"/>
                <w:sz w:val="24"/>
              </w:rPr>
              <w:t>'</w:t>
            </w:r>
            <w:r>
              <w:rPr>
                <w:rFonts w:ascii="Times New Roman" w:hAnsi="Times New Roman"/>
                <w:sz w:val="24"/>
              </w:rPr>
              <w:t>importo dell</w:t>
            </w:r>
            <w:r w:rsidR="000878EC">
              <w:rPr>
                <w:rFonts w:ascii="Times New Roman" w:hAnsi="Times New Roman"/>
                <w:sz w:val="24"/>
              </w:rPr>
              <w:t>'</w:t>
            </w:r>
            <w:r>
              <w:rPr>
                <w:rFonts w:ascii="Times New Roman" w:hAnsi="Times New Roman"/>
                <w:sz w:val="24"/>
              </w:rPr>
              <w:t>esposizione ponderato per il rischio tra la fine del precedente periodo di riferimento per le segnalazioni e la fine di quello corrente, dovuta ad altri fattori</w:t>
            </w:r>
          </w:p>
          <w:p w:rsidR="0044539D" w:rsidRPr="00661595" w:rsidRDefault="008151A6" w:rsidP="00230E1B">
            <w:pPr>
              <w:suppressAutoHyphens/>
              <w:rPr>
                <w:rFonts w:ascii="Times New Roman" w:hAnsi="Times New Roman"/>
                <w:sz w:val="24"/>
              </w:rPr>
            </w:pPr>
            <w:r>
              <w:rPr>
                <w:rFonts w:ascii="Times New Roman" w:hAnsi="Times New Roman"/>
                <w:sz w:val="24"/>
              </w:rPr>
              <w:t>Questa categoria è utilizzata per rilevare le variazioni che non possono essere attribuite a nessun</w:t>
            </w:r>
            <w:r w:rsidR="000878EC">
              <w:rPr>
                <w:rFonts w:ascii="Times New Roman" w:hAnsi="Times New Roman"/>
                <w:sz w:val="24"/>
              </w:rPr>
              <w:t>'</w:t>
            </w:r>
            <w:r>
              <w:rPr>
                <w:rFonts w:ascii="Times New Roman" w:hAnsi="Times New Roman"/>
                <w:sz w:val="24"/>
              </w:rPr>
              <w:t xml:space="preserve">altra categoria. </w:t>
            </w:r>
          </w:p>
          <w:p w:rsidR="008151A6" w:rsidRPr="00661595" w:rsidRDefault="008151A6" w:rsidP="00230E1B">
            <w:pPr>
              <w:suppressAutoHyphens/>
              <w:rPr>
                <w:rFonts w:ascii="Times New Roman" w:hAnsi="Times New Roman"/>
                <w:sz w:val="24"/>
              </w:rPr>
            </w:pPr>
            <w:r>
              <w:rPr>
                <w:rFonts w:ascii="Times New Roman" w:hAnsi="Times New Roman"/>
                <w:sz w:val="24"/>
              </w:rPr>
              <w:t>Gli aumenti degli importi delle esposizioni ponderati per il rischio sono segnalati come importo positivo e le diminuzioni degli importi delle esposizioni ponderati per il rischio sono segnalate come importo negativo.</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230E1B">
            <w:pPr>
              <w:suppressAutoHyphens/>
              <w:rPr>
                <w:rFonts w:ascii="Times New Roman" w:hAnsi="Times New Roman"/>
                <w:b/>
                <w:sz w:val="24"/>
                <w:u w:val="single"/>
              </w:rPr>
            </w:pPr>
            <w:r>
              <w:rPr>
                <w:rFonts w:ascii="Times New Roman" w:hAnsi="Times New Roman"/>
                <w:b/>
                <w:sz w:val="24"/>
                <w:u w:val="single"/>
              </w:rPr>
              <w:t>IMPORTO DELL</w:t>
            </w:r>
            <w:r w:rsidR="000878EC">
              <w:rPr>
                <w:rFonts w:ascii="Times New Roman" w:hAnsi="Times New Roman"/>
                <w:b/>
                <w:sz w:val="24"/>
                <w:u w:val="single"/>
              </w:rPr>
              <w:t>'</w:t>
            </w:r>
            <w:r>
              <w:rPr>
                <w:rFonts w:ascii="Times New Roman" w:hAnsi="Times New Roman"/>
                <w:b/>
                <w:sz w:val="24"/>
                <w:u w:val="single"/>
              </w:rPr>
              <w:t>ESPOSIZIONE PONDERATO PER IL RISCHIO ALLA FINE DEL PERIODO DI RIFERIMENTO PER LE SEGNALAZIONI</w:t>
            </w:r>
          </w:p>
          <w:p w:rsidR="008151A6" w:rsidRPr="00661595" w:rsidRDefault="008151A6" w:rsidP="00230E1B">
            <w:pPr>
              <w:pStyle w:val="CommentText"/>
              <w:suppressAutoHyphens/>
            </w:pPr>
            <w:r>
              <w:rPr>
                <w:rFonts w:ascii="Times New Roman" w:hAnsi="Times New Roman"/>
                <w:sz w:val="24"/>
              </w:rPr>
              <w:t>Importo dell</w:t>
            </w:r>
            <w:r w:rsidR="000878EC">
              <w:rPr>
                <w:rFonts w:ascii="Times New Roman" w:hAnsi="Times New Roman"/>
                <w:sz w:val="24"/>
              </w:rPr>
              <w:t>'</w:t>
            </w:r>
            <w:r>
              <w:rPr>
                <w:rFonts w:ascii="Times New Roman" w:hAnsi="Times New Roman"/>
                <w:sz w:val="24"/>
              </w:rPr>
              <w:t>esposizione ponderato per il rischio nel periodo di riferimento per le segnalazioni dopo l</w:t>
            </w:r>
            <w:r w:rsidR="000878EC">
              <w:rPr>
                <w:rFonts w:ascii="Times New Roman" w:hAnsi="Times New Roman"/>
                <w:sz w:val="24"/>
              </w:rPr>
              <w:t>'</w:t>
            </w:r>
            <w:r>
              <w:rPr>
                <w:rFonts w:ascii="Times New Roman" w:hAnsi="Times New Roman"/>
                <w:sz w:val="24"/>
              </w:rPr>
              <w:t>applicazione dei fattori di sostegno alle PMI e alle infrastrutture di cui agli articoli 501 e 501 bis del CRR</w:t>
            </w:r>
          </w:p>
        </w:tc>
      </w:tr>
    </w:tbl>
    <w:p w:rsidR="008151A6" w:rsidRPr="00661595" w:rsidRDefault="008151A6" w:rsidP="00F66371">
      <w:pPr>
        <w:pStyle w:val="Instructionsberschrift2"/>
        <w:numPr>
          <w:ilvl w:val="2"/>
          <w:numId w:val="36"/>
        </w:numPr>
        <w:rPr>
          <w:rFonts w:ascii="Times New Roman" w:hAnsi="Times New Roman" w:cs="Times New Roman"/>
          <w:sz w:val="24"/>
        </w:rPr>
      </w:pPr>
      <w:bookmarkStart w:id="332" w:name="_Toc19715761"/>
      <w:bookmarkStart w:id="333" w:name="_Toc58915761"/>
      <w:r>
        <w:rPr>
          <w:rFonts w:ascii="Times New Roman" w:hAnsi="Times New Roman"/>
          <w:sz w:val="24"/>
        </w:rPr>
        <w:t>C 08.05 - Rischio di credito e operazioni con regolamento non contestuale: metodo IRB applicato ai requisiti patrimoniali (test retrospettivi della PD (CR IRB 5))</w:t>
      </w:r>
      <w:bookmarkEnd w:id="332"/>
      <w:bookmarkEnd w:id="333"/>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34" w:name="_Toc19715762"/>
      <w:bookmarkStart w:id="335" w:name="_Toc58915762"/>
      <w:r>
        <w:rPr>
          <w:rFonts w:ascii="Times New Roman" w:hAnsi="Times New Roman"/>
          <w:sz w:val="24"/>
        </w:rPr>
        <w:t>Osservazioni di carattere generale</w:t>
      </w:r>
      <w:bookmarkEnd w:id="334"/>
      <w:bookmarkEnd w:id="335"/>
    </w:p>
    <w:p w:rsidR="008151A6" w:rsidRPr="00661595" w:rsidRDefault="00A971CA" w:rsidP="00230E1B">
      <w:pPr>
        <w:pStyle w:val="InstructionsText2"/>
        <w:numPr>
          <w:ilvl w:val="0"/>
          <w:numId w:val="0"/>
        </w:numPr>
        <w:ind w:left="1560" w:hanging="360"/>
      </w:pPr>
      <w:r>
        <w:fldChar w:fldCharType="begin"/>
      </w:r>
      <w:r>
        <w:instrText xml:space="preserve"> seq paragraphs </w:instrText>
      </w:r>
      <w:r>
        <w:fldChar w:fldCharType="separate"/>
      </w:r>
      <w:r w:rsidR="00D11E4C">
        <w:rPr>
          <w:noProof/>
        </w:rPr>
        <w:t>80</w:t>
      </w:r>
      <w:r>
        <w:rPr>
          <w:noProof/>
        </w:rPr>
        <w:fldChar w:fldCharType="end"/>
      </w:r>
      <w:r w:rsidR="00D11E4C">
        <w:t>. Gli enti segnalano le informazioni incluse in questo modello in applicazione dell</w:t>
      </w:r>
      <w:r w:rsidR="000878EC">
        <w:t>'</w:t>
      </w:r>
      <w:r w:rsidR="00D11E4C">
        <w:t>articolo 452, lettera h), del CRR. L</w:t>
      </w:r>
      <w:r w:rsidR="000878EC">
        <w:t>'</w:t>
      </w:r>
      <w:r w:rsidR="00D11E4C">
        <w:t>ente prende in considerazione i modelli utilizzati nell</w:t>
      </w:r>
      <w:r w:rsidR="000878EC">
        <w:t>'</w:t>
      </w:r>
      <w:r w:rsidR="00D11E4C">
        <w:t>ambito di ciascuna classe di esposizioni e spiega la percentuale dell</w:t>
      </w:r>
      <w:r w:rsidR="000878EC">
        <w:t>'</w:t>
      </w:r>
      <w:r w:rsidR="00D11E4C">
        <w:t>importo dell</w:t>
      </w:r>
      <w:r w:rsidR="000878EC">
        <w:t>'</w:t>
      </w:r>
      <w:r w:rsidR="00D11E4C">
        <w:t>esposizione ponderato per il rischio della classe di esposizioni pertinente coperta dai modelli per la quale sono segnalati qui i risultati dei test retrospettivi. Da questo modello sono escluse le esposizioni soggette al rischio di controparte (CCR) (parte tre, titolo II, capo 6, del CRR).</w:t>
      </w:r>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36" w:name="_Toc19715763"/>
      <w:bookmarkStart w:id="337" w:name="_Toc58915763"/>
      <w:r>
        <w:rPr>
          <w:rFonts w:ascii="Times New Roman" w:hAnsi="Times New Roman"/>
          <w:sz w:val="24"/>
        </w:rPr>
        <w:t>Istruzioni relative a posizioni specifiche</w:t>
      </w:r>
      <w:bookmarkEnd w:id="336"/>
      <w:bookmarkEnd w:id="33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Colonne</w:t>
            </w:r>
          </w:p>
        </w:tc>
        <w:tc>
          <w:tcPr>
            <w:tcW w:w="8843" w:type="dxa"/>
            <w:shd w:val="clear" w:color="auto" w:fill="CCCCCC"/>
          </w:tcPr>
          <w:p w:rsidR="008151A6" w:rsidRPr="00661595" w:rsidRDefault="008151A6" w:rsidP="00230E1B">
            <w:pPr>
              <w:suppressAutoHyphens/>
              <w:rPr>
                <w:rFonts w:ascii="Times New Roman" w:hAnsi="Times New Roman"/>
                <w:sz w:val="24"/>
              </w:rPr>
            </w:pPr>
            <w:r>
              <w:rPr>
                <w:rFonts w:ascii="Times New Roman" w:hAnsi="Times New Roman"/>
                <w:sz w:val="24"/>
              </w:rPr>
              <w:t>Istruzioni</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463F88" w:rsidP="00230E1B">
            <w:pPr>
              <w:suppressAutoHyphens/>
              <w:rPr>
                <w:rFonts w:ascii="Times New Roman" w:hAnsi="Times New Roman"/>
                <w:b/>
                <w:sz w:val="24"/>
                <w:u w:val="single"/>
              </w:rPr>
            </w:pPr>
            <w:r>
              <w:rPr>
                <w:rFonts w:ascii="Times New Roman" w:hAnsi="Times New Roman"/>
                <w:b/>
                <w:sz w:val="24"/>
                <w:u w:val="single"/>
              </w:rPr>
              <w:t>PD MEDIA ARITMETICA (%)</w:t>
            </w:r>
          </w:p>
          <w:p w:rsidR="008151A6" w:rsidRPr="00661595" w:rsidRDefault="00463F88" w:rsidP="00230E1B">
            <w:pPr>
              <w:suppressAutoHyphens/>
              <w:rPr>
                <w:rFonts w:ascii="Times New Roman" w:hAnsi="Times New Roman"/>
                <w:b/>
                <w:sz w:val="24"/>
              </w:rPr>
            </w:pPr>
            <w:r>
              <w:rPr>
                <w:rFonts w:ascii="Times New Roman" w:hAnsi="Times New Roman"/>
                <w:sz w:val="24"/>
              </w:rPr>
              <w:t>Media aritmetica della PD all</w:t>
            </w:r>
            <w:r w:rsidR="000878EC">
              <w:rPr>
                <w:rFonts w:ascii="Times New Roman" w:hAnsi="Times New Roman"/>
                <w:sz w:val="24"/>
              </w:rPr>
              <w:t>'</w:t>
            </w:r>
            <w:r>
              <w:rPr>
                <w:rFonts w:ascii="Times New Roman" w:hAnsi="Times New Roman"/>
                <w:sz w:val="24"/>
              </w:rPr>
              <w:t>inizio del periodo di riferimento per le segnalazioni dei debitori che rientrano nella categoria dell</w:t>
            </w:r>
            <w:r w:rsidR="000878EC">
              <w:rPr>
                <w:rFonts w:ascii="Times New Roman" w:hAnsi="Times New Roman"/>
                <w:sz w:val="24"/>
              </w:rPr>
              <w:t>'</w:t>
            </w:r>
            <w:r>
              <w:rPr>
                <w:rFonts w:ascii="Times New Roman" w:hAnsi="Times New Roman"/>
                <w:sz w:val="24"/>
              </w:rPr>
              <w:t xml:space="preserve">intervallo di PD </w:t>
            </w:r>
            <w:r w:rsidR="00230E1B">
              <w:rPr>
                <w:rFonts w:ascii="Times New Roman" w:hAnsi="Times New Roman"/>
                <w:sz w:val="24"/>
              </w:rPr>
              <w:t>fissato e contati nella colonna </w:t>
            </w:r>
            <w:r>
              <w:rPr>
                <w:rFonts w:ascii="Times New Roman" w:hAnsi="Times New Roman"/>
                <w:sz w:val="24"/>
              </w:rPr>
              <w:t>0020 (media ponderata per il numero di debitori)</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463F88">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230E1B">
            <w:pPr>
              <w:suppressAutoHyphens/>
              <w:rPr>
                <w:rFonts w:ascii="Times New Roman" w:hAnsi="Times New Roman"/>
                <w:b/>
                <w:sz w:val="24"/>
                <w:u w:val="single"/>
              </w:rPr>
            </w:pPr>
            <w:r>
              <w:rPr>
                <w:rFonts w:ascii="Times New Roman" w:hAnsi="Times New Roman"/>
                <w:b/>
                <w:sz w:val="24"/>
                <w:u w:val="single"/>
              </w:rPr>
              <w:t>NUMERO DI DEBITORI ALLA FINE DELL</w:t>
            </w:r>
            <w:r w:rsidR="000878EC">
              <w:rPr>
                <w:rFonts w:ascii="Times New Roman" w:hAnsi="Times New Roman"/>
                <w:b/>
                <w:sz w:val="24"/>
                <w:u w:val="single"/>
              </w:rPr>
              <w:t>'</w:t>
            </w:r>
            <w:r>
              <w:rPr>
                <w:rFonts w:ascii="Times New Roman" w:hAnsi="Times New Roman"/>
                <w:b/>
                <w:sz w:val="24"/>
                <w:u w:val="single"/>
              </w:rPr>
              <w:t>ANNO PRECEDENTE</w:t>
            </w:r>
          </w:p>
          <w:p w:rsidR="00E50FA0" w:rsidRDefault="008151A6" w:rsidP="00230E1B">
            <w:pPr>
              <w:suppressAutoHyphens/>
              <w:rPr>
                <w:rFonts w:ascii="Times New Roman" w:hAnsi="Times New Roman"/>
                <w:sz w:val="24"/>
              </w:rPr>
            </w:pPr>
            <w:r>
              <w:rPr>
                <w:rFonts w:ascii="Times New Roman" w:hAnsi="Times New Roman"/>
                <w:sz w:val="24"/>
              </w:rPr>
              <w:t>Numero di debitori alla fine dell</w:t>
            </w:r>
            <w:r w:rsidR="000878EC">
              <w:rPr>
                <w:rFonts w:ascii="Times New Roman" w:hAnsi="Times New Roman"/>
                <w:sz w:val="24"/>
              </w:rPr>
              <w:t>'</w:t>
            </w:r>
            <w:r>
              <w:rPr>
                <w:rFonts w:ascii="Times New Roman" w:hAnsi="Times New Roman"/>
                <w:sz w:val="24"/>
              </w:rPr>
              <w:t xml:space="preserve">anno precedente soggetti a segnalazione </w:t>
            </w:r>
          </w:p>
          <w:p w:rsidR="00463F88" w:rsidRPr="00661595" w:rsidRDefault="008151A6" w:rsidP="00230E1B">
            <w:pPr>
              <w:suppressAutoHyphens/>
              <w:rPr>
                <w:rFonts w:ascii="Times New Roman" w:hAnsi="Times New Roman"/>
                <w:sz w:val="24"/>
              </w:rPr>
            </w:pPr>
            <w:r>
              <w:rPr>
                <w:rFonts w:ascii="Times New Roman" w:hAnsi="Times New Roman"/>
                <w:sz w:val="24"/>
              </w:rPr>
              <w:t>Sono inclusi tutti i debitori che hanno un</w:t>
            </w:r>
            <w:r w:rsidR="000878EC">
              <w:rPr>
                <w:rFonts w:ascii="Times New Roman" w:hAnsi="Times New Roman"/>
                <w:sz w:val="24"/>
              </w:rPr>
              <w:t>'</w:t>
            </w:r>
            <w:r>
              <w:rPr>
                <w:rFonts w:ascii="Times New Roman" w:hAnsi="Times New Roman"/>
                <w:sz w:val="24"/>
              </w:rPr>
              <w:t xml:space="preserve">obbligazione creditizia al momento pertinente. </w:t>
            </w:r>
          </w:p>
          <w:p w:rsidR="008151A6" w:rsidRPr="00661595" w:rsidRDefault="008A0983" w:rsidP="00230E1B">
            <w:pPr>
              <w:suppressAutoHyphens/>
              <w:rPr>
                <w:rFonts w:ascii="Times New Roman" w:hAnsi="Times New Roman"/>
                <w:sz w:val="24"/>
              </w:rPr>
            </w:pPr>
            <w:r>
              <w:rPr>
                <w:rFonts w:ascii="Times New Roman" w:hAnsi="Times New Roman"/>
                <w:sz w:val="24"/>
              </w:rPr>
              <w:t>Il numero dei debitori è conteggiato conformemente alle ist</w:t>
            </w:r>
            <w:r w:rsidR="00230E1B">
              <w:rPr>
                <w:rFonts w:ascii="Times New Roman" w:hAnsi="Times New Roman"/>
                <w:sz w:val="24"/>
              </w:rPr>
              <w:t>ruzioni riportate nella colonna </w:t>
            </w:r>
            <w:r>
              <w:rPr>
                <w:rFonts w:ascii="Times New Roman" w:hAnsi="Times New Roman"/>
                <w:sz w:val="24"/>
              </w:rPr>
              <w:t>0300 del modello C 08.01. I debitori congiunti sono trattati come ai fini della calibratura della PD.</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F66371">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230E1B">
            <w:pPr>
              <w:suppressAutoHyphens/>
              <w:rPr>
                <w:rFonts w:ascii="Times New Roman" w:hAnsi="Times New Roman"/>
                <w:b/>
                <w:sz w:val="24"/>
                <w:u w:val="single"/>
              </w:rPr>
            </w:pPr>
            <w:r>
              <w:rPr>
                <w:rFonts w:ascii="Times New Roman" w:hAnsi="Times New Roman"/>
                <w:b/>
                <w:sz w:val="24"/>
                <w:u w:val="single"/>
              </w:rPr>
              <w:t>DI CUI: PASSATI IN STATO DI DEFAULT NEL CORSO DELL</w:t>
            </w:r>
            <w:r w:rsidR="000878EC">
              <w:rPr>
                <w:rFonts w:ascii="Times New Roman" w:hAnsi="Times New Roman"/>
                <w:b/>
                <w:sz w:val="24"/>
                <w:u w:val="single"/>
              </w:rPr>
              <w:t>'</w:t>
            </w:r>
            <w:r>
              <w:rPr>
                <w:rFonts w:ascii="Times New Roman" w:hAnsi="Times New Roman"/>
                <w:b/>
                <w:sz w:val="24"/>
                <w:u w:val="single"/>
              </w:rPr>
              <w:t>ANNO</w:t>
            </w:r>
          </w:p>
          <w:p w:rsidR="00E50FA0" w:rsidRDefault="008151A6" w:rsidP="00230E1B">
            <w:pPr>
              <w:suppressAutoHyphens/>
              <w:autoSpaceDE w:val="0"/>
              <w:autoSpaceDN w:val="0"/>
              <w:adjustRightInd w:val="0"/>
              <w:rPr>
                <w:rFonts w:ascii="Times New Roman" w:hAnsi="Times New Roman"/>
                <w:sz w:val="24"/>
              </w:rPr>
            </w:pPr>
            <w:r>
              <w:rPr>
                <w:rFonts w:ascii="Times New Roman" w:hAnsi="Times New Roman"/>
                <w:sz w:val="24"/>
              </w:rPr>
              <w:t>Numero di debitori che sono passati in stato di default nel corso dell</w:t>
            </w:r>
            <w:r w:rsidR="000878EC">
              <w:rPr>
                <w:rFonts w:ascii="Times New Roman" w:hAnsi="Times New Roman"/>
                <w:sz w:val="24"/>
              </w:rPr>
              <w:t>'</w:t>
            </w:r>
            <w:r>
              <w:rPr>
                <w:rFonts w:ascii="Times New Roman" w:hAnsi="Times New Roman"/>
                <w:sz w:val="24"/>
              </w:rPr>
              <w:t xml:space="preserve">anno (ossia il periodo di osservazione del calcolo del tasso di default) </w:t>
            </w:r>
          </w:p>
          <w:p w:rsidR="008151A6" w:rsidRPr="00661595" w:rsidRDefault="008151A6" w:rsidP="00230E1B">
            <w:pPr>
              <w:suppressAutoHyphens/>
              <w:autoSpaceDE w:val="0"/>
              <w:autoSpaceDN w:val="0"/>
              <w:adjustRightInd w:val="0"/>
              <w:rPr>
                <w:rFonts w:ascii="Times New Roman" w:hAnsi="Times New Roman"/>
                <w:sz w:val="24"/>
              </w:rPr>
            </w:pPr>
            <w:r>
              <w:rPr>
                <w:rFonts w:ascii="Times New Roman" w:hAnsi="Times New Roman"/>
                <w:sz w:val="24"/>
              </w:rPr>
              <w:t>I default sono determinati conformemente all</w:t>
            </w:r>
            <w:r w:rsidR="000878EC">
              <w:rPr>
                <w:rFonts w:ascii="Times New Roman" w:hAnsi="Times New Roman"/>
                <w:sz w:val="24"/>
              </w:rPr>
              <w:t>'</w:t>
            </w:r>
            <w:r>
              <w:rPr>
                <w:rFonts w:ascii="Times New Roman" w:hAnsi="Times New Roman"/>
                <w:sz w:val="24"/>
              </w:rPr>
              <w:t xml:space="preserve">articolo 178 del CRR. </w:t>
            </w:r>
          </w:p>
          <w:p w:rsidR="008151A6" w:rsidRPr="00661595" w:rsidRDefault="008151A6" w:rsidP="00230E1B">
            <w:pPr>
              <w:suppressAutoHyphens/>
              <w:rPr>
                <w:rFonts w:ascii="Times New Roman" w:hAnsi="Times New Roman"/>
                <w:b/>
                <w:sz w:val="24"/>
                <w:u w:val="single"/>
              </w:rPr>
            </w:pPr>
            <w:r>
              <w:rPr>
                <w:rFonts w:ascii="Times New Roman" w:hAnsi="Times New Roman"/>
                <w:sz w:val="24"/>
              </w:rPr>
              <w:t>Ogni debitore che è passato in stato di default è conteggiato una sola volta nel numeratore e nel denominatore del calcolo del tasso annuale di default, anche se il debitore ha registrato più di un default nel pertinente periodo di un anno.</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F66371">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230E1B">
            <w:pPr>
              <w:suppressAutoHyphens/>
              <w:rPr>
                <w:rFonts w:ascii="Times New Roman" w:hAnsi="Times New Roman"/>
                <w:b/>
                <w:sz w:val="24"/>
                <w:u w:val="single"/>
              </w:rPr>
            </w:pPr>
            <w:r>
              <w:rPr>
                <w:rFonts w:ascii="Times New Roman" w:hAnsi="Times New Roman"/>
                <w:b/>
                <w:sz w:val="24"/>
                <w:u w:val="single"/>
              </w:rPr>
              <w:t>TASSO MEDIO DI DEFAULT OSSERVATO (%)</w:t>
            </w:r>
          </w:p>
          <w:p w:rsidR="008151A6" w:rsidRPr="00661595" w:rsidRDefault="008151A6" w:rsidP="00230E1B">
            <w:pPr>
              <w:suppressAutoHyphens/>
              <w:autoSpaceDE w:val="0"/>
              <w:autoSpaceDN w:val="0"/>
              <w:adjustRightInd w:val="0"/>
              <w:rPr>
                <w:rFonts w:ascii="Times New Roman" w:hAnsi="Times New Roman"/>
                <w:sz w:val="24"/>
              </w:rPr>
            </w:pPr>
            <w:r>
              <w:rPr>
                <w:rFonts w:ascii="Times New Roman" w:hAnsi="Times New Roman"/>
                <w:sz w:val="24"/>
              </w:rPr>
              <w:t>Tasso annuale di default di cui all</w:t>
            </w:r>
            <w:r w:rsidR="000878EC">
              <w:rPr>
                <w:rFonts w:ascii="Times New Roman" w:hAnsi="Times New Roman"/>
                <w:sz w:val="24"/>
              </w:rPr>
              <w:t>'</w:t>
            </w:r>
            <w:r>
              <w:rPr>
                <w:rFonts w:ascii="Times New Roman" w:hAnsi="Times New Roman"/>
                <w:sz w:val="24"/>
              </w:rPr>
              <w:t>articolo 4, paragrafo 1, punto 78, del CRR</w:t>
            </w:r>
          </w:p>
          <w:p w:rsidR="008151A6" w:rsidRPr="00661595" w:rsidRDefault="008151A6" w:rsidP="00230E1B">
            <w:pPr>
              <w:suppressAutoHyphens/>
              <w:autoSpaceDE w:val="0"/>
              <w:autoSpaceDN w:val="0"/>
              <w:adjustRightInd w:val="0"/>
              <w:rPr>
                <w:rFonts w:ascii="Times New Roman" w:hAnsi="Times New Roman"/>
                <w:sz w:val="24"/>
              </w:rPr>
            </w:pPr>
            <w:r>
              <w:rPr>
                <w:rFonts w:ascii="Times New Roman" w:hAnsi="Times New Roman"/>
                <w:sz w:val="24"/>
              </w:rPr>
              <w:t>Gli enti assicurano:</w:t>
            </w:r>
          </w:p>
          <w:p w:rsidR="008151A6" w:rsidRPr="00661595" w:rsidRDefault="008151A6" w:rsidP="00230E1B">
            <w:pPr>
              <w:suppressAutoHyphens/>
              <w:autoSpaceDE w:val="0"/>
              <w:autoSpaceDN w:val="0"/>
              <w:adjustRightInd w:val="0"/>
              <w:rPr>
                <w:rFonts w:ascii="Times New Roman" w:hAnsi="Times New Roman"/>
                <w:sz w:val="24"/>
              </w:rPr>
            </w:pPr>
            <w:r>
              <w:rPr>
                <w:rFonts w:ascii="Times New Roman" w:hAnsi="Times New Roman"/>
                <w:sz w:val="24"/>
              </w:rPr>
              <w:t>a) che il denominatore è costituito dal numero di debitori non in default con un</w:t>
            </w:r>
            <w:r w:rsidR="000878EC">
              <w:rPr>
                <w:rFonts w:ascii="Times New Roman" w:hAnsi="Times New Roman"/>
                <w:sz w:val="24"/>
              </w:rPr>
              <w:t>'</w:t>
            </w:r>
            <w:r>
              <w:rPr>
                <w:rFonts w:ascii="Times New Roman" w:hAnsi="Times New Roman"/>
                <w:sz w:val="24"/>
              </w:rPr>
              <w:t>obbligazione creditizia osservato all</w:t>
            </w:r>
            <w:r w:rsidR="000878EC">
              <w:rPr>
                <w:rFonts w:ascii="Times New Roman" w:hAnsi="Times New Roman"/>
                <w:sz w:val="24"/>
              </w:rPr>
              <w:t>'</w:t>
            </w:r>
            <w:r>
              <w:rPr>
                <w:rFonts w:ascii="Times New Roman" w:hAnsi="Times New Roman"/>
                <w:sz w:val="24"/>
              </w:rPr>
              <w:t>inizio del periodo di osservazione di un anno (ossia l</w:t>
            </w:r>
            <w:r w:rsidR="000878EC">
              <w:rPr>
                <w:rFonts w:ascii="Times New Roman" w:hAnsi="Times New Roman"/>
                <w:sz w:val="24"/>
              </w:rPr>
              <w:t>'</w:t>
            </w:r>
            <w:r>
              <w:rPr>
                <w:rFonts w:ascii="Times New Roman" w:hAnsi="Times New Roman"/>
                <w:sz w:val="24"/>
              </w:rPr>
              <w:t>inizio dell</w:t>
            </w:r>
            <w:r w:rsidR="000878EC">
              <w:rPr>
                <w:rFonts w:ascii="Times New Roman" w:hAnsi="Times New Roman"/>
                <w:sz w:val="24"/>
              </w:rPr>
              <w:t>'</w:t>
            </w:r>
            <w:r>
              <w:rPr>
                <w:rFonts w:ascii="Times New Roman" w:hAnsi="Times New Roman"/>
                <w:sz w:val="24"/>
              </w:rPr>
              <w:t>anno precedente la data di riferimento per le segnalazioni); in questo contesto, per obbligazione creditizia si intende quanto segue: i) qualsiasi elemento in bilancio, compreso l</w:t>
            </w:r>
            <w:r w:rsidR="000878EC">
              <w:rPr>
                <w:rFonts w:ascii="Times New Roman" w:hAnsi="Times New Roman"/>
                <w:sz w:val="24"/>
              </w:rPr>
              <w:t>'</w:t>
            </w:r>
            <w:r>
              <w:rPr>
                <w:rFonts w:ascii="Times New Roman" w:hAnsi="Times New Roman"/>
                <w:sz w:val="24"/>
              </w:rPr>
              <w:t>importo del capitale, degli interessi e delle commissioni; ii) qualsiasi elemento fuori bilancio, comprese le garanzie emesse dall</w:t>
            </w:r>
            <w:r w:rsidR="000878EC">
              <w:rPr>
                <w:rFonts w:ascii="Times New Roman" w:hAnsi="Times New Roman"/>
                <w:sz w:val="24"/>
              </w:rPr>
              <w:t>'</w:t>
            </w:r>
            <w:r>
              <w:rPr>
                <w:rFonts w:ascii="Times New Roman" w:hAnsi="Times New Roman"/>
                <w:sz w:val="24"/>
              </w:rPr>
              <w:t>ente in qualità di garante;</w:t>
            </w:r>
          </w:p>
          <w:p w:rsidR="008151A6" w:rsidRPr="00661595" w:rsidRDefault="008151A6" w:rsidP="00230E1B">
            <w:pPr>
              <w:suppressAutoHyphens/>
              <w:rPr>
                <w:rFonts w:ascii="Times New Roman" w:hAnsi="Times New Roman"/>
                <w:sz w:val="24"/>
              </w:rPr>
            </w:pPr>
            <w:r>
              <w:rPr>
                <w:rFonts w:ascii="Times New Roman" w:hAnsi="Times New Roman"/>
                <w:sz w:val="24"/>
              </w:rPr>
              <w:t>b) che il numeratore comprenda tutti i debitori considerati nel denominatore che hanno avuto almeno un evento di default durante il periodo di osservazione di un anno (anno precedente la data di riferimento per le segnalazioni).</w:t>
            </w:r>
          </w:p>
          <w:p w:rsidR="008151A6" w:rsidRPr="00661595" w:rsidRDefault="008151A6" w:rsidP="00230E1B">
            <w:pPr>
              <w:suppressAutoHyphens/>
              <w:rPr>
                <w:rFonts w:ascii="Times New Roman" w:hAnsi="Times New Roman"/>
                <w:sz w:val="24"/>
              </w:rPr>
            </w:pPr>
            <w:r>
              <w:rPr>
                <w:rFonts w:ascii="Times New Roman" w:hAnsi="Times New Roman"/>
                <w:sz w:val="24"/>
              </w:rPr>
              <w:t xml:space="preserve">Per quanto riguarda il calcolo del numero di debitori, </w:t>
            </w:r>
            <w:r w:rsidR="00230E1B">
              <w:rPr>
                <w:rFonts w:ascii="Times New Roman" w:hAnsi="Times New Roman"/>
                <w:sz w:val="24"/>
              </w:rPr>
              <w:t>cfr. colonna 0300 del modello C </w:t>
            </w:r>
            <w:r>
              <w:rPr>
                <w:rFonts w:ascii="Times New Roman" w:hAnsi="Times New Roman"/>
                <w:sz w:val="24"/>
              </w:rPr>
              <w:t>08.01.</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230E1B">
            <w:pPr>
              <w:keepNext/>
              <w:keepLines/>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2754C0" w:rsidP="00230E1B">
            <w:pPr>
              <w:keepNext/>
              <w:keepLines/>
              <w:suppressAutoHyphens/>
              <w:rPr>
                <w:rFonts w:ascii="Times New Roman" w:hAnsi="Times New Roman"/>
                <w:sz w:val="24"/>
                <w:u w:val="single"/>
              </w:rPr>
            </w:pPr>
            <w:r>
              <w:rPr>
                <w:rFonts w:ascii="Times New Roman" w:hAnsi="Times New Roman"/>
                <w:b/>
                <w:sz w:val="24"/>
                <w:u w:val="single"/>
              </w:rPr>
              <w:t>TASSO DI DEFAULT ANNUO STORICO MEDIO (%)</w:t>
            </w:r>
          </w:p>
          <w:p w:rsidR="008151A6" w:rsidRPr="00661595" w:rsidRDefault="00A5427A" w:rsidP="00230E1B">
            <w:pPr>
              <w:keepNext/>
              <w:keepLines/>
              <w:suppressAutoHyphens/>
              <w:rPr>
                <w:rFonts w:ascii="Times New Roman" w:hAnsi="Times New Roman"/>
                <w:sz w:val="24"/>
              </w:rPr>
            </w:pPr>
            <w:r>
              <w:rPr>
                <w:rFonts w:ascii="Times New Roman" w:hAnsi="Times New Roman"/>
                <w:sz w:val="24"/>
              </w:rPr>
              <w:t>La media semplice del tasso annuale di default dei cinque anni più recenti (debitori all</w:t>
            </w:r>
            <w:r w:rsidR="000878EC">
              <w:rPr>
                <w:rFonts w:ascii="Times New Roman" w:hAnsi="Times New Roman"/>
                <w:sz w:val="24"/>
              </w:rPr>
              <w:t>'</w:t>
            </w:r>
            <w:r>
              <w:rPr>
                <w:rFonts w:ascii="Times New Roman" w:hAnsi="Times New Roman"/>
                <w:sz w:val="24"/>
              </w:rPr>
              <w:t>inizio di ogni anno che sono in stato di default durante quell</w:t>
            </w:r>
            <w:r w:rsidR="000878EC">
              <w:rPr>
                <w:rFonts w:ascii="Times New Roman" w:hAnsi="Times New Roman"/>
                <w:sz w:val="24"/>
              </w:rPr>
              <w:t>'</w:t>
            </w:r>
            <w:r>
              <w:rPr>
                <w:rFonts w:ascii="Times New Roman" w:hAnsi="Times New Roman"/>
                <w:sz w:val="24"/>
              </w:rPr>
              <w:t>anno/debitori totali all</w:t>
            </w:r>
            <w:r w:rsidR="000878EC">
              <w:rPr>
                <w:rFonts w:ascii="Times New Roman" w:hAnsi="Times New Roman"/>
                <w:sz w:val="24"/>
              </w:rPr>
              <w:t>'</w:t>
            </w:r>
            <w:r>
              <w:rPr>
                <w:rFonts w:ascii="Times New Roman" w:hAnsi="Times New Roman"/>
                <w:sz w:val="24"/>
              </w:rPr>
              <w:t>inizio dell</w:t>
            </w:r>
            <w:r w:rsidR="000878EC">
              <w:rPr>
                <w:rFonts w:ascii="Times New Roman" w:hAnsi="Times New Roman"/>
                <w:sz w:val="24"/>
              </w:rPr>
              <w:t>'</w:t>
            </w:r>
            <w:r>
              <w:rPr>
                <w:rFonts w:ascii="Times New Roman" w:hAnsi="Times New Roman"/>
                <w:sz w:val="24"/>
              </w:rPr>
              <w:t>anno) è un minimo. L</w:t>
            </w:r>
            <w:r w:rsidR="000878EC">
              <w:rPr>
                <w:rFonts w:ascii="Times New Roman" w:hAnsi="Times New Roman"/>
                <w:sz w:val="24"/>
              </w:rPr>
              <w:t>'</w:t>
            </w:r>
            <w:r>
              <w:rPr>
                <w:rFonts w:ascii="Times New Roman" w:hAnsi="Times New Roman"/>
                <w:sz w:val="24"/>
              </w:rPr>
              <w:t>ente può utilizzare un periodo storico più lungo, coerente con le proprie prassi effettive di gestione del rischio.</w:t>
            </w:r>
          </w:p>
        </w:tc>
      </w:tr>
    </w:tbl>
    <w:p w:rsidR="008151A6" w:rsidRPr="00661595" w:rsidRDefault="008151A6" w:rsidP="00230E1B">
      <w:pPr>
        <w:pStyle w:val="InstructionsText2"/>
        <w:numPr>
          <w:ilvl w:val="0"/>
          <w:numId w:val="0"/>
        </w:numPr>
        <w:ind w:left="1200"/>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1"/>
        <w:gridCol w:w="8557"/>
      </w:tblGrid>
      <w:tr w:rsidR="008151A6" w:rsidRPr="00661595" w:rsidTr="00664874">
        <w:tc>
          <w:tcPr>
            <w:tcW w:w="1271"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Righe</w:t>
            </w:r>
          </w:p>
        </w:tc>
        <w:tc>
          <w:tcPr>
            <w:tcW w:w="8557"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Istruzioni</w:t>
            </w:r>
          </w:p>
        </w:tc>
      </w:tr>
      <w:tr w:rsidR="008151A6" w:rsidRPr="00661595" w:rsidTr="00664874">
        <w:tc>
          <w:tcPr>
            <w:tcW w:w="1271" w:type="dxa"/>
          </w:tcPr>
          <w:p w:rsidR="008151A6" w:rsidRPr="00661595" w:rsidRDefault="008151A6" w:rsidP="00664874">
            <w:pPr>
              <w:rPr>
                <w:rFonts w:ascii="Times New Roman" w:hAnsi="Times New Roman"/>
                <w:sz w:val="24"/>
              </w:rPr>
            </w:pPr>
            <w:r>
              <w:rPr>
                <w:rFonts w:ascii="Times New Roman" w:hAnsi="Times New Roman"/>
                <w:sz w:val="24"/>
              </w:rPr>
              <w:t>INTERVALLO DI PD</w:t>
            </w:r>
          </w:p>
        </w:tc>
        <w:tc>
          <w:tcPr>
            <w:tcW w:w="8557" w:type="dxa"/>
          </w:tcPr>
          <w:p w:rsidR="008151A6" w:rsidRPr="00661595" w:rsidRDefault="008151A6" w:rsidP="00463F88">
            <w:pPr>
              <w:rPr>
                <w:rFonts w:ascii="Times New Roman" w:hAnsi="Times New Roman"/>
                <w:sz w:val="24"/>
              </w:rPr>
            </w:pPr>
            <w:r>
              <w:rPr>
                <w:rFonts w:ascii="Times New Roman" w:hAnsi="Times New Roman"/>
                <w:sz w:val="24"/>
              </w:rPr>
              <w:t>Le esposizioni sono assegnate a una categoria appropriata dell</w:t>
            </w:r>
            <w:r w:rsidR="000878EC">
              <w:rPr>
                <w:rFonts w:ascii="Times New Roman" w:hAnsi="Times New Roman"/>
                <w:sz w:val="24"/>
              </w:rPr>
              <w:t>'</w:t>
            </w:r>
            <w:r>
              <w:rPr>
                <w:rFonts w:ascii="Times New Roman" w:hAnsi="Times New Roman"/>
                <w:sz w:val="24"/>
              </w:rPr>
              <w:t>intervallo di PD fissato sulla base della PD stimata all</w:t>
            </w:r>
            <w:r w:rsidR="000878EC">
              <w:rPr>
                <w:rFonts w:ascii="Times New Roman" w:hAnsi="Times New Roman"/>
                <w:sz w:val="24"/>
              </w:rPr>
              <w:t>'</w:t>
            </w:r>
            <w:r>
              <w:rPr>
                <w:rFonts w:ascii="Times New Roman" w:hAnsi="Times New Roman"/>
                <w:sz w:val="24"/>
              </w:rPr>
              <w:t>inizio del periodo di riferimento per le segnalazioni per ciascun debitore assegnato a questa classe di esposizioni (senza tener conto degli effetti di sostituzione dovuti all</w:t>
            </w:r>
            <w:r w:rsidR="000878EC">
              <w:rPr>
                <w:rFonts w:ascii="Times New Roman" w:hAnsi="Times New Roman"/>
                <w:sz w:val="24"/>
              </w:rPr>
              <w:t>'</w:t>
            </w:r>
            <w:r>
              <w:rPr>
                <w:rFonts w:ascii="Times New Roman" w:hAnsi="Times New Roman"/>
                <w:sz w:val="24"/>
              </w:rPr>
              <w:t>attenuazione del rischio di credito). Gli enti associano ciascuna esposizione all</w:t>
            </w:r>
            <w:r w:rsidR="000878EC">
              <w:rPr>
                <w:rFonts w:ascii="Times New Roman" w:hAnsi="Times New Roman"/>
                <w:sz w:val="24"/>
              </w:rPr>
              <w:t>'</w:t>
            </w:r>
            <w:r>
              <w:rPr>
                <w:rFonts w:ascii="Times New Roman" w:hAnsi="Times New Roman"/>
                <w:sz w:val="24"/>
              </w:rPr>
              <w:t>intervallo di PD indicato nel modello, tenendo conto anche di scale continue. Tutte le esposizioni in stato di default sono incluse nella categoria corrispondente alla PD del 100 %.</w:t>
            </w:r>
          </w:p>
        </w:tc>
      </w:tr>
    </w:tbl>
    <w:p w:rsidR="008151A6" w:rsidRPr="00661595" w:rsidRDefault="008151A6" w:rsidP="00F66371">
      <w:pPr>
        <w:pStyle w:val="Instructionsberschrift2"/>
        <w:numPr>
          <w:ilvl w:val="2"/>
          <w:numId w:val="36"/>
        </w:numPr>
        <w:rPr>
          <w:rFonts w:ascii="Times New Roman" w:hAnsi="Times New Roman" w:cs="Times New Roman"/>
          <w:sz w:val="24"/>
        </w:rPr>
      </w:pPr>
      <w:bookmarkStart w:id="338" w:name="_Toc19715764"/>
      <w:bookmarkStart w:id="339" w:name="_Toc58915764"/>
      <w:r>
        <w:rPr>
          <w:rFonts w:ascii="Times New Roman" w:hAnsi="Times New Roman"/>
          <w:sz w:val="24"/>
        </w:rPr>
        <w:t>C 08.05.1 - Rischio di credito e operazioni con regolamento non contestuale: metodo IRB applicato ai requisiti patrimoniali: test retrospettivi della PD (CR IRB 5)</w:t>
      </w:r>
      <w:bookmarkEnd w:id="338"/>
      <w:bookmarkEnd w:id="339"/>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40" w:name="_Toc19715765"/>
      <w:bookmarkStart w:id="341" w:name="_Toc58915765"/>
      <w:r>
        <w:rPr>
          <w:rFonts w:ascii="Times New Roman" w:hAnsi="Times New Roman"/>
          <w:sz w:val="24"/>
        </w:rPr>
        <w:t>Istruzioni relative a posizioni specifiche</w:t>
      </w:r>
      <w:bookmarkEnd w:id="340"/>
      <w:bookmarkEnd w:id="341"/>
    </w:p>
    <w:p w:rsidR="008151A6" w:rsidRPr="00661595" w:rsidRDefault="00A971CA" w:rsidP="00230E1B">
      <w:pPr>
        <w:pStyle w:val="InstructionsText2"/>
        <w:numPr>
          <w:ilvl w:val="0"/>
          <w:numId w:val="0"/>
        </w:numPr>
        <w:ind w:left="1560" w:hanging="360"/>
      </w:pPr>
      <w:r>
        <w:fldChar w:fldCharType="begin"/>
      </w:r>
      <w:r>
        <w:instrText xml:space="preserve"> seq paragraphs </w:instrText>
      </w:r>
      <w:r>
        <w:fldChar w:fldCharType="separate"/>
      </w:r>
      <w:r w:rsidR="00D11E4C">
        <w:rPr>
          <w:noProof/>
        </w:rPr>
        <w:t>81</w:t>
      </w:r>
      <w:r>
        <w:rPr>
          <w:noProof/>
        </w:rPr>
        <w:fldChar w:fldCharType="end"/>
      </w:r>
      <w:r w:rsidR="00D11E4C">
        <w:t>. Oltre al modello C 08.05, gli enti segnalano le informazioni incluse nel modello C 08.05.1 se applicano l</w:t>
      </w:r>
      <w:r w:rsidR="000878EC">
        <w:t>'</w:t>
      </w:r>
      <w:r w:rsidR="00D11E4C">
        <w:t>articolo 180, paragrafo 1, lettera f), del CRR per la stima della PD e solo per le stime della PD ai sensi dello stesso articolo. Le istruzioni sono le stesse del modello C 08.05, con le seguenti eccezioni:</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Colonne</w:t>
            </w:r>
          </w:p>
        </w:tc>
        <w:tc>
          <w:tcPr>
            <w:tcW w:w="8843"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Istruzioni</w:t>
            </w:r>
          </w:p>
        </w:tc>
      </w:tr>
      <w:tr w:rsidR="008151A6" w:rsidRPr="00661595" w:rsidTr="00664874">
        <w:tc>
          <w:tcPr>
            <w:tcW w:w="1188" w:type="dxa"/>
            <w:shd w:val="clear" w:color="auto" w:fill="auto"/>
          </w:tcPr>
          <w:p w:rsidR="008151A6" w:rsidRPr="00661595" w:rsidRDefault="008151A6" w:rsidP="008D1D6C">
            <w:pPr>
              <w:rPr>
                <w:rFonts w:ascii="Times New Roman" w:hAnsi="Times New Roman"/>
                <w:sz w:val="24"/>
              </w:rPr>
            </w:pPr>
            <w:r>
              <w:rPr>
                <w:rFonts w:ascii="Times New Roman" w:hAnsi="Times New Roman"/>
                <w:sz w:val="24"/>
              </w:rPr>
              <w:t>0005</w:t>
            </w:r>
          </w:p>
        </w:tc>
        <w:tc>
          <w:tcPr>
            <w:tcW w:w="8843" w:type="dxa"/>
            <w:shd w:val="clear" w:color="auto" w:fill="auto"/>
          </w:tcPr>
          <w:p w:rsidR="008151A6" w:rsidRPr="00661595" w:rsidRDefault="008151A6" w:rsidP="00664874">
            <w:pPr>
              <w:rPr>
                <w:rFonts w:ascii="Times New Roman" w:hAnsi="Times New Roman"/>
                <w:b/>
                <w:sz w:val="24"/>
                <w:u w:val="single"/>
              </w:rPr>
            </w:pPr>
            <w:r>
              <w:rPr>
                <w:rFonts w:ascii="Times New Roman" w:hAnsi="Times New Roman"/>
                <w:b/>
                <w:sz w:val="24"/>
                <w:u w:val="single"/>
              </w:rPr>
              <w:t>INTERVALLO DI PD</w:t>
            </w:r>
          </w:p>
          <w:p w:rsidR="008151A6" w:rsidRPr="00661595" w:rsidRDefault="008151A6" w:rsidP="00664874">
            <w:pPr>
              <w:rPr>
                <w:rFonts w:ascii="Times New Roman" w:hAnsi="Times New Roman"/>
                <w:sz w:val="24"/>
              </w:rPr>
            </w:pPr>
            <w:r>
              <w:rPr>
                <w:rFonts w:ascii="Times New Roman" w:hAnsi="Times New Roman"/>
                <w:sz w:val="24"/>
              </w:rPr>
              <w:t xml:space="preserve">Gli enti segnalano gli intervalli di PD </w:t>
            </w:r>
            <w:r>
              <w:rPr>
                <w:rStyle w:val="InstructionsTabelleText"/>
                <w:rFonts w:ascii="Times New Roman" w:hAnsi="Times New Roman"/>
                <w:sz w:val="24"/>
              </w:rPr>
              <w:t>in base alle</w:t>
            </w:r>
            <w:r>
              <w:rPr>
                <w:rFonts w:ascii="Times New Roman" w:hAnsi="Times New Roman"/>
                <w:sz w:val="24"/>
              </w:rPr>
              <w:t xml:space="preserve"> loro classi interne che associano alla scala utilizzata dall</w:t>
            </w:r>
            <w:r w:rsidR="000878EC">
              <w:rPr>
                <w:rFonts w:ascii="Times New Roman" w:hAnsi="Times New Roman"/>
                <w:sz w:val="24"/>
              </w:rPr>
              <w:t>'</w:t>
            </w:r>
            <w:r>
              <w:rPr>
                <w:rFonts w:ascii="Times New Roman" w:hAnsi="Times New Roman"/>
                <w:sz w:val="24"/>
              </w:rPr>
              <w:t>ECAI esterna, invece di un intervallo di PD esterno fisso.</w:t>
            </w:r>
          </w:p>
        </w:tc>
      </w:tr>
      <w:tr w:rsidR="008151A6" w:rsidRPr="00661595" w:rsidTr="00664874">
        <w:tc>
          <w:tcPr>
            <w:tcW w:w="1188" w:type="dxa"/>
            <w:shd w:val="clear" w:color="auto" w:fill="auto"/>
          </w:tcPr>
          <w:p w:rsidR="008151A6" w:rsidRPr="00661595" w:rsidRDefault="008151A6" w:rsidP="008D1D6C">
            <w:pPr>
              <w:rPr>
                <w:rFonts w:ascii="Times New Roman" w:hAnsi="Times New Roman"/>
                <w:sz w:val="24"/>
              </w:rPr>
            </w:pPr>
            <w:r>
              <w:rPr>
                <w:rFonts w:ascii="Times New Roman" w:hAnsi="Times New Roman"/>
                <w:sz w:val="24"/>
              </w:rPr>
              <w:t>0006</w:t>
            </w:r>
          </w:p>
        </w:tc>
        <w:tc>
          <w:tcPr>
            <w:tcW w:w="8843" w:type="dxa"/>
            <w:shd w:val="clear" w:color="auto" w:fill="auto"/>
          </w:tcPr>
          <w:p w:rsidR="008151A6" w:rsidRPr="00661595" w:rsidRDefault="008151A6" w:rsidP="00664874">
            <w:pPr>
              <w:rPr>
                <w:rFonts w:ascii="Times New Roman" w:hAnsi="Times New Roman"/>
                <w:b/>
                <w:sz w:val="24"/>
                <w:u w:val="single"/>
              </w:rPr>
            </w:pPr>
            <w:r>
              <w:rPr>
                <w:rFonts w:ascii="Times New Roman" w:hAnsi="Times New Roman"/>
                <w:b/>
                <w:sz w:val="24"/>
                <w:u w:val="single"/>
              </w:rPr>
              <w:t>EQUIVALENTE RATING ESTERNO</w:t>
            </w:r>
          </w:p>
          <w:p w:rsidR="008151A6" w:rsidRPr="00661595" w:rsidRDefault="00B7583B" w:rsidP="00815EE9">
            <w:pPr>
              <w:rPr>
                <w:rFonts w:ascii="Times New Roman" w:hAnsi="Times New Roman"/>
                <w:sz w:val="24"/>
              </w:rPr>
            </w:pPr>
            <w:r>
              <w:rPr>
                <w:rFonts w:ascii="Times New Roman" w:hAnsi="Times New Roman"/>
                <w:sz w:val="24"/>
              </w:rPr>
              <w:t>Gli enti segnalano una colonna per ciascuna ECAI considerata conformemente all</w:t>
            </w:r>
            <w:r w:rsidR="000878EC">
              <w:rPr>
                <w:rFonts w:ascii="Times New Roman" w:hAnsi="Times New Roman"/>
                <w:sz w:val="24"/>
              </w:rPr>
              <w:t>'</w:t>
            </w:r>
            <w:r>
              <w:rPr>
                <w:rFonts w:ascii="Times New Roman" w:hAnsi="Times New Roman"/>
                <w:sz w:val="24"/>
              </w:rPr>
              <w:t>articolo 180, paragrafo 1, lettera f), del CRR. Gli enti includono in queste colonne il rating esterno al quale sono associati i loro intervalli interni di PD.</w:t>
            </w:r>
          </w:p>
        </w:tc>
      </w:tr>
    </w:tbl>
    <w:p w:rsidR="008151A6" w:rsidRPr="00661595" w:rsidRDefault="008151A6" w:rsidP="00F66371">
      <w:pPr>
        <w:pStyle w:val="Instructionsberschrift2"/>
        <w:numPr>
          <w:ilvl w:val="2"/>
          <w:numId w:val="36"/>
        </w:numPr>
        <w:rPr>
          <w:rFonts w:ascii="Times New Roman" w:hAnsi="Times New Roman" w:cs="Times New Roman"/>
          <w:sz w:val="24"/>
        </w:rPr>
      </w:pPr>
      <w:bookmarkStart w:id="342" w:name="_Toc19715766"/>
      <w:bookmarkStart w:id="343" w:name="_Toc58915766"/>
      <w:r>
        <w:rPr>
          <w:rFonts w:ascii="Times New Roman" w:hAnsi="Times New Roman"/>
          <w:sz w:val="24"/>
        </w:rPr>
        <w:t>C 08.06 - Rischio di credito e operazioni con regolamento non contestuale: metodo IRB applicato ai requisiti patrimoniali (metodo di assegnazione dei finanziamenti specializzati (CR IRB 6))</w:t>
      </w:r>
      <w:bookmarkEnd w:id="342"/>
      <w:bookmarkEnd w:id="343"/>
    </w:p>
    <w:p w:rsidR="008151A6" w:rsidRPr="00661595" w:rsidRDefault="008151A6" w:rsidP="00230E1B">
      <w:pPr>
        <w:pStyle w:val="Instructionsberschrift2"/>
        <w:keepLines/>
        <w:numPr>
          <w:ilvl w:val="3"/>
          <w:numId w:val="36"/>
        </w:numPr>
        <w:ind w:left="709"/>
        <w:rPr>
          <w:rFonts w:ascii="Times New Roman" w:hAnsi="Times New Roman" w:cs="Times New Roman"/>
          <w:sz w:val="24"/>
        </w:rPr>
      </w:pPr>
      <w:bookmarkStart w:id="344" w:name="_Toc19715767"/>
      <w:bookmarkStart w:id="345" w:name="_Toc58915767"/>
      <w:r>
        <w:rPr>
          <w:rFonts w:ascii="Times New Roman" w:hAnsi="Times New Roman"/>
          <w:sz w:val="24"/>
        </w:rPr>
        <w:t>Osservazioni di carattere generale</w:t>
      </w:r>
      <w:bookmarkEnd w:id="344"/>
      <w:bookmarkEnd w:id="345"/>
    </w:p>
    <w:p w:rsidR="008151A6" w:rsidRPr="00661595" w:rsidRDefault="00A971CA" w:rsidP="009D498D">
      <w:pPr>
        <w:pStyle w:val="InstructionsText2"/>
        <w:keepNext/>
        <w:keepLines/>
        <w:numPr>
          <w:ilvl w:val="0"/>
          <w:numId w:val="0"/>
        </w:numPr>
        <w:ind w:left="1560" w:hanging="360"/>
      </w:pPr>
      <w:r>
        <w:fldChar w:fldCharType="begin"/>
      </w:r>
      <w:r>
        <w:instrText xml:space="preserve"> seq paragraphs </w:instrText>
      </w:r>
      <w:r>
        <w:fldChar w:fldCharType="separate"/>
      </w:r>
      <w:r w:rsidR="00D11E4C">
        <w:rPr>
          <w:noProof/>
        </w:rPr>
        <w:t>82</w:t>
      </w:r>
      <w:r>
        <w:rPr>
          <w:noProof/>
        </w:rPr>
        <w:fldChar w:fldCharType="end"/>
      </w:r>
      <w:r w:rsidR="00D11E4C">
        <w:t>. Gli enti segnalano le informazioni incluse in questo modello in applicazione dell</w:t>
      </w:r>
      <w:r w:rsidR="000878EC">
        <w:t>'</w:t>
      </w:r>
      <w:r w:rsidR="00D11E4C">
        <w:t>articolo 438, lettera e), del CRR. Gli enti segnalano informazioni sulle seguenti tipologie di esposizioni da finanziamenti specializzati di c</w:t>
      </w:r>
      <w:r w:rsidR="009D498D">
        <w:t>ui alla tabella 1 dell</w:t>
      </w:r>
      <w:r w:rsidR="000878EC">
        <w:t>'</w:t>
      </w:r>
      <w:r w:rsidR="009D498D">
        <w:t xml:space="preserve">articolo 153, paragrafo </w:t>
      </w:r>
      <w:r w:rsidR="00D11E4C">
        <w:t>5:</w:t>
      </w:r>
    </w:p>
    <w:p w:rsidR="008151A6" w:rsidRPr="00661595" w:rsidRDefault="008151A6" w:rsidP="00115052">
      <w:pPr>
        <w:pStyle w:val="InstructionsText2"/>
        <w:numPr>
          <w:ilvl w:val="1"/>
          <w:numId w:val="15"/>
        </w:numPr>
      </w:pPr>
      <w:r>
        <w:t>Finanziamento di progetti</w:t>
      </w:r>
    </w:p>
    <w:p w:rsidR="008151A6" w:rsidRPr="00661595" w:rsidRDefault="008151A6" w:rsidP="00115052">
      <w:pPr>
        <w:pStyle w:val="InstructionsText2"/>
        <w:numPr>
          <w:ilvl w:val="1"/>
          <w:numId w:val="15"/>
        </w:numPr>
      </w:pPr>
      <w:r>
        <w:t>Beni immobili generatori di reddito e beni immobili non residenziali ad alta volatilità</w:t>
      </w:r>
    </w:p>
    <w:p w:rsidR="008151A6" w:rsidRPr="00661595" w:rsidRDefault="008151A6" w:rsidP="00115052">
      <w:pPr>
        <w:pStyle w:val="InstructionsText2"/>
        <w:numPr>
          <w:ilvl w:val="1"/>
          <w:numId w:val="15"/>
        </w:numPr>
      </w:pPr>
      <w:r>
        <w:t>Finanziamento di attività materiali a destinazione specifica (object finance)</w:t>
      </w:r>
    </w:p>
    <w:p w:rsidR="008151A6" w:rsidRPr="00661595" w:rsidRDefault="008151A6" w:rsidP="00115052">
      <w:pPr>
        <w:pStyle w:val="InstructionsText2"/>
        <w:numPr>
          <w:ilvl w:val="1"/>
          <w:numId w:val="15"/>
        </w:numPr>
      </w:pPr>
      <w:r>
        <w:t>Finanziamento su merci (commodities finance)</w:t>
      </w:r>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46" w:name="_Toc19715768"/>
      <w:bookmarkStart w:id="347" w:name="_Toc58915768"/>
      <w:r>
        <w:rPr>
          <w:rFonts w:ascii="Times New Roman" w:hAnsi="Times New Roman"/>
          <w:sz w:val="24"/>
        </w:rPr>
        <w:t>Istruzioni relative a posizioni specifiche</w:t>
      </w:r>
      <w:bookmarkEnd w:id="346"/>
      <w:bookmarkEnd w:id="347"/>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Colonne</w:t>
            </w:r>
          </w:p>
        </w:tc>
        <w:tc>
          <w:tcPr>
            <w:tcW w:w="8843" w:type="dxa"/>
            <w:shd w:val="clear" w:color="auto" w:fill="CCCCCC"/>
          </w:tcPr>
          <w:p w:rsidR="008151A6" w:rsidRPr="00661595" w:rsidRDefault="008151A6" w:rsidP="00D36AB7">
            <w:pPr>
              <w:suppressAutoHyphens/>
              <w:rPr>
                <w:rFonts w:ascii="Times New Roman" w:hAnsi="Times New Roman"/>
                <w:sz w:val="24"/>
              </w:rPr>
            </w:pPr>
            <w:r>
              <w:rPr>
                <w:rFonts w:ascii="Times New Roman" w:hAnsi="Times New Roman"/>
                <w:sz w:val="24"/>
              </w:rPr>
              <w:t>Istruzioni</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D36AB7">
            <w:pPr>
              <w:suppressAutoHyphens/>
              <w:rPr>
                <w:rFonts w:ascii="Times New Roman" w:hAnsi="Times New Roman"/>
                <w:b/>
                <w:sz w:val="24"/>
                <w:u w:val="single"/>
              </w:rPr>
            </w:pPr>
            <w:r>
              <w:rPr>
                <w:rFonts w:ascii="Times New Roman" w:hAnsi="Times New Roman"/>
                <w:b/>
                <w:sz w:val="24"/>
                <w:u w:val="single"/>
              </w:rPr>
              <w:t>ESPOSIZIONE ORIGINARIA PRIMA DELL</w:t>
            </w:r>
            <w:r w:rsidR="000878EC">
              <w:rPr>
                <w:rFonts w:ascii="Times New Roman" w:hAnsi="Times New Roman"/>
                <w:b/>
                <w:sz w:val="24"/>
                <w:u w:val="single"/>
              </w:rPr>
              <w:t>'</w:t>
            </w:r>
            <w:r>
              <w:rPr>
                <w:rFonts w:ascii="Times New Roman" w:hAnsi="Times New Roman"/>
                <w:b/>
                <w:sz w:val="24"/>
                <w:u w:val="single"/>
              </w:rPr>
              <w:t>APPLICAZIONE DEI FATTORI DI CONVERSIONE</w:t>
            </w:r>
          </w:p>
          <w:p w:rsidR="008151A6" w:rsidRPr="00661595" w:rsidRDefault="008151A6" w:rsidP="00D36AB7">
            <w:pPr>
              <w:suppressAutoHyphens/>
              <w:rPr>
                <w:rFonts w:ascii="Times New Roman" w:hAnsi="Times New Roman"/>
                <w:sz w:val="24"/>
              </w:rPr>
            </w:pPr>
            <w:r>
              <w:rPr>
                <w:rFonts w:ascii="Times New Roman" w:hAnsi="Times New Roman"/>
                <w:sz w:val="24"/>
              </w:rPr>
              <w:t>Cfr. le istruzioni relative al modello CR IRB.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D36AB7">
            <w:pPr>
              <w:suppressAutoHyphens/>
              <w:rPr>
                <w:rFonts w:ascii="Times New Roman" w:hAnsi="Times New Roman"/>
                <w:b/>
                <w:sz w:val="24"/>
                <w:u w:val="single"/>
              </w:rPr>
            </w:pPr>
            <w:r>
              <w:rPr>
                <w:rFonts w:ascii="Times New Roman" w:hAnsi="Times New Roman"/>
                <w:b/>
                <w:sz w:val="24"/>
                <w:u w:val="single"/>
              </w:rPr>
              <w:t>ESPOSIZIONE DOPO GLI EFFETTI DI SOSTITUZIONE DELL</w:t>
            </w:r>
            <w:r w:rsidR="000878EC">
              <w:rPr>
                <w:rFonts w:ascii="Times New Roman" w:hAnsi="Times New Roman"/>
                <w:b/>
                <w:sz w:val="24"/>
                <w:u w:val="single"/>
              </w:rPr>
              <w:t>'</w:t>
            </w:r>
            <w:r>
              <w:rPr>
                <w:rFonts w:ascii="Times New Roman" w:hAnsi="Times New Roman"/>
                <w:b/>
                <w:sz w:val="24"/>
                <w:u w:val="single"/>
              </w:rPr>
              <w:t>ATTENUAZIONE DEL RISCHIO DI CREDITO PRIMA DELL</w:t>
            </w:r>
            <w:r w:rsidR="000878EC">
              <w:rPr>
                <w:rFonts w:ascii="Times New Roman" w:hAnsi="Times New Roman"/>
                <w:b/>
                <w:sz w:val="24"/>
                <w:u w:val="single"/>
              </w:rPr>
              <w:t>'</w:t>
            </w:r>
            <w:r>
              <w:rPr>
                <w:rFonts w:ascii="Times New Roman" w:hAnsi="Times New Roman"/>
                <w:b/>
                <w:sz w:val="24"/>
                <w:u w:val="single"/>
              </w:rPr>
              <w:t>APPLICAZIONE DEI FATTORI DI CONVERSIONE</w:t>
            </w:r>
          </w:p>
          <w:p w:rsidR="008151A6" w:rsidRPr="00661595" w:rsidRDefault="008151A6" w:rsidP="00D36AB7">
            <w:pPr>
              <w:suppressAutoHyphens/>
              <w:rPr>
                <w:rFonts w:ascii="Times New Roman" w:hAnsi="Times New Roman"/>
                <w:sz w:val="24"/>
              </w:rPr>
            </w:pPr>
            <w:r>
              <w:rPr>
                <w:rFonts w:ascii="Times New Roman" w:hAnsi="Times New Roman"/>
                <w:sz w:val="24"/>
              </w:rPr>
              <w:t>Cfr. le istruzioni relative al modello CR IRB.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0030, 0050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D36AB7">
            <w:pPr>
              <w:suppressAutoHyphens/>
              <w:rPr>
                <w:rStyle w:val="InstructionsTabelleberschrift"/>
                <w:rFonts w:ascii="Times New Roman" w:hAnsi="Times New Roman"/>
                <w:bCs w:val="0"/>
                <w:sz w:val="24"/>
              </w:rPr>
            </w:pPr>
            <w:r>
              <w:rPr>
                <w:rStyle w:val="InstructionsTabelleberschrift"/>
                <w:rFonts w:ascii="Times New Roman" w:hAnsi="Times New Roman"/>
                <w:bCs w:val="0"/>
                <w:sz w:val="24"/>
              </w:rPr>
              <w:t xml:space="preserve">DI CUI: ELEMENTI FUORI BILANCIO </w:t>
            </w:r>
          </w:p>
          <w:p w:rsidR="008151A6" w:rsidRPr="00661595" w:rsidRDefault="008151A6" w:rsidP="00D36AB7">
            <w:pPr>
              <w:suppressAutoHyphens/>
              <w:rPr>
                <w:rFonts w:ascii="Times New Roman" w:hAnsi="Times New Roman"/>
                <w:sz w:val="24"/>
              </w:rPr>
            </w:pPr>
            <w:r>
              <w:rPr>
                <w:rFonts w:ascii="Times New Roman" w:hAnsi="Times New Roman"/>
                <w:sz w:val="24"/>
              </w:rPr>
              <w:t>Cfr. le istruzioni relative al modello CR SA.</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D36AB7">
            <w:pPr>
              <w:suppressAutoHyphens/>
              <w:rPr>
                <w:rFonts w:ascii="Times New Roman" w:hAnsi="Times New Roman"/>
                <w:b/>
                <w:sz w:val="24"/>
                <w:u w:val="single"/>
              </w:rPr>
            </w:pPr>
            <w:r>
              <w:rPr>
                <w:rFonts w:ascii="Times New Roman" w:hAnsi="Times New Roman"/>
                <w:b/>
                <w:sz w:val="24"/>
                <w:u w:val="single"/>
              </w:rPr>
              <w:t>VALORE DELL</w:t>
            </w:r>
            <w:r w:rsidR="000878EC">
              <w:rPr>
                <w:rFonts w:ascii="Times New Roman" w:hAnsi="Times New Roman"/>
                <w:b/>
                <w:sz w:val="24"/>
                <w:u w:val="single"/>
              </w:rPr>
              <w:t>'</w:t>
            </w:r>
            <w:r>
              <w:rPr>
                <w:rFonts w:ascii="Times New Roman" w:hAnsi="Times New Roman"/>
                <w:b/>
                <w:sz w:val="24"/>
                <w:u w:val="single"/>
              </w:rPr>
              <w:t>ESPOSIZIONE</w:t>
            </w:r>
          </w:p>
          <w:p w:rsidR="008151A6" w:rsidRPr="00661595" w:rsidRDefault="008151A6" w:rsidP="00D36AB7">
            <w:pPr>
              <w:suppressAutoHyphens/>
              <w:rPr>
                <w:rFonts w:ascii="Times New Roman" w:hAnsi="Times New Roman"/>
                <w:sz w:val="24"/>
              </w:rPr>
            </w:pPr>
            <w:r>
              <w:rPr>
                <w:rFonts w:ascii="Times New Roman" w:hAnsi="Times New Roman"/>
                <w:sz w:val="24"/>
              </w:rPr>
              <w:t>Cfr. le istruzioni relative al modello CR IRB.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D36AB7">
            <w:pPr>
              <w:suppressAutoHyphens/>
              <w:rPr>
                <w:rStyle w:val="InstructionsTabelleberschrift"/>
                <w:rFonts w:ascii="Times New Roman" w:hAnsi="Times New Roman"/>
                <w:bCs w:val="0"/>
                <w:sz w:val="24"/>
              </w:rPr>
            </w:pPr>
            <w:r>
              <w:rPr>
                <w:rStyle w:val="InstructionsTabelleberschrift"/>
                <w:rFonts w:ascii="Times New Roman" w:hAnsi="Times New Roman"/>
                <w:bCs w:val="0"/>
                <w:sz w:val="24"/>
              </w:rPr>
              <w:t xml:space="preserve">DI CUI: DERIVANTE DAL RISCHIO DI CONTROPARTE </w:t>
            </w:r>
          </w:p>
          <w:p w:rsidR="008151A6" w:rsidRPr="00661595" w:rsidRDefault="008151A6" w:rsidP="00D36AB7">
            <w:pPr>
              <w:suppressAutoHyphens/>
              <w:rPr>
                <w:rFonts w:ascii="Times New Roman" w:hAnsi="Times New Roman"/>
                <w:sz w:val="24"/>
              </w:rPr>
            </w:pPr>
            <w:r>
              <w:rPr>
                <w:rFonts w:ascii="Times New Roman" w:hAnsi="Times New Roman"/>
                <w:sz w:val="24"/>
              </w:rPr>
              <w:t>Cfr. le istruzioni relative al modello CR SA.</w:t>
            </w:r>
            <w:r>
              <w:rPr>
                <w:rStyle w:val="InstructionsTabelleText"/>
                <w:rFonts w:ascii="Times New Roman" w:hAnsi="Times New Roman"/>
                <w:sz w:val="24"/>
              </w:rPr>
              <w:t xml:space="preserve">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D36AB7">
            <w:pPr>
              <w:suppressAutoHyphens/>
              <w:rPr>
                <w:rFonts w:ascii="Times New Roman" w:hAnsi="Times New Roman"/>
                <w:b/>
                <w:sz w:val="24"/>
                <w:u w:val="single"/>
              </w:rPr>
            </w:pPr>
            <w:r>
              <w:rPr>
                <w:rFonts w:ascii="Times New Roman" w:hAnsi="Times New Roman"/>
                <w:b/>
                <w:sz w:val="24"/>
                <w:u w:val="single"/>
              </w:rPr>
              <w:t>FATTORE DI PONDERAZIONE DEL RISCHIO</w:t>
            </w:r>
          </w:p>
          <w:p w:rsidR="002771C5" w:rsidRDefault="0044539D" w:rsidP="00D36AB7">
            <w:pPr>
              <w:suppressAutoHyphens/>
              <w:rPr>
                <w:rFonts w:ascii="Times New Roman" w:hAnsi="Times New Roman"/>
                <w:sz w:val="24"/>
              </w:rPr>
            </w:pPr>
            <w:r>
              <w:rPr>
                <w:rFonts w:ascii="Times New Roman" w:hAnsi="Times New Roman"/>
                <w:sz w:val="24"/>
              </w:rPr>
              <w:t>Articolo 153, paragrafo 5, del CRR</w:t>
            </w:r>
          </w:p>
          <w:p w:rsidR="008151A6" w:rsidRPr="00661595" w:rsidRDefault="008151A6" w:rsidP="00D36AB7">
            <w:pPr>
              <w:suppressAutoHyphens/>
              <w:rPr>
                <w:rFonts w:ascii="Times New Roman" w:hAnsi="Times New Roman"/>
                <w:sz w:val="24"/>
              </w:rPr>
            </w:pPr>
            <w:r>
              <w:rPr>
                <w:rFonts w:ascii="Times New Roman" w:hAnsi="Times New Roman"/>
                <w:sz w:val="24"/>
              </w:rPr>
              <w:t xml:space="preserve">Si tratta di una colonna fissa a titolo informativo. Essa non può essere modificata. </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D36AB7">
            <w:pPr>
              <w:keepNext/>
              <w:keepLines/>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D36AB7">
            <w:pPr>
              <w:keepNext/>
              <w:keepLines/>
              <w:suppressAutoHyphens/>
              <w:rPr>
                <w:rFonts w:ascii="Times New Roman" w:hAnsi="Times New Roman"/>
                <w:b/>
                <w:sz w:val="24"/>
                <w:u w:val="single"/>
              </w:rPr>
            </w:pPr>
            <w:r>
              <w:rPr>
                <w:rFonts w:ascii="Times New Roman" w:hAnsi="Times New Roman"/>
                <w:b/>
                <w:sz w:val="24"/>
                <w:u w:val="single"/>
              </w:rPr>
              <w:t>IMPORTO DELL</w:t>
            </w:r>
            <w:r w:rsidR="000878EC">
              <w:rPr>
                <w:rFonts w:ascii="Times New Roman" w:hAnsi="Times New Roman"/>
                <w:b/>
                <w:sz w:val="24"/>
                <w:u w:val="single"/>
              </w:rPr>
              <w:t>'</w:t>
            </w:r>
            <w:r>
              <w:rPr>
                <w:rFonts w:ascii="Times New Roman" w:hAnsi="Times New Roman"/>
                <w:b/>
                <w:sz w:val="24"/>
                <w:u w:val="single"/>
              </w:rPr>
              <w:t>ESPOSIZIONE PONDERATO PER IL RISCHIO DOPO L</w:t>
            </w:r>
            <w:r w:rsidR="000878EC">
              <w:rPr>
                <w:rFonts w:ascii="Times New Roman" w:hAnsi="Times New Roman"/>
                <w:b/>
                <w:sz w:val="24"/>
                <w:u w:val="single"/>
              </w:rPr>
              <w:t>'</w:t>
            </w:r>
            <w:r>
              <w:rPr>
                <w:rFonts w:ascii="Times New Roman" w:hAnsi="Times New Roman"/>
                <w:b/>
                <w:sz w:val="24"/>
                <w:u w:val="single"/>
              </w:rPr>
              <w:t>APPLICAZIONE DEI FATTORI DI SOSTEGNO</w:t>
            </w:r>
          </w:p>
          <w:p w:rsidR="008151A6" w:rsidRPr="00661595" w:rsidRDefault="008151A6" w:rsidP="00D36AB7">
            <w:pPr>
              <w:keepNext/>
              <w:keepLines/>
              <w:suppressAutoHyphens/>
              <w:rPr>
                <w:rFonts w:ascii="Times New Roman" w:hAnsi="Times New Roman"/>
                <w:b/>
                <w:sz w:val="24"/>
              </w:rPr>
            </w:pPr>
            <w:r>
              <w:rPr>
                <w:rFonts w:ascii="Times New Roman" w:hAnsi="Times New Roman"/>
                <w:sz w:val="24"/>
              </w:rPr>
              <w:t>Cfr. le istruzioni relative al modello CR IRB.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D36AB7">
            <w:pPr>
              <w:suppressAutoHyphens/>
              <w:rPr>
                <w:rFonts w:ascii="Times New Roman" w:hAnsi="Times New Roman"/>
                <w:b/>
                <w:sz w:val="24"/>
                <w:u w:val="single"/>
              </w:rPr>
            </w:pPr>
            <w:r>
              <w:rPr>
                <w:rFonts w:ascii="Times New Roman" w:hAnsi="Times New Roman"/>
                <w:b/>
                <w:sz w:val="24"/>
                <w:u w:val="single"/>
              </w:rPr>
              <w:t>IMPORTO DELLE PERDITE ATTESE</w:t>
            </w:r>
          </w:p>
          <w:p w:rsidR="008151A6" w:rsidRPr="00661595" w:rsidRDefault="008151A6" w:rsidP="00D36AB7">
            <w:pPr>
              <w:suppressAutoHyphens/>
              <w:rPr>
                <w:rFonts w:ascii="Times New Roman" w:hAnsi="Times New Roman"/>
                <w:b/>
                <w:sz w:val="24"/>
              </w:rPr>
            </w:pPr>
            <w:r>
              <w:rPr>
                <w:rFonts w:ascii="Times New Roman" w:hAnsi="Times New Roman"/>
                <w:sz w:val="24"/>
              </w:rPr>
              <w:t>Cfr. le istruzioni relative al modello CR IRB.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66487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D36AB7">
            <w:pPr>
              <w:suppressAutoHyphens/>
              <w:rPr>
                <w:rFonts w:ascii="Times New Roman" w:hAnsi="Times New Roman"/>
                <w:b/>
                <w:sz w:val="24"/>
                <w:u w:val="single"/>
              </w:rPr>
            </w:pPr>
            <w:r>
              <w:rPr>
                <w:rFonts w:ascii="Times New Roman" w:hAnsi="Times New Roman"/>
                <w:b/>
                <w:sz w:val="24"/>
                <w:u w:val="single"/>
              </w:rPr>
              <w:t>(-) RETTIFICHE DI VALORE E ACCANTONAMENTI</w:t>
            </w:r>
          </w:p>
          <w:p w:rsidR="008151A6" w:rsidRPr="00661595" w:rsidRDefault="008151A6" w:rsidP="00D36AB7">
            <w:pPr>
              <w:suppressAutoHyphens/>
              <w:rPr>
                <w:rFonts w:ascii="Times New Roman" w:hAnsi="Times New Roman"/>
                <w:b/>
                <w:sz w:val="24"/>
              </w:rPr>
            </w:pPr>
            <w:r>
              <w:rPr>
                <w:rFonts w:ascii="Times New Roman" w:hAnsi="Times New Roman"/>
                <w:sz w:val="24"/>
              </w:rPr>
              <w:t>Cfr. le istruzioni relative al modello CR IRB.</w:t>
            </w:r>
          </w:p>
        </w:tc>
      </w:tr>
    </w:tbl>
    <w:p w:rsidR="008151A6" w:rsidRPr="00661595" w:rsidRDefault="008151A6" w:rsidP="007D633B">
      <w:pPr>
        <w:pStyle w:val="body"/>
      </w:pPr>
      <w:bookmarkStart w:id="348" w:name="_Toc1971576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8931"/>
      </w:tblGrid>
      <w:tr w:rsidR="008151A6" w:rsidRPr="00661595" w:rsidTr="00664874">
        <w:tc>
          <w:tcPr>
            <w:tcW w:w="1129"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Righe</w:t>
            </w:r>
          </w:p>
        </w:tc>
        <w:tc>
          <w:tcPr>
            <w:tcW w:w="8931" w:type="dxa"/>
            <w:shd w:val="pct25" w:color="auto" w:fill="auto"/>
          </w:tcPr>
          <w:p w:rsidR="008151A6" w:rsidRPr="00661595" w:rsidRDefault="008151A6" w:rsidP="00664874">
            <w:pPr>
              <w:rPr>
                <w:rFonts w:ascii="Times New Roman" w:hAnsi="Times New Roman"/>
                <w:sz w:val="24"/>
              </w:rPr>
            </w:pPr>
            <w:r>
              <w:rPr>
                <w:rFonts w:ascii="Times New Roman" w:hAnsi="Times New Roman"/>
                <w:sz w:val="24"/>
              </w:rPr>
              <w:t>Istruzioni</w:t>
            </w:r>
          </w:p>
        </w:tc>
      </w:tr>
      <w:tr w:rsidR="008151A6" w:rsidRPr="00661595" w:rsidTr="00664874">
        <w:tc>
          <w:tcPr>
            <w:tcW w:w="1129" w:type="dxa"/>
          </w:tcPr>
          <w:p w:rsidR="008151A6" w:rsidRPr="00661595" w:rsidRDefault="008151A6" w:rsidP="00664874">
            <w:pPr>
              <w:rPr>
                <w:rFonts w:ascii="Times New Roman" w:hAnsi="Times New Roman"/>
                <w:sz w:val="24"/>
              </w:rPr>
            </w:pPr>
            <w:r>
              <w:rPr>
                <w:rFonts w:ascii="Times New Roman" w:hAnsi="Times New Roman"/>
                <w:sz w:val="24"/>
              </w:rPr>
              <w:t>0010-0120</w:t>
            </w:r>
          </w:p>
        </w:tc>
        <w:tc>
          <w:tcPr>
            <w:tcW w:w="8931" w:type="dxa"/>
          </w:tcPr>
          <w:p w:rsidR="008151A6" w:rsidRPr="00661595" w:rsidRDefault="008151A6" w:rsidP="0044539D">
            <w:pPr>
              <w:rPr>
                <w:rFonts w:ascii="Times New Roman" w:hAnsi="Times New Roman"/>
                <w:sz w:val="24"/>
              </w:rPr>
            </w:pPr>
            <w:r>
              <w:rPr>
                <w:rFonts w:ascii="Times New Roman" w:hAnsi="Times New Roman"/>
                <w:sz w:val="24"/>
              </w:rPr>
              <w:t xml:space="preserve">Le esposizioni sono assegnate alla categoria e alla durata appropriate </w:t>
            </w:r>
            <w:r>
              <w:rPr>
                <w:rStyle w:val="InstructionsTabelleText"/>
                <w:rFonts w:ascii="Times New Roman" w:hAnsi="Times New Roman"/>
                <w:sz w:val="24"/>
              </w:rPr>
              <w:t>conformemente alla</w:t>
            </w:r>
            <w:r>
              <w:rPr>
                <w:rFonts w:ascii="Times New Roman" w:hAnsi="Times New Roman"/>
                <w:sz w:val="24"/>
              </w:rPr>
              <w:t xml:space="preserve"> tabella 1 dell</w:t>
            </w:r>
            <w:r w:rsidR="000878EC">
              <w:rPr>
                <w:rFonts w:ascii="Times New Roman" w:hAnsi="Times New Roman"/>
                <w:sz w:val="24"/>
              </w:rPr>
              <w:t>'</w:t>
            </w:r>
            <w:r>
              <w:rPr>
                <w:rFonts w:ascii="Times New Roman" w:hAnsi="Times New Roman"/>
                <w:sz w:val="24"/>
              </w:rPr>
              <w:t>articolo 153, paragrafo 5, del CRR.</w:t>
            </w:r>
          </w:p>
        </w:tc>
      </w:tr>
    </w:tbl>
    <w:p w:rsidR="008151A6" w:rsidRPr="00661595" w:rsidRDefault="008151A6" w:rsidP="007D633B">
      <w:pPr>
        <w:pStyle w:val="body"/>
      </w:pPr>
    </w:p>
    <w:p w:rsidR="008151A6" w:rsidRPr="00661595" w:rsidRDefault="008151A6" w:rsidP="00F66371">
      <w:pPr>
        <w:pStyle w:val="Instructionsberschrift2"/>
        <w:numPr>
          <w:ilvl w:val="2"/>
          <w:numId w:val="36"/>
        </w:numPr>
        <w:rPr>
          <w:rFonts w:ascii="Times New Roman" w:hAnsi="Times New Roman" w:cs="Times New Roman"/>
          <w:sz w:val="24"/>
        </w:rPr>
      </w:pPr>
      <w:bookmarkStart w:id="349" w:name="_Toc58915769"/>
      <w:r>
        <w:rPr>
          <w:rFonts w:ascii="Times New Roman" w:hAnsi="Times New Roman"/>
          <w:sz w:val="24"/>
        </w:rPr>
        <w:t>C 08.07 - Rischio di credito e operazioni con regolamento non contestuale: metodo IRB applicato ai requisiti patrimoniali (ambito di applicazione dei metodi IRB e SA (CR IRB 7))</w:t>
      </w:r>
      <w:bookmarkEnd w:id="348"/>
      <w:bookmarkEnd w:id="349"/>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50" w:name="_Toc19715770"/>
      <w:bookmarkStart w:id="351" w:name="_Toc58915770"/>
      <w:r>
        <w:rPr>
          <w:rFonts w:ascii="Times New Roman" w:hAnsi="Times New Roman"/>
          <w:sz w:val="24"/>
        </w:rPr>
        <w:t>Osservazioni di carattere generale</w:t>
      </w:r>
      <w:bookmarkEnd w:id="350"/>
      <w:bookmarkEnd w:id="351"/>
    </w:p>
    <w:p w:rsidR="008151A6" w:rsidRPr="00661595" w:rsidRDefault="00A971CA" w:rsidP="00D36AB7">
      <w:pPr>
        <w:pStyle w:val="InstructionsText2"/>
        <w:numPr>
          <w:ilvl w:val="0"/>
          <w:numId w:val="0"/>
        </w:numPr>
        <w:ind w:left="1560" w:hanging="360"/>
      </w:pPr>
      <w:r>
        <w:fldChar w:fldCharType="begin"/>
      </w:r>
      <w:r>
        <w:instrText xml:space="preserve"> seq paragraphs </w:instrText>
      </w:r>
      <w:r>
        <w:fldChar w:fldCharType="separate"/>
      </w:r>
      <w:r w:rsidR="00D11E4C">
        <w:rPr>
          <w:noProof/>
        </w:rPr>
        <w:t>83</w:t>
      </w:r>
      <w:r>
        <w:rPr>
          <w:noProof/>
        </w:rPr>
        <w:fldChar w:fldCharType="end"/>
      </w:r>
      <w:r w:rsidR="00D11E4C">
        <w:t xml:space="preserve">. Ai fini di questo modello, gli enti che calcolano gli importi delle esposizioni ponderati per il rischio di credito in base al metodo IRB includono le loro esposizioni secondo il metodo standardizzato di cui </w:t>
      </w:r>
      <w:r w:rsidR="00D36AB7">
        <w:t>alla parte tre, titolo II, capo </w:t>
      </w:r>
      <w:r w:rsidR="00D11E4C">
        <w:t>2, del CRR o secondo il metodo IRB di cui alla parte tre, titolo II, capo 3, del CRR, nonché la parte di ciascuna classe di esposizioni soggetta a un piano di introduzione. Gli enti includono le informazioni in questo modello per classi di esposizioni, conformemente alla ripartizione delle classi di esposizioni incluse nelle righe del modello.</w:t>
      </w:r>
    </w:p>
    <w:p w:rsidR="008151A6" w:rsidRPr="00661595" w:rsidRDefault="00A971CA" w:rsidP="00D36AB7">
      <w:pPr>
        <w:pStyle w:val="InstructionsText2"/>
        <w:numPr>
          <w:ilvl w:val="0"/>
          <w:numId w:val="0"/>
        </w:numPr>
        <w:ind w:left="1560" w:hanging="360"/>
      </w:pPr>
      <w:r>
        <w:fldChar w:fldCharType="begin"/>
      </w:r>
      <w:r>
        <w:instrText xml:space="preserve"> seq paragraphs </w:instrText>
      </w:r>
      <w:r>
        <w:fldChar w:fldCharType="separate"/>
      </w:r>
      <w:r w:rsidR="00D11E4C">
        <w:rPr>
          <w:noProof/>
        </w:rPr>
        <w:t>84</w:t>
      </w:r>
      <w:r>
        <w:rPr>
          <w:noProof/>
        </w:rPr>
        <w:fldChar w:fldCharType="end"/>
      </w:r>
      <w:r w:rsidR="00D11E4C">
        <w:t>. Le colonne da 0020 a 0040 dovrebbero coprire l</w:t>
      </w:r>
      <w:r w:rsidR="000878EC">
        <w:t>'</w:t>
      </w:r>
      <w:r w:rsidR="00D11E4C">
        <w:t>intero spettro delle esposizioni, pertanto la somma di ciascuna riga per queste tre colonne dovrebbe essere pari al 100 % di tutte le classi di esposizioni eccetto le posizioni verso la cartolarizzazione e le posizioni dedotte.</w:t>
      </w:r>
    </w:p>
    <w:p w:rsidR="008151A6" w:rsidRPr="00661595" w:rsidRDefault="008151A6" w:rsidP="00F66371">
      <w:pPr>
        <w:pStyle w:val="Instructionsberschrift2"/>
        <w:numPr>
          <w:ilvl w:val="3"/>
          <w:numId w:val="36"/>
        </w:numPr>
        <w:ind w:left="709"/>
        <w:rPr>
          <w:rFonts w:ascii="Times New Roman" w:hAnsi="Times New Roman" w:cs="Times New Roman"/>
          <w:sz w:val="24"/>
        </w:rPr>
      </w:pPr>
      <w:bookmarkStart w:id="352" w:name="_Toc19715771"/>
      <w:bookmarkStart w:id="353" w:name="_Toc58915771"/>
      <w:r>
        <w:rPr>
          <w:rFonts w:ascii="Times New Roman" w:hAnsi="Times New Roman"/>
          <w:sz w:val="24"/>
        </w:rPr>
        <w:t>Istruzioni relative a posizioni specifiche</w:t>
      </w:r>
      <w:bookmarkEnd w:id="352"/>
      <w:bookmarkEnd w:id="353"/>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8151A6" w:rsidRPr="00661595" w:rsidTr="00664874">
        <w:tc>
          <w:tcPr>
            <w:tcW w:w="1188" w:type="dxa"/>
            <w:shd w:val="clear" w:color="auto" w:fill="CCCCCC"/>
          </w:tcPr>
          <w:p w:rsidR="008151A6" w:rsidRPr="00661595" w:rsidRDefault="008151A6" w:rsidP="00664874">
            <w:pPr>
              <w:rPr>
                <w:rFonts w:ascii="Times New Roman" w:hAnsi="Times New Roman"/>
                <w:sz w:val="24"/>
              </w:rPr>
            </w:pPr>
            <w:r>
              <w:rPr>
                <w:rFonts w:ascii="Times New Roman" w:hAnsi="Times New Roman"/>
                <w:sz w:val="24"/>
              </w:rPr>
              <w:t>Colonne</w:t>
            </w:r>
          </w:p>
        </w:tc>
        <w:tc>
          <w:tcPr>
            <w:tcW w:w="8843" w:type="dxa"/>
            <w:shd w:val="clear" w:color="auto" w:fill="CCCCCC"/>
          </w:tcPr>
          <w:p w:rsidR="008151A6" w:rsidRPr="00661595" w:rsidRDefault="008151A6" w:rsidP="00C7487D">
            <w:pPr>
              <w:suppressAutoHyphens/>
              <w:rPr>
                <w:rFonts w:ascii="Times New Roman" w:hAnsi="Times New Roman"/>
                <w:sz w:val="24"/>
              </w:rPr>
            </w:pPr>
            <w:r>
              <w:rPr>
                <w:rFonts w:ascii="Times New Roman" w:hAnsi="Times New Roman"/>
                <w:sz w:val="24"/>
              </w:rPr>
              <w:t>Istruzioni</w:t>
            </w:r>
          </w:p>
        </w:tc>
      </w:tr>
      <w:tr w:rsidR="00EE6F6C"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EE6F6C" w:rsidRPr="00661595" w:rsidRDefault="00EE6F6C" w:rsidP="00664874">
            <w:pPr>
              <w:rPr>
                <w:rStyle w:val="InstructionsTabelleText"/>
                <w:rFonts w:ascii="Times New Roman" w:hAnsi="Times New Roman"/>
                <w:sz w:val="24"/>
              </w:rPr>
            </w:pPr>
            <w:r>
              <w:rPr>
                <w:rStyle w:val="InstructionsTabelleText"/>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EE6F6C" w:rsidRPr="00393FF2" w:rsidRDefault="00EE6F6C" w:rsidP="00C7487D">
            <w:pPr>
              <w:suppressAutoHyphens/>
              <w:rPr>
                <w:rFonts w:ascii="Times New Roman" w:hAnsi="Times New Roman"/>
                <w:b/>
                <w:sz w:val="24"/>
                <w:u w:val="single"/>
              </w:rPr>
            </w:pPr>
            <w:r>
              <w:rPr>
                <w:rFonts w:ascii="Times New Roman" w:hAnsi="Times New Roman"/>
                <w:b/>
                <w:sz w:val="24"/>
                <w:u w:val="single"/>
              </w:rPr>
              <w:t>VALORE DELL</w:t>
            </w:r>
            <w:r w:rsidR="000878EC">
              <w:rPr>
                <w:rFonts w:ascii="Times New Roman" w:hAnsi="Times New Roman"/>
                <w:b/>
                <w:sz w:val="24"/>
                <w:u w:val="single"/>
              </w:rPr>
              <w:t>'</w:t>
            </w:r>
            <w:r>
              <w:rPr>
                <w:rFonts w:ascii="Times New Roman" w:hAnsi="Times New Roman"/>
                <w:b/>
                <w:sz w:val="24"/>
                <w:u w:val="single"/>
              </w:rPr>
              <w:t>ESPOSIZIONE COMPLESSIVA AI SENSI DELL</w:t>
            </w:r>
            <w:r w:rsidR="000878EC">
              <w:rPr>
                <w:rFonts w:ascii="Times New Roman" w:hAnsi="Times New Roman"/>
                <w:b/>
                <w:sz w:val="24"/>
                <w:u w:val="single"/>
              </w:rPr>
              <w:t>'</w:t>
            </w:r>
            <w:r>
              <w:rPr>
                <w:rFonts w:ascii="Times New Roman" w:hAnsi="Times New Roman"/>
                <w:b/>
                <w:sz w:val="24"/>
                <w:u w:val="single"/>
              </w:rPr>
              <w:t>ARTICOLO 166 DEL CRR</w:t>
            </w:r>
          </w:p>
          <w:p w:rsidR="00EE6F6C" w:rsidRPr="00661595" w:rsidRDefault="00EE6F6C" w:rsidP="00C7487D">
            <w:pPr>
              <w:suppressAutoHyphens/>
              <w:rPr>
                <w:rFonts w:ascii="Times New Roman" w:hAnsi="Times New Roman"/>
                <w:b/>
                <w:sz w:val="24"/>
              </w:rPr>
            </w:pPr>
            <w:r>
              <w:rPr>
                <w:rFonts w:ascii="Times New Roman" w:hAnsi="Times New Roman"/>
                <w:sz w:val="24"/>
              </w:rPr>
              <w:t>Gli enti utilizzano il valore dell</w:t>
            </w:r>
            <w:r w:rsidR="000878EC">
              <w:rPr>
                <w:rFonts w:ascii="Times New Roman" w:hAnsi="Times New Roman"/>
                <w:sz w:val="24"/>
              </w:rPr>
              <w:t>'</w:t>
            </w:r>
            <w:r>
              <w:rPr>
                <w:rFonts w:ascii="Times New Roman" w:hAnsi="Times New Roman"/>
                <w:sz w:val="24"/>
              </w:rPr>
              <w:t>esposizione prima della CRM a norma dell</w:t>
            </w:r>
            <w:r w:rsidR="000878EC">
              <w:rPr>
                <w:rFonts w:ascii="Times New Roman" w:hAnsi="Times New Roman"/>
                <w:sz w:val="24"/>
              </w:rPr>
              <w:t>'</w:t>
            </w:r>
            <w:r>
              <w:rPr>
                <w:rFonts w:ascii="Times New Roman" w:hAnsi="Times New Roman"/>
                <w:sz w:val="24"/>
              </w:rPr>
              <w:t>articolo 166 del CRR.</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Style w:val="InstructionsTabelleText"/>
                <w:rFonts w:ascii="Times New Roman" w:hAnsi="Times New Roman"/>
                <w:sz w:val="24"/>
              </w:rPr>
            </w:pPr>
            <w:r>
              <w:rPr>
                <w:rStyle w:val="InstructionsTabelleText"/>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C7487D">
            <w:pPr>
              <w:suppressAutoHyphens/>
              <w:rPr>
                <w:rFonts w:ascii="Times New Roman" w:hAnsi="Times New Roman"/>
                <w:b/>
                <w:sz w:val="24"/>
                <w:u w:val="single"/>
              </w:rPr>
            </w:pPr>
            <w:r>
              <w:rPr>
                <w:rFonts w:ascii="Times New Roman" w:hAnsi="Times New Roman"/>
                <w:b/>
                <w:sz w:val="24"/>
                <w:u w:val="single"/>
              </w:rPr>
              <w:t>VALORE DELL</w:t>
            </w:r>
            <w:r w:rsidR="000878EC">
              <w:rPr>
                <w:rFonts w:ascii="Times New Roman" w:hAnsi="Times New Roman"/>
                <w:b/>
                <w:sz w:val="24"/>
                <w:u w:val="single"/>
              </w:rPr>
              <w:t>'</w:t>
            </w:r>
            <w:r>
              <w:rPr>
                <w:rFonts w:ascii="Times New Roman" w:hAnsi="Times New Roman"/>
                <w:b/>
                <w:sz w:val="24"/>
                <w:u w:val="single"/>
              </w:rPr>
              <w:t>ESPOSIZIONE</w:t>
            </w:r>
            <w:r w:rsidR="000878EC">
              <w:rPr>
                <w:rFonts w:ascii="Times New Roman" w:hAnsi="Times New Roman"/>
                <w:b/>
                <w:sz w:val="24"/>
                <w:u w:val="single"/>
              </w:rPr>
              <w:t xml:space="preserve"> </w:t>
            </w:r>
            <w:r>
              <w:rPr>
                <w:rFonts w:ascii="Times New Roman" w:hAnsi="Times New Roman"/>
                <w:b/>
                <w:sz w:val="24"/>
                <w:u w:val="single"/>
              </w:rPr>
              <w:t>COMPLESSIVA SOGGETTO AL METODO STANDARDIZZATO E AL METODO IRB</w:t>
            </w:r>
          </w:p>
          <w:p w:rsidR="008151A6" w:rsidRPr="00661595" w:rsidRDefault="008151A6" w:rsidP="00C7487D">
            <w:pPr>
              <w:suppressAutoHyphens/>
              <w:rPr>
                <w:rFonts w:ascii="Times New Roman" w:hAnsi="Times New Roman"/>
                <w:sz w:val="24"/>
              </w:rPr>
            </w:pPr>
            <w:r>
              <w:rPr>
                <w:rFonts w:ascii="Times New Roman" w:hAnsi="Times New Roman"/>
                <w:sz w:val="24"/>
              </w:rPr>
              <w:t>Gli enti utilizzano il valore dell</w:t>
            </w:r>
            <w:r w:rsidR="000878EC">
              <w:rPr>
                <w:rFonts w:ascii="Times New Roman" w:hAnsi="Times New Roman"/>
                <w:sz w:val="24"/>
              </w:rPr>
              <w:t>'</w:t>
            </w:r>
            <w:r>
              <w:rPr>
                <w:rFonts w:ascii="Times New Roman" w:hAnsi="Times New Roman"/>
                <w:sz w:val="24"/>
              </w:rPr>
              <w:t>esposizione prima della CRM a norma dell</w:t>
            </w:r>
            <w:r w:rsidR="000878EC">
              <w:rPr>
                <w:rFonts w:ascii="Times New Roman" w:hAnsi="Times New Roman"/>
                <w:sz w:val="24"/>
              </w:rPr>
              <w:t>'</w:t>
            </w:r>
            <w:r>
              <w:rPr>
                <w:rFonts w:ascii="Times New Roman" w:hAnsi="Times New Roman"/>
                <w:sz w:val="24"/>
              </w:rPr>
              <w:t>articolo 429, paragrafo 4, del CRR per segnalare il valore dell</w:t>
            </w:r>
            <w:r w:rsidR="000878EC">
              <w:rPr>
                <w:rFonts w:ascii="Times New Roman" w:hAnsi="Times New Roman"/>
                <w:sz w:val="24"/>
              </w:rPr>
              <w:t>'</w:t>
            </w:r>
            <w:r>
              <w:rPr>
                <w:rFonts w:ascii="Times New Roman" w:hAnsi="Times New Roman"/>
                <w:sz w:val="24"/>
              </w:rPr>
              <w:t>esposizione complessiva, includendo sia le esposizioni in base al metodo standardizzato sia le esposizioni in base al metodo IRB.</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C7487D">
            <w:pPr>
              <w:suppressAutoHyphens/>
              <w:rPr>
                <w:rFonts w:ascii="Times New Roman" w:hAnsi="Times New Roman"/>
                <w:b/>
                <w:sz w:val="24"/>
                <w:u w:val="single"/>
              </w:rPr>
            </w:pPr>
            <w:r>
              <w:rPr>
                <w:rFonts w:ascii="Times New Roman" w:hAnsi="Times New Roman"/>
                <w:b/>
                <w:sz w:val="24"/>
                <w:u w:val="single"/>
              </w:rPr>
              <w:t>PERCENTUALE DEL VALORE DELL</w:t>
            </w:r>
            <w:r w:rsidR="000878EC">
              <w:rPr>
                <w:rFonts w:ascii="Times New Roman" w:hAnsi="Times New Roman"/>
                <w:b/>
                <w:sz w:val="24"/>
                <w:u w:val="single"/>
              </w:rPr>
              <w:t>'</w:t>
            </w:r>
            <w:r>
              <w:rPr>
                <w:rFonts w:ascii="Times New Roman" w:hAnsi="Times New Roman"/>
                <w:b/>
                <w:sz w:val="24"/>
                <w:u w:val="single"/>
              </w:rPr>
              <w:t>ESPOSIZIONE COMPLESSIVA SOGGETTA ALL</w:t>
            </w:r>
            <w:r w:rsidR="000878EC">
              <w:rPr>
                <w:rFonts w:ascii="Times New Roman" w:hAnsi="Times New Roman"/>
                <w:b/>
                <w:sz w:val="24"/>
                <w:u w:val="single"/>
              </w:rPr>
              <w:t>'</w:t>
            </w:r>
            <w:r>
              <w:rPr>
                <w:rFonts w:ascii="Times New Roman" w:hAnsi="Times New Roman"/>
                <w:b/>
                <w:sz w:val="24"/>
                <w:u w:val="single"/>
              </w:rPr>
              <w:t>USO PARZIALE PERMANENTE DEL METODO STANDARDIZZATO (%)</w:t>
            </w:r>
          </w:p>
          <w:p w:rsidR="008151A6" w:rsidRPr="00661595" w:rsidRDefault="008151A6" w:rsidP="00C7487D">
            <w:pPr>
              <w:suppressAutoHyphens/>
              <w:rPr>
                <w:rFonts w:ascii="Times New Roman" w:hAnsi="Times New Roman"/>
                <w:sz w:val="24"/>
              </w:rPr>
            </w:pPr>
            <w:r>
              <w:rPr>
                <w:rFonts w:ascii="Times New Roman" w:hAnsi="Times New Roman"/>
                <w:sz w:val="24"/>
              </w:rPr>
              <w:t>Parte dell</w:t>
            </w:r>
            <w:r w:rsidR="000878EC">
              <w:rPr>
                <w:rFonts w:ascii="Times New Roman" w:hAnsi="Times New Roman"/>
                <w:sz w:val="24"/>
              </w:rPr>
              <w:t>'</w:t>
            </w:r>
            <w:r>
              <w:rPr>
                <w:rFonts w:ascii="Times New Roman" w:hAnsi="Times New Roman"/>
                <w:sz w:val="24"/>
              </w:rPr>
              <w:t>esposizione per ciascuna classe di esposizioni soggetta al metodo standardizzato (esposizione soggetta al metodo standardizzato prima della CRM rispetto all</w:t>
            </w:r>
            <w:r w:rsidR="000878EC">
              <w:rPr>
                <w:rFonts w:ascii="Times New Roman" w:hAnsi="Times New Roman"/>
                <w:sz w:val="24"/>
              </w:rPr>
              <w:t>'</w:t>
            </w:r>
            <w:r>
              <w:rPr>
                <w:rFonts w:ascii="Times New Roman" w:hAnsi="Times New Roman"/>
                <w:sz w:val="24"/>
              </w:rPr>
              <w:t>esposizione complessiva in tale classe di esposizioni nella colonna 0020), nel rispetto dell</w:t>
            </w:r>
            <w:r w:rsidR="000878EC">
              <w:rPr>
                <w:rFonts w:ascii="Times New Roman" w:hAnsi="Times New Roman"/>
                <w:sz w:val="24"/>
              </w:rPr>
              <w:t>'</w:t>
            </w:r>
            <w:r>
              <w:rPr>
                <w:rFonts w:ascii="Times New Roman" w:hAnsi="Times New Roman"/>
                <w:sz w:val="24"/>
              </w:rPr>
              <w:t>ambito di applicazione dell</w:t>
            </w:r>
            <w:r w:rsidR="000878EC">
              <w:rPr>
                <w:rFonts w:ascii="Times New Roman" w:hAnsi="Times New Roman"/>
                <w:sz w:val="24"/>
              </w:rPr>
              <w:t>'</w:t>
            </w:r>
            <w:r>
              <w:rPr>
                <w:rFonts w:ascii="Times New Roman" w:hAnsi="Times New Roman"/>
                <w:sz w:val="24"/>
              </w:rPr>
              <w:t>autorizzazione per l</w:t>
            </w:r>
            <w:r w:rsidR="000878EC">
              <w:rPr>
                <w:rFonts w:ascii="Times New Roman" w:hAnsi="Times New Roman"/>
                <w:sz w:val="24"/>
              </w:rPr>
              <w:t>'</w:t>
            </w:r>
            <w:r>
              <w:rPr>
                <w:rFonts w:ascii="Times New Roman" w:hAnsi="Times New Roman"/>
                <w:sz w:val="24"/>
              </w:rPr>
              <w:t>uso parziale permanente del metodo standardizzato ricevuta da un</w:t>
            </w:r>
            <w:r w:rsidR="000878EC">
              <w:rPr>
                <w:rFonts w:ascii="Times New Roman" w:hAnsi="Times New Roman"/>
                <w:sz w:val="24"/>
              </w:rPr>
              <w:t>'</w:t>
            </w:r>
            <w:r>
              <w:rPr>
                <w:rFonts w:ascii="Times New Roman" w:hAnsi="Times New Roman"/>
                <w:sz w:val="24"/>
              </w:rPr>
              <w:t>autorità competente conformemente all</w:t>
            </w:r>
            <w:r w:rsidR="000878EC">
              <w:rPr>
                <w:rFonts w:ascii="Times New Roman" w:hAnsi="Times New Roman"/>
                <w:sz w:val="24"/>
              </w:rPr>
              <w:t>'</w:t>
            </w:r>
            <w:r>
              <w:rPr>
                <w:rFonts w:ascii="Times New Roman" w:hAnsi="Times New Roman"/>
                <w:sz w:val="24"/>
              </w:rPr>
              <w:t>articolo 150 del CRR.</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C7487D">
            <w:pPr>
              <w:suppressAutoHyphens/>
              <w:rPr>
                <w:rFonts w:ascii="Times New Roman" w:hAnsi="Times New Roman"/>
                <w:b/>
                <w:sz w:val="24"/>
                <w:u w:val="single"/>
              </w:rPr>
            </w:pPr>
            <w:r>
              <w:rPr>
                <w:rFonts w:ascii="Times New Roman" w:hAnsi="Times New Roman"/>
                <w:b/>
                <w:sz w:val="24"/>
                <w:u w:val="single"/>
              </w:rPr>
              <w:t>PERCENTUALE DEL VALORE DELL</w:t>
            </w:r>
            <w:r w:rsidR="000878EC">
              <w:rPr>
                <w:rFonts w:ascii="Times New Roman" w:hAnsi="Times New Roman"/>
                <w:b/>
                <w:sz w:val="24"/>
                <w:u w:val="single"/>
              </w:rPr>
              <w:t>'</w:t>
            </w:r>
            <w:r>
              <w:rPr>
                <w:rFonts w:ascii="Times New Roman" w:hAnsi="Times New Roman"/>
                <w:b/>
                <w:sz w:val="24"/>
                <w:u w:val="single"/>
              </w:rPr>
              <w:t>ESPOSIZIONE COMPLESSIVA SOGGETTA AD UN PIANO DI INTRODUZIONE (%)</w:t>
            </w:r>
          </w:p>
          <w:p w:rsidR="008151A6" w:rsidRPr="00661595" w:rsidRDefault="008151A6" w:rsidP="00C7487D">
            <w:pPr>
              <w:suppressAutoHyphens/>
              <w:rPr>
                <w:rFonts w:ascii="Times New Roman" w:hAnsi="Times New Roman"/>
                <w:sz w:val="24"/>
              </w:rPr>
            </w:pPr>
            <w:r>
              <w:rPr>
                <w:rFonts w:ascii="Times New Roman" w:hAnsi="Times New Roman"/>
                <w:sz w:val="24"/>
              </w:rPr>
              <w:t>Parte dell</w:t>
            </w:r>
            <w:r w:rsidR="000878EC">
              <w:rPr>
                <w:rFonts w:ascii="Times New Roman" w:hAnsi="Times New Roman"/>
                <w:sz w:val="24"/>
              </w:rPr>
              <w:t>'</w:t>
            </w:r>
            <w:r>
              <w:rPr>
                <w:rFonts w:ascii="Times New Roman" w:hAnsi="Times New Roman"/>
                <w:sz w:val="24"/>
              </w:rPr>
              <w:t>esposizione per ciascuna classe di esposizioni soggetta all</w:t>
            </w:r>
            <w:r w:rsidR="000878EC">
              <w:rPr>
                <w:rFonts w:ascii="Times New Roman" w:hAnsi="Times New Roman"/>
                <w:sz w:val="24"/>
              </w:rPr>
              <w:t>'</w:t>
            </w:r>
            <w:r>
              <w:rPr>
                <w:rFonts w:ascii="Times New Roman" w:hAnsi="Times New Roman"/>
                <w:sz w:val="24"/>
              </w:rPr>
              <w:t>applicazione sequenziale del metodo IRB conformemente all</w:t>
            </w:r>
            <w:r w:rsidR="000878EC">
              <w:rPr>
                <w:rFonts w:ascii="Times New Roman" w:hAnsi="Times New Roman"/>
                <w:sz w:val="24"/>
              </w:rPr>
              <w:t>'</w:t>
            </w:r>
            <w:r>
              <w:rPr>
                <w:rFonts w:ascii="Times New Roman" w:hAnsi="Times New Roman"/>
                <w:sz w:val="24"/>
              </w:rPr>
              <w:t xml:space="preserve">articolo 148 del CRR. Sono comprese: </w:t>
            </w:r>
          </w:p>
          <w:p w:rsidR="008151A6" w:rsidRPr="00661595" w:rsidRDefault="008151A6" w:rsidP="00C7487D">
            <w:pPr>
              <w:pStyle w:val="ListParagraph"/>
              <w:numPr>
                <w:ilvl w:val="0"/>
                <w:numId w:val="35"/>
              </w:numPr>
              <w:suppressAutoHyphens/>
              <w:autoSpaceDE w:val="0"/>
              <w:autoSpaceDN w:val="0"/>
              <w:adjustRightInd w:val="0"/>
              <w:rPr>
                <w:rFonts w:ascii="Times New Roman" w:hAnsi="Times New Roman"/>
                <w:spacing w:val="-2"/>
                <w:sz w:val="24"/>
              </w:rPr>
            </w:pPr>
            <w:r>
              <w:rPr>
                <w:rFonts w:ascii="Times New Roman" w:hAnsi="Times New Roman"/>
                <w:sz w:val="24"/>
              </w:rPr>
              <w:t xml:space="preserve">entrambe le esposizioni per le quali gli enti prevedono di applicare il metodo IRB con o senza proprie stime della LGD e dei fattori di conversione (F-IRB e A-IRB); </w:t>
            </w:r>
          </w:p>
          <w:p w:rsidR="008151A6" w:rsidRPr="00661595" w:rsidRDefault="008151A6" w:rsidP="00C7487D">
            <w:pPr>
              <w:pStyle w:val="ListParagraph"/>
              <w:numPr>
                <w:ilvl w:val="0"/>
                <w:numId w:val="35"/>
              </w:numPr>
              <w:suppressAutoHyphens/>
              <w:autoSpaceDE w:val="0"/>
              <w:autoSpaceDN w:val="0"/>
              <w:adjustRightInd w:val="0"/>
              <w:rPr>
                <w:rFonts w:ascii="Times New Roman" w:hAnsi="Times New Roman"/>
                <w:spacing w:val="-2"/>
                <w:sz w:val="24"/>
              </w:rPr>
            </w:pPr>
            <w:r>
              <w:rPr>
                <w:rFonts w:ascii="Times New Roman" w:hAnsi="Times New Roman"/>
                <w:sz w:val="24"/>
              </w:rPr>
              <w:t>esposizioni in strumenti di capitale non rilevanti non incluse nelle colonne 0020 o 0040;</w:t>
            </w:r>
          </w:p>
          <w:p w:rsidR="008151A6" w:rsidRPr="00661595" w:rsidRDefault="008151A6" w:rsidP="00C7487D">
            <w:pPr>
              <w:pStyle w:val="ListParagraph"/>
              <w:numPr>
                <w:ilvl w:val="0"/>
                <w:numId w:val="35"/>
              </w:numPr>
              <w:suppressAutoHyphens/>
              <w:autoSpaceDE w:val="0"/>
              <w:autoSpaceDN w:val="0"/>
              <w:adjustRightInd w:val="0"/>
              <w:rPr>
                <w:rFonts w:ascii="Times New Roman" w:hAnsi="Times New Roman"/>
                <w:spacing w:val="-2"/>
                <w:sz w:val="24"/>
              </w:rPr>
            </w:pPr>
            <w:r>
              <w:rPr>
                <w:rFonts w:ascii="Times New Roman" w:hAnsi="Times New Roman"/>
                <w:sz w:val="24"/>
              </w:rPr>
              <w:t xml:space="preserve">esposizioni già soggette al metodo F-IRB quando un ente intende applicare in futuro il metodo A-IRB; </w:t>
            </w:r>
          </w:p>
          <w:p w:rsidR="008151A6" w:rsidRPr="00661595" w:rsidRDefault="008151A6" w:rsidP="00C7487D">
            <w:pPr>
              <w:pStyle w:val="ListParagraph"/>
              <w:numPr>
                <w:ilvl w:val="0"/>
                <w:numId w:val="35"/>
              </w:numPr>
              <w:suppressAutoHyphens/>
              <w:autoSpaceDE w:val="0"/>
              <w:autoSpaceDN w:val="0"/>
              <w:adjustRightInd w:val="0"/>
              <w:rPr>
                <w:rFonts w:ascii="Times New Roman" w:hAnsi="Times New Roman"/>
                <w:spacing w:val="-2"/>
                <w:sz w:val="24"/>
              </w:rPr>
            </w:pPr>
            <w:r>
              <w:rPr>
                <w:rFonts w:ascii="Times New Roman" w:hAnsi="Times New Roman"/>
                <w:sz w:val="24"/>
              </w:rPr>
              <w:t>esposizioni da finanziamenti specializzati in base al metodo di assegnazione di vigilanza non incluse nella colonna 0040.</w:t>
            </w:r>
          </w:p>
        </w:tc>
      </w:tr>
      <w:tr w:rsidR="008151A6"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auto"/>
          </w:tcPr>
          <w:p w:rsidR="008151A6" w:rsidRPr="00661595" w:rsidRDefault="008151A6" w:rsidP="00EE6F6C">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shd w:val="clear" w:color="auto" w:fill="auto"/>
          </w:tcPr>
          <w:p w:rsidR="008151A6" w:rsidRPr="00393FF2" w:rsidRDefault="008151A6" w:rsidP="00C7487D">
            <w:pPr>
              <w:suppressAutoHyphens/>
              <w:rPr>
                <w:rFonts w:ascii="Times New Roman" w:hAnsi="Times New Roman"/>
                <w:b/>
                <w:sz w:val="24"/>
                <w:u w:val="single"/>
              </w:rPr>
            </w:pPr>
            <w:r>
              <w:rPr>
                <w:rFonts w:ascii="Times New Roman" w:hAnsi="Times New Roman"/>
                <w:b/>
                <w:sz w:val="24"/>
                <w:u w:val="single"/>
              </w:rPr>
              <w:t>PERCENTUALE DEL VALORE DELL</w:t>
            </w:r>
            <w:r w:rsidR="000878EC">
              <w:rPr>
                <w:rFonts w:ascii="Times New Roman" w:hAnsi="Times New Roman"/>
                <w:b/>
                <w:sz w:val="24"/>
                <w:u w:val="single"/>
              </w:rPr>
              <w:t>'</w:t>
            </w:r>
            <w:r>
              <w:rPr>
                <w:rFonts w:ascii="Times New Roman" w:hAnsi="Times New Roman"/>
                <w:b/>
                <w:sz w:val="24"/>
                <w:u w:val="single"/>
              </w:rPr>
              <w:t>ESPOSIZIONE COMPLESSIVA SOGGETTA AL METODO IRB (%)</w:t>
            </w:r>
          </w:p>
          <w:p w:rsidR="008151A6" w:rsidRPr="00661595" w:rsidRDefault="008151A6" w:rsidP="00C7487D">
            <w:pPr>
              <w:suppressAutoHyphens/>
              <w:rPr>
                <w:rFonts w:ascii="Times New Roman" w:hAnsi="Times New Roman"/>
                <w:b/>
                <w:sz w:val="24"/>
              </w:rPr>
            </w:pPr>
            <w:r>
              <w:rPr>
                <w:rFonts w:ascii="Times New Roman" w:hAnsi="Times New Roman"/>
                <w:sz w:val="24"/>
              </w:rPr>
              <w:t>Parte dell</w:t>
            </w:r>
            <w:r w:rsidR="000878EC">
              <w:rPr>
                <w:rFonts w:ascii="Times New Roman" w:hAnsi="Times New Roman"/>
                <w:sz w:val="24"/>
              </w:rPr>
              <w:t>'</w:t>
            </w:r>
            <w:r>
              <w:rPr>
                <w:rFonts w:ascii="Times New Roman" w:hAnsi="Times New Roman"/>
                <w:sz w:val="24"/>
              </w:rPr>
              <w:t>esposizione per ciascuna classe di esposizioni soggetta al metodo IRB (esposizione soggetta al metodo IRB prima della CRM rispetto all</w:t>
            </w:r>
            <w:r w:rsidR="000878EC">
              <w:rPr>
                <w:rFonts w:ascii="Times New Roman" w:hAnsi="Times New Roman"/>
                <w:sz w:val="24"/>
              </w:rPr>
              <w:t>'</w:t>
            </w:r>
            <w:r>
              <w:rPr>
                <w:rFonts w:ascii="Times New Roman" w:hAnsi="Times New Roman"/>
                <w:sz w:val="24"/>
              </w:rPr>
              <w:t>esposizione complessiva in tale classe di esposizioni), nel rispetto dell</w:t>
            </w:r>
            <w:r w:rsidR="000878EC">
              <w:rPr>
                <w:rFonts w:ascii="Times New Roman" w:hAnsi="Times New Roman"/>
                <w:sz w:val="24"/>
              </w:rPr>
              <w:t>'</w:t>
            </w:r>
            <w:r>
              <w:rPr>
                <w:rFonts w:ascii="Times New Roman" w:hAnsi="Times New Roman"/>
                <w:sz w:val="24"/>
              </w:rPr>
              <w:t>ambito di applicazione dell</w:t>
            </w:r>
            <w:r w:rsidR="000878EC">
              <w:rPr>
                <w:rFonts w:ascii="Times New Roman" w:hAnsi="Times New Roman"/>
                <w:sz w:val="24"/>
              </w:rPr>
              <w:t>'</w:t>
            </w:r>
            <w:r>
              <w:rPr>
                <w:rFonts w:ascii="Times New Roman" w:hAnsi="Times New Roman"/>
                <w:sz w:val="24"/>
              </w:rPr>
              <w:t>autorizzazione ricevuta da un</w:t>
            </w:r>
            <w:r w:rsidR="000878EC">
              <w:rPr>
                <w:rFonts w:ascii="Times New Roman" w:hAnsi="Times New Roman"/>
                <w:sz w:val="24"/>
              </w:rPr>
              <w:t>'</w:t>
            </w:r>
            <w:r>
              <w:rPr>
                <w:rFonts w:ascii="Times New Roman" w:hAnsi="Times New Roman"/>
                <w:sz w:val="24"/>
              </w:rPr>
              <w:t>autorità competente a utilizzare il metodo</w:t>
            </w:r>
            <w:r w:rsidR="00D2209D">
              <w:rPr>
                <w:rFonts w:ascii="Times New Roman" w:hAnsi="Times New Roman"/>
                <w:sz w:val="24"/>
              </w:rPr>
              <w:t xml:space="preserve"> IRB conformemente all</w:t>
            </w:r>
            <w:r w:rsidR="000878EC">
              <w:rPr>
                <w:rFonts w:ascii="Times New Roman" w:hAnsi="Times New Roman"/>
                <w:sz w:val="24"/>
              </w:rPr>
              <w:t>'</w:t>
            </w:r>
            <w:r w:rsidR="00D2209D">
              <w:rPr>
                <w:rFonts w:ascii="Times New Roman" w:hAnsi="Times New Roman"/>
                <w:sz w:val="24"/>
              </w:rPr>
              <w:t>articolo </w:t>
            </w:r>
            <w:r>
              <w:rPr>
                <w:rFonts w:ascii="Times New Roman" w:hAnsi="Times New Roman"/>
                <w:sz w:val="24"/>
              </w:rPr>
              <w:t>143 del CRR. Sono incluse sia le esposizioni per le quali gli enti hanno l</w:t>
            </w:r>
            <w:r w:rsidR="000878EC">
              <w:rPr>
                <w:rFonts w:ascii="Times New Roman" w:hAnsi="Times New Roman"/>
                <w:sz w:val="24"/>
              </w:rPr>
              <w:t>'</w:t>
            </w:r>
            <w:r>
              <w:rPr>
                <w:rFonts w:ascii="Times New Roman" w:hAnsi="Times New Roman"/>
                <w:sz w:val="24"/>
              </w:rPr>
              <w:t>autorizzazione ad utilizzare le proprie stime interne della LGD e dei fattori di conversione (F-IRB e A-IRB), compreso il metodo di assegnazione di vigilanza per le esposizioni da finanziamenti specializzati e le esposizioni in strumenti di capitale secondo il metodo della ponderazione semplice, sia le esposizioni segnalate nella riga 0170 del modello C 08.01.</w:t>
            </w:r>
          </w:p>
        </w:tc>
      </w:tr>
    </w:tbl>
    <w:p w:rsidR="008151A6" w:rsidRPr="00661595" w:rsidRDefault="008151A6" w:rsidP="008151A6">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5"/>
        <w:gridCol w:w="8153"/>
      </w:tblGrid>
      <w:tr w:rsidR="008151A6" w:rsidRPr="00661595" w:rsidTr="00D2209D">
        <w:tc>
          <w:tcPr>
            <w:tcW w:w="1675" w:type="dxa"/>
            <w:shd w:val="pct25" w:color="auto" w:fill="auto"/>
          </w:tcPr>
          <w:p w:rsidR="008151A6" w:rsidRPr="00661595" w:rsidRDefault="008151A6" w:rsidP="00D2209D">
            <w:pPr>
              <w:keepNext/>
              <w:keepLines/>
              <w:rPr>
                <w:rFonts w:ascii="Times New Roman" w:hAnsi="Times New Roman"/>
                <w:sz w:val="24"/>
              </w:rPr>
            </w:pPr>
            <w:r>
              <w:rPr>
                <w:rFonts w:ascii="Times New Roman" w:hAnsi="Times New Roman"/>
                <w:sz w:val="24"/>
              </w:rPr>
              <w:t>Righe</w:t>
            </w:r>
          </w:p>
        </w:tc>
        <w:tc>
          <w:tcPr>
            <w:tcW w:w="8153" w:type="dxa"/>
            <w:shd w:val="pct25" w:color="auto" w:fill="auto"/>
          </w:tcPr>
          <w:p w:rsidR="008151A6" w:rsidRPr="00661595" w:rsidRDefault="008151A6" w:rsidP="00D2209D">
            <w:pPr>
              <w:keepNext/>
              <w:keepLines/>
              <w:rPr>
                <w:rFonts w:ascii="Times New Roman" w:hAnsi="Times New Roman"/>
                <w:sz w:val="24"/>
              </w:rPr>
            </w:pPr>
            <w:r>
              <w:rPr>
                <w:rFonts w:ascii="Times New Roman" w:hAnsi="Times New Roman"/>
                <w:sz w:val="24"/>
              </w:rPr>
              <w:t>Istruzioni</w:t>
            </w:r>
          </w:p>
        </w:tc>
      </w:tr>
      <w:tr w:rsidR="008151A6" w:rsidRPr="00661595" w:rsidTr="00D2209D">
        <w:tc>
          <w:tcPr>
            <w:tcW w:w="1675" w:type="dxa"/>
          </w:tcPr>
          <w:p w:rsidR="008151A6" w:rsidRPr="00661595" w:rsidRDefault="008151A6" w:rsidP="00D2209D">
            <w:pPr>
              <w:suppressAutoHyphens/>
              <w:rPr>
                <w:rFonts w:ascii="Times New Roman" w:hAnsi="Times New Roman"/>
                <w:sz w:val="24"/>
              </w:rPr>
            </w:pPr>
            <w:r>
              <w:rPr>
                <w:rFonts w:ascii="Times New Roman" w:hAnsi="Times New Roman"/>
                <w:sz w:val="24"/>
              </w:rPr>
              <w:t>CLASSI DI ESPOSIZIONI</w:t>
            </w:r>
          </w:p>
        </w:tc>
        <w:tc>
          <w:tcPr>
            <w:tcW w:w="8153" w:type="dxa"/>
          </w:tcPr>
          <w:p w:rsidR="008151A6" w:rsidRPr="00661595" w:rsidRDefault="008151A6" w:rsidP="00D2209D">
            <w:pPr>
              <w:suppressAutoHyphens/>
              <w:rPr>
                <w:rFonts w:ascii="Times New Roman" w:eastAsiaTheme="minorHAnsi" w:hAnsi="Times New Roman"/>
                <w:sz w:val="24"/>
              </w:rPr>
            </w:pPr>
            <w:r>
              <w:rPr>
                <w:rFonts w:ascii="Times New Roman" w:hAnsi="Times New Roman"/>
                <w:sz w:val="24"/>
              </w:rPr>
              <w:t>Gli enti includono le informazioni in questo modello per classi di esposizioni, conformemente alla ripartizione delle classi di esposizioni incluse nelle righe del modello.</w:t>
            </w:r>
          </w:p>
        </w:tc>
      </w:tr>
    </w:tbl>
    <w:p w:rsidR="008151A6" w:rsidRPr="00661595" w:rsidRDefault="008151A6" w:rsidP="00115052">
      <w:pPr>
        <w:pStyle w:val="InstructionsText"/>
      </w:pPr>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54" w:name="_Toc360188361"/>
      <w:bookmarkStart w:id="355" w:name="_Toc473560912"/>
      <w:bookmarkStart w:id="356" w:name="_Toc58915772"/>
      <w:r>
        <w:rPr>
          <w:rFonts w:ascii="Times New Roman" w:hAnsi="Times New Roman"/>
          <w:sz w:val="24"/>
          <w:u w:val="none"/>
        </w:rPr>
        <w:t>3.4.</w:t>
      </w:r>
      <w:r w:rsidRPr="00D2209D">
        <w:rPr>
          <w:u w:val="none"/>
        </w:rPr>
        <w:tab/>
      </w:r>
      <w:r>
        <w:rPr>
          <w:rFonts w:ascii="Times New Roman" w:hAnsi="Times New Roman"/>
          <w:sz w:val="24"/>
        </w:rPr>
        <w:t>Rischio di credito e rischio di controparte e operazioni con regolamento non contestuale: informazioni ripartite geograficamente</w:t>
      </w:r>
      <w:bookmarkEnd w:id="354"/>
      <w:bookmarkEnd w:id="355"/>
      <w:bookmarkEnd w:id="356"/>
    </w:p>
    <w:p w:rsidR="004357B9" w:rsidRPr="00661595" w:rsidRDefault="00A971CA" w:rsidP="00D2209D">
      <w:pPr>
        <w:pStyle w:val="InstructionsText2"/>
        <w:numPr>
          <w:ilvl w:val="0"/>
          <w:numId w:val="0"/>
        </w:numPr>
        <w:ind w:left="1560" w:hanging="360"/>
      </w:pPr>
      <w:r>
        <w:fldChar w:fldCharType="begin"/>
      </w:r>
      <w:r>
        <w:instrText xml:space="preserve"> seq paragraphs </w:instrText>
      </w:r>
      <w:r>
        <w:fldChar w:fldCharType="separate"/>
      </w:r>
      <w:r w:rsidR="00D11E4C">
        <w:rPr>
          <w:noProof/>
        </w:rPr>
        <w:t>85</w:t>
      </w:r>
      <w:r>
        <w:rPr>
          <w:noProof/>
        </w:rPr>
        <w:fldChar w:fldCharType="end"/>
      </w:r>
      <w:r w:rsidR="00D11E4C">
        <w:t>.</w:t>
      </w:r>
      <w:r w:rsidR="00D11E4C">
        <w:tab/>
        <w:t>Tutti gli enti presentano informazioni aggregate a livello totale. In aggiunta, gli enti che soddisfano il requisito della soglia stabilita all</w:t>
      </w:r>
      <w:r w:rsidR="000878EC">
        <w:t>'</w:t>
      </w:r>
      <w:r w:rsidR="00D11E4C">
        <w:t>articolo 5, paragrafo 5, del presente regolamento di esecuzione forniscono informazioni ripartite per paese riguardanti il paese nazionale e qualsiasi altro paese non nazionale. La soglia viene presa in considerazione unicamente in rela</w:t>
      </w:r>
      <w:r w:rsidR="00D2209D">
        <w:t>zione ai modelli CR GB </w:t>
      </w:r>
      <w:r w:rsidR="00D11E4C">
        <w:t>1 e CR GB 2. Le esposizioni verso organizzazioni sopranazionali sono assegnate all</w:t>
      </w:r>
      <w:r w:rsidR="000878EC">
        <w:t>'</w:t>
      </w:r>
      <w:r w:rsidR="00D11E4C">
        <w:t xml:space="preserve">area geografica </w:t>
      </w:r>
      <w:r w:rsidR="000878EC">
        <w:t>"</w:t>
      </w:r>
      <w:r w:rsidR="00D11E4C">
        <w:t>Altri paesi</w:t>
      </w:r>
      <w:r w:rsidR="000878EC">
        <w:t>"</w:t>
      </w:r>
      <w:r w:rsidR="00D11E4C">
        <w:t>.</w:t>
      </w:r>
    </w:p>
    <w:p w:rsidR="004357B9" w:rsidRPr="00661595" w:rsidRDefault="00A971CA" w:rsidP="00D2209D">
      <w:pPr>
        <w:pStyle w:val="InstructionsText2"/>
        <w:numPr>
          <w:ilvl w:val="0"/>
          <w:numId w:val="0"/>
        </w:numPr>
        <w:ind w:left="1560" w:hanging="360"/>
      </w:pPr>
      <w:r>
        <w:fldChar w:fldCharType="begin"/>
      </w:r>
      <w:r>
        <w:instrText xml:space="preserve"> seq paragraphs </w:instrText>
      </w:r>
      <w:r>
        <w:fldChar w:fldCharType="separate"/>
      </w:r>
      <w:r w:rsidR="00D11E4C">
        <w:rPr>
          <w:noProof/>
        </w:rPr>
        <w:t>86</w:t>
      </w:r>
      <w:r>
        <w:rPr>
          <w:noProof/>
        </w:rPr>
        <w:fldChar w:fldCharType="end"/>
      </w:r>
      <w:r w:rsidR="00D11E4C">
        <w:t>.</w:t>
      </w:r>
      <w:r w:rsidR="00D11E4C">
        <w:tab/>
        <w:t xml:space="preserve">Il termine </w:t>
      </w:r>
      <w:r w:rsidR="000878EC">
        <w:t>"</w:t>
      </w:r>
      <w:r w:rsidR="00D11E4C">
        <w:t>residenza del debitore</w:t>
      </w:r>
      <w:r w:rsidR="000878EC">
        <w:t>"</w:t>
      </w:r>
      <w:r w:rsidR="00D11E4C">
        <w:t xml:space="preserve"> si riferisce al paese in cui il debitore ha sede. Questo concetto può essere applicato su base </w:t>
      </w:r>
      <w:r w:rsidR="000878EC">
        <w:t>"</w:t>
      </w:r>
      <w:r w:rsidR="00D11E4C">
        <w:t>debitore diretto</w:t>
      </w:r>
      <w:r w:rsidR="000878EC">
        <w:t>"</w:t>
      </w:r>
      <w:r w:rsidR="00D11E4C">
        <w:t xml:space="preserve"> e su base </w:t>
      </w:r>
      <w:r w:rsidR="000878EC">
        <w:t>"</w:t>
      </w:r>
      <w:r w:rsidR="00D11E4C">
        <w:t>rischio finale</w:t>
      </w:r>
      <w:r w:rsidR="000878EC">
        <w:t>"</w:t>
      </w:r>
      <w:r w:rsidR="00D11E4C">
        <w:t>; pertanto, le tecniche di attenuazione del rischio di credito con effetti di sostituzione possono modificare l</w:t>
      </w:r>
      <w:r w:rsidR="000878EC">
        <w:t>'</w:t>
      </w:r>
      <w:r w:rsidR="00D11E4C">
        <w:t>attribuzione di un</w:t>
      </w:r>
      <w:r w:rsidR="000878EC">
        <w:t>'</w:t>
      </w:r>
      <w:r w:rsidR="00D11E4C">
        <w:t>esposizione a un paese. Le esposizioni verso organizzazioni sopranazionali non sono assegnate al paese di residenza dell</w:t>
      </w:r>
      <w:r w:rsidR="000878EC">
        <w:t>'</w:t>
      </w:r>
      <w:r w:rsidR="00D11E4C">
        <w:t>organizzazione bensì all</w:t>
      </w:r>
      <w:r w:rsidR="000878EC">
        <w:t>'</w:t>
      </w:r>
      <w:r w:rsidR="00D11E4C">
        <w:t xml:space="preserve">area geografica </w:t>
      </w:r>
      <w:r w:rsidR="000878EC">
        <w:t>"</w:t>
      </w:r>
      <w:r w:rsidR="00D11E4C">
        <w:t>Altri paesi</w:t>
      </w:r>
      <w:r w:rsidR="000878EC">
        <w:t>"</w:t>
      </w:r>
      <w:r w:rsidR="00D11E4C">
        <w:t>, indipendentemente dalla classe di esposizioni cui è assegnata l</w:t>
      </w:r>
      <w:r w:rsidR="000878EC">
        <w:t>'</w:t>
      </w:r>
      <w:r w:rsidR="00D11E4C">
        <w:t>esposizione verso organizzazioni sopranazionali.</w:t>
      </w:r>
    </w:p>
    <w:p w:rsidR="0096378F" w:rsidRPr="00661595" w:rsidRDefault="00A971CA" w:rsidP="00D2209D">
      <w:pPr>
        <w:pStyle w:val="InstructionsText2"/>
        <w:numPr>
          <w:ilvl w:val="0"/>
          <w:numId w:val="0"/>
        </w:numPr>
        <w:ind w:left="1560" w:hanging="360"/>
      </w:pPr>
      <w:r>
        <w:fldChar w:fldCharType="begin"/>
      </w:r>
      <w:r>
        <w:instrText xml:space="preserve"> seq paragraphs </w:instrText>
      </w:r>
      <w:r>
        <w:fldChar w:fldCharType="separate"/>
      </w:r>
      <w:r w:rsidR="00D11E4C">
        <w:rPr>
          <w:noProof/>
        </w:rPr>
        <w:t>87</w:t>
      </w:r>
      <w:r>
        <w:rPr>
          <w:noProof/>
        </w:rPr>
        <w:fldChar w:fldCharType="end"/>
      </w:r>
      <w:r w:rsidR="00D11E4C">
        <w:t>.</w:t>
      </w:r>
      <w:r w:rsidR="00D11E4C">
        <w:tab/>
        <w:t>I dati riguardanti l</w:t>
      </w:r>
      <w:r w:rsidR="000878EC">
        <w:t>'"</w:t>
      </w:r>
      <w:r w:rsidR="00D11E4C">
        <w:t>esposizione originaria prima dell</w:t>
      </w:r>
      <w:r w:rsidR="000878EC">
        <w:t>'</w:t>
      </w:r>
      <w:r w:rsidR="00D11E4C">
        <w:t>applicazione dei fattori di conversione</w:t>
      </w:r>
      <w:r w:rsidR="000878EC">
        <w:t>"</w:t>
      </w:r>
      <w:r w:rsidR="00D11E4C">
        <w:t xml:space="preserve"> sono indicati in riferimento al paese di residenza del debitore diretto. I dati riguardanti il </w:t>
      </w:r>
      <w:r w:rsidR="000878EC">
        <w:t>"</w:t>
      </w:r>
      <w:r w:rsidR="00D11E4C">
        <w:t>valore dell</w:t>
      </w:r>
      <w:r w:rsidR="000878EC">
        <w:t>'</w:t>
      </w:r>
      <w:r w:rsidR="00D11E4C">
        <w:t>esposizione</w:t>
      </w:r>
      <w:r w:rsidR="000878EC">
        <w:t>"</w:t>
      </w:r>
      <w:r w:rsidR="00D11E4C">
        <w:t xml:space="preserve"> e l</w:t>
      </w:r>
      <w:r w:rsidR="000878EC">
        <w:t>'"</w:t>
      </w:r>
      <w:r w:rsidR="00D11E4C">
        <w:t>importo delle esposizioni ponderato per il rischio</w:t>
      </w:r>
      <w:r w:rsidR="000878EC">
        <w:t>"</w:t>
      </w:r>
      <w:r w:rsidR="00D11E4C">
        <w:t xml:space="preserve"> sono indicati sulla base del paese di residenza del debitore finale.</w:t>
      </w:r>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57" w:name="_Toc360188362"/>
      <w:bookmarkStart w:id="358" w:name="_Toc473560913"/>
      <w:bookmarkStart w:id="359" w:name="_Toc58915773"/>
      <w:r>
        <w:rPr>
          <w:rFonts w:ascii="Times New Roman" w:hAnsi="Times New Roman"/>
          <w:sz w:val="24"/>
          <w:u w:val="none"/>
        </w:rPr>
        <w:t>3.4.1.</w:t>
      </w:r>
      <w:r w:rsidRPr="00D2209D">
        <w:rPr>
          <w:u w:val="none"/>
        </w:rPr>
        <w:tab/>
      </w:r>
      <w:r>
        <w:rPr>
          <w:rFonts w:ascii="Times New Roman" w:hAnsi="Times New Roman"/>
          <w:sz w:val="24"/>
        </w:rPr>
        <w:t>C 09.01 — Ripartizione geografica delle esposizioni per residenza del debitore: esposizioni cui è applicato il metodo standardizzato (CR GB 1)</w:t>
      </w:r>
      <w:bookmarkEnd w:id="357"/>
      <w:bookmarkEnd w:id="358"/>
      <w:bookmarkEnd w:id="359"/>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60" w:name="_Toc360188363"/>
      <w:bookmarkStart w:id="361" w:name="_Toc473560914"/>
      <w:bookmarkStart w:id="362" w:name="_Toc58915774"/>
      <w:r>
        <w:rPr>
          <w:rFonts w:ascii="Times New Roman" w:hAnsi="Times New Roman"/>
          <w:sz w:val="24"/>
          <w:u w:val="none"/>
        </w:rPr>
        <w:t>3.4.1.1.</w:t>
      </w:r>
      <w:r w:rsidRPr="00D2209D">
        <w:rPr>
          <w:u w:val="none"/>
        </w:rPr>
        <w:tab/>
      </w:r>
      <w:r>
        <w:rPr>
          <w:rFonts w:ascii="Times New Roman" w:hAnsi="Times New Roman"/>
          <w:sz w:val="24"/>
        </w:rPr>
        <w:t>Istruzioni relative a posizioni specifiche</w:t>
      </w:r>
      <w:bookmarkEnd w:id="360"/>
      <w:bookmarkEnd w:id="361"/>
      <w:bookmarkEnd w:id="362"/>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4357B9" w:rsidRPr="00661595" w:rsidTr="00672D2A">
        <w:trPr>
          <w:trHeight w:val="581"/>
        </w:trPr>
        <w:tc>
          <w:tcPr>
            <w:tcW w:w="9828" w:type="dxa"/>
            <w:gridSpan w:val="2"/>
            <w:shd w:val="clear" w:color="auto" w:fill="CCCCCC"/>
          </w:tcPr>
          <w:p w:rsidR="004357B9" w:rsidRPr="00661595" w:rsidRDefault="004357B9" w:rsidP="00D2209D">
            <w:pPr>
              <w:suppressAutoHyphens/>
              <w:spacing w:after="0"/>
              <w:rPr>
                <w:rStyle w:val="InstructionsTabelleText"/>
                <w:rFonts w:ascii="Times New Roman" w:hAnsi="Times New Roman"/>
                <w:b/>
                <w:sz w:val="24"/>
              </w:rPr>
            </w:pPr>
            <w:r>
              <w:rPr>
                <w:rStyle w:val="InstructionsTabelleText"/>
                <w:rFonts w:ascii="Times New Roman" w:hAnsi="Times New Roman"/>
                <w:b/>
                <w:sz w:val="24"/>
              </w:rPr>
              <w:t>Colonne</w:t>
            </w:r>
          </w:p>
        </w:tc>
      </w:tr>
      <w:tr w:rsidR="004357B9" w:rsidRPr="00661595" w:rsidTr="00672D2A">
        <w:tc>
          <w:tcPr>
            <w:tcW w:w="1188" w:type="dxa"/>
          </w:tcPr>
          <w:p w:rsidR="004357B9" w:rsidRPr="00661595" w:rsidRDefault="004357B9" w:rsidP="00D2209D">
            <w:pPr>
              <w:suppressAutoHyphens/>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rsidR="004357B9" w:rsidRPr="00661595" w:rsidRDefault="004357B9" w:rsidP="00D2209D">
            <w:pPr>
              <w:suppressAutoHyphens/>
              <w:rPr>
                <w:rFonts w:ascii="Times New Roman" w:hAnsi="Times New Roman"/>
                <w:b/>
                <w:sz w:val="24"/>
                <w:u w:val="single"/>
              </w:rPr>
            </w:pPr>
            <w:r>
              <w:rPr>
                <w:rFonts w:ascii="Times New Roman" w:hAnsi="Times New Roman"/>
                <w:b/>
                <w:sz w:val="24"/>
                <w:u w:val="single"/>
              </w:rPr>
              <w:t>ESPOSIZIONE ORIGINARIA PRIMA DELL</w:t>
            </w:r>
            <w:r w:rsidR="000878EC">
              <w:rPr>
                <w:rFonts w:ascii="Times New Roman" w:hAnsi="Times New Roman"/>
                <w:b/>
                <w:sz w:val="24"/>
                <w:u w:val="single"/>
              </w:rPr>
              <w:t>'</w:t>
            </w:r>
            <w:r>
              <w:rPr>
                <w:rFonts w:ascii="Times New Roman" w:hAnsi="Times New Roman"/>
                <w:b/>
                <w:sz w:val="24"/>
                <w:u w:val="single"/>
              </w:rPr>
              <w:t>APPLICAZIONE DEI FATTORI DI CONVERSIONE</w:t>
            </w:r>
          </w:p>
          <w:p w:rsidR="004357B9" w:rsidRPr="00661595" w:rsidRDefault="004357B9" w:rsidP="00D2209D">
            <w:pPr>
              <w:suppressAutoHyphens/>
              <w:rPr>
                <w:rFonts w:ascii="Times New Roman" w:hAnsi="Times New Roman"/>
                <w:sz w:val="24"/>
              </w:rPr>
            </w:pPr>
            <w:r>
              <w:rPr>
                <w:rFonts w:ascii="Times New Roman" w:hAnsi="Times New Roman"/>
                <w:sz w:val="24"/>
              </w:rPr>
              <w:t>Stessa definizione di cui alla colonna 0010 del modello CR SA.</w:t>
            </w:r>
          </w:p>
        </w:tc>
      </w:tr>
      <w:tr w:rsidR="004357B9" w:rsidRPr="00661595" w:rsidTr="00672D2A">
        <w:tc>
          <w:tcPr>
            <w:tcW w:w="1188" w:type="dxa"/>
          </w:tcPr>
          <w:p w:rsidR="004357B9" w:rsidRPr="00661595" w:rsidRDefault="004357B9" w:rsidP="00D2209D">
            <w:pPr>
              <w:suppressAutoHyphens/>
              <w:rPr>
                <w:rFonts w:ascii="Times New Roman" w:hAnsi="Times New Roman"/>
                <w:sz w:val="24"/>
              </w:rPr>
            </w:pPr>
            <w:r>
              <w:rPr>
                <w:rFonts w:ascii="Times New Roman" w:hAnsi="Times New Roman"/>
                <w:sz w:val="24"/>
              </w:rPr>
              <w:t>0020</w:t>
            </w:r>
          </w:p>
        </w:tc>
        <w:tc>
          <w:tcPr>
            <w:tcW w:w="8640" w:type="dxa"/>
          </w:tcPr>
          <w:p w:rsidR="004357B9" w:rsidRPr="00661595" w:rsidRDefault="00771E97" w:rsidP="00D2209D">
            <w:pPr>
              <w:suppressAutoHyphens/>
              <w:rPr>
                <w:rFonts w:ascii="Times New Roman" w:hAnsi="Times New Roman"/>
                <w:b/>
                <w:sz w:val="24"/>
                <w:u w:val="single"/>
              </w:rPr>
            </w:pPr>
            <w:r>
              <w:rPr>
                <w:rFonts w:ascii="Times New Roman" w:hAnsi="Times New Roman"/>
                <w:b/>
                <w:sz w:val="24"/>
                <w:u w:val="single"/>
              </w:rPr>
              <w:t>Esposizioni in stato di default</w:t>
            </w:r>
          </w:p>
          <w:p w:rsidR="004357B9" w:rsidRPr="00661595" w:rsidRDefault="004357B9" w:rsidP="00D2209D">
            <w:pPr>
              <w:suppressAutoHyphens/>
              <w:rPr>
                <w:rStyle w:val="InstructionsTabelleText"/>
                <w:rFonts w:ascii="Times New Roman" w:hAnsi="Times New Roman"/>
                <w:sz w:val="24"/>
              </w:rPr>
            </w:pPr>
            <w:r>
              <w:rPr>
                <w:rStyle w:val="InstructionsTabelleText"/>
                <w:rFonts w:ascii="Times New Roman" w:hAnsi="Times New Roman"/>
                <w:sz w:val="24"/>
              </w:rPr>
              <w:t>Esposizione originaria prima dell</w:t>
            </w:r>
            <w:r w:rsidR="000878EC">
              <w:rPr>
                <w:rStyle w:val="InstructionsTabelleText"/>
                <w:rFonts w:ascii="Times New Roman" w:hAnsi="Times New Roman"/>
                <w:sz w:val="24"/>
              </w:rPr>
              <w:t>'</w:t>
            </w:r>
            <w:r>
              <w:rPr>
                <w:rStyle w:val="InstructionsTabelleText"/>
                <w:rFonts w:ascii="Times New Roman" w:hAnsi="Times New Roman"/>
                <w:sz w:val="24"/>
              </w:rPr>
              <w:t xml:space="preserve">applicazione dei fattori di conversione per le esposizioni classificate come </w:t>
            </w:r>
            <w:r w:rsidR="000878EC">
              <w:rPr>
                <w:rStyle w:val="InstructionsTabelleText"/>
                <w:rFonts w:ascii="Times New Roman" w:hAnsi="Times New Roman"/>
                <w:sz w:val="24"/>
              </w:rPr>
              <w:t>"</w:t>
            </w:r>
            <w:r>
              <w:rPr>
                <w:rStyle w:val="InstructionsTabelleText"/>
                <w:rFonts w:ascii="Times New Roman" w:hAnsi="Times New Roman"/>
                <w:sz w:val="24"/>
              </w:rPr>
              <w:t>esposizioni in stato di default</w:t>
            </w:r>
            <w:r w:rsidR="000878EC">
              <w:rPr>
                <w:rStyle w:val="InstructionsTabelleText"/>
                <w:rFonts w:ascii="Times New Roman" w:hAnsi="Times New Roman"/>
                <w:sz w:val="24"/>
              </w:rPr>
              <w:t>"</w:t>
            </w:r>
            <w:r>
              <w:rPr>
                <w:rStyle w:val="InstructionsTabelleText"/>
                <w:rFonts w:ascii="Times New Roman" w:hAnsi="Times New Roman"/>
                <w:sz w:val="24"/>
              </w:rPr>
              <w:t xml:space="preserve"> e per le esposizioni in stato di default classificate nella classe di esposizioni </w:t>
            </w:r>
            <w:r w:rsidR="000878EC">
              <w:rPr>
                <w:rStyle w:val="InstructionsTabelleText"/>
                <w:rFonts w:ascii="Times New Roman" w:hAnsi="Times New Roman"/>
                <w:sz w:val="24"/>
              </w:rPr>
              <w:t>"</w:t>
            </w:r>
            <w:r>
              <w:rPr>
                <w:rStyle w:val="InstructionsTabelleText"/>
                <w:rFonts w:ascii="Times New Roman" w:hAnsi="Times New Roman"/>
                <w:sz w:val="24"/>
              </w:rPr>
              <w:t>esposizioni associate a un rischio particolarmente elevato</w:t>
            </w:r>
            <w:r w:rsidR="000878EC">
              <w:rPr>
                <w:rStyle w:val="InstructionsTabelleText"/>
                <w:rFonts w:ascii="Times New Roman" w:hAnsi="Times New Roman"/>
                <w:sz w:val="24"/>
              </w:rPr>
              <w:t>"</w:t>
            </w:r>
            <w:r>
              <w:rPr>
                <w:rStyle w:val="InstructionsTabelleText"/>
                <w:rFonts w:ascii="Times New Roman" w:hAnsi="Times New Roman"/>
                <w:sz w:val="24"/>
              </w:rPr>
              <w:t xml:space="preserve"> o </w:t>
            </w:r>
            <w:r w:rsidR="000878EC">
              <w:rPr>
                <w:rStyle w:val="InstructionsTabelleText"/>
                <w:rFonts w:ascii="Times New Roman" w:hAnsi="Times New Roman"/>
                <w:sz w:val="24"/>
              </w:rPr>
              <w:t>"</w:t>
            </w:r>
            <w:r>
              <w:rPr>
                <w:rStyle w:val="InstructionsTabelleText"/>
                <w:rFonts w:ascii="Times New Roman" w:hAnsi="Times New Roman"/>
                <w:sz w:val="24"/>
              </w:rPr>
              <w:t>esposizioni in strumenti di capitale</w:t>
            </w:r>
            <w:r w:rsidR="000878EC">
              <w:rPr>
                <w:rStyle w:val="InstructionsTabelleText"/>
                <w:rFonts w:ascii="Times New Roman" w:hAnsi="Times New Roman"/>
                <w:sz w:val="24"/>
              </w:rPr>
              <w:t>"</w:t>
            </w:r>
            <w:r>
              <w:rPr>
                <w:rStyle w:val="InstructionsTabelleText"/>
                <w:rFonts w:ascii="Times New Roman" w:hAnsi="Times New Roman"/>
                <w:sz w:val="24"/>
              </w:rPr>
              <w:t>.</w:t>
            </w:r>
          </w:p>
          <w:p w:rsidR="004357B9" w:rsidRPr="00661595" w:rsidRDefault="004357B9" w:rsidP="00D2209D">
            <w:pPr>
              <w:suppressAutoHyphens/>
              <w:rPr>
                <w:rStyle w:val="InstructionsTabelleText"/>
                <w:rFonts w:ascii="Times New Roman" w:hAnsi="Times New Roman"/>
                <w:sz w:val="24"/>
              </w:rPr>
            </w:pPr>
            <w:r>
              <w:rPr>
                <w:rStyle w:val="InstructionsTabelleText"/>
                <w:rFonts w:ascii="Times New Roman" w:hAnsi="Times New Roman"/>
                <w:sz w:val="24"/>
              </w:rPr>
              <w:t xml:space="preserve">Questa </w:t>
            </w:r>
            <w:r w:rsidR="000878EC">
              <w:rPr>
                <w:rStyle w:val="InstructionsTabelleText"/>
                <w:rFonts w:ascii="Times New Roman" w:hAnsi="Times New Roman"/>
                <w:sz w:val="24"/>
              </w:rPr>
              <w:t>"</w:t>
            </w:r>
            <w:r>
              <w:rPr>
                <w:rStyle w:val="InstructionsTabelleText"/>
                <w:rFonts w:ascii="Times New Roman" w:hAnsi="Times New Roman"/>
                <w:sz w:val="24"/>
              </w:rPr>
              <w:t>voce per memoria</w:t>
            </w:r>
            <w:r w:rsidR="000878EC">
              <w:rPr>
                <w:rStyle w:val="InstructionsTabelleText"/>
                <w:rFonts w:ascii="Times New Roman" w:hAnsi="Times New Roman"/>
                <w:sz w:val="24"/>
              </w:rPr>
              <w:t>"</w:t>
            </w:r>
            <w:r>
              <w:rPr>
                <w:rStyle w:val="InstructionsTabelleText"/>
                <w:rFonts w:ascii="Times New Roman" w:hAnsi="Times New Roman"/>
                <w:sz w:val="24"/>
              </w:rPr>
              <w:t xml:space="preserve"> fornisce informazioni aggiuntive sulla struttura del debitore delle esposizioni in stato di default. Le esposizioni classificate come </w:t>
            </w:r>
            <w:r w:rsidR="000878EC">
              <w:rPr>
                <w:rStyle w:val="InstructionsTabelleText"/>
                <w:rFonts w:ascii="Times New Roman" w:hAnsi="Times New Roman"/>
                <w:sz w:val="24"/>
              </w:rPr>
              <w:t>"</w:t>
            </w:r>
            <w:r>
              <w:rPr>
                <w:rStyle w:val="InstructionsTabelleText"/>
                <w:rFonts w:ascii="Times New Roman" w:hAnsi="Times New Roman"/>
                <w:sz w:val="24"/>
              </w:rPr>
              <w:t>esposizioni in stato di default</w:t>
            </w:r>
            <w:r w:rsidR="000878EC">
              <w:rPr>
                <w:rStyle w:val="InstructionsTabelleText"/>
                <w:rFonts w:ascii="Times New Roman" w:hAnsi="Times New Roman"/>
                <w:sz w:val="24"/>
              </w:rPr>
              <w:t>"</w:t>
            </w:r>
            <w:r>
              <w:rPr>
                <w:rStyle w:val="InstructionsTabelleText"/>
                <w:rFonts w:ascii="Times New Roman" w:hAnsi="Times New Roman"/>
                <w:sz w:val="24"/>
              </w:rPr>
              <w:t xml:space="preserve"> di cui all</w:t>
            </w:r>
            <w:r w:rsidR="000878EC">
              <w:rPr>
                <w:rStyle w:val="InstructionsTabelleText"/>
                <w:rFonts w:ascii="Times New Roman" w:hAnsi="Times New Roman"/>
                <w:sz w:val="24"/>
              </w:rPr>
              <w:t>'</w:t>
            </w:r>
            <w:r>
              <w:rPr>
                <w:rStyle w:val="InstructionsTabelleText"/>
                <w:rFonts w:ascii="Times New Roman" w:hAnsi="Times New Roman"/>
                <w:sz w:val="24"/>
              </w:rPr>
              <w:t xml:space="preserve">articolo 112, lettera j), del CRR sono segnalate in corrispondenza della voce in cui sarebbero stati inseriti i debitori se tali esposizioni non fossero state assegnate alle classi di esposizioni </w:t>
            </w:r>
            <w:r w:rsidR="000878EC">
              <w:rPr>
                <w:rStyle w:val="InstructionsTabelleText"/>
                <w:rFonts w:ascii="Times New Roman" w:hAnsi="Times New Roman"/>
                <w:sz w:val="24"/>
              </w:rPr>
              <w:t>"</w:t>
            </w:r>
            <w:r>
              <w:rPr>
                <w:rStyle w:val="InstructionsTabelleText"/>
                <w:rFonts w:ascii="Times New Roman" w:hAnsi="Times New Roman"/>
                <w:sz w:val="24"/>
              </w:rPr>
              <w:t>esposizioni in stato di default</w:t>
            </w:r>
            <w:r w:rsidR="000878EC">
              <w:rPr>
                <w:rStyle w:val="InstructionsTabelleText"/>
                <w:rFonts w:ascii="Times New Roman" w:hAnsi="Times New Roman"/>
                <w:sz w:val="24"/>
              </w:rPr>
              <w:t>"</w:t>
            </w:r>
            <w:r>
              <w:t>.</w:t>
            </w:r>
            <w:r>
              <w:rPr>
                <w:rStyle w:val="InstructionsTabelleText"/>
                <w:rFonts w:ascii="Times New Roman" w:hAnsi="Times New Roman"/>
                <w:sz w:val="24"/>
              </w:rPr>
              <w:t xml:space="preserve"> </w:t>
            </w:r>
          </w:p>
          <w:p w:rsidR="004357B9" w:rsidRPr="00661595" w:rsidRDefault="004357B9" w:rsidP="00D2209D">
            <w:pPr>
              <w:suppressAutoHyphens/>
              <w:rPr>
                <w:rFonts w:ascii="Times New Roman" w:hAnsi="Times New Roman"/>
                <w:sz w:val="24"/>
              </w:rPr>
            </w:pPr>
            <w:r>
              <w:rPr>
                <w:rStyle w:val="InstructionsTabelleText"/>
                <w:rFonts w:ascii="Times New Roman" w:hAnsi="Times New Roman"/>
                <w:sz w:val="24"/>
              </w:rPr>
              <w:t xml:space="preserve">Queste informazioni sono una </w:t>
            </w:r>
            <w:r w:rsidR="000878EC">
              <w:rPr>
                <w:rStyle w:val="InstructionsTabelleText"/>
                <w:rFonts w:ascii="Times New Roman" w:hAnsi="Times New Roman"/>
                <w:sz w:val="24"/>
              </w:rPr>
              <w:t>"</w:t>
            </w:r>
            <w:r>
              <w:rPr>
                <w:rStyle w:val="InstructionsTabelleText"/>
                <w:rFonts w:ascii="Times New Roman" w:hAnsi="Times New Roman"/>
                <w:sz w:val="24"/>
              </w:rPr>
              <w:t>voce per memoria</w:t>
            </w:r>
            <w:r w:rsidR="000878EC">
              <w:rPr>
                <w:rStyle w:val="InstructionsTabelleText"/>
                <w:rFonts w:ascii="Times New Roman" w:hAnsi="Times New Roman"/>
                <w:sz w:val="24"/>
              </w:rPr>
              <w:t>"</w:t>
            </w:r>
            <w:r>
              <w:rPr>
                <w:rStyle w:val="InstructionsTabelleText"/>
                <w:rFonts w:ascii="Times New Roman" w:hAnsi="Times New Roman"/>
                <w:sz w:val="24"/>
              </w:rPr>
              <w:t xml:space="preserve"> e pertanto non hanno effetti sul calcolo degli importi delle esposizioni ponderati per il rischio delle classi di esposizioni </w:t>
            </w:r>
            <w:r w:rsidR="000878EC">
              <w:rPr>
                <w:rStyle w:val="InstructionsTabelleText"/>
                <w:rFonts w:ascii="Times New Roman" w:hAnsi="Times New Roman"/>
                <w:sz w:val="24"/>
              </w:rPr>
              <w:t>"</w:t>
            </w:r>
            <w:r>
              <w:rPr>
                <w:rStyle w:val="InstructionsTabelleText"/>
                <w:rFonts w:ascii="Times New Roman" w:hAnsi="Times New Roman"/>
                <w:sz w:val="24"/>
              </w:rPr>
              <w:t>esposizioni in stato di default</w:t>
            </w:r>
            <w:r w:rsidR="000878EC">
              <w:rPr>
                <w:rStyle w:val="InstructionsTabelleText"/>
                <w:rFonts w:ascii="Times New Roman" w:hAnsi="Times New Roman"/>
                <w:sz w:val="24"/>
              </w:rPr>
              <w:t>"</w:t>
            </w:r>
            <w:r>
              <w:rPr>
                <w:rStyle w:val="InstructionsTabelleText"/>
                <w:rFonts w:ascii="Times New Roman" w:hAnsi="Times New Roman"/>
                <w:sz w:val="24"/>
              </w:rPr>
              <w:t xml:space="preserve">, </w:t>
            </w:r>
            <w:r w:rsidR="000878EC">
              <w:rPr>
                <w:rStyle w:val="InstructionsTabelleText"/>
                <w:rFonts w:ascii="Times New Roman" w:hAnsi="Times New Roman"/>
                <w:sz w:val="24"/>
              </w:rPr>
              <w:t>"</w:t>
            </w:r>
            <w:r>
              <w:rPr>
                <w:rStyle w:val="InstructionsTabelleText"/>
                <w:rFonts w:ascii="Times New Roman" w:hAnsi="Times New Roman"/>
                <w:sz w:val="24"/>
              </w:rPr>
              <w:t>esposizioni associate a un rischio particolarmente elevato</w:t>
            </w:r>
            <w:r w:rsidR="000878EC">
              <w:rPr>
                <w:rStyle w:val="InstructionsTabelleText"/>
                <w:rFonts w:ascii="Times New Roman" w:hAnsi="Times New Roman"/>
                <w:sz w:val="24"/>
              </w:rPr>
              <w:t>"</w:t>
            </w:r>
            <w:r>
              <w:rPr>
                <w:rStyle w:val="InstructionsTabelleText"/>
                <w:rFonts w:ascii="Times New Roman" w:hAnsi="Times New Roman"/>
                <w:sz w:val="24"/>
              </w:rPr>
              <w:t xml:space="preserve"> o </w:t>
            </w:r>
            <w:r w:rsidR="000878EC">
              <w:rPr>
                <w:rStyle w:val="InstructionsTabelleText"/>
                <w:rFonts w:ascii="Times New Roman" w:hAnsi="Times New Roman"/>
                <w:sz w:val="24"/>
              </w:rPr>
              <w:t>"</w:t>
            </w:r>
            <w:r>
              <w:rPr>
                <w:rStyle w:val="InstructionsTabelleText"/>
                <w:rFonts w:ascii="Times New Roman" w:hAnsi="Times New Roman"/>
                <w:sz w:val="24"/>
              </w:rPr>
              <w:t>esposizioni in strumenti di capitale</w:t>
            </w:r>
            <w:r w:rsidR="000878EC">
              <w:rPr>
                <w:rStyle w:val="InstructionsTabelleText"/>
                <w:rFonts w:ascii="Times New Roman" w:hAnsi="Times New Roman"/>
                <w:sz w:val="24"/>
              </w:rPr>
              <w:t>"</w:t>
            </w:r>
            <w:r>
              <w:rPr>
                <w:rStyle w:val="InstructionsTabelleText"/>
                <w:rFonts w:ascii="Times New Roman" w:hAnsi="Times New Roman"/>
                <w:sz w:val="24"/>
              </w:rPr>
              <w:t xml:space="preserve"> di cui all</w:t>
            </w:r>
            <w:r w:rsidR="000878EC">
              <w:rPr>
                <w:rStyle w:val="InstructionsTabelleText"/>
                <w:rFonts w:ascii="Times New Roman" w:hAnsi="Times New Roman"/>
                <w:sz w:val="24"/>
              </w:rPr>
              <w:t>'</w:t>
            </w:r>
            <w:r>
              <w:rPr>
                <w:rStyle w:val="InstructionsTabelleText"/>
                <w:rFonts w:ascii="Times New Roman" w:hAnsi="Times New Roman"/>
                <w:sz w:val="24"/>
              </w:rPr>
              <w:t>articolo 112, lettere j), k) e p), del CRR.</w:t>
            </w:r>
          </w:p>
        </w:tc>
      </w:tr>
      <w:tr w:rsidR="004357B9" w:rsidRPr="00661595" w:rsidTr="00672D2A">
        <w:tc>
          <w:tcPr>
            <w:tcW w:w="1188" w:type="dxa"/>
          </w:tcPr>
          <w:p w:rsidR="004357B9" w:rsidRPr="00661595" w:rsidRDefault="004357B9" w:rsidP="00D2209D">
            <w:pPr>
              <w:suppressAutoHyphens/>
              <w:rPr>
                <w:rFonts w:ascii="Times New Roman" w:hAnsi="Times New Roman"/>
                <w:sz w:val="24"/>
              </w:rPr>
            </w:pPr>
            <w:r>
              <w:rPr>
                <w:rFonts w:ascii="Times New Roman" w:hAnsi="Times New Roman"/>
                <w:sz w:val="24"/>
              </w:rPr>
              <w:t>0040</w:t>
            </w:r>
          </w:p>
        </w:tc>
        <w:tc>
          <w:tcPr>
            <w:tcW w:w="8640" w:type="dxa"/>
          </w:tcPr>
          <w:p w:rsidR="004357B9" w:rsidRPr="00661595" w:rsidRDefault="004357B9" w:rsidP="00D2209D">
            <w:pPr>
              <w:suppressAutoHyphens/>
              <w:rPr>
                <w:rFonts w:ascii="Times New Roman" w:hAnsi="Times New Roman"/>
                <w:b/>
                <w:sz w:val="24"/>
                <w:u w:val="single"/>
              </w:rPr>
            </w:pPr>
            <w:r>
              <w:rPr>
                <w:rFonts w:ascii="Times New Roman" w:hAnsi="Times New Roman"/>
                <w:b/>
                <w:sz w:val="24"/>
                <w:u w:val="single"/>
              </w:rPr>
              <w:t>Nuovi default osservati per il periodo</w:t>
            </w:r>
          </w:p>
          <w:p w:rsidR="004357B9" w:rsidRPr="00661595" w:rsidRDefault="00DF70AE" w:rsidP="00D2209D">
            <w:pPr>
              <w:suppressAutoHyphens/>
              <w:rPr>
                <w:rFonts w:ascii="Times New Roman" w:hAnsi="Times New Roman"/>
                <w:b/>
                <w:sz w:val="24"/>
                <w:u w:val="single"/>
              </w:rPr>
            </w:pPr>
            <w:r>
              <w:rPr>
                <w:rStyle w:val="InstructionsTabelleText"/>
                <w:rFonts w:ascii="Times New Roman" w:hAnsi="Times New Roman"/>
                <w:sz w:val="24"/>
              </w:rPr>
              <w:t>L</w:t>
            </w:r>
            <w:r w:rsidR="000878EC">
              <w:rPr>
                <w:rStyle w:val="InstructionsTabelleText"/>
                <w:rFonts w:ascii="Times New Roman" w:hAnsi="Times New Roman"/>
                <w:sz w:val="24"/>
              </w:rPr>
              <w:t>'</w:t>
            </w:r>
            <w:r>
              <w:rPr>
                <w:rStyle w:val="InstructionsTabelleText"/>
                <w:rFonts w:ascii="Times New Roman" w:hAnsi="Times New Roman"/>
                <w:sz w:val="24"/>
              </w:rPr>
              <w:t xml:space="preserve">importo delle esposizioni originarie trasferite nella classe </w:t>
            </w:r>
            <w:r w:rsidR="000878EC">
              <w:rPr>
                <w:rStyle w:val="InstructionsTabelleText"/>
                <w:rFonts w:ascii="Times New Roman" w:hAnsi="Times New Roman"/>
                <w:sz w:val="24"/>
              </w:rPr>
              <w:t>"</w:t>
            </w:r>
            <w:r>
              <w:rPr>
                <w:rStyle w:val="InstructionsTabelleText"/>
                <w:rFonts w:ascii="Times New Roman" w:hAnsi="Times New Roman"/>
                <w:sz w:val="24"/>
              </w:rPr>
              <w:t>esposizioni in stato di default</w:t>
            </w:r>
            <w:r w:rsidR="000878EC">
              <w:rPr>
                <w:rStyle w:val="InstructionsTabelleText"/>
                <w:rFonts w:ascii="Times New Roman" w:hAnsi="Times New Roman"/>
                <w:sz w:val="24"/>
              </w:rPr>
              <w:t>"</w:t>
            </w:r>
            <w:r>
              <w:rPr>
                <w:rStyle w:val="InstructionsTabelleText"/>
                <w:rFonts w:ascii="Times New Roman" w:hAnsi="Times New Roman"/>
                <w:sz w:val="24"/>
              </w:rPr>
              <w:t xml:space="preserve"> nel corso del trimestre successivo all</w:t>
            </w:r>
            <w:r w:rsidR="000878EC">
              <w:rPr>
                <w:rStyle w:val="InstructionsTabelleText"/>
                <w:rFonts w:ascii="Times New Roman" w:hAnsi="Times New Roman"/>
                <w:sz w:val="24"/>
              </w:rPr>
              <w:t>'</w:t>
            </w:r>
            <w:r>
              <w:rPr>
                <w:rStyle w:val="InstructionsTabelleText"/>
                <w:rFonts w:ascii="Times New Roman" w:hAnsi="Times New Roman"/>
                <w:sz w:val="24"/>
              </w:rPr>
              <w:t>ultima data di riferimento per le segnalazioni è segnalato a fronte della classe di esposizioni alla quale il debitore apparteneva originariamente.</w:t>
            </w:r>
          </w:p>
        </w:tc>
      </w:tr>
      <w:tr w:rsidR="004357B9" w:rsidRPr="00661595" w:rsidTr="00672D2A">
        <w:tc>
          <w:tcPr>
            <w:tcW w:w="1188" w:type="dxa"/>
          </w:tcPr>
          <w:p w:rsidR="004357B9" w:rsidRPr="00661595" w:rsidRDefault="004357B9" w:rsidP="00D2209D">
            <w:pPr>
              <w:suppressAutoHyphens/>
              <w:rPr>
                <w:rFonts w:ascii="Times New Roman" w:hAnsi="Times New Roman"/>
                <w:sz w:val="24"/>
              </w:rPr>
            </w:pPr>
            <w:r>
              <w:rPr>
                <w:rFonts w:ascii="Times New Roman" w:hAnsi="Times New Roman"/>
                <w:sz w:val="24"/>
              </w:rPr>
              <w:t>0050</w:t>
            </w:r>
          </w:p>
        </w:tc>
        <w:tc>
          <w:tcPr>
            <w:tcW w:w="8640" w:type="dxa"/>
          </w:tcPr>
          <w:p w:rsidR="004357B9" w:rsidRPr="00661595" w:rsidRDefault="004357B9" w:rsidP="00D2209D">
            <w:pPr>
              <w:suppressAutoHyphens/>
              <w:rPr>
                <w:rFonts w:ascii="Times New Roman" w:hAnsi="Times New Roman"/>
                <w:b/>
                <w:sz w:val="24"/>
                <w:u w:val="single"/>
              </w:rPr>
            </w:pPr>
            <w:r>
              <w:rPr>
                <w:rFonts w:ascii="Times New Roman" w:hAnsi="Times New Roman"/>
                <w:b/>
                <w:sz w:val="24"/>
                <w:u w:val="single"/>
              </w:rPr>
              <w:t>Rettifiche di valore su crediti generiche</w:t>
            </w:r>
          </w:p>
          <w:p w:rsidR="004357B9" w:rsidRPr="00661595" w:rsidRDefault="004357B9" w:rsidP="00D2209D">
            <w:pPr>
              <w:suppressAutoHyphens/>
              <w:rPr>
                <w:rFonts w:ascii="Times New Roman" w:hAnsi="Times New Roman"/>
                <w:sz w:val="24"/>
              </w:rPr>
            </w:pPr>
            <w:r>
              <w:rPr>
                <w:rFonts w:ascii="Times New Roman" w:hAnsi="Times New Roman"/>
                <w:sz w:val="24"/>
              </w:rPr>
              <w:t>Le rettifiche di valore su crediti di cui all</w:t>
            </w:r>
            <w:r w:rsidR="000878EC">
              <w:rPr>
                <w:rFonts w:ascii="Times New Roman" w:hAnsi="Times New Roman"/>
                <w:sz w:val="24"/>
              </w:rPr>
              <w:t>'</w:t>
            </w:r>
            <w:r>
              <w:rPr>
                <w:rFonts w:ascii="Times New Roman" w:hAnsi="Times New Roman"/>
                <w:sz w:val="24"/>
              </w:rPr>
              <w:t xml:space="preserve">articolo 110 del CRR e al regolamento (UE) n. 183/2014. </w:t>
            </w:r>
          </w:p>
          <w:p w:rsidR="00D95045" w:rsidRPr="00661595" w:rsidRDefault="00D95045" w:rsidP="00D2209D">
            <w:pPr>
              <w:suppressAutoHyphens/>
              <w:rPr>
                <w:rFonts w:ascii="Times New Roman" w:hAnsi="Times New Roman"/>
                <w:sz w:val="24"/>
              </w:rPr>
            </w:pPr>
            <w:r>
              <w:rPr>
                <w:rFonts w:ascii="Times New Roman" w:hAnsi="Times New Roman"/>
                <w:sz w:val="24"/>
              </w:rPr>
              <w:t>Questa voce comprende le rettifiche di valore su crediti generiche che possono essere incluse nel capitale di classe 2, prima dell</w:t>
            </w:r>
            <w:r w:rsidR="000878EC">
              <w:rPr>
                <w:rFonts w:ascii="Times New Roman" w:hAnsi="Times New Roman"/>
                <w:sz w:val="24"/>
              </w:rPr>
              <w:t>'</w:t>
            </w:r>
            <w:r>
              <w:rPr>
                <w:rFonts w:ascii="Times New Roman" w:hAnsi="Times New Roman"/>
                <w:sz w:val="24"/>
              </w:rPr>
              <w:t>applicazione de</w:t>
            </w:r>
            <w:r w:rsidR="00D2209D">
              <w:rPr>
                <w:rFonts w:ascii="Times New Roman" w:hAnsi="Times New Roman"/>
                <w:sz w:val="24"/>
              </w:rPr>
              <w:t>l massimale di cui all</w:t>
            </w:r>
            <w:r w:rsidR="000878EC">
              <w:rPr>
                <w:rFonts w:ascii="Times New Roman" w:hAnsi="Times New Roman"/>
                <w:sz w:val="24"/>
              </w:rPr>
              <w:t>'</w:t>
            </w:r>
            <w:r w:rsidR="00D2209D">
              <w:rPr>
                <w:rFonts w:ascii="Times New Roman" w:hAnsi="Times New Roman"/>
                <w:sz w:val="24"/>
              </w:rPr>
              <w:t>articolo </w:t>
            </w:r>
            <w:r>
              <w:rPr>
                <w:rFonts w:ascii="Times New Roman" w:hAnsi="Times New Roman"/>
                <w:sz w:val="24"/>
              </w:rPr>
              <w:t>62, lettera c), del CRR.</w:t>
            </w:r>
          </w:p>
          <w:p w:rsidR="00D95045" w:rsidRPr="00661595" w:rsidRDefault="00D95045" w:rsidP="00D2209D">
            <w:pPr>
              <w:suppressAutoHyphens/>
              <w:rPr>
                <w:rFonts w:ascii="Times New Roman" w:hAnsi="Times New Roman"/>
                <w:b/>
                <w:sz w:val="24"/>
                <w:u w:val="single"/>
              </w:rPr>
            </w:pPr>
            <w:r>
              <w:rPr>
                <w:rFonts w:ascii="Times New Roman" w:hAnsi="Times New Roman"/>
                <w:sz w:val="24"/>
              </w:rPr>
              <w:t>L</w:t>
            </w:r>
            <w:r w:rsidR="000878EC">
              <w:rPr>
                <w:rFonts w:ascii="Times New Roman" w:hAnsi="Times New Roman"/>
                <w:sz w:val="24"/>
              </w:rPr>
              <w:t>'</w:t>
            </w:r>
            <w:r>
              <w:rPr>
                <w:rFonts w:ascii="Times New Roman" w:hAnsi="Times New Roman"/>
                <w:sz w:val="24"/>
              </w:rPr>
              <w:t>importo da segnalare è al lordo degli effetti fiscali.</w:t>
            </w:r>
          </w:p>
        </w:tc>
      </w:tr>
      <w:tr w:rsidR="004357B9" w:rsidRPr="00661595" w:rsidTr="00672D2A">
        <w:tc>
          <w:tcPr>
            <w:tcW w:w="1188" w:type="dxa"/>
          </w:tcPr>
          <w:p w:rsidR="004357B9" w:rsidRPr="00661595" w:rsidRDefault="004357B9" w:rsidP="00D2209D">
            <w:pPr>
              <w:suppressAutoHyphens/>
              <w:rPr>
                <w:rFonts w:ascii="Times New Roman" w:hAnsi="Times New Roman"/>
                <w:sz w:val="24"/>
              </w:rPr>
            </w:pPr>
            <w:r>
              <w:rPr>
                <w:rFonts w:ascii="Times New Roman" w:hAnsi="Times New Roman"/>
                <w:sz w:val="24"/>
              </w:rPr>
              <w:t>0055</w:t>
            </w:r>
          </w:p>
        </w:tc>
        <w:tc>
          <w:tcPr>
            <w:tcW w:w="8640" w:type="dxa"/>
          </w:tcPr>
          <w:p w:rsidR="004357B9" w:rsidRPr="00661595" w:rsidRDefault="004357B9" w:rsidP="00D2209D">
            <w:pPr>
              <w:suppressAutoHyphens/>
              <w:rPr>
                <w:rFonts w:ascii="Times New Roman" w:hAnsi="Times New Roman"/>
                <w:b/>
                <w:sz w:val="24"/>
                <w:u w:val="single"/>
              </w:rPr>
            </w:pPr>
            <w:r>
              <w:rPr>
                <w:rFonts w:ascii="Times New Roman" w:hAnsi="Times New Roman"/>
                <w:b/>
                <w:sz w:val="24"/>
                <w:u w:val="single"/>
              </w:rPr>
              <w:t>Rettifiche di valore su crediti specifiche</w:t>
            </w:r>
          </w:p>
          <w:p w:rsidR="004357B9" w:rsidRPr="00661595" w:rsidRDefault="004357B9" w:rsidP="00D2209D">
            <w:pPr>
              <w:suppressAutoHyphens/>
              <w:rPr>
                <w:rFonts w:ascii="Times New Roman" w:hAnsi="Times New Roman"/>
                <w:b/>
                <w:sz w:val="24"/>
                <w:u w:val="single"/>
              </w:rPr>
            </w:pPr>
            <w:r>
              <w:rPr>
                <w:rFonts w:ascii="Times New Roman" w:hAnsi="Times New Roman"/>
                <w:sz w:val="24"/>
              </w:rPr>
              <w:t>Le rettifiche di valore su crediti di cui all</w:t>
            </w:r>
            <w:r w:rsidR="000878EC">
              <w:rPr>
                <w:rFonts w:ascii="Times New Roman" w:hAnsi="Times New Roman"/>
                <w:sz w:val="24"/>
              </w:rPr>
              <w:t>'</w:t>
            </w:r>
            <w:r>
              <w:rPr>
                <w:rFonts w:ascii="Times New Roman" w:hAnsi="Times New Roman"/>
                <w:sz w:val="24"/>
              </w:rPr>
              <w:t>articolo 110 del CRR e al regolamento (UE) n. 183/2014.</w:t>
            </w:r>
          </w:p>
        </w:tc>
      </w:tr>
      <w:tr w:rsidR="004357B9" w:rsidRPr="00661595" w:rsidTr="00672D2A">
        <w:tc>
          <w:tcPr>
            <w:tcW w:w="1188" w:type="dxa"/>
          </w:tcPr>
          <w:p w:rsidR="004357B9" w:rsidRPr="00661595" w:rsidRDefault="004357B9" w:rsidP="00D2209D">
            <w:pPr>
              <w:suppressAutoHyphens/>
              <w:rPr>
                <w:rFonts w:ascii="Times New Roman" w:hAnsi="Times New Roman"/>
                <w:sz w:val="24"/>
              </w:rPr>
            </w:pPr>
            <w:r>
              <w:rPr>
                <w:rFonts w:ascii="Times New Roman" w:hAnsi="Times New Roman"/>
                <w:sz w:val="24"/>
              </w:rPr>
              <w:t>0060</w:t>
            </w:r>
          </w:p>
        </w:tc>
        <w:tc>
          <w:tcPr>
            <w:tcW w:w="8640" w:type="dxa"/>
          </w:tcPr>
          <w:p w:rsidR="004357B9" w:rsidRPr="00661595" w:rsidRDefault="004357B9" w:rsidP="00D2209D">
            <w:pPr>
              <w:suppressAutoHyphens/>
              <w:rPr>
                <w:rFonts w:ascii="Times New Roman" w:hAnsi="Times New Roman"/>
                <w:b/>
                <w:sz w:val="24"/>
                <w:u w:val="single"/>
              </w:rPr>
            </w:pPr>
            <w:r>
              <w:rPr>
                <w:rFonts w:ascii="Times New Roman" w:hAnsi="Times New Roman"/>
                <w:b/>
                <w:sz w:val="24"/>
                <w:u w:val="single"/>
              </w:rPr>
              <w:t>Svalutazioni</w:t>
            </w:r>
          </w:p>
          <w:p w:rsidR="004357B9" w:rsidRPr="00661595" w:rsidRDefault="004357B9" w:rsidP="00D2209D">
            <w:pPr>
              <w:suppressAutoHyphens/>
              <w:rPr>
                <w:rFonts w:ascii="Times New Roman" w:hAnsi="Times New Roman"/>
                <w:b/>
                <w:sz w:val="24"/>
                <w:u w:val="single"/>
              </w:rPr>
            </w:pPr>
            <w:r>
              <w:rPr>
                <w:rStyle w:val="InstructionsTabelleText"/>
                <w:rFonts w:ascii="Times New Roman" w:hAnsi="Times New Roman"/>
                <w:sz w:val="24"/>
              </w:rPr>
              <w:t>Svalutazioni di cui all</w:t>
            </w:r>
            <w:r w:rsidR="000878EC">
              <w:rPr>
                <w:rStyle w:val="InstructionsTabelleText"/>
                <w:rFonts w:ascii="Times New Roman" w:hAnsi="Times New Roman"/>
                <w:sz w:val="24"/>
              </w:rPr>
              <w:t>'</w:t>
            </w:r>
            <w:r>
              <w:rPr>
                <w:rStyle w:val="InstructionsTabelleText"/>
                <w:rFonts w:ascii="Times New Roman" w:hAnsi="Times New Roman"/>
                <w:sz w:val="24"/>
              </w:rPr>
              <w:t>IFRS 9 5.4.4 e B5.4.9.</w:t>
            </w:r>
          </w:p>
        </w:tc>
      </w:tr>
      <w:tr w:rsidR="00664874" w:rsidRPr="00661595" w:rsidTr="00672D2A">
        <w:tc>
          <w:tcPr>
            <w:tcW w:w="1188" w:type="dxa"/>
          </w:tcPr>
          <w:p w:rsidR="00664874" w:rsidRPr="00661595" w:rsidRDefault="00664874" w:rsidP="00D2209D">
            <w:pPr>
              <w:suppressAutoHyphens/>
              <w:rPr>
                <w:rFonts w:ascii="Times New Roman" w:hAnsi="Times New Roman"/>
                <w:sz w:val="24"/>
              </w:rPr>
            </w:pPr>
            <w:r>
              <w:rPr>
                <w:rFonts w:ascii="Times New Roman" w:hAnsi="Times New Roman"/>
                <w:sz w:val="24"/>
              </w:rPr>
              <w:t>0061</w:t>
            </w:r>
          </w:p>
        </w:tc>
        <w:tc>
          <w:tcPr>
            <w:tcW w:w="8640" w:type="dxa"/>
          </w:tcPr>
          <w:p w:rsidR="00664874" w:rsidRPr="00661595" w:rsidRDefault="00664874" w:rsidP="00D2209D">
            <w:pPr>
              <w:suppressAutoHyphens/>
              <w:rPr>
                <w:rFonts w:ascii="Times New Roman" w:hAnsi="Times New Roman"/>
                <w:b/>
                <w:sz w:val="24"/>
                <w:u w:val="single"/>
              </w:rPr>
            </w:pPr>
            <w:r>
              <w:rPr>
                <w:rFonts w:ascii="Times New Roman" w:hAnsi="Times New Roman"/>
                <w:b/>
                <w:sz w:val="24"/>
                <w:u w:val="single"/>
              </w:rPr>
              <w:t>Rettifiche di valore supplementari e altre riduzioni dei fondi propri</w:t>
            </w:r>
          </w:p>
          <w:p w:rsidR="00664874" w:rsidRPr="00661595" w:rsidRDefault="00664874" w:rsidP="00D2209D">
            <w:pPr>
              <w:suppressAutoHyphens/>
              <w:rPr>
                <w:rFonts w:ascii="Times New Roman" w:hAnsi="Times New Roman"/>
                <w:b/>
                <w:sz w:val="24"/>
                <w:u w:val="single"/>
              </w:rPr>
            </w:pPr>
            <w:r>
              <w:rPr>
                <w:rFonts w:ascii="Times New Roman" w:hAnsi="Times New Roman"/>
                <w:sz w:val="24"/>
              </w:rPr>
              <w:t>A norma dell</w:t>
            </w:r>
            <w:r w:rsidR="000878EC">
              <w:rPr>
                <w:rFonts w:ascii="Times New Roman" w:hAnsi="Times New Roman"/>
                <w:sz w:val="24"/>
              </w:rPr>
              <w:t>'</w:t>
            </w:r>
            <w:r>
              <w:rPr>
                <w:rFonts w:ascii="Times New Roman" w:hAnsi="Times New Roman"/>
                <w:sz w:val="24"/>
              </w:rPr>
              <w:t>articolo 111 del CRR</w:t>
            </w:r>
          </w:p>
        </w:tc>
      </w:tr>
      <w:tr w:rsidR="004357B9" w:rsidRPr="00661595" w:rsidTr="00672D2A">
        <w:tc>
          <w:tcPr>
            <w:tcW w:w="1188" w:type="dxa"/>
          </w:tcPr>
          <w:p w:rsidR="004357B9" w:rsidRPr="00661595" w:rsidRDefault="004357B9" w:rsidP="00D2209D">
            <w:pPr>
              <w:suppressAutoHyphens/>
              <w:rPr>
                <w:rFonts w:ascii="Times New Roman" w:hAnsi="Times New Roman"/>
                <w:sz w:val="24"/>
              </w:rPr>
            </w:pPr>
            <w:r>
              <w:rPr>
                <w:rFonts w:ascii="Times New Roman" w:hAnsi="Times New Roman"/>
                <w:sz w:val="24"/>
              </w:rPr>
              <w:t>0070</w:t>
            </w:r>
          </w:p>
        </w:tc>
        <w:tc>
          <w:tcPr>
            <w:tcW w:w="8640" w:type="dxa"/>
          </w:tcPr>
          <w:p w:rsidR="004357B9" w:rsidRPr="00661595" w:rsidRDefault="004357B9" w:rsidP="00D2209D">
            <w:pPr>
              <w:suppressAutoHyphens/>
              <w:rPr>
                <w:rFonts w:ascii="Times New Roman" w:hAnsi="Times New Roman"/>
                <w:b/>
                <w:sz w:val="24"/>
                <w:u w:val="single"/>
              </w:rPr>
            </w:pPr>
            <w:r>
              <w:rPr>
                <w:rFonts w:ascii="Times New Roman" w:hAnsi="Times New Roman"/>
                <w:b/>
                <w:sz w:val="24"/>
                <w:u w:val="single"/>
              </w:rPr>
              <w:t>Rettifiche di valore su crediti/svalutazioni per nuovi default osservati</w:t>
            </w:r>
          </w:p>
          <w:p w:rsidR="004357B9" w:rsidRPr="00661595" w:rsidRDefault="004357B9" w:rsidP="00D2209D">
            <w:pPr>
              <w:suppressAutoHyphens/>
              <w:rPr>
                <w:rFonts w:ascii="Times New Roman" w:hAnsi="Times New Roman"/>
                <w:b/>
                <w:sz w:val="24"/>
                <w:u w:val="single"/>
              </w:rPr>
            </w:pPr>
            <w:r>
              <w:rPr>
                <w:rStyle w:val="InstructionsTabelleText"/>
                <w:rFonts w:ascii="Times New Roman" w:hAnsi="Times New Roman"/>
                <w:sz w:val="24"/>
              </w:rPr>
              <w:t xml:space="preserve">Somma delle rettifiche di valore su crediti e delle svalutazioni relativamente alle esposizioni classificate come </w:t>
            </w:r>
            <w:r w:rsidR="000878EC">
              <w:rPr>
                <w:rStyle w:val="InstructionsTabelleText"/>
                <w:rFonts w:ascii="Times New Roman" w:hAnsi="Times New Roman"/>
                <w:sz w:val="24"/>
              </w:rPr>
              <w:t>"</w:t>
            </w:r>
            <w:r>
              <w:rPr>
                <w:rStyle w:val="InstructionsTabelleText"/>
                <w:rFonts w:ascii="Times New Roman" w:hAnsi="Times New Roman"/>
                <w:sz w:val="24"/>
              </w:rPr>
              <w:t>esposizioni in stato di default</w:t>
            </w:r>
            <w:r w:rsidR="000878EC">
              <w:rPr>
                <w:rStyle w:val="InstructionsTabelleText"/>
                <w:rFonts w:ascii="Times New Roman" w:hAnsi="Times New Roman"/>
                <w:sz w:val="24"/>
              </w:rPr>
              <w:t>"</w:t>
            </w:r>
            <w:r>
              <w:rPr>
                <w:rStyle w:val="InstructionsTabelleText"/>
                <w:rFonts w:ascii="Times New Roman" w:hAnsi="Times New Roman"/>
                <w:sz w:val="24"/>
              </w:rPr>
              <w:t xml:space="preserve"> nel trimestre successivo all</w:t>
            </w:r>
            <w:r w:rsidR="000878EC">
              <w:rPr>
                <w:rStyle w:val="InstructionsTabelleText"/>
                <w:rFonts w:ascii="Times New Roman" w:hAnsi="Times New Roman"/>
                <w:sz w:val="24"/>
              </w:rPr>
              <w:t>'</w:t>
            </w:r>
            <w:r>
              <w:rPr>
                <w:rStyle w:val="InstructionsTabelleText"/>
                <w:rFonts w:ascii="Times New Roman" w:hAnsi="Times New Roman"/>
                <w:sz w:val="24"/>
              </w:rPr>
              <w:t>ultima segnalazione di dati.</w:t>
            </w:r>
          </w:p>
        </w:tc>
      </w:tr>
      <w:tr w:rsidR="004357B9" w:rsidRPr="00661595" w:rsidTr="00672D2A">
        <w:tc>
          <w:tcPr>
            <w:tcW w:w="1188" w:type="dxa"/>
          </w:tcPr>
          <w:p w:rsidR="004357B9" w:rsidRPr="00661595" w:rsidRDefault="004357B9" w:rsidP="00D2209D">
            <w:pPr>
              <w:suppressAutoHyphens/>
              <w:rPr>
                <w:rFonts w:ascii="Times New Roman" w:hAnsi="Times New Roman"/>
                <w:sz w:val="24"/>
              </w:rPr>
            </w:pPr>
            <w:r>
              <w:rPr>
                <w:rFonts w:ascii="Times New Roman" w:hAnsi="Times New Roman"/>
                <w:sz w:val="24"/>
              </w:rPr>
              <w:t>0075</w:t>
            </w:r>
          </w:p>
        </w:tc>
        <w:tc>
          <w:tcPr>
            <w:tcW w:w="8640" w:type="dxa"/>
          </w:tcPr>
          <w:p w:rsidR="004357B9" w:rsidRPr="00661595" w:rsidRDefault="004357B9" w:rsidP="00D2209D">
            <w:pPr>
              <w:suppressAutoHyphens/>
              <w:rPr>
                <w:rFonts w:ascii="Times New Roman" w:hAnsi="Times New Roman"/>
                <w:b/>
                <w:sz w:val="24"/>
                <w:u w:val="single"/>
              </w:rPr>
            </w:pPr>
            <w:r>
              <w:rPr>
                <w:rFonts w:ascii="Times New Roman" w:hAnsi="Times New Roman"/>
                <w:b/>
                <w:sz w:val="24"/>
                <w:u w:val="single"/>
              </w:rPr>
              <w:t>Valore dell</w:t>
            </w:r>
            <w:r w:rsidR="000878EC">
              <w:rPr>
                <w:rFonts w:ascii="Times New Roman" w:hAnsi="Times New Roman"/>
                <w:b/>
                <w:sz w:val="24"/>
                <w:u w:val="single"/>
              </w:rPr>
              <w:t>'</w:t>
            </w:r>
            <w:r>
              <w:rPr>
                <w:rFonts w:ascii="Times New Roman" w:hAnsi="Times New Roman"/>
                <w:b/>
                <w:sz w:val="24"/>
                <w:u w:val="single"/>
              </w:rPr>
              <w:t>esposizione</w:t>
            </w:r>
          </w:p>
          <w:p w:rsidR="004357B9" w:rsidRPr="00661595" w:rsidRDefault="004357B9" w:rsidP="00D2209D">
            <w:pPr>
              <w:suppressAutoHyphens/>
              <w:rPr>
                <w:rFonts w:ascii="Times New Roman" w:hAnsi="Times New Roman"/>
                <w:b/>
                <w:sz w:val="24"/>
                <w:u w:val="single"/>
              </w:rPr>
            </w:pPr>
            <w:r>
              <w:rPr>
                <w:rStyle w:val="InstructionsTabelleText"/>
                <w:rFonts w:ascii="Times New Roman" w:hAnsi="Times New Roman"/>
                <w:sz w:val="24"/>
              </w:rPr>
              <w:t>Stessa definizione di cui alla colonna 0200 del modello CR SA.</w:t>
            </w:r>
          </w:p>
        </w:tc>
      </w:tr>
      <w:tr w:rsidR="004357B9" w:rsidRPr="00661595" w:rsidTr="00672D2A">
        <w:tc>
          <w:tcPr>
            <w:tcW w:w="1188" w:type="dxa"/>
          </w:tcPr>
          <w:p w:rsidR="004357B9" w:rsidRPr="00661595" w:rsidRDefault="004357B9" w:rsidP="00D2209D">
            <w:pPr>
              <w:suppressAutoHyphens/>
              <w:rPr>
                <w:rFonts w:ascii="Times New Roman" w:hAnsi="Times New Roman"/>
                <w:sz w:val="24"/>
              </w:rPr>
            </w:pPr>
            <w:r>
              <w:rPr>
                <w:rFonts w:ascii="Times New Roman" w:hAnsi="Times New Roman"/>
                <w:sz w:val="24"/>
              </w:rPr>
              <w:t>0080</w:t>
            </w:r>
          </w:p>
        </w:tc>
        <w:tc>
          <w:tcPr>
            <w:tcW w:w="8640" w:type="dxa"/>
          </w:tcPr>
          <w:p w:rsidR="004357B9" w:rsidRPr="00661595" w:rsidRDefault="004357B9" w:rsidP="00D2209D">
            <w:pPr>
              <w:suppressAutoHyphens/>
              <w:rPr>
                <w:rFonts w:ascii="Times New Roman" w:hAnsi="Times New Roman"/>
                <w:b/>
                <w:sz w:val="24"/>
                <w:u w:val="single"/>
              </w:rPr>
            </w:pPr>
            <w:r>
              <w:rPr>
                <w:rFonts w:ascii="Times New Roman" w:hAnsi="Times New Roman"/>
                <w:b/>
                <w:sz w:val="24"/>
                <w:u w:val="single"/>
              </w:rPr>
              <w:t>IMPORTO DELL</w:t>
            </w:r>
            <w:r w:rsidR="000878EC">
              <w:rPr>
                <w:rFonts w:ascii="Times New Roman" w:hAnsi="Times New Roman"/>
                <w:b/>
                <w:sz w:val="24"/>
                <w:u w:val="single"/>
              </w:rPr>
              <w:t>'</w:t>
            </w:r>
            <w:r>
              <w:rPr>
                <w:rFonts w:ascii="Times New Roman" w:hAnsi="Times New Roman"/>
                <w:b/>
                <w:sz w:val="24"/>
                <w:u w:val="single"/>
              </w:rPr>
              <w:t>ESPOSIZIONE PONDERATO PER IL RISCHIO PRIMA DELL</w:t>
            </w:r>
            <w:r w:rsidR="000878EC">
              <w:rPr>
                <w:rFonts w:ascii="Times New Roman" w:hAnsi="Times New Roman"/>
                <w:b/>
                <w:sz w:val="24"/>
                <w:u w:val="single"/>
              </w:rPr>
              <w:t>'</w:t>
            </w:r>
            <w:r>
              <w:rPr>
                <w:rFonts w:ascii="Times New Roman" w:hAnsi="Times New Roman"/>
                <w:b/>
                <w:sz w:val="24"/>
                <w:u w:val="single"/>
              </w:rPr>
              <w:t>APPLICAZIONE DEI FATTORI DI SOSTEGNO</w:t>
            </w:r>
          </w:p>
          <w:p w:rsidR="004357B9" w:rsidRPr="00661595" w:rsidRDefault="004357B9" w:rsidP="00D2209D">
            <w:pPr>
              <w:suppressAutoHyphens/>
              <w:rPr>
                <w:rFonts w:ascii="Times New Roman" w:hAnsi="Times New Roman"/>
                <w:b/>
                <w:sz w:val="24"/>
                <w:u w:val="single"/>
              </w:rPr>
            </w:pPr>
            <w:r>
              <w:rPr>
                <w:rFonts w:ascii="Times New Roman" w:hAnsi="Times New Roman"/>
                <w:sz w:val="24"/>
              </w:rPr>
              <w:t>Stessa definizione di cui alla colonna 0215 del modello CR SA.</w:t>
            </w:r>
          </w:p>
        </w:tc>
      </w:tr>
      <w:tr w:rsidR="00664874" w:rsidRPr="00661595" w:rsidTr="00672D2A">
        <w:tc>
          <w:tcPr>
            <w:tcW w:w="1188" w:type="dxa"/>
          </w:tcPr>
          <w:p w:rsidR="00664874" w:rsidRPr="00661595" w:rsidRDefault="00664874" w:rsidP="00D2209D">
            <w:pPr>
              <w:suppressAutoHyphens/>
              <w:rPr>
                <w:rFonts w:ascii="Times New Roman" w:hAnsi="Times New Roman"/>
                <w:sz w:val="24"/>
              </w:rPr>
            </w:pPr>
            <w:r>
              <w:rPr>
                <w:rFonts w:ascii="Times New Roman" w:hAnsi="Times New Roman"/>
                <w:sz w:val="24"/>
              </w:rPr>
              <w:t>0081</w:t>
            </w:r>
          </w:p>
        </w:tc>
        <w:tc>
          <w:tcPr>
            <w:tcW w:w="8640" w:type="dxa"/>
          </w:tcPr>
          <w:p w:rsidR="00664874" w:rsidRPr="00661595" w:rsidRDefault="00664874" w:rsidP="00D2209D">
            <w:pPr>
              <w:suppressAutoHyphens/>
              <w:rPr>
                <w:rStyle w:val="InstructionsTabelleberschrift"/>
                <w:rFonts w:ascii="Times New Roman" w:hAnsi="Times New Roman"/>
                <w:sz w:val="32"/>
              </w:rPr>
            </w:pPr>
            <w:r>
              <w:rPr>
                <w:rStyle w:val="InstructionsTabelleberschrift"/>
                <w:rFonts w:ascii="Times New Roman" w:hAnsi="Times New Roman"/>
                <w:sz w:val="24"/>
              </w:rPr>
              <w:t>(-) RETTIFICA DELL</w:t>
            </w:r>
            <w:r w:rsidR="000878EC">
              <w:rPr>
                <w:rStyle w:val="InstructionsTabelleberschrift"/>
                <w:rFonts w:ascii="Times New Roman" w:hAnsi="Times New Roman"/>
                <w:sz w:val="24"/>
              </w:rPr>
              <w:t>'</w:t>
            </w:r>
            <w:r>
              <w:rPr>
                <w:rStyle w:val="InstructionsTabelleberschrift"/>
                <w:rFonts w:ascii="Times New Roman" w:hAnsi="Times New Roman"/>
                <w:sz w:val="24"/>
              </w:rPr>
              <w:t>IMPORTO DELL</w:t>
            </w:r>
            <w:r w:rsidR="000878EC">
              <w:rPr>
                <w:rStyle w:val="InstructionsTabelleberschrift"/>
                <w:rFonts w:ascii="Times New Roman" w:hAnsi="Times New Roman"/>
                <w:sz w:val="24"/>
              </w:rPr>
              <w:t>'</w:t>
            </w:r>
            <w:r>
              <w:rPr>
                <w:rStyle w:val="InstructionsTabelleberschrift"/>
                <w:rFonts w:ascii="Times New Roman" w:hAnsi="Times New Roman"/>
                <w:sz w:val="24"/>
              </w:rPr>
              <w:t>ESPOSIZIONE PONDERATO PER IL RISCHIO DOVUTA AL FATTORE DI SOSTEGNO ALLE PMI</w:t>
            </w:r>
          </w:p>
          <w:p w:rsidR="00664874" w:rsidRPr="00661595" w:rsidRDefault="00664874" w:rsidP="00D2209D">
            <w:pPr>
              <w:suppressAutoHyphens/>
              <w:rPr>
                <w:rFonts w:ascii="Times New Roman" w:hAnsi="Times New Roman"/>
                <w:b/>
                <w:sz w:val="24"/>
                <w:u w:val="single"/>
              </w:rPr>
            </w:pPr>
            <w:r>
              <w:rPr>
                <w:rFonts w:ascii="Times New Roman" w:hAnsi="Times New Roman"/>
                <w:sz w:val="24"/>
              </w:rPr>
              <w:t>Stessa definizione di cui alla colonna 0216 del modello CR SA.</w:t>
            </w:r>
          </w:p>
        </w:tc>
      </w:tr>
      <w:tr w:rsidR="00664874" w:rsidRPr="00661595" w:rsidTr="00672D2A">
        <w:tc>
          <w:tcPr>
            <w:tcW w:w="1188" w:type="dxa"/>
          </w:tcPr>
          <w:p w:rsidR="00664874" w:rsidRPr="00661595" w:rsidRDefault="00664874" w:rsidP="00D2209D">
            <w:pPr>
              <w:suppressAutoHyphens/>
              <w:rPr>
                <w:rFonts w:ascii="Times New Roman" w:hAnsi="Times New Roman"/>
                <w:sz w:val="24"/>
              </w:rPr>
            </w:pPr>
            <w:r>
              <w:rPr>
                <w:rFonts w:ascii="Times New Roman" w:hAnsi="Times New Roman"/>
                <w:sz w:val="24"/>
              </w:rPr>
              <w:t>0082</w:t>
            </w:r>
          </w:p>
        </w:tc>
        <w:tc>
          <w:tcPr>
            <w:tcW w:w="8640" w:type="dxa"/>
          </w:tcPr>
          <w:p w:rsidR="00664874" w:rsidRPr="00661595" w:rsidRDefault="00664874" w:rsidP="00D2209D">
            <w:pPr>
              <w:suppressAutoHyphens/>
              <w:rPr>
                <w:rStyle w:val="InstructionsTabelleberschrift"/>
                <w:rFonts w:ascii="Times New Roman" w:hAnsi="Times New Roman"/>
                <w:sz w:val="32"/>
              </w:rPr>
            </w:pPr>
            <w:r>
              <w:rPr>
                <w:rStyle w:val="InstructionsTabelleberschrift"/>
                <w:rFonts w:ascii="Times New Roman" w:hAnsi="Times New Roman"/>
                <w:sz w:val="24"/>
              </w:rPr>
              <w:t>(-) RETTIFICA DELL</w:t>
            </w:r>
            <w:r w:rsidR="000878EC">
              <w:rPr>
                <w:rStyle w:val="InstructionsTabelleberschrift"/>
                <w:rFonts w:ascii="Times New Roman" w:hAnsi="Times New Roman"/>
                <w:sz w:val="24"/>
              </w:rPr>
              <w:t>'</w:t>
            </w:r>
            <w:r>
              <w:rPr>
                <w:rStyle w:val="InstructionsTabelleberschrift"/>
                <w:rFonts w:ascii="Times New Roman" w:hAnsi="Times New Roman"/>
                <w:sz w:val="24"/>
              </w:rPr>
              <w:t>IMPORTO DELL</w:t>
            </w:r>
            <w:r w:rsidR="000878EC">
              <w:rPr>
                <w:rStyle w:val="InstructionsTabelleberschrift"/>
                <w:rFonts w:ascii="Times New Roman" w:hAnsi="Times New Roman"/>
                <w:sz w:val="24"/>
              </w:rPr>
              <w:t>'</w:t>
            </w:r>
            <w:r>
              <w:rPr>
                <w:rStyle w:val="InstructionsTabelleberschrift"/>
                <w:rFonts w:ascii="Times New Roman" w:hAnsi="Times New Roman"/>
                <w:sz w:val="24"/>
              </w:rPr>
              <w:t>ESPOSIZIONE PONDERATO PER IL RISCHIO DOVUTA AL FATTORE DI SOSTEGNO ALLE INFRASTRUTTURE</w:t>
            </w:r>
          </w:p>
          <w:p w:rsidR="00664874" w:rsidRPr="00661595" w:rsidRDefault="00664874" w:rsidP="00D2209D">
            <w:pPr>
              <w:suppressAutoHyphens/>
              <w:rPr>
                <w:rFonts w:ascii="Times New Roman" w:hAnsi="Times New Roman"/>
                <w:b/>
                <w:sz w:val="24"/>
                <w:u w:val="single"/>
              </w:rPr>
            </w:pPr>
            <w:r>
              <w:rPr>
                <w:rFonts w:ascii="Times New Roman" w:hAnsi="Times New Roman"/>
                <w:sz w:val="24"/>
              </w:rPr>
              <w:t>Stessa definizione di cui alla colonna 0217 del modello CR SA.</w:t>
            </w:r>
          </w:p>
        </w:tc>
      </w:tr>
      <w:tr w:rsidR="004357B9" w:rsidRPr="00661595" w:rsidTr="00672D2A">
        <w:tc>
          <w:tcPr>
            <w:tcW w:w="1188" w:type="dxa"/>
          </w:tcPr>
          <w:p w:rsidR="004357B9" w:rsidRPr="00661595" w:rsidRDefault="004357B9" w:rsidP="00D2209D">
            <w:pPr>
              <w:suppressAutoHyphens/>
              <w:rPr>
                <w:rFonts w:ascii="Times New Roman" w:hAnsi="Times New Roman"/>
                <w:sz w:val="24"/>
              </w:rPr>
            </w:pPr>
            <w:r>
              <w:rPr>
                <w:rFonts w:ascii="Times New Roman" w:hAnsi="Times New Roman"/>
                <w:sz w:val="24"/>
              </w:rPr>
              <w:t>0090</w:t>
            </w:r>
          </w:p>
        </w:tc>
        <w:tc>
          <w:tcPr>
            <w:tcW w:w="8640" w:type="dxa"/>
          </w:tcPr>
          <w:p w:rsidR="004357B9" w:rsidRPr="00661595" w:rsidRDefault="004357B9" w:rsidP="00D2209D">
            <w:pPr>
              <w:suppressAutoHyphens/>
              <w:rPr>
                <w:rFonts w:ascii="Times New Roman" w:hAnsi="Times New Roman"/>
                <w:b/>
                <w:sz w:val="24"/>
                <w:u w:val="single"/>
              </w:rPr>
            </w:pPr>
            <w:r>
              <w:rPr>
                <w:rFonts w:ascii="Times New Roman" w:hAnsi="Times New Roman"/>
                <w:b/>
                <w:sz w:val="24"/>
                <w:u w:val="single"/>
              </w:rPr>
              <w:t>IMPORTO DELL</w:t>
            </w:r>
            <w:r w:rsidR="000878EC">
              <w:rPr>
                <w:rFonts w:ascii="Times New Roman" w:hAnsi="Times New Roman"/>
                <w:b/>
                <w:sz w:val="24"/>
                <w:u w:val="single"/>
              </w:rPr>
              <w:t>'</w:t>
            </w:r>
            <w:r>
              <w:rPr>
                <w:rFonts w:ascii="Times New Roman" w:hAnsi="Times New Roman"/>
                <w:b/>
                <w:sz w:val="24"/>
                <w:u w:val="single"/>
              </w:rPr>
              <w:t>ESPOSIZIONE PONDERATO PER IL RISCHIO DOPO L</w:t>
            </w:r>
            <w:r w:rsidR="000878EC">
              <w:rPr>
                <w:rFonts w:ascii="Times New Roman" w:hAnsi="Times New Roman"/>
                <w:b/>
                <w:sz w:val="24"/>
                <w:u w:val="single"/>
              </w:rPr>
              <w:t>'</w:t>
            </w:r>
            <w:r>
              <w:rPr>
                <w:rFonts w:ascii="Times New Roman" w:hAnsi="Times New Roman"/>
                <w:b/>
                <w:sz w:val="24"/>
                <w:u w:val="single"/>
              </w:rPr>
              <w:t>APPLICAZIONE DEI FATTORI DI SOSTEGNO</w:t>
            </w:r>
          </w:p>
          <w:p w:rsidR="004357B9" w:rsidRPr="00661595" w:rsidRDefault="004357B9" w:rsidP="00D2209D">
            <w:pPr>
              <w:suppressAutoHyphens/>
              <w:rPr>
                <w:rFonts w:ascii="Times New Roman" w:hAnsi="Times New Roman"/>
                <w:b/>
                <w:sz w:val="24"/>
                <w:u w:val="single"/>
              </w:rPr>
            </w:pPr>
            <w:r>
              <w:rPr>
                <w:rFonts w:ascii="Times New Roman" w:hAnsi="Times New Roman"/>
                <w:sz w:val="24"/>
              </w:rPr>
              <w:t>Stessa definizione di cui alla colonna 0220 del modello CR SA.</w:t>
            </w:r>
          </w:p>
        </w:tc>
      </w:tr>
    </w:tbl>
    <w:p w:rsidR="004357B9" w:rsidRPr="00661595" w:rsidRDefault="004357B9" w:rsidP="004357B9">
      <w:pPr>
        <w:rPr>
          <w:rFonts w:ascii="Times New Roman" w:hAnsi="Times New Roman"/>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gridCol w:w="61"/>
      </w:tblGrid>
      <w:tr w:rsidR="004357B9" w:rsidRPr="00661595" w:rsidTr="00672D2A">
        <w:trPr>
          <w:gridAfter w:val="1"/>
          <w:wAfter w:w="61" w:type="dxa"/>
          <w:trHeight w:val="581"/>
        </w:trPr>
        <w:tc>
          <w:tcPr>
            <w:tcW w:w="9828" w:type="dxa"/>
            <w:gridSpan w:val="2"/>
            <w:shd w:val="clear" w:color="auto" w:fill="CCCCCC"/>
          </w:tcPr>
          <w:p w:rsidR="004357B9" w:rsidRPr="00661595" w:rsidRDefault="004357B9" w:rsidP="004357B9">
            <w:pPr>
              <w:spacing w:after="0"/>
              <w:rPr>
                <w:rStyle w:val="InstructionsTabelleText"/>
                <w:rFonts w:ascii="Times New Roman" w:hAnsi="Times New Roman"/>
                <w:b/>
                <w:sz w:val="24"/>
              </w:rPr>
            </w:pPr>
            <w:r>
              <w:rPr>
                <w:rStyle w:val="InstructionsTabelleText"/>
                <w:rFonts w:ascii="Times New Roman" w:hAnsi="Times New Roman"/>
                <w:b/>
                <w:sz w:val="24"/>
              </w:rPr>
              <w:t>Righe</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0010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Amministrazioni centrali o banche centrali</w:t>
            </w:r>
          </w:p>
          <w:p w:rsidR="004357B9" w:rsidRPr="00661595" w:rsidRDefault="00D21B29" w:rsidP="00D21B29">
            <w:pPr>
              <w:ind w:left="72"/>
              <w:rPr>
                <w:rStyle w:val="InstructionsTabelleText"/>
                <w:rFonts w:ascii="Times New Roman" w:hAnsi="Times New Roman"/>
                <w:sz w:val="24"/>
              </w:rPr>
            </w:pPr>
            <w:r>
              <w:rPr>
                <w:rFonts w:ascii="Times New Roman" w:hAnsi="Times New Roman"/>
                <w:sz w:val="24"/>
              </w:rPr>
              <w:t>Articolo 112, lettera a), del 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0020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Amministrazioni regionali o autorità locali</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Articolo 112, lettera b), del 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0030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Organismi del settore pubblico</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Articolo 112, lettera c), del 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0040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Banche multilaterali di sviluppo</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Articolo</w:t>
            </w:r>
            <w:r>
              <w:rPr>
                <w:rFonts w:ascii="Times New Roman" w:hAnsi="Times New Roman"/>
                <w:sz w:val="24"/>
              </w:rPr>
              <w:t xml:space="preserve"> </w:t>
            </w:r>
            <w:r>
              <w:rPr>
                <w:rStyle w:val="InstructionsTabelleText"/>
                <w:rFonts w:ascii="Times New Roman" w:hAnsi="Times New Roman"/>
                <w:sz w:val="24"/>
              </w:rPr>
              <w:t>112, lettera d),</w:t>
            </w:r>
            <w:r>
              <w:rPr>
                <w:rFonts w:ascii="Times New Roman" w:hAnsi="Times New Roman"/>
                <w:sz w:val="24"/>
              </w:rPr>
              <w:t xml:space="preserve"> </w:t>
            </w:r>
            <w:r>
              <w:rPr>
                <w:rFonts w:ascii="Times New Roman" w:hAnsi="Times New Roman"/>
                <w:bCs/>
                <w:sz w:val="24"/>
              </w:rPr>
              <w:t>del 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0050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Organizzazioni internazionali</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Articolo 112, lettera e), del 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0060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Enti</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Articolo 112, lettera f), del 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0070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Imprese</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Articolo 112, lettera g), del 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0075</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di cui: PMI</w:t>
            </w:r>
          </w:p>
          <w:p w:rsidR="004357B9" w:rsidRPr="00661595" w:rsidRDefault="004357B9" w:rsidP="007121C9">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Stessa definizione di cui alla riga 0020 del modello CR SA</w:t>
            </w:r>
          </w:p>
        </w:tc>
      </w:tr>
      <w:tr w:rsidR="004357B9" w:rsidRPr="00661595" w:rsidTr="00672D2A">
        <w:tc>
          <w:tcPr>
            <w:tcW w:w="1188" w:type="dxa"/>
            <w:shd w:val="clear" w:color="auto" w:fill="FFFFFF"/>
          </w:tcPr>
          <w:p w:rsidR="004357B9" w:rsidRPr="00661595" w:rsidRDefault="004357B9" w:rsidP="00D2209D">
            <w:pPr>
              <w:keepNext/>
              <w:keepLines/>
              <w:rPr>
                <w:rFonts w:ascii="Times New Roman" w:hAnsi="Times New Roman"/>
                <w:sz w:val="24"/>
              </w:rPr>
            </w:pPr>
            <w:r>
              <w:rPr>
                <w:rFonts w:ascii="Times New Roman" w:hAnsi="Times New Roman"/>
                <w:sz w:val="24"/>
              </w:rPr>
              <w:t>0080</w:t>
            </w:r>
          </w:p>
        </w:tc>
        <w:tc>
          <w:tcPr>
            <w:tcW w:w="8701" w:type="dxa"/>
            <w:gridSpan w:val="2"/>
            <w:shd w:val="clear" w:color="auto" w:fill="FFFFFF"/>
          </w:tcPr>
          <w:p w:rsidR="004357B9" w:rsidRPr="00661595" w:rsidRDefault="004357B9" w:rsidP="00D2209D">
            <w:pPr>
              <w:keepNext/>
              <w:keepLines/>
              <w:ind w:left="72"/>
              <w:rPr>
                <w:rStyle w:val="InstructionsTabelleberschrift"/>
                <w:rFonts w:ascii="Times New Roman" w:hAnsi="Times New Roman"/>
                <w:sz w:val="24"/>
              </w:rPr>
            </w:pPr>
            <w:r>
              <w:rPr>
                <w:rStyle w:val="InstructionsTabelleberschrift"/>
                <w:rFonts w:ascii="Times New Roman" w:hAnsi="Times New Roman"/>
                <w:sz w:val="24"/>
              </w:rPr>
              <w:t>Al dettaglio</w:t>
            </w:r>
          </w:p>
          <w:p w:rsidR="004357B9" w:rsidRPr="00661595" w:rsidRDefault="00D21B29" w:rsidP="00D2209D">
            <w:pPr>
              <w:keepNext/>
              <w:keepLines/>
              <w:ind w:left="72"/>
              <w:rPr>
                <w:rStyle w:val="InstructionsTabelleberschrift"/>
                <w:rFonts w:ascii="Times New Roman" w:hAnsi="Times New Roman"/>
                <w:sz w:val="24"/>
              </w:rPr>
            </w:pPr>
            <w:r>
              <w:rPr>
                <w:rFonts w:ascii="Times New Roman" w:hAnsi="Times New Roman"/>
                <w:bCs/>
                <w:sz w:val="24"/>
              </w:rPr>
              <w:t>Articolo 112, lettera h), del 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0085</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di cui: PMI</w:t>
            </w:r>
          </w:p>
          <w:p w:rsidR="004357B9" w:rsidRPr="00661595"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Stessa definizione di cui alla riga 0020 del modello CR SA</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0090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Garantite da ipoteche su beni immobili</w:t>
            </w:r>
          </w:p>
          <w:p w:rsidR="004357B9" w:rsidRPr="00661595" w:rsidRDefault="00D21B29" w:rsidP="00D21B29">
            <w:pPr>
              <w:ind w:left="72"/>
              <w:rPr>
                <w:rStyle w:val="InstructionsTabelleText"/>
                <w:rFonts w:ascii="Times New Roman" w:hAnsi="Times New Roman"/>
                <w:sz w:val="24"/>
              </w:rPr>
            </w:pPr>
            <w:r>
              <w:rPr>
                <w:rFonts w:ascii="Times New Roman" w:hAnsi="Times New Roman"/>
                <w:bCs/>
                <w:sz w:val="24"/>
              </w:rPr>
              <w:t>Articolo 112</w:t>
            </w:r>
            <w:r>
              <w:rPr>
                <w:rFonts w:ascii="Times New Roman" w:hAnsi="Times New Roman"/>
                <w:sz w:val="24"/>
              </w:rPr>
              <w:t>, lettera i), del CRR</w:t>
            </w:r>
          </w:p>
        </w:tc>
      </w:tr>
      <w:tr w:rsidR="004357B9" w:rsidRPr="00661595" w:rsidTr="00672D2A">
        <w:tc>
          <w:tcPr>
            <w:tcW w:w="1188" w:type="dxa"/>
            <w:shd w:val="clear" w:color="auto" w:fill="FFFFFF"/>
          </w:tcPr>
          <w:p w:rsidR="004357B9" w:rsidRPr="00661595" w:rsidRDefault="004357B9" w:rsidP="004357B9">
            <w:pPr>
              <w:rPr>
                <w:rFonts w:ascii="Times New Roman" w:hAnsi="Times New Roman"/>
                <w:sz w:val="24"/>
              </w:rPr>
            </w:pPr>
            <w:r>
              <w:rPr>
                <w:rFonts w:ascii="Times New Roman" w:hAnsi="Times New Roman"/>
                <w:sz w:val="24"/>
              </w:rPr>
              <w:t>0095</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di cui: PMI</w:t>
            </w:r>
          </w:p>
          <w:p w:rsidR="004357B9" w:rsidRPr="00661595" w:rsidRDefault="004357B9" w:rsidP="00DE26F2">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Stessa definizione di cui alla riga 0020 del modello CR SA</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0100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Esposizioni in stato di default</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Articolo 112, lettera j), del CRR</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0110</w:t>
            </w:r>
          </w:p>
        </w:tc>
        <w:tc>
          <w:tcPr>
            <w:tcW w:w="8701" w:type="dxa"/>
            <w:gridSpan w:val="2"/>
            <w:shd w:val="clear" w:color="auto" w:fill="FFFFFF"/>
          </w:tcPr>
          <w:p w:rsidR="004357B9" w:rsidRPr="00661595" w:rsidRDefault="000565B6" w:rsidP="004357B9">
            <w:pPr>
              <w:autoSpaceDE w:val="0"/>
              <w:autoSpaceDN w:val="0"/>
              <w:adjustRightInd w:val="0"/>
              <w:spacing w:before="0"/>
              <w:ind w:left="72"/>
              <w:jc w:val="left"/>
              <w:rPr>
                <w:rFonts w:ascii="Times New Roman" w:hAnsi="Times New Roman"/>
                <w:b/>
                <w:bCs/>
                <w:sz w:val="24"/>
                <w:u w:val="single"/>
              </w:rPr>
            </w:pPr>
            <w:r>
              <w:rPr>
                <w:rFonts w:ascii="Times New Roman" w:hAnsi="Times New Roman"/>
                <w:b/>
                <w:bCs/>
                <w:sz w:val="24"/>
                <w:u w:val="single"/>
              </w:rPr>
              <w:t>Posizioni associate a un rischio particolarmente elevato</w:t>
            </w:r>
          </w:p>
          <w:p w:rsidR="004357B9" w:rsidRPr="00661595" w:rsidRDefault="00D21B29" w:rsidP="00D21B29">
            <w:pPr>
              <w:autoSpaceDE w:val="0"/>
              <w:autoSpaceDN w:val="0"/>
              <w:adjustRightInd w:val="0"/>
              <w:spacing w:before="0"/>
              <w:ind w:left="72"/>
              <w:jc w:val="left"/>
              <w:rPr>
                <w:rStyle w:val="InstructionsTabelleberschrift"/>
                <w:rFonts w:ascii="Times New Roman" w:hAnsi="Times New Roman"/>
                <w:sz w:val="24"/>
              </w:rPr>
            </w:pPr>
            <w:r>
              <w:rPr>
                <w:rFonts w:ascii="Times New Roman" w:hAnsi="Times New Roman"/>
                <w:bCs/>
                <w:sz w:val="24"/>
              </w:rPr>
              <w:t>Articolo 112, lettera k), del CRR</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0120</w:t>
            </w:r>
          </w:p>
        </w:tc>
        <w:tc>
          <w:tcPr>
            <w:tcW w:w="8701" w:type="dxa"/>
            <w:gridSpan w:val="2"/>
            <w:shd w:val="clear" w:color="auto" w:fill="FFFFFF"/>
          </w:tcPr>
          <w:p w:rsidR="004357B9" w:rsidRPr="00661595" w:rsidRDefault="004357B9" w:rsidP="004357B9">
            <w:pPr>
              <w:autoSpaceDE w:val="0"/>
              <w:autoSpaceDN w:val="0"/>
              <w:adjustRightInd w:val="0"/>
              <w:spacing w:before="0"/>
              <w:ind w:left="72"/>
              <w:jc w:val="left"/>
              <w:rPr>
                <w:rStyle w:val="InstructionsTabelleberschrift"/>
                <w:rFonts w:ascii="Times New Roman" w:hAnsi="Times New Roman"/>
                <w:sz w:val="24"/>
              </w:rPr>
            </w:pPr>
            <w:r>
              <w:rPr>
                <w:rStyle w:val="InstructionsTabelleberschrift"/>
                <w:rFonts w:ascii="Times New Roman" w:hAnsi="Times New Roman"/>
                <w:sz w:val="24"/>
              </w:rPr>
              <w:t>Obbligazioni garantite</w:t>
            </w:r>
          </w:p>
          <w:p w:rsidR="004357B9" w:rsidRPr="00661595" w:rsidRDefault="00D21B29" w:rsidP="00D21B29">
            <w:pPr>
              <w:autoSpaceDE w:val="0"/>
              <w:autoSpaceDN w:val="0"/>
              <w:adjustRightInd w:val="0"/>
              <w:spacing w:before="0"/>
              <w:ind w:left="72"/>
              <w:jc w:val="left"/>
              <w:rPr>
                <w:rStyle w:val="InstructionsTabelleText"/>
                <w:rFonts w:ascii="Times New Roman" w:hAnsi="Times New Roman"/>
                <w:bCs/>
                <w:sz w:val="24"/>
                <w:u w:val="single"/>
              </w:rPr>
            </w:pPr>
            <w:r>
              <w:rPr>
                <w:rFonts w:ascii="Times New Roman" w:hAnsi="Times New Roman"/>
                <w:bCs/>
                <w:sz w:val="24"/>
              </w:rPr>
              <w:t>Articolo 112, lettera l), del CRR</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0130</w:t>
            </w:r>
          </w:p>
          <w:p w:rsidR="004357B9" w:rsidRPr="00661595" w:rsidRDefault="004357B9" w:rsidP="004357B9">
            <w:pPr>
              <w:rPr>
                <w:rFonts w:ascii="Times New Roman" w:hAnsi="Times New Roman"/>
                <w:sz w:val="24"/>
              </w:rPr>
            </w:pP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bCs w:val="0"/>
                <w:sz w:val="24"/>
              </w:rPr>
            </w:pPr>
            <w:r>
              <w:rPr>
                <w:rStyle w:val="InstructionsTabelleberschrift"/>
                <w:rFonts w:ascii="Times New Roman" w:hAnsi="Times New Roman"/>
                <w:bCs w:val="0"/>
                <w:sz w:val="24"/>
              </w:rPr>
              <w:t>Crediti verso enti e imprese con una valutazione del merito di credito a breve termine</w:t>
            </w:r>
          </w:p>
          <w:p w:rsidR="004357B9" w:rsidRPr="00661595" w:rsidRDefault="00D21B29" w:rsidP="00D21B29">
            <w:pPr>
              <w:ind w:left="72"/>
              <w:rPr>
                <w:rFonts w:ascii="Times New Roman" w:hAnsi="Times New Roman"/>
                <w:sz w:val="24"/>
              </w:rPr>
            </w:pPr>
            <w:r>
              <w:rPr>
                <w:rFonts w:ascii="Times New Roman" w:hAnsi="Times New Roman"/>
                <w:bCs/>
                <w:sz w:val="24"/>
              </w:rPr>
              <w:t>Articolo 112</w:t>
            </w:r>
            <w:r>
              <w:rPr>
                <w:rFonts w:ascii="Times New Roman" w:hAnsi="Times New Roman"/>
                <w:sz w:val="24"/>
              </w:rPr>
              <w:t>, lettera n), del CRR</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0140</w:t>
            </w:r>
          </w:p>
        </w:tc>
        <w:tc>
          <w:tcPr>
            <w:tcW w:w="8701" w:type="dxa"/>
            <w:gridSpan w:val="2"/>
            <w:shd w:val="clear" w:color="auto" w:fill="FFFFFF"/>
          </w:tcPr>
          <w:p w:rsidR="00D82B60" w:rsidRPr="00661595" w:rsidRDefault="00A402A8" w:rsidP="004357B9">
            <w:pPr>
              <w:ind w:left="72"/>
              <w:rPr>
                <w:rStyle w:val="InstructionsTabelleberschrift"/>
                <w:rFonts w:ascii="Times New Roman" w:hAnsi="Times New Roman"/>
                <w:sz w:val="24"/>
              </w:rPr>
            </w:pPr>
            <w:r>
              <w:rPr>
                <w:rStyle w:val="InstructionsTabelleberschrift"/>
                <w:rFonts w:ascii="Times New Roman" w:hAnsi="Times New Roman"/>
                <w:sz w:val="24"/>
              </w:rPr>
              <w:t>Organismi di investimento collettivo (OIC)</w:t>
            </w:r>
          </w:p>
          <w:p w:rsidR="004357B9" w:rsidRDefault="00D21B29" w:rsidP="00D21B29">
            <w:pPr>
              <w:ind w:left="72"/>
              <w:rPr>
                <w:rFonts w:ascii="Times New Roman" w:hAnsi="Times New Roman"/>
                <w:bCs/>
                <w:sz w:val="24"/>
              </w:rPr>
            </w:pPr>
            <w:r>
              <w:rPr>
                <w:rFonts w:ascii="Times New Roman" w:hAnsi="Times New Roman"/>
                <w:bCs/>
                <w:sz w:val="24"/>
              </w:rPr>
              <w:t>Articolo 112, lettera o), del CRR</w:t>
            </w:r>
          </w:p>
          <w:p w:rsidR="00C1357C" w:rsidRPr="00661595" w:rsidRDefault="00C1357C" w:rsidP="00D21B29">
            <w:pPr>
              <w:ind w:left="72"/>
              <w:rPr>
                <w:rStyle w:val="InstructionsTabelleberschrift"/>
                <w:rFonts w:ascii="Times New Roman" w:hAnsi="Times New Roman"/>
                <w:b w:val="0"/>
                <w:bCs w:val="0"/>
                <w:sz w:val="24"/>
                <w:u w:val="none"/>
              </w:rPr>
            </w:pPr>
            <w:r>
              <w:rPr>
                <w:rFonts w:ascii="Times New Roman" w:hAnsi="Times New Roman"/>
                <w:bCs/>
                <w:sz w:val="24"/>
              </w:rPr>
              <w:t>Somma delle righe da 0141 a 0143</w:t>
            </w:r>
          </w:p>
        </w:tc>
      </w:tr>
      <w:tr w:rsidR="00664874"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1452FC" w:rsidP="00664874">
            <w:pPr>
              <w:rPr>
                <w:rFonts w:ascii="Times New Roman" w:hAnsi="Times New Roman"/>
                <w:sz w:val="24"/>
              </w:rPr>
            </w:pPr>
            <w:r>
              <w:rPr>
                <w:rFonts w:ascii="Times New Roman" w:hAnsi="Times New Roman"/>
                <w:sz w:val="24"/>
              </w:rPr>
              <w:t>0141</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Metodo look-through</w:t>
            </w:r>
          </w:p>
          <w:p w:rsidR="00664874" w:rsidRPr="006418A0"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Stessa definizione di cui alla riga 0281 del modello CR SA</w:t>
            </w:r>
          </w:p>
        </w:tc>
      </w:tr>
      <w:tr w:rsidR="00664874"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1452FC" w:rsidP="00664874">
            <w:pPr>
              <w:rPr>
                <w:rFonts w:ascii="Times New Roman" w:hAnsi="Times New Roman"/>
                <w:sz w:val="24"/>
              </w:rPr>
            </w:pPr>
            <w:r>
              <w:rPr>
                <w:rFonts w:ascii="Times New Roman" w:hAnsi="Times New Roman"/>
                <w:sz w:val="24"/>
              </w:rPr>
              <w:t>0142</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Metodo basato sul regolamento di gestione</w:t>
            </w:r>
          </w:p>
          <w:p w:rsidR="00664874" w:rsidRPr="006418A0"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Stessa definizione di cui alla riga 0282 del modello CR SA</w:t>
            </w:r>
          </w:p>
        </w:tc>
      </w:tr>
      <w:tr w:rsidR="00664874" w:rsidRPr="00661595" w:rsidTr="00664874">
        <w:tc>
          <w:tcPr>
            <w:tcW w:w="1188" w:type="dxa"/>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1452FC" w:rsidP="00664874">
            <w:pPr>
              <w:rPr>
                <w:rFonts w:ascii="Times New Roman" w:hAnsi="Times New Roman"/>
                <w:sz w:val="24"/>
              </w:rPr>
            </w:pPr>
            <w:r>
              <w:rPr>
                <w:rFonts w:ascii="Times New Roman" w:hAnsi="Times New Roman"/>
                <w:sz w:val="24"/>
              </w:rPr>
              <w:t>0143</w:t>
            </w:r>
          </w:p>
        </w:tc>
        <w:tc>
          <w:tcPr>
            <w:tcW w:w="8701" w:type="dxa"/>
            <w:gridSpan w:val="2"/>
            <w:tcBorders>
              <w:top w:val="single" w:sz="4" w:space="0" w:color="auto"/>
              <w:left w:val="single" w:sz="4" w:space="0" w:color="auto"/>
              <w:bottom w:val="single" w:sz="4" w:space="0" w:color="auto"/>
              <w:right w:val="single" w:sz="4" w:space="0" w:color="auto"/>
            </w:tcBorders>
            <w:shd w:val="clear" w:color="auto" w:fill="FFFFFF"/>
          </w:tcPr>
          <w:p w:rsidR="00664874" w:rsidRPr="00661595" w:rsidRDefault="00664874" w:rsidP="00664874">
            <w:pPr>
              <w:ind w:left="72"/>
              <w:rPr>
                <w:rStyle w:val="InstructionsTabelleberschrift"/>
                <w:rFonts w:ascii="Times New Roman" w:hAnsi="Times New Roman"/>
                <w:sz w:val="24"/>
              </w:rPr>
            </w:pPr>
            <w:r>
              <w:rPr>
                <w:rStyle w:val="InstructionsTabelleberschrift"/>
                <w:rFonts w:ascii="Times New Roman" w:hAnsi="Times New Roman"/>
                <w:sz w:val="24"/>
              </w:rPr>
              <w:t>Metodo fall-back</w:t>
            </w:r>
          </w:p>
          <w:p w:rsidR="00664874" w:rsidRPr="006418A0" w:rsidRDefault="00664874" w:rsidP="00664874">
            <w:pPr>
              <w:ind w:left="72"/>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Stessa definizione di cui alla riga 0283 del modello CR SA</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0150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Esposizioni in strumenti di capitale</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Articolo 112, lettera p), del CRR</w:t>
            </w:r>
          </w:p>
        </w:tc>
      </w:tr>
      <w:tr w:rsidR="004357B9" w:rsidRPr="00661595" w:rsidTr="00672D2A">
        <w:tc>
          <w:tcPr>
            <w:tcW w:w="1188" w:type="dxa"/>
            <w:shd w:val="clear" w:color="auto" w:fill="FFFFFF"/>
          </w:tcPr>
          <w:p w:rsidR="004357B9" w:rsidRPr="00661595" w:rsidRDefault="001452FC" w:rsidP="004357B9">
            <w:pPr>
              <w:rPr>
                <w:rFonts w:ascii="Times New Roman" w:hAnsi="Times New Roman"/>
                <w:sz w:val="24"/>
              </w:rPr>
            </w:pPr>
            <w:r>
              <w:rPr>
                <w:rFonts w:ascii="Times New Roman" w:hAnsi="Times New Roman"/>
                <w:sz w:val="24"/>
              </w:rPr>
              <w:t>0160</w:t>
            </w:r>
          </w:p>
        </w:tc>
        <w:tc>
          <w:tcPr>
            <w:tcW w:w="8701" w:type="dxa"/>
            <w:gridSpan w:val="2"/>
            <w:shd w:val="clear" w:color="auto" w:fill="FFFFFF"/>
          </w:tcPr>
          <w:p w:rsidR="004357B9" w:rsidRPr="00661595" w:rsidRDefault="004357B9" w:rsidP="004357B9">
            <w:pPr>
              <w:ind w:left="72"/>
              <w:rPr>
                <w:rStyle w:val="InstructionsTabelleberschrift"/>
                <w:rFonts w:ascii="Times New Roman" w:hAnsi="Times New Roman"/>
                <w:sz w:val="24"/>
              </w:rPr>
            </w:pPr>
            <w:r>
              <w:rPr>
                <w:rStyle w:val="InstructionsTabelleberschrift"/>
                <w:rFonts w:ascii="Times New Roman" w:hAnsi="Times New Roman"/>
                <w:sz w:val="24"/>
              </w:rPr>
              <w:t>Altre esposizioni</w:t>
            </w:r>
          </w:p>
          <w:p w:rsidR="004357B9" w:rsidRPr="00661595" w:rsidRDefault="00D21B29" w:rsidP="00D21B29">
            <w:pPr>
              <w:ind w:left="72"/>
              <w:rPr>
                <w:rStyle w:val="InstructionsTabelleberschrift"/>
                <w:rFonts w:ascii="Times New Roman" w:hAnsi="Times New Roman"/>
                <w:sz w:val="24"/>
              </w:rPr>
            </w:pPr>
            <w:r>
              <w:rPr>
                <w:rFonts w:ascii="Times New Roman" w:hAnsi="Times New Roman"/>
                <w:bCs/>
                <w:sz w:val="24"/>
              </w:rPr>
              <w:t>Articolo 112, lettera q), del CRR</w:t>
            </w:r>
          </w:p>
        </w:tc>
      </w:tr>
      <w:tr w:rsidR="007A49AC" w:rsidRPr="00661595" w:rsidTr="00672D2A">
        <w:tc>
          <w:tcPr>
            <w:tcW w:w="1188" w:type="dxa"/>
            <w:shd w:val="clear" w:color="auto" w:fill="FFFFFF"/>
          </w:tcPr>
          <w:p w:rsidR="007A49AC" w:rsidRPr="00661595" w:rsidRDefault="001452FC" w:rsidP="004357B9">
            <w:pPr>
              <w:rPr>
                <w:rFonts w:ascii="Times New Roman" w:hAnsi="Times New Roman"/>
                <w:sz w:val="24"/>
              </w:rPr>
            </w:pPr>
            <w:r>
              <w:rPr>
                <w:rFonts w:ascii="Times New Roman" w:hAnsi="Times New Roman"/>
                <w:sz w:val="24"/>
              </w:rPr>
              <w:t>0170</w:t>
            </w:r>
          </w:p>
        </w:tc>
        <w:tc>
          <w:tcPr>
            <w:tcW w:w="8701" w:type="dxa"/>
            <w:gridSpan w:val="2"/>
            <w:shd w:val="clear" w:color="auto" w:fill="FFFFFF"/>
          </w:tcPr>
          <w:p w:rsidR="007A49AC" w:rsidRPr="00661595" w:rsidRDefault="007A49AC" w:rsidP="004357B9">
            <w:pPr>
              <w:ind w:left="72"/>
              <w:rPr>
                <w:rStyle w:val="InstructionsTabelleberschrift"/>
                <w:rFonts w:ascii="Times New Roman" w:hAnsi="Times New Roman"/>
                <w:sz w:val="24"/>
              </w:rPr>
            </w:pPr>
            <w:r>
              <w:rPr>
                <w:rStyle w:val="InstructionsTabelleberschrift"/>
                <w:rFonts w:ascii="Times New Roman" w:hAnsi="Times New Roman"/>
                <w:sz w:val="24"/>
              </w:rPr>
              <w:t>Esposizioni totali</w:t>
            </w:r>
          </w:p>
        </w:tc>
      </w:tr>
    </w:tbl>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63" w:name="_Toc292456210"/>
      <w:bookmarkStart w:id="364" w:name="_Toc473560915"/>
      <w:bookmarkStart w:id="365" w:name="_Toc58915775"/>
      <w:r>
        <w:rPr>
          <w:rFonts w:ascii="Times New Roman" w:hAnsi="Times New Roman"/>
          <w:sz w:val="24"/>
          <w:u w:val="none"/>
        </w:rPr>
        <w:t>3.4.2.</w:t>
      </w:r>
      <w:r w:rsidRPr="007F0EBF">
        <w:rPr>
          <w:u w:val="none"/>
        </w:rPr>
        <w:tab/>
      </w:r>
      <w:r>
        <w:rPr>
          <w:rFonts w:ascii="Times New Roman" w:hAnsi="Times New Roman"/>
          <w:sz w:val="24"/>
        </w:rPr>
        <w:t xml:space="preserve">C 09.02 — Ripartizione geografica delle esposizioni per residenza del debitore: </w:t>
      </w:r>
      <w:bookmarkStart w:id="366" w:name="_Toc360188364"/>
      <w:r>
        <w:rPr>
          <w:rFonts w:ascii="Times New Roman" w:hAnsi="Times New Roman"/>
          <w:sz w:val="24"/>
        </w:rPr>
        <w:t>esposizioni cui è applicato il metodo IRB (CR GB 2)</w:t>
      </w:r>
      <w:bookmarkEnd w:id="364"/>
      <w:bookmarkEnd w:id="365"/>
      <w:bookmarkEnd w:id="366"/>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67" w:name="_Toc360188365"/>
      <w:bookmarkStart w:id="368" w:name="_Toc473560916"/>
      <w:bookmarkStart w:id="369" w:name="_Toc58915776"/>
      <w:r>
        <w:rPr>
          <w:rFonts w:ascii="Times New Roman" w:hAnsi="Times New Roman"/>
          <w:sz w:val="24"/>
          <w:u w:val="none"/>
        </w:rPr>
        <w:t>3.4.2.1.</w:t>
      </w:r>
      <w:r w:rsidRPr="007F0EBF">
        <w:rPr>
          <w:u w:val="none"/>
        </w:rPr>
        <w:tab/>
      </w:r>
      <w:r>
        <w:rPr>
          <w:rFonts w:ascii="Times New Roman" w:hAnsi="Times New Roman"/>
          <w:sz w:val="24"/>
        </w:rPr>
        <w:t>Istruzioni relative a posizioni specifiche</w:t>
      </w:r>
      <w:bookmarkEnd w:id="367"/>
      <w:bookmarkEnd w:id="368"/>
      <w:bookmarkEnd w:id="369"/>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661595" w:rsidTr="00672D2A">
        <w:tc>
          <w:tcPr>
            <w:tcW w:w="1188" w:type="dxa"/>
            <w:shd w:val="clear" w:color="auto" w:fill="CCCCCC"/>
          </w:tcPr>
          <w:p w:rsidR="004357B9" w:rsidRPr="00661595" w:rsidRDefault="004357B9" w:rsidP="004357B9">
            <w:pPr>
              <w:rPr>
                <w:rFonts w:ascii="Times New Roman" w:hAnsi="Times New Roman"/>
                <w:b/>
                <w:sz w:val="24"/>
              </w:rPr>
            </w:pPr>
            <w:r>
              <w:rPr>
                <w:rFonts w:ascii="Times New Roman" w:hAnsi="Times New Roman"/>
                <w:b/>
                <w:sz w:val="24"/>
              </w:rPr>
              <w:t>Colonne</w:t>
            </w:r>
          </w:p>
        </w:tc>
        <w:tc>
          <w:tcPr>
            <w:tcW w:w="8640" w:type="dxa"/>
            <w:shd w:val="clear" w:color="auto" w:fill="CCCCCC"/>
          </w:tcPr>
          <w:p w:rsidR="004357B9" w:rsidRPr="00661595" w:rsidRDefault="004357B9" w:rsidP="007F0EBF">
            <w:pPr>
              <w:suppressAutoHyphens/>
              <w:ind w:left="72"/>
              <w:rPr>
                <w:rFonts w:ascii="Times New Roman" w:hAnsi="Times New Roman"/>
                <w:sz w:val="24"/>
              </w:rPr>
            </w:pPr>
          </w:p>
        </w:tc>
      </w:tr>
      <w:tr w:rsidR="004357B9" w:rsidRPr="00661595" w:rsidTr="00672D2A">
        <w:tc>
          <w:tcPr>
            <w:tcW w:w="1188" w:type="dxa"/>
          </w:tcPr>
          <w:p w:rsidR="004357B9" w:rsidRPr="00661595" w:rsidRDefault="004357B9" w:rsidP="004357B9">
            <w:pPr>
              <w:rPr>
                <w:rStyle w:val="InstructionsTabelleText"/>
                <w:rFonts w:ascii="Times New Roman" w:hAnsi="Times New Roman"/>
                <w:sz w:val="24"/>
              </w:rPr>
            </w:pPr>
            <w:r>
              <w:rPr>
                <w:rStyle w:val="InstructionsTabelleText"/>
                <w:rFonts w:ascii="Times New Roman" w:hAnsi="Times New Roman"/>
                <w:sz w:val="24"/>
              </w:rPr>
              <w:t>0010</w:t>
            </w:r>
          </w:p>
        </w:tc>
        <w:tc>
          <w:tcPr>
            <w:tcW w:w="8640" w:type="dxa"/>
          </w:tcPr>
          <w:p w:rsidR="004357B9" w:rsidRPr="00661595" w:rsidRDefault="004357B9" w:rsidP="007F0EBF">
            <w:pPr>
              <w:suppressAutoHyphens/>
              <w:rPr>
                <w:rStyle w:val="InstructionsTabelleberschrift"/>
                <w:rFonts w:ascii="Times New Roman" w:hAnsi="Times New Roman"/>
                <w:sz w:val="24"/>
              </w:rPr>
            </w:pPr>
            <w:r>
              <w:rPr>
                <w:rStyle w:val="InstructionsTabelleberschrift"/>
                <w:rFonts w:ascii="Times New Roman" w:hAnsi="Times New Roman"/>
                <w:sz w:val="24"/>
              </w:rPr>
              <w:t>ESPOSIZIONE ORIGINARIA PRIMA DELL</w:t>
            </w:r>
            <w:r w:rsidR="000878EC">
              <w:rPr>
                <w:rStyle w:val="InstructionsTabelleberschrift"/>
                <w:rFonts w:ascii="Times New Roman" w:hAnsi="Times New Roman"/>
                <w:sz w:val="24"/>
              </w:rPr>
              <w:t>'</w:t>
            </w:r>
            <w:r>
              <w:rPr>
                <w:rStyle w:val="InstructionsTabelleberschrift"/>
                <w:rFonts w:ascii="Times New Roman" w:hAnsi="Times New Roman"/>
                <w:sz w:val="24"/>
              </w:rPr>
              <w:t>APPLICAZIONE DEI FATTORI DI CONVERSIONE</w:t>
            </w:r>
          </w:p>
          <w:p w:rsidR="004357B9" w:rsidRPr="00661595" w:rsidRDefault="004357B9" w:rsidP="007F0EBF">
            <w:pPr>
              <w:suppressAutoHyphens/>
              <w:autoSpaceDE w:val="0"/>
              <w:autoSpaceDN w:val="0"/>
              <w:adjustRightInd w:val="0"/>
              <w:spacing w:before="0" w:after="0"/>
              <w:jc w:val="left"/>
              <w:rPr>
                <w:rStyle w:val="InstructionsTabelleText"/>
                <w:rFonts w:ascii="Times New Roman" w:hAnsi="Times New Roman"/>
                <w:sz w:val="24"/>
              </w:rPr>
            </w:pPr>
            <w:r>
              <w:rPr>
                <w:rFonts w:ascii="Times New Roman" w:hAnsi="Times New Roman"/>
                <w:sz w:val="24"/>
              </w:rPr>
              <w:t>Stessa definizione di cui alla colonna 0020 del modello CR IRB.</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0030</w:t>
            </w:r>
          </w:p>
        </w:tc>
        <w:tc>
          <w:tcPr>
            <w:tcW w:w="8640" w:type="dxa"/>
          </w:tcPr>
          <w:p w:rsidR="004357B9" w:rsidRPr="00661595" w:rsidRDefault="004357B9" w:rsidP="007F0EBF">
            <w:pPr>
              <w:suppressAutoHyphens/>
              <w:rPr>
                <w:rFonts w:ascii="Times New Roman" w:hAnsi="Times New Roman"/>
                <w:b/>
                <w:sz w:val="24"/>
                <w:u w:val="single"/>
              </w:rPr>
            </w:pPr>
            <w:r>
              <w:rPr>
                <w:rFonts w:ascii="Times New Roman" w:hAnsi="Times New Roman"/>
                <w:b/>
                <w:sz w:val="24"/>
                <w:u w:val="single"/>
              </w:rPr>
              <w:t>di cui: in stato di default</w:t>
            </w:r>
          </w:p>
          <w:p w:rsidR="004357B9" w:rsidRPr="00661595" w:rsidRDefault="004357B9" w:rsidP="007F0EBF">
            <w:pPr>
              <w:suppressAutoHyphens/>
              <w:rPr>
                <w:rStyle w:val="InstructionsTabelleText"/>
                <w:rFonts w:ascii="Times New Roman" w:hAnsi="Times New Roman"/>
                <w:sz w:val="24"/>
              </w:rPr>
            </w:pPr>
            <w:r>
              <w:rPr>
                <w:rStyle w:val="InstructionsTabelleText"/>
                <w:rFonts w:ascii="Times New Roman" w:hAnsi="Times New Roman"/>
                <w:sz w:val="24"/>
              </w:rPr>
              <w:t>Valore dell</w:t>
            </w:r>
            <w:r w:rsidR="000878EC">
              <w:rPr>
                <w:rStyle w:val="InstructionsTabelleText"/>
                <w:rFonts w:ascii="Times New Roman" w:hAnsi="Times New Roman"/>
                <w:sz w:val="24"/>
              </w:rPr>
              <w:t>'</w:t>
            </w:r>
            <w:r>
              <w:rPr>
                <w:rStyle w:val="InstructionsTabelleText"/>
                <w:rFonts w:ascii="Times New Roman" w:hAnsi="Times New Roman"/>
                <w:sz w:val="24"/>
              </w:rPr>
              <w:t>esposizione originaria per le esposizioni classificate come esposizioni in stato di default conformemente all</w:t>
            </w:r>
            <w:r w:rsidR="000878EC">
              <w:rPr>
                <w:rStyle w:val="InstructionsTabelleText"/>
                <w:rFonts w:ascii="Times New Roman" w:hAnsi="Times New Roman"/>
                <w:sz w:val="24"/>
              </w:rPr>
              <w:t>'</w:t>
            </w:r>
            <w:r>
              <w:rPr>
                <w:rStyle w:val="InstructionsTabelleText"/>
                <w:rFonts w:ascii="Times New Roman" w:hAnsi="Times New Roman"/>
                <w:sz w:val="24"/>
              </w:rPr>
              <w:t>articolo 178 del CRR</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0040</w:t>
            </w:r>
          </w:p>
        </w:tc>
        <w:tc>
          <w:tcPr>
            <w:tcW w:w="8640" w:type="dxa"/>
          </w:tcPr>
          <w:p w:rsidR="004357B9" w:rsidRPr="00661595" w:rsidRDefault="004357B9" w:rsidP="007F0EBF">
            <w:pPr>
              <w:suppressAutoHyphens/>
              <w:rPr>
                <w:rFonts w:ascii="Times New Roman" w:hAnsi="Times New Roman"/>
                <w:b/>
                <w:sz w:val="24"/>
                <w:u w:val="single"/>
              </w:rPr>
            </w:pPr>
            <w:r>
              <w:rPr>
                <w:rFonts w:ascii="Times New Roman" w:hAnsi="Times New Roman"/>
                <w:b/>
                <w:sz w:val="24"/>
                <w:u w:val="single"/>
              </w:rPr>
              <w:t>Nuovi default osservati per il periodo</w:t>
            </w:r>
          </w:p>
          <w:p w:rsidR="004357B9" w:rsidRPr="00661595" w:rsidRDefault="003D14AE" w:rsidP="007F0EBF">
            <w:pPr>
              <w:suppressAutoHyphens/>
              <w:rPr>
                <w:rFonts w:ascii="Times New Roman" w:hAnsi="Times New Roman"/>
                <w:b/>
                <w:sz w:val="24"/>
                <w:u w:val="single"/>
              </w:rPr>
            </w:pPr>
            <w:r>
              <w:rPr>
                <w:rStyle w:val="InstructionsTabelleText"/>
                <w:rFonts w:ascii="Times New Roman" w:hAnsi="Times New Roman"/>
                <w:sz w:val="24"/>
              </w:rPr>
              <w:t xml:space="preserve">Il valore originario delle esposizioni che sono state classificate nella classe </w:t>
            </w:r>
            <w:r w:rsidR="000878EC">
              <w:rPr>
                <w:rStyle w:val="InstructionsTabelleText"/>
                <w:rFonts w:ascii="Times New Roman" w:hAnsi="Times New Roman"/>
                <w:sz w:val="24"/>
              </w:rPr>
              <w:t>"</w:t>
            </w:r>
            <w:r>
              <w:rPr>
                <w:rStyle w:val="InstructionsTabelleText"/>
                <w:rFonts w:ascii="Times New Roman" w:hAnsi="Times New Roman"/>
                <w:sz w:val="24"/>
              </w:rPr>
              <w:t>esposizioni in stato di default</w:t>
            </w:r>
            <w:r w:rsidR="000878EC">
              <w:rPr>
                <w:rStyle w:val="InstructionsTabelleText"/>
                <w:rFonts w:ascii="Times New Roman" w:hAnsi="Times New Roman"/>
                <w:sz w:val="24"/>
              </w:rPr>
              <w:t>"</w:t>
            </w:r>
            <w:r>
              <w:rPr>
                <w:rStyle w:val="InstructionsTabelleText"/>
                <w:rFonts w:ascii="Times New Roman" w:hAnsi="Times New Roman"/>
                <w:sz w:val="24"/>
              </w:rPr>
              <w:t xml:space="preserve"> a norma dell</w:t>
            </w:r>
            <w:r w:rsidR="000878EC">
              <w:rPr>
                <w:rStyle w:val="InstructionsTabelleText"/>
                <w:rFonts w:ascii="Times New Roman" w:hAnsi="Times New Roman"/>
                <w:sz w:val="24"/>
              </w:rPr>
              <w:t>'</w:t>
            </w:r>
            <w:r>
              <w:rPr>
                <w:rStyle w:val="InstructionsTabelleText"/>
                <w:rFonts w:ascii="Times New Roman" w:hAnsi="Times New Roman"/>
                <w:sz w:val="24"/>
              </w:rPr>
              <w:t>articolo 178 CRR nel corso del trimestre successivo all</w:t>
            </w:r>
            <w:r w:rsidR="000878EC">
              <w:rPr>
                <w:rStyle w:val="InstructionsTabelleText"/>
                <w:rFonts w:ascii="Times New Roman" w:hAnsi="Times New Roman"/>
                <w:sz w:val="24"/>
              </w:rPr>
              <w:t>'</w:t>
            </w:r>
            <w:r>
              <w:rPr>
                <w:rStyle w:val="InstructionsTabelleText"/>
                <w:rFonts w:ascii="Times New Roman" w:hAnsi="Times New Roman"/>
                <w:sz w:val="24"/>
              </w:rPr>
              <w:t>ultima data di riferimento per le segnalazioni è segnalato a fronte della classe di esposizioni alla quale il debitore appartiene.</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0050</w:t>
            </w:r>
          </w:p>
        </w:tc>
        <w:tc>
          <w:tcPr>
            <w:tcW w:w="8640" w:type="dxa"/>
          </w:tcPr>
          <w:p w:rsidR="004357B9" w:rsidRPr="00661595" w:rsidRDefault="004357B9" w:rsidP="007F0EBF">
            <w:pPr>
              <w:suppressAutoHyphens/>
              <w:rPr>
                <w:rFonts w:ascii="Times New Roman" w:hAnsi="Times New Roman"/>
                <w:b/>
                <w:sz w:val="24"/>
                <w:u w:val="single"/>
              </w:rPr>
            </w:pPr>
            <w:r>
              <w:rPr>
                <w:rFonts w:ascii="Times New Roman" w:hAnsi="Times New Roman"/>
                <w:b/>
                <w:sz w:val="24"/>
                <w:u w:val="single"/>
              </w:rPr>
              <w:t>Rettifiche di valore su crediti generiche</w:t>
            </w:r>
          </w:p>
          <w:p w:rsidR="004357B9" w:rsidRPr="00661595" w:rsidRDefault="004357B9" w:rsidP="007F0EBF">
            <w:pPr>
              <w:suppressAutoHyphens/>
              <w:rPr>
                <w:rFonts w:ascii="Times New Roman" w:hAnsi="Times New Roman"/>
                <w:b/>
                <w:sz w:val="24"/>
                <w:u w:val="single"/>
              </w:rPr>
            </w:pPr>
            <w:r>
              <w:rPr>
                <w:rFonts w:ascii="Times New Roman" w:hAnsi="Times New Roman"/>
                <w:sz w:val="24"/>
              </w:rPr>
              <w:t>Le rettifiche di valore su crediti di cui all</w:t>
            </w:r>
            <w:r w:rsidR="000878EC">
              <w:rPr>
                <w:rFonts w:ascii="Times New Roman" w:hAnsi="Times New Roman"/>
                <w:sz w:val="24"/>
              </w:rPr>
              <w:t>'</w:t>
            </w:r>
            <w:r>
              <w:rPr>
                <w:rFonts w:ascii="Times New Roman" w:hAnsi="Times New Roman"/>
                <w:sz w:val="24"/>
              </w:rPr>
              <w:t>articolo 110 del CRR e al regolamento (UE) n. 183/2014.</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0055</w:t>
            </w:r>
          </w:p>
        </w:tc>
        <w:tc>
          <w:tcPr>
            <w:tcW w:w="8640" w:type="dxa"/>
          </w:tcPr>
          <w:p w:rsidR="004357B9" w:rsidRPr="00661595" w:rsidRDefault="004357B9" w:rsidP="007F0EBF">
            <w:pPr>
              <w:suppressAutoHyphens/>
              <w:rPr>
                <w:rFonts w:ascii="Times New Roman" w:hAnsi="Times New Roman"/>
                <w:b/>
                <w:sz w:val="24"/>
                <w:u w:val="single"/>
              </w:rPr>
            </w:pPr>
            <w:r>
              <w:rPr>
                <w:rFonts w:ascii="Times New Roman" w:hAnsi="Times New Roman"/>
                <w:b/>
                <w:sz w:val="24"/>
                <w:u w:val="single"/>
              </w:rPr>
              <w:t>Rettifiche di valore su crediti specifiche</w:t>
            </w:r>
          </w:p>
          <w:p w:rsidR="004357B9" w:rsidRPr="00661595" w:rsidRDefault="004357B9" w:rsidP="007F0EBF">
            <w:pPr>
              <w:suppressAutoHyphens/>
              <w:rPr>
                <w:rFonts w:ascii="Times New Roman" w:hAnsi="Times New Roman"/>
                <w:b/>
                <w:sz w:val="24"/>
                <w:u w:val="single"/>
              </w:rPr>
            </w:pPr>
            <w:r>
              <w:rPr>
                <w:rFonts w:ascii="Times New Roman" w:hAnsi="Times New Roman"/>
                <w:sz w:val="24"/>
              </w:rPr>
              <w:t>Le rettifiche di valore su crediti di cui all</w:t>
            </w:r>
            <w:r w:rsidR="000878EC">
              <w:rPr>
                <w:rFonts w:ascii="Times New Roman" w:hAnsi="Times New Roman"/>
                <w:sz w:val="24"/>
              </w:rPr>
              <w:t>'</w:t>
            </w:r>
            <w:r>
              <w:rPr>
                <w:rFonts w:ascii="Times New Roman" w:hAnsi="Times New Roman"/>
                <w:sz w:val="24"/>
              </w:rPr>
              <w:t>articolo 110 del CRR e al regolamento (UE) n. 183/2014.</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0060</w:t>
            </w:r>
          </w:p>
        </w:tc>
        <w:tc>
          <w:tcPr>
            <w:tcW w:w="8640" w:type="dxa"/>
          </w:tcPr>
          <w:p w:rsidR="004357B9" w:rsidRPr="00661595" w:rsidRDefault="004357B9" w:rsidP="007F0EBF">
            <w:pPr>
              <w:suppressAutoHyphens/>
              <w:rPr>
                <w:rFonts w:ascii="Times New Roman" w:hAnsi="Times New Roman"/>
                <w:b/>
                <w:sz w:val="24"/>
                <w:u w:val="single"/>
              </w:rPr>
            </w:pPr>
            <w:r>
              <w:rPr>
                <w:rFonts w:ascii="Times New Roman" w:hAnsi="Times New Roman"/>
                <w:b/>
                <w:sz w:val="24"/>
                <w:u w:val="single"/>
              </w:rPr>
              <w:t>Svalutazioni</w:t>
            </w:r>
          </w:p>
          <w:p w:rsidR="004357B9" w:rsidRPr="00661595" w:rsidRDefault="004357B9" w:rsidP="007F0EBF">
            <w:pPr>
              <w:suppressAutoHyphens/>
              <w:rPr>
                <w:rFonts w:ascii="Times New Roman" w:hAnsi="Times New Roman"/>
                <w:b/>
                <w:sz w:val="24"/>
                <w:u w:val="single"/>
              </w:rPr>
            </w:pPr>
            <w:r>
              <w:rPr>
                <w:rStyle w:val="InstructionsTabelleText"/>
                <w:rFonts w:ascii="Times New Roman" w:hAnsi="Times New Roman"/>
                <w:sz w:val="24"/>
              </w:rPr>
              <w:t>Svalutazioni di cui all</w:t>
            </w:r>
            <w:r w:rsidR="000878EC">
              <w:rPr>
                <w:rStyle w:val="InstructionsTabelleText"/>
                <w:rFonts w:ascii="Times New Roman" w:hAnsi="Times New Roman"/>
                <w:sz w:val="24"/>
              </w:rPr>
              <w:t>'</w:t>
            </w:r>
            <w:r>
              <w:rPr>
                <w:rStyle w:val="InstructionsTabelleText"/>
                <w:rFonts w:ascii="Times New Roman" w:hAnsi="Times New Roman"/>
                <w:sz w:val="24"/>
              </w:rPr>
              <w:t>IFRS 9 5.4.4 e B5.4.9.</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0070</w:t>
            </w:r>
          </w:p>
        </w:tc>
        <w:tc>
          <w:tcPr>
            <w:tcW w:w="8640" w:type="dxa"/>
          </w:tcPr>
          <w:p w:rsidR="004357B9" w:rsidRPr="00661595" w:rsidRDefault="004357B9" w:rsidP="007F0EBF">
            <w:pPr>
              <w:suppressAutoHyphens/>
              <w:rPr>
                <w:rFonts w:ascii="Times New Roman" w:hAnsi="Times New Roman"/>
                <w:b/>
                <w:sz w:val="24"/>
                <w:u w:val="single"/>
              </w:rPr>
            </w:pPr>
            <w:r>
              <w:rPr>
                <w:rFonts w:ascii="Times New Roman" w:hAnsi="Times New Roman"/>
                <w:b/>
                <w:sz w:val="24"/>
                <w:u w:val="single"/>
              </w:rPr>
              <w:t>Rettifiche di valore su crediti/svalutazioni per nuovi default osservati</w:t>
            </w:r>
          </w:p>
          <w:p w:rsidR="004357B9" w:rsidRPr="00661595" w:rsidRDefault="004357B9" w:rsidP="007F0EBF">
            <w:pPr>
              <w:suppressAutoHyphens/>
              <w:rPr>
                <w:rFonts w:ascii="Times New Roman" w:hAnsi="Times New Roman"/>
                <w:b/>
                <w:sz w:val="24"/>
                <w:u w:val="single"/>
              </w:rPr>
            </w:pPr>
            <w:r>
              <w:rPr>
                <w:rStyle w:val="InstructionsTabelleText"/>
                <w:rFonts w:ascii="Times New Roman" w:hAnsi="Times New Roman"/>
                <w:sz w:val="24"/>
              </w:rPr>
              <w:t xml:space="preserve">Somma delle rettifiche di valore su crediti e delle svalutazioni relativamente alle esposizioni classificate come </w:t>
            </w:r>
            <w:r w:rsidR="000878EC">
              <w:rPr>
                <w:rStyle w:val="InstructionsTabelleText"/>
                <w:rFonts w:ascii="Times New Roman" w:hAnsi="Times New Roman"/>
                <w:sz w:val="24"/>
              </w:rPr>
              <w:t>"</w:t>
            </w:r>
            <w:r>
              <w:rPr>
                <w:rStyle w:val="InstructionsTabelleText"/>
                <w:rFonts w:ascii="Times New Roman" w:hAnsi="Times New Roman"/>
                <w:sz w:val="24"/>
              </w:rPr>
              <w:t>esposizioni in stato di default</w:t>
            </w:r>
            <w:r w:rsidR="000878EC">
              <w:rPr>
                <w:rStyle w:val="InstructionsTabelleText"/>
                <w:rFonts w:ascii="Times New Roman" w:hAnsi="Times New Roman"/>
                <w:sz w:val="24"/>
              </w:rPr>
              <w:t>"</w:t>
            </w:r>
            <w:r>
              <w:rPr>
                <w:rStyle w:val="InstructionsTabelleText"/>
                <w:rFonts w:ascii="Times New Roman" w:hAnsi="Times New Roman"/>
                <w:sz w:val="24"/>
              </w:rPr>
              <w:t xml:space="preserve"> nel trimestre successivo all</w:t>
            </w:r>
            <w:r w:rsidR="000878EC">
              <w:rPr>
                <w:rStyle w:val="InstructionsTabelleText"/>
                <w:rFonts w:ascii="Times New Roman" w:hAnsi="Times New Roman"/>
                <w:sz w:val="24"/>
              </w:rPr>
              <w:t>'</w:t>
            </w:r>
            <w:r>
              <w:rPr>
                <w:rStyle w:val="InstructionsTabelleText"/>
                <w:rFonts w:ascii="Times New Roman" w:hAnsi="Times New Roman"/>
                <w:sz w:val="24"/>
              </w:rPr>
              <w:t>ultima segnalazione di dati.</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0080</w:t>
            </w:r>
          </w:p>
        </w:tc>
        <w:tc>
          <w:tcPr>
            <w:tcW w:w="8640" w:type="dxa"/>
          </w:tcPr>
          <w:p w:rsidR="004357B9" w:rsidRPr="00661595" w:rsidRDefault="004357B9" w:rsidP="007F0EBF">
            <w:pPr>
              <w:suppressAutoHyphens/>
              <w:rPr>
                <w:rStyle w:val="InstructionsTabelleberschrift"/>
                <w:rFonts w:ascii="Times New Roman" w:hAnsi="Times New Roman"/>
                <w:bCs w:val="0"/>
                <w:sz w:val="24"/>
              </w:rPr>
            </w:pPr>
            <w:r>
              <w:rPr>
                <w:rStyle w:val="InstructionsTabelleberschrift"/>
                <w:rFonts w:ascii="Times New Roman" w:hAnsi="Times New Roman"/>
                <w:bCs w:val="0"/>
                <w:sz w:val="24"/>
              </w:rPr>
              <w:t>SCALA DI RATING INTERNI/PROBABILITÀ DI DEFAULT ASSEGNATA ALLA CLASSE O AL POOL DI DEBITORI (%)</w:t>
            </w:r>
          </w:p>
          <w:p w:rsidR="004357B9" w:rsidRPr="00661595" w:rsidRDefault="004357B9" w:rsidP="007F0EBF">
            <w:pPr>
              <w:suppressAutoHyphens/>
              <w:rPr>
                <w:rFonts w:ascii="Times New Roman" w:hAnsi="Times New Roman"/>
                <w:b/>
                <w:sz w:val="24"/>
                <w:u w:val="single"/>
              </w:rPr>
            </w:pPr>
            <w:r>
              <w:rPr>
                <w:rStyle w:val="InstructionsTabelleText"/>
                <w:rFonts w:ascii="Times New Roman" w:hAnsi="Times New Roman"/>
                <w:sz w:val="24"/>
              </w:rPr>
              <w:t>Stessa definizione di cui alla colonna 0010 del modello CR IRB.</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0090</w:t>
            </w:r>
          </w:p>
        </w:tc>
        <w:tc>
          <w:tcPr>
            <w:tcW w:w="8640" w:type="dxa"/>
          </w:tcPr>
          <w:p w:rsidR="004357B9" w:rsidRPr="00661595" w:rsidRDefault="004357B9" w:rsidP="007F0EBF">
            <w:pPr>
              <w:suppressAutoHyphens/>
              <w:rPr>
                <w:rFonts w:ascii="Times New Roman" w:hAnsi="Times New Roman"/>
                <w:b/>
                <w:sz w:val="24"/>
                <w:u w:val="single"/>
              </w:rPr>
            </w:pPr>
            <w:r>
              <w:rPr>
                <w:rFonts w:ascii="Times New Roman" w:hAnsi="Times New Roman"/>
                <w:b/>
                <w:sz w:val="24"/>
                <w:u w:val="single"/>
              </w:rPr>
              <w:t>LGD MEDIA PONDERATA PER L</w:t>
            </w:r>
            <w:r w:rsidR="000878EC">
              <w:rPr>
                <w:rFonts w:ascii="Times New Roman" w:hAnsi="Times New Roman"/>
                <w:b/>
                <w:sz w:val="24"/>
                <w:u w:val="single"/>
              </w:rPr>
              <w:t>'</w:t>
            </w:r>
            <w:r>
              <w:rPr>
                <w:rFonts w:ascii="Times New Roman" w:hAnsi="Times New Roman"/>
                <w:b/>
                <w:sz w:val="24"/>
                <w:u w:val="single"/>
              </w:rPr>
              <w:t>ESPOSIZIONE (%)</w:t>
            </w:r>
          </w:p>
          <w:p w:rsidR="004357B9" w:rsidRPr="00661595" w:rsidRDefault="004357B9" w:rsidP="007F0EBF">
            <w:pPr>
              <w:suppressAutoHyphens/>
              <w:rPr>
                <w:rStyle w:val="InstructionsTabelleText"/>
                <w:rFonts w:ascii="Times New Roman" w:hAnsi="Times New Roman"/>
                <w:sz w:val="24"/>
              </w:rPr>
            </w:pPr>
            <w:r>
              <w:rPr>
                <w:rStyle w:val="InstructionsTabelleText"/>
                <w:rFonts w:ascii="Times New Roman" w:hAnsi="Times New Roman"/>
                <w:sz w:val="24"/>
              </w:rPr>
              <w:t>Stessa definizione di cui alle colonne 0230 e 0240 del modello CR IRB: la LGD media ponderata per l</w:t>
            </w:r>
            <w:r w:rsidR="000878EC">
              <w:rPr>
                <w:rStyle w:val="InstructionsTabelleText"/>
                <w:rFonts w:ascii="Times New Roman" w:hAnsi="Times New Roman"/>
                <w:sz w:val="24"/>
              </w:rPr>
              <w:t>'</w:t>
            </w:r>
            <w:r>
              <w:rPr>
                <w:rStyle w:val="InstructionsTabelleText"/>
                <w:rFonts w:ascii="Times New Roman" w:hAnsi="Times New Roman"/>
                <w:sz w:val="24"/>
              </w:rPr>
              <w:t>esposizione (%) si riferisce a tutte le esposizioni, comprese quelle verso soggetti di grandi dimensioni del settore finanziario e soggetti finanziari non regolamentati. Si applica l</w:t>
            </w:r>
            <w:r w:rsidR="000878EC">
              <w:rPr>
                <w:rStyle w:val="InstructionsTabelleText"/>
                <w:rFonts w:ascii="Times New Roman" w:hAnsi="Times New Roman"/>
                <w:sz w:val="24"/>
              </w:rPr>
              <w:t>'</w:t>
            </w:r>
            <w:r>
              <w:rPr>
                <w:rStyle w:val="InstructionsTabelleText"/>
                <w:rFonts w:ascii="Times New Roman" w:hAnsi="Times New Roman"/>
                <w:sz w:val="24"/>
              </w:rPr>
              <w:t>articolo 181, paragrafo 1, lettera h), del CRR.</w:t>
            </w:r>
          </w:p>
          <w:p w:rsidR="0042766A" w:rsidRPr="00661595" w:rsidRDefault="0027034D" w:rsidP="007F0EBF">
            <w:pPr>
              <w:suppressAutoHyphens/>
              <w:rPr>
                <w:rFonts w:ascii="Times New Roman" w:hAnsi="Times New Roman"/>
                <w:b/>
                <w:sz w:val="24"/>
                <w:u w:val="single"/>
              </w:rPr>
            </w:pPr>
            <w:r>
              <w:rPr>
                <w:rFonts w:ascii="Times New Roman" w:hAnsi="Times New Roman"/>
                <w:sz w:val="24"/>
              </w:rPr>
              <w:t>Per le esposizioni da finanziamenti specializzati per le quali la PD è stimata, il valore segnalato dovrebbe essere la LGD stimata o la LGD regolamentare. Per le esposizioni da finanziamenti specializzati di cui all</w:t>
            </w:r>
            <w:r w:rsidR="000878EC">
              <w:rPr>
                <w:rFonts w:ascii="Times New Roman" w:hAnsi="Times New Roman"/>
                <w:sz w:val="24"/>
              </w:rPr>
              <w:t>'</w:t>
            </w:r>
            <w:r>
              <w:rPr>
                <w:rFonts w:ascii="Times New Roman" w:hAnsi="Times New Roman"/>
                <w:sz w:val="24"/>
              </w:rPr>
              <w:t>articolo 153, paragrafo 5, del CRR, i dati non possono essere segnalati perché non sono disponibili.</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0100</w:t>
            </w:r>
          </w:p>
        </w:tc>
        <w:tc>
          <w:tcPr>
            <w:tcW w:w="8640" w:type="dxa"/>
          </w:tcPr>
          <w:p w:rsidR="004357B9" w:rsidRPr="00661595" w:rsidRDefault="004357B9" w:rsidP="007F0EBF">
            <w:pPr>
              <w:suppressAutoHyphens/>
              <w:rPr>
                <w:rFonts w:ascii="Times New Roman" w:hAnsi="Times New Roman"/>
                <w:b/>
                <w:sz w:val="24"/>
                <w:u w:val="single"/>
              </w:rPr>
            </w:pPr>
            <w:r>
              <w:rPr>
                <w:rFonts w:ascii="Times New Roman" w:hAnsi="Times New Roman"/>
                <w:b/>
                <w:sz w:val="24"/>
                <w:u w:val="single"/>
              </w:rPr>
              <w:t>di cui: in stato di default</w:t>
            </w:r>
          </w:p>
          <w:p w:rsidR="004357B9" w:rsidRPr="00661595" w:rsidRDefault="004357B9" w:rsidP="007F0EBF">
            <w:pPr>
              <w:suppressAutoHyphens/>
              <w:rPr>
                <w:rFonts w:ascii="Times New Roman" w:hAnsi="Times New Roman"/>
                <w:b/>
                <w:sz w:val="24"/>
                <w:u w:val="single"/>
              </w:rPr>
            </w:pPr>
            <w:r>
              <w:rPr>
                <w:rStyle w:val="InstructionsTabelleText"/>
                <w:rFonts w:ascii="Times New Roman" w:hAnsi="Times New Roman"/>
                <w:sz w:val="24"/>
              </w:rPr>
              <w:t>LGD ponderata per l</w:t>
            </w:r>
            <w:r w:rsidR="000878EC">
              <w:rPr>
                <w:rStyle w:val="InstructionsTabelleText"/>
                <w:rFonts w:ascii="Times New Roman" w:hAnsi="Times New Roman"/>
                <w:sz w:val="24"/>
              </w:rPr>
              <w:t>'</w:t>
            </w:r>
            <w:r>
              <w:rPr>
                <w:rStyle w:val="InstructionsTabelleText"/>
                <w:rFonts w:ascii="Times New Roman" w:hAnsi="Times New Roman"/>
                <w:sz w:val="24"/>
              </w:rPr>
              <w:t>esposizione per le esposizioni classificate come esposizioni in stato di default conformemente all</w:t>
            </w:r>
            <w:r w:rsidR="000878EC">
              <w:rPr>
                <w:rStyle w:val="InstructionsTabelleText"/>
                <w:rFonts w:ascii="Times New Roman" w:hAnsi="Times New Roman"/>
                <w:sz w:val="24"/>
              </w:rPr>
              <w:t>'</w:t>
            </w:r>
            <w:r>
              <w:rPr>
                <w:rStyle w:val="InstructionsTabelleText"/>
                <w:rFonts w:ascii="Times New Roman" w:hAnsi="Times New Roman"/>
                <w:sz w:val="24"/>
              </w:rPr>
              <w:t>articolo 178 del CRR</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0105</w:t>
            </w:r>
          </w:p>
        </w:tc>
        <w:tc>
          <w:tcPr>
            <w:tcW w:w="8640" w:type="dxa"/>
          </w:tcPr>
          <w:p w:rsidR="004357B9" w:rsidRPr="00661595" w:rsidRDefault="004357B9" w:rsidP="007F0EBF">
            <w:pPr>
              <w:suppressAutoHyphens/>
              <w:rPr>
                <w:rFonts w:ascii="Times New Roman" w:hAnsi="Times New Roman"/>
                <w:b/>
                <w:sz w:val="24"/>
                <w:u w:val="single"/>
              </w:rPr>
            </w:pPr>
            <w:r>
              <w:rPr>
                <w:rFonts w:ascii="Times New Roman" w:hAnsi="Times New Roman"/>
                <w:b/>
                <w:sz w:val="24"/>
                <w:u w:val="single"/>
              </w:rPr>
              <w:t>Valore dell</w:t>
            </w:r>
            <w:r w:rsidR="000878EC">
              <w:rPr>
                <w:rFonts w:ascii="Times New Roman" w:hAnsi="Times New Roman"/>
                <w:b/>
                <w:sz w:val="24"/>
                <w:u w:val="single"/>
              </w:rPr>
              <w:t>'</w:t>
            </w:r>
            <w:r>
              <w:rPr>
                <w:rFonts w:ascii="Times New Roman" w:hAnsi="Times New Roman"/>
                <w:b/>
                <w:sz w:val="24"/>
                <w:u w:val="single"/>
              </w:rPr>
              <w:t>esposizione</w:t>
            </w:r>
          </w:p>
          <w:p w:rsidR="004357B9" w:rsidRPr="00661595" w:rsidRDefault="004357B9" w:rsidP="007F0EBF">
            <w:pPr>
              <w:suppressAutoHyphens/>
              <w:rPr>
                <w:rFonts w:ascii="Times New Roman" w:hAnsi="Times New Roman"/>
                <w:b/>
                <w:sz w:val="24"/>
                <w:u w:val="single"/>
              </w:rPr>
            </w:pPr>
            <w:r>
              <w:rPr>
                <w:rStyle w:val="InstructionsTabelleText"/>
                <w:rFonts w:ascii="Times New Roman" w:hAnsi="Times New Roman"/>
                <w:sz w:val="24"/>
              </w:rPr>
              <w:t>Stessa definizione di cui alla colonna 0110 del modello CR IRB.</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0110</w:t>
            </w:r>
          </w:p>
        </w:tc>
        <w:tc>
          <w:tcPr>
            <w:tcW w:w="8640" w:type="dxa"/>
          </w:tcPr>
          <w:p w:rsidR="004357B9" w:rsidRPr="00661595" w:rsidRDefault="004357B9" w:rsidP="007F0EBF">
            <w:pPr>
              <w:suppressAutoHyphens/>
              <w:rPr>
                <w:rFonts w:ascii="Times New Roman" w:hAnsi="Times New Roman"/>
                <w:b/>
                <w:sz w:val="24"/>
                <w:u w:val="single"/>
              </w:rPr>
            </w:pPr>
            <w:r>
              <w:rPr>
                <w:rFonts w:ascii="Times New Roman" w:hAnsi="Times New Roman"/>
                <w:b/>
                <w:sz w:val="24"/>
                <w:u w:val="single"/>
              </w:rPr>
              <w:t>IMPORTO DELL</w:t>
            </w:r>
            <w:r w:rsidR="000878EC">
              <w:rPr>
                <w:rFonts w:ascii="Times New Roman" w:hAnsi="Times New Roman"/>
                <w:b/>
                <w:sz w:val="24"/>
                <w:u w:val="single"/>
              </w:rPr>
              <w:t>'</w:t>
            </w:r>
            <w:r>
              <w:rPr>
                <w:rFonts w:ascii="Times New Roman" w:hAnsi="Times New Roman"/>
                <w:b/>
                <w:sz w:val="24"/>
                <w:u w:val="single"/>
              </w:rPr>
              <w:t>ESPOSIZIONE PONDERATO PER IL RISCHIO PRIMA DELL</w:t>
            </w:r>
            <w:r w:rsidR="000878EC">
              <w:rPr>
                <w:rFonts w:ascii="Times New Roman" w:hAnsi="Times New Roman"/>
                <w:b/>
                <w:sz w:val="24"/>
                <w:u w:val="single"/>
              </w:rPr>
              <w:t>'</w:t>
            </w:r>
            <w:r>
              <w:rPr>
                <w:rFonts w:ascii="Times New Roman" w:hAnsi="Times New Roman"/>
                <w:b/>
                <w:sz w:val="24"/>
                <w:u w:val="single"/>
              </w:rPr>
              <w:t>APPLICAZIONE DEI FATTORI DI SOSTEGNO</w:t>
            </w:r>
          </w:p>
          <w:p w:rsidR="004357B9" w:rsidRPr="00661595" w:rsidRDefault="004357B9" w:rsidP="007F0EBF">
            <w:pPr>
              <w:suppressAutoHyphens/>
              <w:rPr>
                <w:rFonts w:ascii="Times New Roman" w:hAnsi="Times New Roman"/>
                <w:b/>
                <w:sz w:val="24"/>
                <w:u w:val="single"/>
              </w:rPr>
            </w:pPr>
            <w:r>
              <w:rPr>
                <w:rStyle w:val="InstructionsTabelleText"/>
                <w:rFonts w:ascii="Times New Roman" w:hAnsi="Times New Roman"/>
                <w:sz w:val="24"/>
              </w:rPr>
              <w:t>Stessa definizione di cui alla colonna 0255 del modello CR IRB.</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0120</w:t>
            </w:r>
          </w:p>
        </w:tc>
        <w:tc>
          <w:tcPr>
            <w:tcW w:w="8640" w:type="dxa"/>
          </w:tcPr>
          <w:p w:rsidR="004357B9" w:rsidRPr="00661595" w:rsidRDefault="004357B9" w:rsidP="007F0EBF">
            <w:pPr>
              <w:suppressAutoHyphens/>
              <w:rPr>
                <w:rFonts w:ascii="Times New Roman" w:hAnsi="Times New Roman"/>
                <w:b/>
                <w:sz w:val="24"/>
                <w:u w:val="single"/>
              </w:rPr>
            </w:pPr>
            <w:r>
              <w:rPr>
                <w:rFonts w:ascii="Times New Roman" w:hAnsi="Times New Roman"/>
                <w:b/>
                <w:sz w:val="24"/>
                <w:u w:val="single"/>
              </w:rPr>
              <w:t>di cui: in stato di default</w:t>
            </w:r>
          </w:p>
          <w:p w:rsidR="004357B9" w:rsidRPr="00661595" w:rsidRDefault="004357B9" w:rsidP="007F0EBF">
            <w:pPr>
              <w:suppressAutoHyphens/>
              <w:rPr>
                <w:rFonts w:ascii="Times New Roman" w:hAnsi="Times New Roman"/>
                <w:b/>
                <w:sz w:val="24"/>
                <w:u w:val="single"/>
              </w:rPr>
            </w:pPr>
            <w:r>
              <w:rPr>
                <w:rStyle w:val="InstructionsTabelleText"/>
                <w:rFonts w:ascii="Times New Roman" w:hAnsi="Times New Roman"/>
                <w:sz w:val="24"/>
              </w:rPr>
              <w:t>Importo dell</w:t>
            </w:r>
            <w:r w:rsidR="000878EC">
              <w:rPr>
                <w:rStyle w:val="InstructionsTabelleText"/>
                <w:rFonts w:ascii="Times New Roman" w:hAnsi="Times New Roman"/>
                <w:sz w:val="24"/>
              </w:rPr>
              <w:t>'</w:t>
            </w:r>
            <w:r>
              <w:rPr>
                <w:rStyle w:val="InstructionsTabelleText"/>
                <w:rFonts w:ascii="Times New Roman" w:hAnsi="Times New Roman"/>
                <w:sz w:val="24"/>
              </w:rPr>
              <w:t>esposizione ponderato per il rischio per le esposizioni classificate come esposizioni in stato di default conformemente all</w:t>
            </w:r>
            <w:r w:rsidR="000878EC">
              <w:rPr>
                <w:rStyle w:val="InstructionsTabelleText"/>
                <w:rFonts w:ascii="Times New Roman" w:hAnsi="Times New Roman"/>
                <w:sz w:val="24"/>
              </w:rPr>
              <w:t>'</w:t>
            </w:r>
            <w:r>
              <w:rPr>
                <w:rStyle w:val="InstructionsTabelleText"/>
                <w:rFonts w:ascii="Times New Roman" w:hAnsi="Times New Roman"/>
                <w:sz w:val="24"/>
              </w:rPr>
              <w:t>articolo 178, paragrafo 1, del CRR</w:t>
            </w:r>
          </w:p>
        </w:tc>
      </w:tr>
      <w:tr w:rsidR="0027034D" w:rsidRPr="00661595" w:rsidTr="00672D2A">
        <w:tc>
          <w:tcPr>
            <w:tcW w:w="1188" w:type="dxa"/>
          </w:tcPr>
          <w:p w:rsidR="0027034D" w:rsidRPr="00661595" w:rsidRDefault="001452FC" w:rsidP="0027034D">
            <w:pPr>
              <w:rPr>
                <w:rFonts w:ascii="Times New Roman" w:hAnsi="Times New Roman"/>
                <w:sz w:val="24"/>
              </w:rPr>
            </w:pPr>
            <w:r>
              <w:rPr>
                <w:rFonts w:ascii="Times New Roman" w:hAnsi="Times New Roman"/>
                <w:sz w:val="24"/>
              </w:rPr>
              <w:t>0121</w:t>
            </w:r>
          </w:p>
        </w:tc>
        <w:tc>
          <w:tcPr>
            <w:tcW w:w="8640" w:type="dxa"/>
          </w:tcPr>
          <w:p w:rsidR="0027034D" w:rsidRPr="00661595" w:rsidRDefault="0027034D" w:rsidP="007F0EBF">
            <w:pPr>
              <w:suppressAutoHyphens/>
              <w:rPr>
                <w:rFonts w:ascii="Times New Roman" w:hAnsi="Times New Roman"/>
                <w:b/>
                <w:sz w:val="24"/>
                <w:u w:val="single"/>
              </w:rPr>
            </w:pPr>
            <w:r>
              <w:rPr>
                <w:rFonts w:ascii="Times New Roman" w:hAnsi="Times New Roman"/>
                <w:b/>
                <w:sz w:val="24"/>
                <w:u w:val="single"/>
              </w:rPr>
              <w:t>(-) RETTIFICA DELL</w:t>
            </w:r>
            <w:r w:rsidR="000878EC">
              <w:rPr>
                <w:rFonts w:ascii="Times New Roman" w:hAnsi="Times New Roman"/>
                <w:b/>
                <w:sz w:val="24"/>
                <w:u w:val="single"/>
              </w:rPr>
              <w:t>'</w:t>
            </w:r>
            <w:r>
              <w:rPr>
                <w:rFonts w:ascii="Times New Roman" w:hAnsi="Times New Roman"/>
                <w:b/>
                <w:sz w:val="24"/>
                <w:u w:val="single"/>
              </w:rPr>
              <w:t>IMPORTO DELL</w:t>
            </w:r>
            <w:r w:rsidR="000878EC">
              <w:rPr>
                <w:rFonts w:ascii="Times New Roman" w:hAnsi="Times New Roman"/>
                <w:b/>
                <w:sz w:val="24"/>
                <w:u w:val="single"/>
              </w:rPr>
              <w:t>'</w:t>
            </w:r>
            <w:r>
              <w:rPr>
                <w:rFonts w:ascii="Times New Roman" w:hAnsi="Times New Roman"/>
                <w:b/>
                <w:sz w:val="24"/>
                <w:u w:val="single"/>
              </w:rPr>
              <w:t>ESPOSIZIONE PONDERATO PER IL RISCHIO DOVUTA AL FATTORE DI SOSTEGNO ALLE PMI</w:t>
            </w:r>
          </w:p>
          <w:p w:rsidR="0027034D" w:rsidRPr="00661595" w:rsidRDefault="0027034D" w:rsidP="007F0EBF">
            <w:pPr>
              <w:suppressAutoHyphens/>
              <w:rPr>
                <w:rFonts w:ascii="Times New Roman" w:hAnsi="Times New Roman"/>
                <w:b/>
                <w:sz w:val="24"/>
                <w:u w:val="single"/>
              </w:rPr>
            </w:pPr>
            <w:r>
              <w:rPr>
                <w:rStyle w:val="InstructionsTabelleText"/>
                <w:rFonts w:ascii="Times New Roman" w:hAnsi="Times New Roman"/>
                <w:sz w:val="24"/>
              </w:rPr>
              <w:t>Stessa definizione di cui alla colonna 0256 del modello CR IRB.</w:t>
            </w:r>
          </w:p>
        </w:tc>
      </w:tr>
      <w:tr w:rsidR="0027034D" w:rsidRPr="00661595" w:rsidTr="00672D2A">
        <w:tc>
          <w:tcPr>
            <w:tcW w:w="1188" w:type="dxa"/>
          </w:tcPr>
          <w:p w:rsidR="0027034D" w:rsidRPr="00661595" w:rsidRDefault="001452FC" w:rsidP="0027034D">
            <w:pPr>
              <w:rPr>
                <w:rFonts w:ascii="Times New Roman" w:hAnsi="Times New Roman"/>
                <w:sz w:val="24"/>
              </w:rPr>
            </w:pPr>
            <w:r>
              <w:rPr>
                <w:rFonts w:ascii="Times New Roman" w:hAnsi="Times New Roman"/>
                <w:sz w:val="24"/>
              </w:rPr>
              <w:t>0122</w:t>
            </w:r>
          </w:p>
        </w:tc>
        <w:tc>
          <w:tcPr>
            <w:tcW w:w="8640" w:type="dxa"/>
          </w:tcPr>
          <w:p w:rsidR="0027034D" w:rsidRPr="00661595" w:rsidRDefault="0027034D" w:rsidP="007F0EBF">
            <w:pPr>
              <w:suppressAutoHyphens/>
              <w:rPr>
                <w:rFonts w:ascii="Times New Roman" w:hAnsi="Times New Roman"/>
                <w:b/>
                <w:sz w:val="24"/>
                <w:u w:val="single"/>
              </w:rPr>
            </w:pPr>
            <w:r>
              <w:rPr>
                <w:rFonts w:ascii="Times New Roman" w:hAnsi="Times New Roman"/>
                <w:b/>
                <w:sz w:val="24"/>
                <w:u w:val="single"/>
              </w:rPr>
              <w:t>(-) RETTIFICA DELL</w:t>
            </w:r>
            <w:r w:rsidR="000878EC">
              <w:rPr>
                <w:rFonts w:ascii="Times New Roman" w:hAnsi="Times New Roman"/>
                <w:b/>
                <w:sz w:val="24"/>
                <w:u w:val="single"/>
              </w:rPr>
              <w:t>'</w:t>
            </w:r>
            <w:r>
              <w:rPr>
                <w:rFonts w:ascii="Times New Roman" w:hAnsi="Times New Roman"/>
                <w:b/>
                <w:sz w:val="24"/>
                <w:u w:val="single"/>
              </w:rPr>
              <w:t>IMPORTO DELL</w:t>
            </w:r>
            <w:r w:rsidR="000878EC">
              <w:rPr>
                <w:rFonts w:ascii="Times New Roman" w:hAnsi="Times New Roman"/>
                <w:b/>
                <w:sz w:val="24"/>
                <w:u w:val="single"/>
              </w:rPr>
              <w:t>'</w:t>
            </w:r>
            <w:r>
              <w:rPr>
                <w:rFonts w:ascii="Times New Roman" w:hAnsi="Times New Roman"/>
                <w:b/>
                <w:sz w:val="24"/>
                <w:u w:val="single"/>
              </w:rPr>
              <w:t>ESPOSIZIONE PONDERATO PER IL RISCHIO DOVUTA AL FATTORE DI SOSTEGNO ALLE INFRASTRUTTURE</w:t>
            </w:r>
          </w:p>
          <w:p w:rsidR="0027034D" w:rsidRPr="00661595" w:rsidRDefault="0027034D" w:rsidP="007F0EBF">
            <w:pPr>
              <w:suppressAutoHyphens/>
              <w:rPr>
                <w:rFonts w:ascii="Times New Roman" w:hAnsi="Times New Roman"/>
                <w:b/>
                <w:sz w:val="24"/>
                <w:u w:val="single"/>
              </w:rPr>
            </w:pPr>
            <w:r>
              <w:rPr>
                <w:rStyle w:val="InstructionsTabelleText"/>
                <w:rFonts w:ascii="Times New Roman" w:hAnsi="Times New Roman"/>
                <w:sz w:val="24"/>
              </w:rPr>
              <w:t>Stessa definizione di cui alla colonna 0257 del modello CR IRB.</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0125</w:t>
            </w:r>
          </w:p>
        </w:tc>
        <w:tc>
          <w:tcPr>
            <w:tcW w:w="8640" w:type="dxa"/>
          </w:tcPr>
          <w:p w:rsidR="004357B9" w:rsidRPr="00661595" w:rsidRDefault="004357B9" w:rsidP="007F0EBF">
            <w:pPr>
              <w:suppressAutoHyphens/>
              <w:rPr>
                <w:rFonts w:ascii="Times New Roman" w:hAnsi="Times New Roman"/>
                <w:b/>
                <w:sz w:val="24"/>
                <w:u w:val="single"/>
              </w:rPr>
            </w:pPr>
            <w:r>
              <w:rPr>
                <w:rFonts w:ascii="Times New Roman" w:hAnsi="Times New Roman"/>
                <w:b/>
                <w:sz w:val="24"/>
                <w:u w:val="single"/>
              </w:rPr>
              <w:t>IMPORTO DELL</w:t>
            </w:r>
            <w:r w:rsidR="000878EC">
              <w:rPr>
                <w:rFonts w:ascii="Times New Roman" w:hAnsi="Times New Roman"/>
                <w:b/>
                <w:sz w:val="24"/>
                <w:u w:val="single"/>
              </w:rPr>
              <w:t>'</w:t>
            </w:r>
            <w:r>
              <w:rPr>
                <w:rFonts w:ascii="Times New Roman" w:hAnsi="Times New Roman"/>
                <w:b/>
                <w:sz w:val="24"/>
                <w:u w:val="single"/>
              </w:rPr>
              <w:t>ESPOSIZIONE PONDERATO PER IL RISCHIO DOPO L</w:t>
            </w:r>
            <w:r w:rsidR="000878EC">
              <w:rPr>
                <w:rFonts w:ascii="Times New Roman" w:hAnsi="Times New Roman"/>
                <w:b/>
                <w:sz w:val="24"/>
                <w:u w:val="single"/>
              </w:rPr>
              <w:t>'</w:t>
            </w:r>
            <w:r>
              <w:rPr>
                <w:rFonts w:ascii="Times New Roman" w:hAnsi="Times New Roman"/>
                <w:b/>
                <w:sz w:val="24"/>
                <w:u w:val="single"/>
              </w:rPr>
              <w:t>APPLICAZIONE DEI FATTORI DI SOSTEGNO</w:t>
            </w:r>
          </w:p>
          <w:p w:rsidR="004357B9" w:rsidRPr="00661595" w:rsidRDefault="004357B9" w:rsidP="007F0EBF">
            <w:pPr>
              <w:suppressAutoHyphens/>
              <w:rPr>
                <w:rFonts w:ascii="Times New Roman" w:hAnsi="Times New Roman"/>
                <w:b/>
                <w:sz w:val="24"/>
                <w:u w:val="single"/>
              </w:rPr>
            </w:pPr>
            <w:r>
              <w:rPr>
                <w:rStyle w:val="InstructionsTabelleText"/>
                <w:rFonts w:ascii="Times New Roman" w:hAnsi="Times New Roman"/>
                <w:sz w:val="24"/>
              </w:rPr>
              <w:t>Stessa definizione di cui alla colonna 0260 del modello CR IRB.</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0130</w:t>
            </w:r>
          </w:p>
        </w:tc>
        <w:tc>
          <w:tcPr>
            <w:tcW w:w="8640" w:type="dxa"/>
          </w:tcPr>
          <w:p w:rsidR="004357B9" w:rsidRPr="00661595" w:rsidRDefault="004357B9" w:rsidP="007F0EBF">
            <w:pPr>
              <w:suppressAutoHyphens/>
              <w:rPr>
                <w:rFonts w:ascii="Times New Roman" w:hAnsi="Times New Roman"/>
                <w:b/>
                <w:sz w:val="24"/>
                <w:u w:val="single"/>
              </w:rPr>
            </w:pPr>
            <w:r>
              <w:rPr>
                <w:rFonts w:ascii="Times New Roman" w:hAnsi="Times New Roman"/>
                <w:b/>
                <w:sz w:val="24"/>
                <w:u w:val="single"/>
              </w:rPr>
              <w:t>IMPORTO DELLE PERDITE ATTESE</w:t>
            </w:r>
          </w:p>
          <w:p w:rsidR="004357B9" w:rsidRPr="00661595" w:rsidRDefault="004357B9" w:rsidP="007F0EBF">
            <w:pPr>
              <w:suppressAutoHyphens/>
              <w:rPr>
                <w:rFonts w:ascii="Times New Roman" w:hAnsi="Times New Roman"/>
                <w:b/>
                <w:sz w:val="24"/>
                <w:u w:val="single"/>
              </w:rPr>
            </w:pPr>
            <w:r>
              <w:rPr>
                <w:rStyle w:val="InstructionsTabelleText"/>
                <w:rFonts w:ascii="Times New Roman" w:hAnsi="Times New Roman"/>
                <w:sz w:val="24"/>
              </w:rPr>
              <w:t>Stessa definizione di cui alla colonna 0280 del modello CR IRB.</w:t>
            </w:r>
          </w:p>
        </w:tc>
      </w:tr>
    </w:tbl>
    <w:p w:rsidR="004357B9" w:rsidRPr="00661595" w:rsidRDefault="004357B9" w:rsidP="004357B9">
      <w:pPr>
        <w:rPr>
          <w:rFonts w:ascii="Times New Roman" w:hAnsi="Times New Roman"/>
          <w:sz w:val="24"/>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640"/>
      </w:tblGrid>
      <w:tr w:rsidR="004357B9" w:rsidRPr="00661595" w:rsidTr="00672D2A">
        <w:tc>
          <w:tcPr>
            <w:tcW w:w="1188" w:type="dxa"/>
            <w:shd w:val="clear" w:color="auto" w:fill="CCCCCC"/>
          </w:tcPr>
          <w:p w:rsidR="004357B9" w:rsidRPr="00661595" w:rsidRDefault="004357B9" w:rsidP="004357B9">
            <w:pPr>
              <w:rPr>
                <w:rFonts w:ascii="Times New Roman" w:hAnsi="Times New Roman"/>
                <w:b/>
                <w:sz w:val="24"/>
              </w:rPr>
            </w:pPr>
            <w:r>
              <w:rPr>
                <w:rFonts w:ascii="Times New Roman" w:hAnsi="Times New Roman"/>
                <w:b/>
                <w:sz w:val="24"/>
              </w:rPr>
              <w:t>Righe</w:t>
            </w:r>
          </w:p>
        </w:tc>
        <w:tc>
          <w:tcPr>
            <w:tcW w:w="8640" w:type="dxa"/>
            <w:shd w:val="clear" w:color="auto" w:fill="CCCCCC"/>
          </w:tcPr>
          <w:p w:rsidR="004357B9" w:rsidRPr="00661595" w:rsidRDefault="004357B9" w:rsidP="007F0EBF">
            <w:pPr>
              <w:suppressAutoHyphens/>
              <w:ind w:left="72"/>
              <w:rPr>
                <w:rFonts w:ascii="Times New Roman" w:hAnsi="Times New Roman"/>
                <w:sz w:val="24"/>
              </w:rPr>
            </w:pP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0010</w:t>
            </w:r>
          </w:p>
        </w:tc>
        <w:tc>
          <w:tcPr>
            <w:tcW w:w="8640" w:type="dxa"/>
          </w:tcPr>
          <w:p w:rsidR="004357B9" w:rsidRPr="00661595" w:rsidRDefault="004357B9" w:rsidP="007F0EBF">
            <w:pPr>
              <w:suppressAutoHyphens/>
              <w:rPr>
                <w:rFonts w:ascii="Times New Roman" w:hAnsi="Times New Roman"/>
                <w:b/>
                <w:sz w:val="24"/>
                <w:u w:val="single"/>
              </w:rPr>
            </w:pPr>
            <w:r>
              <w:rPr>
                <w:rFonts w:ascii="Times New Roman" w:hAnsi="Times New Roman"/>
                <w:b/>
                <w:sz w:val="24"/>
                <w:u w:val="single"/>
              </w:rPr>
              <w:t xml:space="preserve">Banche centrali e amministrazioni centrali </w:t>
            </w:r>
          </w:p>
          <w:p w:rsidR="004357B9" w:rsidRPr="00661595" w:rsidRDefault="00D21B29" w:rsidP="007F0EBF">
            <w:pPr>
              <w:suppressAutoHyphens/>
              <w:rPr>
                <w:rFonts w:ascii="Times New Roman" w:hAnsi="Times New Roman"/>
                <w:sz w:val="24"/>
              </w:rPr>
            </w:pPr>
            <w:r>
              <w:rPr>
                <w:rFonts w:ascii="Times New Roman" w:hAnsi="Times New Roman"/>
                <w:bCs/>
                <w:sz w:val="24"/>
              </w:rPr>
              <w:t>Articolo 147</w:t>
            </w:r>
            <w:r>
              <w:rPr>
                <w:rFonts w:ascii="Times New Roman" w:hAnsi="Times New Roman"/>
                <w:sz w:val="24"/>
              </w:rPr>
              <w:t>, paragrafo 2, lettera a), del CRR</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0020</w:t>
            </w:r>
          </w:p>
        </w:tc>
        <w:tc>
          <w:tcPr>
            <w:tcW w:w="8640" w:type="dxa"/>
          </w:tcPr>
          <w:p w:rsidR="004357B9" w:rsidRPr="00661595" w:rsidRDefault="004357B9" w:rsidP="007F0EBF">
            <w:pPr>
              <w:suppressAutoHyphens/>
              <w:rPr>
                <w:rFonts w:ascii="Times New Roman" w:hAnsi="Times New Roman"/>
                <w:b/>
                <w:sz w:val="24"/>
                <w:u w:val="single"/>
              </w:rPr>
            </w:pPr>
            <w:r>
              <w:rPr>
                <w:rFonts w:ascii="Times New Roman" w:hAnsi="Times New Roman"/>
                <w:b/>
                <w:sz w:val="24"/>
                <w:u w:val="single"/>
              </w:rPr>
              <w:t>Enti</w:t>
            </w:r>
          </w:p>
          <w:p w:rsidR="004357B9" w:rsidRPr="00661595" w:rsidRDefault="00D21B29" w:rsidP="007F0EBF">
            <w:pPr>
              <w:suppressAutoHyphens/>
              <w:rPr>
                <w:rFonts w:ascii="Times New Roman" w:hAnsi="Times New Roman"/>
                <w:sz w:val="24"/>
              </w:rPr>
            </w:pPr>
            <w:r>
              <w:rPr>
                <w:rFonts w:ascii="Times New Roman" w:hAnsi="Times New Roman"/>
                <w:sz w:val="24"/>
              </w:rPr>
              <w:t>Articolo 147, paragrafo 2, lettera b), del CRR</w:t>
            </w:r>
          </w:p>
        </w:tc>
      </w:tr>
      <w:tr w:rsidR="004357B9" w:rsidRPr="00661595" w:rsidTr="00672D2A">
        <w:tc>
          <w:tcPr>
            <w:tcW w:w="1188" w:type="dxa"/>
          </w:tcPr>
          <w:p w:rsidR="004357B9" w:rsidRPr="00661595" w:rsidRDefault="004357B9" w:rsidP="007F0EBF">
            <w:pPr>
              <w:keepNext/>
              <w:keepLines/>
              <w:rPr>
                <w:rFonts w:ascii="Times New Roman" w:hAnsi="Times New Roman"/>
                <w:sz w:val="24"/>
              </w:rPr>
            </w:pPr>
            <w:r>
              <w:rPr>
                <w:rFonts w:ascii="Times New Roman" w:hAnsi="Times New Roman"/>
                <w:sz w:val="24"/>
              </w:rPr>
              <w:t>0030</w:t>
            </w:r>
          </w:p>
        </w:tc>
        <w:tc>
          <w:tcPr>
            <w:tcW w:w="8640" w:type="dxa"/>
          </w:tcPr>
          <w:p w:rsidR="004357B9" w:rsidRPr="00661595" w:rsidRDefault="004357B9" w:rsidP="007F0EBF">
            <w:pPr>
              <w:keepNext/>
              <w:keepLines/>
              <w:suppressAutoHyphens/>
              <w:rPr>
                <w:rFonts w:ascii="Times New Roman" w:hAnsi="Times New Roman"/>
                <w:b/>
                <w:sz w:val="24"/>
                <w:u w:val="single"/>
              </w:rPr>
            </w:pPr>
            <w:r>
              <w:rPr>
                <w:rFonts w:ascii="Times New Roman" w:hAnsi="Times New Roman"/>
                <w:b/>
                <w:sz w:val="24"/>
                <w:u w:val="single"/>
              </w:rPr>
              <w:t xml:space="preserve">Imprese </w:t>
            </w:r>
          </w:p>
          <w:p w:rsidR="004357B9" w:rsidRPr="00661595" w:rsidRDefault="004357B9" w:rsidP="007F0EBF">
            <w:pPr>
              <w:pStyle w:val="ListParagraph"/>
              <w:keepNext/>
              <w:keepLines/>
              <w:suppressAutoHyphens/>
              <w:ind w:left="0"/>
              <w:rPr>
                <w:rFonts w:ascii="Times New Roman" w:hAnsi="Times New Roman"/>
                <w:sz w:val="24"/>
              </w:rPr>
            </w:pPr>
            <w:r>
              <w:rPr>
                <w:rFonts w:ascii="Times New Roman" w:hAnsi="Times New Roman"/>
                <w:sz w:val="24"/>
              </w:rPr>
              <w:t>Tutte le esposizioni verso imprese di cui all</w:t>
            </w:r>
            <w:r w:rsidR="000878EC">
              <w:rPr>
                <w:rFonts w:ascii="Times New Roman" w:hAnsi="Times New Roman"/>
                <w:sz w:val="24"/>
              </w:rPr>
              <w:t>'</w:t>
            </w:r>
            <w:r>
              <w:rPr>
                <w:rFonts w:ascii="Times New Roman" w:hAnsi="Times New Roman"/>
                <w:sz w:val="24"/>
              </w:rPr>
              <w:t>articolo 147, paragrafo 2, lettera c), del CRR</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0042</w:t>
            </w:r>
          </w:p>
        </w:tc>
        <w:tc>
          <w:tcPr>
            <w:tcW w:w="8640" w:type="dxa"/>
          </w:tcPr>
          <w:p w:rsidR="004357B9" w:rsidRPr="00661595" w:rsidRDefault="004357B9" w:rsidP="007F0EBF">
            <w:pPr>
              <w:suppressAutoHyphens/>
              <w:rPr>
                <w:rFonts w:ascii="Times New Roman" w:hAnsi="Times New Roman"/>
                <w:b/>
                <w:sz w:val="24"/>
                <w:u w:val="single"/>
              </w:rPr>
            </w:pPr>
            <w:r>
              <w:rPr>
                <w:rFonts w:ascii="Times New Roman" w:hAnsi="Times New Roman"/>
                <w:b/>
                <w:sz w:val="24"/>
                <w:u w:val="single"/>
              </w:rPr>
              <w:t>di cui: finanziamenti specializzati (esclusi finanziamenti specializzati soggetti al metodo di assegnazione)</w:t>
            </w:r>
          </w:p>
          <w:p w:rsidR="004357B9" w:rsidRPr="00661595" w:rsidRDefault="00D21B29" w:rsidP="007F0EBF">
            <w:pPr>
              <w:pStyle w:val="ListParagraph"/>
              <w:suppressAutoHyphens/>
              <w:ind w:left="0"/>
              <w:rPr>
                <w:rFonts w:ascii="Times New Roman" w:hAnsi="Times New Roman"/>
                <w:sz w:val="24"/>
              </w:rPr>
            </w:pPr>
            <w:r>
              <w:rPr>
                <w:rFonts w:ascii="Times New Roman" w:hAnsi="Times New Roman"/>
                <w:sz w:val="24"/>
              </w:rPr>
              <w:t>Articolo 147, paragrafo 8, lettera a), del CRR</w:t>
            </w:r>
          </w:p>
          <w:p w:rsidR="0042766A" w:rsidRPr="00661595" w:rsidRDefault="0042766A" w:rsidP="007F0EBF">
            <w:pPr>
              <w:pStyle w:val="ListParagraph"/>
              <w:suppressAutoHyphens/>
              <w:ind w:left="0"/>
              <w:rPr>
                <w:rFonts w:ascii="Times New Roman" w:hAnsi="Times New Roman"/>
                <w:sz w:val="24"/>
              </w:rPr>
            </w:pPr>
            <w:r>
              <w:rPr>
                <w:rFonts w:ascii="Times New Roman" w:hAnsi="Times New Roman"/>
                <w:sz w:val="24"/>
              </w:rPr>
              <w:t>Non sono segnalati dati sulle esposizioni da finanziamenti sp</w:t>
            </w:r>
            <w:r w:rsidR="007F0EBF">
              <w:rPr>
                <w:rFonts w:ascii="Times New Roman" w:hAnsi="Times New Roman"/>
                <w:sz w:val="24"/>
              </w:rPr>
              <w:t>ecializzati di cui all</w:t>
            </w:r>
            <w:r w:rsidR="000878EC">
              <w:rPr>
                <w:rFonts w:ascii="Times New Roman" w:hAnsi="Times New Roman"/>
                <w:sz w:val="24"/>
              </w:rPr>
              <w:t>'</w:t>
            </w:r>
            <w:r w:rsidR="007F0EBF">
              <w:rPr>
                <w:rFonts w:ascii="Times New Roman" w:hAnsi="Times New Roman"/>
                <w:sz w:val="24"/>
              </w:rPr>
              <w:t>articolo </w:t>
            </w:r>
            <w:r>
              <w:rPr>
                <w:rFonts w:ascii="Times New Roman" w:hAnsi="Times New Roman"/>
                <w:sz w:val="24"/>
              </w:rPr>
              <w:t>153, paragrafo 5, del CRR.</w:t>
            </w:r>
          </w:p>
        </w:tc>
      </w:tr>
      <w:tr w:rsidR="000E093A" w:rsidRPr="00661595" w:rsidTr="00672D2A">
        <w:tc>
          <w:tcPr>
            <w:tcW w:w="1188" w:type="dxa"/>
          </w:tcPr>
          <w:p w:rsidR="000E093A" w:rsidRPr="00661595" w:rsidRDefault="000E093A" w:rsidP="004357B9">
            <w:pPr>
              <w:rPr>
                <w:rFonts w:ascii="Times New Roman" w:hAnsi="Times New Roman"/>
                <w:sz w:val="24"/>
              </w:rPr>
            </w:pPr>
            <w:r>
              <w:rPr>
                <w:rFonts w:ascii="Times New Roman" w:hAnsi="Times New Roman"/>
                <w:sz w:val="24"/>
              </w:rPr>
              <w:t>0045</w:t>
            </w:r>
          </w:p>
        </w:tc>
        <w:tc>
          <w:tcPr>
            <w:tcW w:w="8640" w:type="dxa"/>
          </w:tcPr>
          <w:p w:rsidR="000E093A" w:rsidRPr="00661595" w:rsidRDefault="000E093A" w:rsidP="007F0EBF">
            <w:pPr>
              <w:suppressAutoHyphens/>
              <w:rPr>
                <w:rFonts w:ascii="Times New Roman" w:hAnsi="Times New Roman"/>
                <w:b/>
                <w:sz w:val="24"/>
                <w:u w:val="single"/>
              </w:rPr>
            </w:pPr>
            <w:r>
              <w:rPr>
                <w:rFonts w:ascii="Times New Roman" w:hAnsi="Times New Roman"/>
                <w:b/>
                <w:sz w:val="24"/>
                <w:u w:val="single"/>
              </w:rPr>
              <w:t>di cui: finanziamenti specializzati soggetti al metodo di assegnazione</w:t>
            </w:r>
          </w:p>
          <w:p w:rsidR="000E093A" w:rsidRPr="00661595" w:rsidRDefault="00D21B29" w:rsidP="007F0EBF">
            <w:pPr>
              <w:suppressAutoHyphens/>
              <w:rPr>
                <w:rFonts w:ascii="Times New Roman" w:hAnsi="Times New Roman"/>
                <w:b/>
                <w:sz w:val="24"/>
                <w:u w:val="single"/>
              </w:rPr>
            </w:pPr>
            <w:r>
              <w:rPr>
                <w:rFonts w:ascii="Times New Roman" w:hAnsi="Times New Roman"/>
                <w:sz w:val="24"/>
              </w:rPr>
              <w:t>Articolo 147, paragrafo 8, lettera a), e articolo 153, paragrafo 5, del CRR</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0050</w:t>
            </w:r>
          </w:p>
        </w:tc>
        <w:tc>
          <w:tcPr>
            <w:tcW w:w="8640" w:type="dxa"/>
          </w:tcPr>
          <w:p w:rsidR="004357B9" w:rsidRPr="00661595" w:rsidRDefault="004357B9" w:rsidP="007F0EBF">
            <w:pPr>
              <w:suppressAutoHyphens/>
              <w:rPr>
                <w:rFonts w:ascii="Times New Roman" w:hAnsi="Times New Roman"/>
                <w:b/>
                <w:sz w:val="24"/>
                <w:u w:val="single"/>
              </w:rPr>
            </w:pPr>
            <w:r>
              <w:rPr>
                <w:rFonts w:ascii="Times New Roman" w:hAnsi="Times New Roman"/>
                <w:b/>
                <w:sz w:val="24"/>
                <w:u w:val="single"/>
              </w:rPr>
              <w:t>di cui: PMI</w:t>
            </w:r>
          </w:p>
          <w:p w:rsidR="004357B9" w:rsidRPr="00661595" w:rsidRDefault="00D21B29" w:rsidP="007F0EBF">
            <w:pPr>
              <w:pStyle w:val="ListParagraph"/>
              <w:suppressAutoHyphens/>
              <w:ind w:left="0"/>
              <w:rPr>
                <w:rFonts w:ascii="Times New Roman" w:hAnsi="Times New Roman"/>
                <w:sz w:val="24"/>
              </w:rPr>
            </w:pPr>
            <w:r>
              <w:rPr>
                <w:rFonts w:ascii="Times New Roman" w:hAnsi="Times New Roman"/>
                <w:bCs/>
                <w:sz w:val="24"/>
              </w:rPr>
              <w:t>Articolo 147</w:t>
            </w:r>
            <w:r>
              <w:rPr>
                <w:rFonts w:ascii="Times New Roman" w:hAnsi="Times New Roman"/>
                <w:sz w:val="24"/>
              </w:rPr>
              <w:t>, paragrafo 2, lettera c), del CRR</w:t>
            </w:r>
          </w:p>
          <w:p w:rsidR="0027034D" w:rsidRPr="00661595" w:rsidRDefault="0027034D" w:rsidP="007F0EBF">
            <w:pPr>
              <w:pStyle w:val="ListParagraph"/>
              <w:suppressAutoHyphens/>
              <w:ind w:left="0"/>
              <w:rPr>
                <w:rFonts w:ascii="Times New Roman" w:hAnsi="Times New Roman"/>
                <w:sz w:val="24"/>
              </w:rPr>
            </w:pPr>
            <w:r>
              <w:rPr>
                <w:rFonts w:ascii="Times New Roman" w:hAnsi="Times New Roman"/>
                <w:sz w:val="24"/>
              </w:rPr>
              <w:t>Nell</w:t>
            </w:r>
            <w:r w:rsidR="000878EC">
              <w:rPr>
                <w:rFonts w:ascii="Times New Roman" w:hAnsi="Times New Roman"/>
                <w:sz w:val="24"/>
              </w:rPr>
              <w:t>'</w:t>
            </w:r>
            <w:r>
              <w:rPr>
                <w:rFonts w:ascii="Times New Roman" w:hAnsi="Times New Roman"/>
                <w:sz w:val="24"/>
              </w:rPr>
              <w:t>ambito del metodo IRB le entità segnalanti utilizzano la loro definizione interna di PMI applicata nei processi interni di gestione del rischio.</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0060</w:t>
            </w:r>
          </w:p>
        </w:tc>
        <w:tc>
          <w:tcPr>
            <w:tcW w:w="8640" w:type="dxa"/>
          </w:tcPr>
          <w:p w:rsidR="004357B9" w:rsidRPr="00661595" w:rsidRDefault="004357B9" w:rsidP="007F0EBF">
            <w:pPr>
              <w:suppressAutoHyphens/>
              <w:rPr>
                <w:rFonts w:ascii="Times New Roman" w:hAnsi="Times New Roman"/>
                <w:b/>
                <w:sz w:val="24"/>
                <w:u w:val="single"/>
              </w:rPr>
            </w:pPr>
            <w:r>
              <w:rPr>
                <w:rFonts w:ascii="Times New Roman" w:hAnsi="Times New Roman"/>
                <w:b/>
                <w:sz w:val="24"/>
                <w:u w:val="single"/>
              </w:rPr>
              <w:t>Al dettaglio</w:t>
            </w:r>
          </w:p>
          <w:p w:rsidR="004357B9" w:rsidRPr="00661595" w:rsidRDefault="004357B9" w:rsidP="007F0EBF">
            <w:pPr>
              <w:suppressAutoHyphens/>
              <w:rPr>
                <w:rFonts w:ascii="Times New Roman" w:hAnsi="Times New Roman"/>
                <w:sz w:val="24"/>
              </w:rPr>
            </w:pPr>
            <w:r>
              <w:rPr>
                <w:rFonts w:ascii="Times New Roman" w:hAnsi="Times New Roman"/>
                <w:sz w:val="24"/>
              </w:rPr>
              <w:t>Tutte le esposizioni al dettaglio di cui all</w:t>
            </w:r>
            <w:r w:rsidR="000878EC">
              <w:rPr>
                <w:rFonts w:ascii="Times New Roman" w:hAnsi="Times New Roman"/>
                <w:sz w:val="24"/>
              </w:rPr>
              <w:t>'</w:t>
            </w:r>
            <w:r>
              <w:rPr>
                <w:rFonts w:ascii="Times New Roman" w:hAnsi="Times New Roman"/>
                <w:sz w:val="24"/>
              </w:rPr>
              <w:t>articolo 147, paragrafo 2, lettera d), del CRR</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0070</w:t>
            </w:r>
          </w:p>
        </w:tc>
        <w:tc>
          <w:tcPr>
            <w:tcW w:w="8640" w:type="dxa"/>
          </w:tcPr>
          <w:p w:rsidR="004357B9" w:rsidRPr="00661595" w:rsidRDefault="004357B9" w:rsidP="007F0EBF">
            <w:pPr>
              <w:suppressAutoHyphens/>
              <w:rPr>
                <w:rFonts w:ascii="Times New Roman" w:hAnsi="Times New Roman"/>
                <w:b/>
                <w:sz w:val="24"/>
                <w:u w:val="single"/>
              </w:rPr>
            </w:pPr>
            <w:r>
              <w:rPr>
                <w:rFonts w:ascii="Times New Roman" w:hAnsi="Times New Roman"/>
                <w:b/>
                <w:sz w:val="24"/>
                <w:u w:val="single"/>
              </w:rPr>
              <w:t>Al dettaglio — garantite da beni immobili</w:t>
            </w:r>
          </w:p>
          <w:p w:rsidR="004357B9" w:rsidRPr="00661595" w:rsidRDefault="003B2712" w:rsidP="007F0EBF">
            <w:pPr>
              <w:pStyle w:val="ListParagraph"/>
              <w:suppressAutoHyphens/>
              <w:ind w:left="0"/>
              <w:rPr>
                <w:rFonts w:ascii="Times New Roman" w:hAnsi="Times New Roman"/>
                <w:sz w:val="24"/>
              </w:rPr>
            </w:pPr>
            <w:r>
              <w:rPr>
                <w:rFonts w:ascii="Times New Roman" w:hAnsi="Times New Roman"/>
                <w:sz w:val="24"/>
              </w:rPr>
              <w:t>Esposizioni al dettaglio di cui all</w:t>
            </w:r>
            <w:r w:rsidR="000878EC">
              <w:rPr>
                <w:rFonts w:ascii="Times New Roman" w:hAnsi="Times New Roman"/>
                <w:sz w:val="24"/>
              </w:rPr>
              <w:t>'</w:t>
            </w:r>
            <w:r>
              <w:rPr>
                <w:rFonts w:ascii="Times New Roman" w:hAnsi="Times New Roman"/>
                <w:sz w:val="24"/>
              </w:rPr>
              <w:t>articolo 147, paragrafo 2, lettera d), del CRR garantite da beni immobili</w:t>
            </w:r>
          </w:p>
          <w:p w:rsidR="0027034D" w:rsidRPr="00661595" w:rsidRDefault="0027034D" w:rsidP="007F0EBF">
            <w:pPr>
              <w:pStyle w:val="ListParagraph"/>
              <w:suppressAutoHyphens/>
              <w:ind w:left="0"/>
              <w:rPr>
                <w:rFonts w:ascii="Times New Roman" w:hAnsi="Times New Roman"/>
                <w:sz w:val="24"/>
              </w:rPr>
            </w:pPr>
            <w:r>
              <w:rPr>
                <w:rFonts w:ascii="Times New Roman" w:hAnsi="Times New Roman"/>
                <w:sz w:val="24"/>
              </w:rPr>
              <w:t>Le esposizioni al dettaglio garantite da beni immobili saranno considerate esposizioni al dettaglio garantite da beni immobili riconosciuti come garanzie, indipendentemente dal rapporto tra il valore della garanzia e l</w:t>
            </w:r>
            <w:r w:rsidR="000878EC">
              <w:rPr>
                <w:rFonts w:ascii="Times New Roman" w:hAnsi="Times New Roman"/>
                <w:sz w:val="24"/>
              </w:rPr>
              <w:t>'</w:t>
            </w:r>
            <w:r>
              <w:rPr>
                <w:rFonts w:ascii="Times New Roman" w:hAnsi="Times New Roman"/>
                <w:sz w:val="24"/>
              </w:rPr>
              <w:t>esposizione o dalla finalità del prestito.</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0080</w:t>
            </w:r>
          </w:p>
        </w:tc>
        <w:tc>
          <w:tcPr>
            <w:tcW w:w="8640" w:type="dxa"/>
          </w:tcPr>
          <w:p w:rsidR="004357B9" w:rsidRPr="00661595" w:rsidRDefault="004357B9" w:rsidP="007F0EBF">
            <w:pPr>
              <w:suppressAutoHyphens/>
              <w:rPr>
                <w:rFonts w:ascii="Times New Roman" w:hAnsi="Times New Roman"/>
                <w:b/>
                <w:sz w:val="24"/>
                <w:u w:val="single"/>
              </w:rPr>
            </w:pPr>
            <w:r>
              <w:rPr>
                <w:rFonts w:ascii="Times New Roman" w:hAnsi="Times New Roman"/>
                <w:b/>
                <w:sz w:val="24"/>
                <w:u w:val="single"/>
              </w:rPr>
              <w:t>PMI</w:t>
            </w:r>
          </w:p>
          <w:p w:rsidR="004357B9" w:rsidRPr="00661595" w:rsidRDefault="004357B9" w:rsidP="007F0EBF">
            <w:pPr>
              <w:pStyle w:val="ListParagraph"/>
              <w:suppressAutoHyphens/>
              <w:ind w:left="0"/>
              <w:rPr>
                <w:rFonts w:ascii="Times New Roman" w:hAnsi="Times New Roman"/>
                <w:sz w:val="24"/>
              </w:rPr>
            </w:pPr>
            <w:r>
              <w:rPr>
                <w:rFonts w:ascii="Times New Roman" w:hAnsi="Times New Roman"/>
                <w:sz w:val="24"/>
              </w:rPr>
              <w:t>Esposizioni al dettaglio di cui all</w:t>
            </w:r>
            <w:r w:rsidR="000878EC">
              <w:rPr>
                <w:rFonts w:ascii="Times New Roman" w:hAnsi="Times New Roman"/>
                <w:sz w:val="24"/>
              </w:rPr>
              <w:t>'</w:t>
            </w:r>
            <w:r>
              <w:rPr>
                <w:rFonts w:ascii="Times New Roman" w:hAnsi="Times New Roman"/>
                <w:sz w:val="24"/>
              </w:rPr>
              <w:t>articolo 147, paragrafo 2, lettera d), e all</w:t>
            </w:r>
            <w:r w:rsidR="000878EC">
              <w:rPr>
                <w:rFonts w:ascii="Times New Roman" w:hAnsi="Times New Roman"/>
                <w:sz w:val="24"/>
              </w:rPr>
              <w:t>'</w:t>
            </w:r>
            <w:r>
              <w:rPr>
                <w:rFonts w:ascii="Times New Roman" w:hAnsi="Times New Roman"/>
                <w:sz w:val="24"/>
              </w:rPr>
              <w:t>articolo 154, paragrafo 3, del CRR garantite da beni immobili</w:t>
            </w:r>
          </w:p>
        </w:tc>
      </w:tr>
      <w:tr w:rsidR="004357B9" w:rsidRPr="00661595" w:rsidTr="00672D2A">
        <w:tc>
          <w:tcPr>
            <w:tcW w:w="1188" w:type="dxa"/>
          </w:tcPr>
          <w:p w:rsidR="004357B9" w:rsidRPr="00661595" w:rsidRDefault="004357B9" w:rsidP="004357B9">
            <w:pPr>
              <w:rPr>
                <w:rFonts w:ascii="Times New Roman" w:hAnsi="Times New Roman"/>
                <w:sz w:val="24"/>
              </w:rPr>
            </w:pPr>
            <w:r>
              <w:rPr>
                <w:rFonts w:ascii="Times New Roman" w:hAnsi="Times New Roman"/>
                <w:sz w:val="24"/>
              </w:rPr>
              <w:t>0090</w:t>
            </w:r>
          </w:p>
        </w:tc>
        <w:tc>
          <w:tcPr>
            <w:tcW w:w="8640" w:type="dxa"/>
          </w:tcPr>
          <w:p w:rsidR="004357B9" w:rsidRPr="00661595" w:rsidRDefault="004357B9" w:rsidP="007F0EBF">
            <w:pPr>
              <w:suppressAutoHyphens/>
              <w:rPr>
                <w:rFonts w:ascii="Times New Roman" w:hAnsi="Times New Roman"/>
                <w:b/>
                <w:sz w:val="24"/>
                <w:u w:val="single"/>
              </w:rPr>
            </w:pPr>
            <w:r>
              <w:rPr>
                <w:rFonts w:ascii="Times New Roman" w:hAnsi="Times New Roman"/>
                <w:b/>
                <w:sz w:val="24"/>
                <w:u w:val="single"/>
              </w:rPr>
              <w:t>Non PMI</w:t>
            </w:r>
          </w:p>
          <w:p w:rsidR="004357B9" w:rsidRPr="00661595" w:rsidRDefault="004357B9" w:rsidP="007F0EBF">
            <w:pPr>
              <w:pStyle w:val="ListParagraph"/>
              <w:suppressAutoHyphens/>
              <w:ind w:left="0"/>
              <w:rPr>
                <w:rFonts w:ascii="Times New Roman" w:hAnsi="Times New Roman"/>
                <w:sz w:val="24"/>
              </w:rPr>
            </w:pPr>
            <w:r>
              <w:rPr>
                <w:rFonts w:ascii="Times New Roman" w:hAnsi="Times New Roman"/>
                <w:sz w:val="24"/>
              </w:rPr>
              <w:t>Esposizioni al dettaglio di cui all</w:t>
            </w:r>
            <w:r w:rsidR="000878EC">
              <w:rPr>
                <w:rFonts w:ascii="Times New Roman" w:hAnsi="Times New Roman"/>
                <w:sz w:val="24"/>
              </w:rPr>
              <w:t>'</w:t>
            </w:r>
            <w:r>
              <w:rPr>
                <w:rFonts w:ascii="Times New Roman" w:hAnsi="Times New Roman"/>
                <w:sz w:val="24"/>
              </w:rPr>
              <w:t>articolo 147, paragrafo 2, lettera d), del CRR garantite da beni immobili</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0100</w:t>
            </w:r>
          </w:p>
        </w:tc>
        <w:tc>
          <w:tcPr>
            <w:tcW w:w="8640" w:type="dxa"/>
          </w:tcPr>
          <w:p w:rsidR="004357B9" w:rsidRPr="00661595" w:rsidRDefault="004357B9" w:rsidP="007F0EBF">
            <w:pPr>
              <w:suppressAutoHyphens/>
              <w:rPr>
                <w:rFonts w:ascii="Times New Roman" w:hAnsi="Times New Roman"/>
                <w:b/>
                <w:sz w:val="24"/>
                <w:u w:val="single"/>
              </w:rPr>
            </w:pPr>
            <w:r>
              <w:rPr>
                <w:rFonts w:ascii="Times New Roman" w:hAnsi="Times New Roman"/>
                <w:b/>
                <w:sz w:val="24"/>
                <w:u w:val="single"/>
              </w:rPr>
              <w:t>Al dettaglio — Rotative qualificate</w:t>
            </w:r>
          </w:p>
          <w:p w:rsidR="004357B9" w:rsidRPr="00661595" w:rsidRDefault="003B2712" w:rsidP="007F0EBF">
            <w:pPr>
              <w:pStyle w:val="ListParagraph"/>
              <w:suppressAutoHyphens/>
              <w:ind w:left="0"/>
              <w:rPr>
                <w:rFonts w:ascii="Times New Roman" w:hAnsi="Times New Roman"/>
                <w:sz w:val="24"/>
              </w:rPr>
            </w:pPr>
            <w:r>
              <w:rPr>
                <w:rFonts w:ascii="Times New Roman" w:hAnsi="Times New Roman"/>
                <w:sz w:val="24"/>
              </w:rPr>
              <w:t>Esposizioni al dettaglio di cui all</w:t>
            </w:r>
            <w:r w:rsidR="000878EC">
              <w:rPr>
                <w:rFonts w:ascii="Times New Roman" w:hAnsi="Times New Roman"/>
                <w:sz w:val="24"/>
              </w:rPr>
              <w:t>'</w:t>
            </w:r>
            <w:r>
              <w:rPr>
                <w:rFonts w:ascii="Times New Roman" w:hAnsi="Times New Roman"/>
                <w:sz w:val="24"/>
              </w:rPr>
              <w:t>articolo 147, paragrafo 2, lettera d), del CRR, in combinato disposto con l</w:t>
            </w:r>
            <w:r w:rsidR="000878EC">
              <w:rPr>
                <w:rFonts w:ascii="Times New Roman" w:hAnsi="Times New Roman"/>
                <w:sz w:val="24"/>
              </w:rPr>
              <w:t>'</w:t>
            </w:r>
            <w:r>
              <w:rPr>
                <w:rFonts w:ascii="Times New Roman" w:hAnsi="Times New Roman"/>
                <w:sz w:val="24"/>
              </w:rPr>
              <w:t>articolo 154, paragrafo 4, del CRR</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0110</w:t>
            </w:r>
          </w:p>
        </w:tc>
        <w:tc>
          <w:tcPr>
            <w:tcW w:w="8640" w:type="dxa"/>
          </w:tcPr>
          <w:p w:rsidR="004357B9" w:rsidRPr="00661595" w:rsidRDefault="004357B9" w:rsidP="007F0EBF">
            <w:pPr>
              <w:suppressAutoHyphens/>
              <w:rPr>
                <w:rFonts w:ascii="Times New Roman" w:hAnsi="Times New Roman"/>
                <w:b/>
                <w:sz w:val="24"/>
                <w:u w:val="single"/>
              </w:rPr>
            </w:pPr>
            <w:r>
              <w:rPr>
                <w:rFonts w:ascii="Times New Roman" w:hAnsi="Times New Roman"/>
                <w:b/>
                <w:sz w:val="24"/>
                <w:u w:val="single"/>
              </w:rPr>
              <w:t>Altre esposizioni al dettaglio</w:t>
            </w:r>
          </w:p>
          <w:p w:rsidR="004357B9" w:rsidRPr="00661595" w:rsidRDefault="004357B9" w:rsidP="007F0EBF">
            <w:pPr>
              <w:pStyle w:val="ListParagraph"/>
              <w:suppressAutoHyphens/>
              <w:ind w:left="0"/>
              <w:rPr>
                <w:rFonts w:ascii="Times New Roman" w:hAnsi="Times New Roman"/>
                <w:sz w:val="24"/>
              </w:rPr>
            </w:pPr>
            <w:r>
              <w:rPr>
                <w:rFonts w:ascii="Times New Roman" w:hAnsi="Times New Roman"/>
                <w:sz w:val="24"/>
              </w:rPr>
              <w:t>Altre esposizioni al dettaglio di cui all</w:t>
            </w:r>
            <w:r w:rsidR="000878EC">
              <w:rPr>
                <w:rFonts w:ascii="Times New Roman" w:hAnsi="Times New Roman"/>
                <w:sz w:val="24"/>
              </w:rPr>
              <w:t>'</w:t>
            </w:r>
            <w:r>
              <w:rPr>
                <w:rFonts w:ascii="Times New Roman" w:hAnsi="Times New Roman"/>
                <w:sz w:val="24"/>
              </w:rPr>
              <w:t>articolo 147, paragrafo 2, lettera d), del CRR non segnalate nelle righe da 0070 a 0100</w:t>
            </w:r>
          </w:p>
        </w:tc>
      </w:tr>
      <w:tr w:rsidR="004357B9" w:rsidRPr="00661595" w:rsidTr="00672D2A">
        <w:tc>
          <w:tcPr>
            <w:tcW w:w="1188" w:type="dxa"/>
          </w:tcPr>
          <w:p w:rsidR="004357B9" w:rsidRPr="00661595" w:rsidRDefault="001452FC" w:rsidP="007F0EBF">
            <w:pPr>
              <w:keepNext/>
              <w:keepLines/>
              <w:rPr>
                <w:rFonts w:ascii="Times New Roman" w:hAnsi="Times New Roman"/>
                <w:sz w:val="24"/>
              </w:rPr>
            </w:pPr>
            <w:r>
              <w:rPr>
                <w:rFonts w:ascii="Times New Roman" w:hAnsi="Times New Roman"/>
                <w:sz w:val="24"/>
              </w:rPr>
              <w:t>0120</w:t>
            </w:r>
          </w:p>
        </w:tc>
        <w:tc>
          <w:tcPr>
            <w:tcW w:w="8640" w:type="dxa"/>
          </w:tcPr>
          <w:p w:rsidR="004357B9" w:rsidRPr="00661595" w:rsidRDefault="004357B9" w:rsidP="007F0EBF">
            <w:pPr>
              <w:keepNext/>
              <w:keepLines/>
              <w:suppressAutoHyphens/>
              <w:rPr>
                <w:rFonts w:ascii="Times New Roman" w:hAnsi="Times New Roman"/>
                <w:b/>
                <w:sz w:val="24"/>
                <w:u w:val="single"/>
              </w:rPr>
            </w:pPr>
            <w:r>
              <w:rPr>
                <w:rFonts w:ascii="Times New Roman" w:hAnsi="Times New Roman"/>
                <w:b/>
                <w:sz w:val="24"/>
                <w:u w:val="single"/>
              </w:rPr>
              <w:t>PMI</w:t>
            </w:r>
          </w:p>
          <w:p w:rsidR="004357B9" w:rsidRPr="00661595" w:rsidRDefault="004357B9" w:rsidP="007F0EBF">
            <w:pPr>
              <w:pStyle w:val="ListParagraph"/>
              <w:keepNext/>
              <w:keepLines/>
              <w:suppressAutoHyphens/>
              <w:ind w:left="0"/>
              <w:rPr>
                <w:rFonts w:ascii="Times New Roman" w:hAnsi="Times New Roman"/>
                <w:sz w:val="24"/>
              </w:rPr>
            </w:pPr>
            <w:r>
              <w:rPr>
                <w:rFonts w:ascii="Times New Roman" w:hAnsi="Times New Roman"/>
                <w:sz w:val="24"/>
              </w:rPr>
              <w:t>Altre esposizioni al dettaglio verso PMI di cui all</w:t>
            </w:r>
            <w:r w:rsidR="000878EC">
              <w:rPr>
                <w:rFonts w:ascii="Times New Roman" w:hAnsi="Times New Roman"/>
                <w:sz w:val="24"/>
              </w:rPr>
              <w:t>'</w:t>
            </w:r>
            <w:r>
              <w:rPr>
                <w:rFonts w:ascii="Times New Roman" w:hAnsi="Times New Roman"/>
                <w:sz w:val="24"/>
              </w:rPr>
              <w:t>articolo 147, paragrafo 2, lettera d), del CRR</w:t>
            </w:r>
          </w:p>
        </w:tc>
      </w:tr>
      <w:tr w:rsidR="004357B9" w:rsidRPr="00661595" w:rsidTr="00672D2A">
        <w:tc>
          <w:tcPr>
            <w:tcW w:w="1188" w:type="dxa"/>
          </w:tcPr>
          <w:p w:rsidR="004357B9" w:rsidRPr="00661595" w:rsidRDefault="001452FC" w:rsidP="004357B9">
            <w:pPr>
              <w:rPr>
                <w:rFonts w:ascii="Times New Roman" w:hAnsi="Times New Roman"/>
                <w:sz w:val="24"/>
              </w:rPr>
            </w:pPr>
            <w:r>
              <w:rPr>
                <w:rFonts w:ascii="Times New Roman" w:hAnsi="Times New Roman"/>
                <w:sz w:val="24"/>
              </w:rPr>
              <w:t>0130</w:t>
            </w:r>
          </w:p>
        </w:tc>
        <w:tc>
          <w:tcPr>
            <w:tcW w:w="8640" w:type="dxa"/>
          </w:tcPr>
          <w:p w:rsidR="004357B9" w:rsidRPr="00661595" w:rsidRDefault="004357B9" w:rsidP="007F0EBF">
            <w:pPr>
              <w:suppressAutoHyphens/>
              <w:rPr>
                <w:rFonts w:ascii="Times New Roman" w:hAnsi="Times New Roman"/>
                <w:b/>
                <w:sz w:val="24"/>
                <w:u w:val="single"/>
              </w:rPr>
            </w:pPr>
            <w:r>
              <w:rPr>
                <w:rFonts w:ascii="Times New Roman" w:hAnsi="Times New Roman"/>
                <w:b/>
                <w:sz w:val="24"/>
                <w:u w:val="single"/>
              </w:rPr>
              <w:t>Non PMI</w:t>
            </w:r>
          </w:p>
          <w:p w:rsidR="004357B9" w:rsidRPr="00661595" w:rsidRDefault="004357B9" w:rsidP="007F0EBF">
            <w:pPr>
              <w:suppressAutoHyphens/>
              <w:rPr>
                <w:rFonts w:ascii="Times New Roman" w:hAnsi="Times New Roman"/>
                <w:sz w:val="24"/>
              </w:rPr>
            </w:pPr>
            <w:r>
              <w:rPr>
                <w:rFonts w:ascii="Times New Roman" w:hAnsi="Times New Roman"/>
                <w:sz w:val="24"/>
              </w:rPr>
              <w:t>Altre esposizioni al dettaglio verso persone fisiche di cui all</w:t>
            </w:r>
            <w:r w:rsidR="000878EC">
              <w:rPr>
                <w:rFonts w:ascii="Times New Roman" w:hAnsi="Times New Roman"/>
                <w:sz w:val="24"/>
              </w:rPr>
              <w:t>'</w:t>
            </w:r>
            <w:r>
              <w:rPr>
                <w:rFonts w:ascii="Times New Roman" w:hAnsi="Times New Roman"/>
                <w:sz w:val="24"/>
              </w:rPr>
              <w:t>articolo 147, paragrafo 2, lettera d), del CRR</w:t>
            </w:r>
          </w:p>
        </w:tc>
      </w:tr>
      <w:bookmarkEnd w:id="363"/>
      <w:tr w:rsidR="004357B9" w:rsidRPr="00661595" w:rsidTr="00672D2A">
        <w:tc>
          <w:tcPr>
            <w:tcW w:w="1188" w:type="dxa"/>
            <w:tcBorders>
              <w:top w:val="single" w:sz="4" w:space="0" w:color="auto"/>
              <w:left w:val="single" w:sz="4" w:space="0" w:color="auto"/>
              <w:bottom w:val="single" w:sz="4" w:space="0" w:color="auto"/>
              <w:right w:val="single" w:sz="4" w:space="0" w:color="auto"/>
            </w:tcBorders>
          </w:tcPr>
          <w:p w:rsidR="004357B9" w:rsidRPr="00661595" w:rsidRDefault="001452FC" w:rsidP="004357B9">
            <w:pPr>
              <w:rPr>
                <w:rFonts w:ascii="Times New Roman" w:hAnsi="Times New Roman"/>
                <w:sz w:val="24"/>
              </w:rPr>
            </w:pPr>
            <w:r>
              <w:rPr>
                <w:rFonts w:ascii="Times New Roman" w:hAnsi="Times New Roman"/>
                <w:sz w:val="24"/>
              </w:rPr>
              <w:t>0140</w:t>
            </w:r>
          </w:p>
        </w:tc>
        <w:tc>
          <w:tcPr>
            <w:tcW w:w="8640" w:type="dxa"/>
            <w:tcBorders>
              <w:top w:val="single" w:sz="4" w:space="0" w:color="auto"/>
              <w:left w:val="single" w:sz="4" w:space="0" w:color="auto"/>
              <w:bottom w:val="single" w:sz="4" w:space="0" w:color="auto"/>
              <w:right w:val="single" w:sz="4" w:space="0" w:color="auto"/>
            </w:tcBorders>
          </w:tcPr>
          <w:p w:rsidR="004357B9" w:rsidRPr="00661595" w:rsidRDefault="004357B9" w:rsidP="007F0EBF">
            <w:pPr>
              <w:suppressAutoHyphens/>
              <w:rPr>
                <w:rFonts w:ascii="Times New Roman" w:hAnsi="Times New Roman"/>
                <w:b/>
                <w:sz w:val="24"/>
                <w:u w:val="single"/>
              </w:rPr>
            </w:pPr>
            <w:r>
              <w:rPr>
                <w:rFonts w:ascii="Times New Roman" w:hAnsi="Times New Roman"/>
                <w:b/>
                <w:sz w:val="24"/>
                <w:u w:val="single"/>
              </w:rPr>
              <w:t>Strumenti di capitale</w:t>
            </w:r>
          </w:p>
          <w:p w:rsidR="004357B9" w:rsidRPr="00661595" w:rsidRDefault="004357B9" w:rsidP="007F0EBF">
            <w:pPr>
              <w:suppressAutoHyphens/>
              <w:rPr>
                <w:rFonts w:ascii="Times New Roman" w:hAnsi="Times New Roman"/>
                <w:b/>
                <w:sz w:val="24"/>
                <w:u w:val="single"/>
              </w:rPr>
            </w:pPr>
            <w:r>
              <w:rPr>
                <w:rFonts w:ascii="Times New Roman" w:hAnsi="Times New Roman"/>
                <w:sz w:val="24"/>
              </w:rPr>
              <w:t>Esposizioni in strumenti di capitale di cui all</w:t>
            </w:r>
            <w:r w:rsidR="000878EC">
              <w:rPr>
                <w:rFonts w:ascii="Times New Roman" w:hAnsi="Times New Roman"/>
                <w:sz w:val="24"/>
              </w:rPr>
              <w:t>'</w:t>
            </w:r>
            <w:r>
              <w:rPr>
                <w:rFonts w:ascii="Times New Roman" w:hAnsi="Times New Roman"/>
                <w:sz w:val="24"/>
              </w:rPr>
              <w:t>articolo 147, paragrafo 2, lettera e), del CRR</w:t>
            </w:r>
          </w:p>
        </w:tc>
      </w:tr>
      <w:tr w:rsidR="007A49AC" w:rsidRPr="00661595" w:rsidTr="00672D2A">
        <w:tc>
          <w:tcPr>
            <w:tcW w:w="1188" w:type="dxa"/>
            <w:tcBorders>
              <w:top w:val="single" w:sz="4" w:space="0" w:color="auto"/>
              <w:left w:val="single" w:sz="4" w:space="0" w:color="auto"/>
              <w:bottom w:val="single" w:sz="4" w:space="0" w:color="auto"/>
              <w:right w:val="single" w:sz="4" w:space="0" w:color="auto"/>
            </w:tcBorders>
          </w:tcPr>
          <w:p w:rsidR="007A49AC" w:rsidRPr="00661595" w:rsidRDefault="001452FC" w:rsidP="004357B9">
            <w:pPr>
              <w:rPr>
                <w:rFonts w:ascii="Times New Roman" w:hAnsi="Times New Roman"/>
                <w:sz w:val="24"/>
              </w:rPr>
            </w:pPr>
            <w:r>
              <w:rPr>
                <w:rFonts w:ascii="Times New Roman" w:hAnsi="Times New Roman"/>
                <w:sz w:val="24"/>
              </w:rPr>
              <w:t>0150</w:t>
            </w:r>
          </w:p>
        </w:tc>
        <w:tc>
          <w:tcPr>
            <w:tcW w:w="8640" w:type="dxa"/>
            <w:tcBorders>
              <w:top w:val="single" w:sz="4" w:space="0" w:color="auto"/>
              <w:left w:val="single" w:sz="4" w:space="0" w:color="auto"/>
              <w:bottom w:val="single" w:sz="4" w:space="0" w:color="auto"/>
              <w:right w:val="single" w:sz="4" w:space="0" w:color="auto"/>
            </w:tcBorders>
          </w:tcPr>
          <w:p w:rsidR="007A49AC" w:rsidRPr="00661595" w:rsidRDefault="007A49AC" w:rsidP="007F0EBF">
            <w:pPr>
              <w:suppressAutoHyphens/>
              <w:rPr>
                <w:rFonts w:ascii="Times New Roman" w:hAnsi="Times New Roman"/>
                <w:b/>
                <w:sz w:val="24"/>
                <w:u w:val="single"/>
              </w:rPr>
            </w:pPr>
            <w:r>
              <w:rPr>
                <w:rFonts w:ascii="Times New Roman" w:hAnsi="Times New Roman"/>
                <w:b/>
                <w:sz w:val="24"/>
                <w:u w:val="single"/>
              </w:rPr>
              <w:t>Esposizioni totali</w:t>
            </w:r>
          </w:p>
        </w:tc>
      </w:tr>
    </w:tbl>
    <w:p w:rsidR="004357B9" w:rsidRPr="00661595" w:rsidRDefault="004357B9" w:rsidP="004357B9">
      <w:pPr>
        <w:spacing w:before="0" w:after="200" w:line="312" w:lineRule="auto"/>
        <w:jc w:val="left"/>
        <w:rPr>
          <w:rFonts w:ascii="Times New Roman" w:hAnsi="Times New Roman"/>
          <w:sz w:val="24"/>
        </w:rPr>
      </w:pPr>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70" w:name="_Toc473560917"/>
      <w:bookmarkStart w:id="371" w:name="_Toc58915777"/>
      <w:r>
        <w:rPr>
          <w:rFonts w:ascii="Times New Roman" w:hAnsi="Times New Roman"/>
          <w:sz w:val="24"/>
          <w:u w:val="none"/>
        </w:rPr>
        <w:t>3.4.3.</w:t>
      </w:r>
      <w:r w:rsidRPr="007F0EBF">
        <w:rPr>
          <w:u w:val="none"/>
        </w:rPr>
        <w:tab/>
      </w:r>
      <w:bookmarkStart w:id="372" w:name="_Toc360188366"/>
      <w:r>
        <w:rPr>
          <w:rFonts w:ascii="Times New Roman" w:hAnsi="Times New Roman"/>
          <w:sz w:val="24"/>
        </w:rPr>
        <w:t>C 09.04 — Ripartizione delle esposizioni creditizie rilevanti ai fini del calcolo della riserva di capitale anticiclica per paese e del coefficiente anticiclico specifico dell</w:t>
      </w:r>
      <w:r w:rsidR="000878EC">
        <w:rPr>
          <w:rFonts w:ascii="Times New Roman" w:hAnsi="Times New Roman"/>
          <w:sz w:val="24"/>
        </w:rPr>
        <w:t>'</w:t>
      </w:r>
      <w:r>
        <w:rPr>
          <w:rFonts w:ascii="Times New Roman" w:hAnsi="Times New Roman"/>
          <w:sz w:val="24"/>
        </w:rPr>
        <w:t>ente (CCB)</w:t>
      </w:r>
      <w:bookmarkEnd w:id="370"/>
      <w:bookmarkEnd w:id="371"/>
      <w:bookmarkEnd w:id="372"/>
    </w:p>
    <w:p w:rsidR="004357B9" w:rsidRPr="00661595" w:rsidRDefault="00125707" w:rsidP="0023700C">
      <w:pPr>
        <w:pStyle w:val="Instructionsberschrift2"/>
        <w:numPr>
          <w:ilvl w:val="0"/>
          <w:numId w:val="0"/>
        </w:numPr>
        <w:ind w:left="357" w:hanging="357"/>
        <w:rPr>
          <w:rFonts w:ascii="Times New Roman" w:hAnsi="Times New Roman" w:cs="Times New Roman"/>
          <w:sz w:val="24"/>
        </w:rPr>
      </w:pPr>
      <w:bookmarkStart w:id="373" w:name="_Toc360188367"/>
      <w:bookmarkStart w:id="374" w:name="_Toc473560918"/>
      <w:bookmarkStart w:id="375" w:name="_Toc58915778"/>
      <w:r>
        <w:rPr>
          <w:rFonts w:ascii="Times New Roman" w:hAnsi="Times New Roman"/>
          <w:sz w:val="24"/>
          <w:u w:val="none"/>
        </w:rPr>
        <w:t>3.4.3.1.</w:t>
      </w:r>
      <w:r w:rsidRPr="007F0EBF">
        <w:rPr>
          <w:u w:val="none"/>
        </w:rPr>
        <w:tab/>
      </w:r>
      <w:r>
        <w:rPr>
          <w:rFonts w:ascii="Times New Roman" w:hAnsi="Times New Roman"/>
          <w:sz w:val="24"/>
        </w:rPr>
        <w:t>Osservazioni di carattere generale</w:t>
      </w:r>
      <w:bookmarkEnd w:id="373"/>
      <w:bookmarkEnd w:id="374"/>
      <w:bookmarkEnd w:id="375"/>
    </w:p>
    <w:p w:rsidR="00430F6F" w:rsidRPr="00661595" w:rsidRDefault="00A971CA" w:rsidP="007F0EBF">
      <w:pPr>
        <w:pStyle w:val="InstructionsText2"/>
        <w:numPr>
          <w:ilvl w:val="0"/>
          <w:numId w:val="0"/>
        </w:numPr>
        <w:ind w:left="1560" w:hanging="360"/>
      </w:pPr>
      <w:r>
        <w:fldChar w:fldCharType="begin"/>
      </w:r>
      <w:r>
        <w:instrText xml:space="preserve"> seq paragraphs </w:instrText>
      </w:r>
      <w:r>
        <w:fldChar w:fldCharType="separate"/>
      </w:r>
      <w:r w:rsidR="00D11E4C">
        <w:rPr>
          <w:noProof/>
        </w:rPr>
        <w:t>88</w:t>
      </w:r>
      <w:r>
        <w:rPr>
          <w:noProof/>
        </w:rPr>
        <w:fldChar w:fldCharType="end"/>
      </w:r>
      <w:r w:rsidR="00D11E4C">
        <w:t>.</w:t>
      </w:r>
      <w:r w:rsidR="00D11E4C">
        <w:tab/>
        <w:t>Questo modello ha lo scopo di raccogliere maggiori informazioni sugli elementi della riserva di capitale anticiclica specifica dell</w:t>
      </w:r>
      <w:r w:rsidR="000878EC">
        <w:t>'</w:t>
      </w:r>
      <w:r w:rsidR="00D11E4C">
        <w:t>ente. Le informazioni richieste riguardano i requisiti di fondi propri determinati conformemente alla parte tre, titoli II e IV, del CRR e la localizzazione geografica delle esposizioni creditizie, delle esposizioni verso la cartolarizzazione e delle esposizioni inserite nel portafoglio di negoziazione rilevanti per il calcolo della riserva di capitale anticiclica specifica dell</w:t>
      </w:r>
      <w:r w:rsidR="000878EC">
        <w:t>'</w:t>
      </w:r>
      <w:r w:rsidR="00D11E4C">
        <w:t>ente (CCB) ai sensi dell</w:t>
      </w:r>
      <w:r w:rsidR="000878EC">
        <w:t>'</w:t>
      </w:r>
      <w:r w:rsidR="00D11E4C">
        <w:t xml:space="preserve">articolo 140 della CRD (esposizioni creditizie rilevanti). </w:t>
      </w:r>
    </w:p>
    <w:p w:rsidR="00430F6F" w:rsidRPr="00661595" w:rsidRDefault="00A971CA" w:rsidP="007F0EBF">
      <w:pPr>
        <w:pStyle w:val="InstructionsText2"/>
        <w:numPr>
          <w:ilvl w:val="0"/>
          <w:numId w:val="0"/>
        </w:numPr>
        <w:ind w:left="1560" w:hanging="360"/>
      </w:pPr>
      <w:r>
        <w:fldChar w:fldCharType="begin"/>
      </w:r>
      <w:r>
        <w:instrText xml:space="preserve"> seq paragraphs </w:instrText>
      </w:r>
      <w:r>
        <w:fldChar w:fldCharType="separate"/>
      </w:r>
      <w:r w:rsidR="00D11E4C">
        <w:rPr>
          <w:noProof/>
        </w:rPr>
        <w:t>89</w:t>
      </w:r>
      <w:r>
        <w:rPr>
          <w:noProof/>
        </w:rPr>
        <w:fldChar w:fldCharType="end"/>
      </w:r>
      <w:r w:rsidR="00D11E4C">
        <w:t>.</w:t>
      </w:r>
      <w:r w:rsidR="00D11E4C">
        <w:tab/>
        <w:t xml:space="preserve">Le informazioni nel modello C 09.04 sono fornite per il </w:t>
      </w:r>
      <w:r w:rsidR="000878EC">
        <w:t>"</w:t>
      </w:r>
      <w:r w:rsidR="00D11E4C">
        <w:t>Totale</w:t>
      </w:r>
      <w:r w:rsidR="000878EC">
        <w:t>"</w:t>
      </w:r>
      <w:r w:rsidR="00D11E4C">
        <w:t xml:space="preserve"> delle esposizioni creditizie rilevanti per tutti i paesi in cui dette esposizioni sono localizzate e individualmente per ogni paese in cui sono localizzate le esposizioni creditizie rilevanti. Gli importi complessivi e le informazioni su ciascun paese sono segnalati in una dimensione separata. </w:t>
      </w:r>
    </w:p>
    <w:p w:rsidR="007463E2" w:rsidRPr="00661595" w:rsidRDefault="00A971CA" w:rsidP="007F0EBF">
      <w:pPr>
        <w:pStyle w:val="InstructionsText2"/>
        <w:numPr>
          <w:ilvl w:val="0"/>
          <w:numId w:val="0"/>
        </w:numPr>
        <w:ind w:left="1560" w:hanging="360"/>
      </w:pPr>
      <w:r>
        <w:fldChar w:fldCharType="begin"/>
      </w:r>
      <w:r>
        <w:instrText xml:space="preserve"> seq paragraphs </w:instrText>
      </w:r>
      <w:r>
        <w:fldChar w:fldCharType="separate"/>
      </w:r>
      <w:r w:rsidR="00D11E4C">
        <w:rPr>
          <w:noProof/>
        </w:rPr>
        <w:t>90</w:t>
      </w:r>
      <w:r>
        <w:rPr>
          <w:noProof/>
        </w:rPr>
        <w:fldChar w:fldCharType="end"/>
      </w:r>
      <w:r w:rsidR="00D11E4C">
        <w:t>.</w:t>
      </w:r>
      <w:r w:rsidR="00D11E4C">
        <w:tab/>
        <w:t>La soglia di cui all</w:t>
      </w:r>
      <w:r w:rsidR="000878EC">
        <w:t>'</w:t>
      </w:r>
      <w:r w:rsidR="00D11E4C">
        <w:t>articolo 5, paragrafo 5, del presente regolamento di esecuzione non è rilevante ai fini della segnalazione di questa ripartizione.</w:t>
      </w:r>
    </w:p>
    <w:p w:rsidR="005A7CA9" w:rsidRPr="00661595" w:rsidRDefault="00A971CA" w:rsidP="007F0EBF">
      <w:pPr>
        <w:pStyle w:val="InstructionsText2"/>
        <w:numPr>
          <w:ilvl w:val="0"/>
          <w:numId w:val="0"/>
        </w:numPr>
        <w:ind w:left="1560" w:hanging="360"/>
      </w:pPr>
      <w:r>
        <w:fldChar w:fldCharType="begin"/>
      </w:r>
      <w:r>
        <w:instrText xml:space="preserve"> seq paragraphs </w:instrText>
      </w:r>
      <w:r>
        <w:fldChar w:fldCharType="separate"/>
      </w:r>
      <w:r w:rsidR="00D11E4C">
        <w:rPr>
          <w:noProof/>
        </w:rPr>
        <w:t>91</w:t>
      </w:r>
      <w:r>
        <w:rPr>
          <w:noProof/>
        </w:rPr>
        <w:fldChar w:fldCharType="end"/>
      </w:r>
      <w:r w:rsidR="00D11E4C">
        <w:t>.</w:t>
      </w:r>
      <w:r w:rsidR="00D11E4C">
        <w:tab/>
        <w:t>Per determinare la localizzazione geografica le esposizioni sono assegnate sulla base del debitore diretto, come disposto d</w:t>
      </w:r>
      <w:r w:rsidR="007F0EBF">
        <w:t>al regolamento delegato (UE) n. </w:t>
      </w:r>
      <w:r w:rsidR="00D11E4C">
        <w:t>1152/2014 della Commissione</w:t>
      </w:r>
      <w:r w:rsidR="00D11E4C">
        <w:footnoteReference w:id="10"/>
      </w:r>
      <w:r w:rsidR="00D11E4C">
        <w:t>. Pertanto le tecniche di attenuazione del rischio di credito (CRM) non mutano l</w:t>
      </w:r>
      <w:r w:rsidR="000878EC">
        <w:t>'</w:t>
      </w:r>
      <w:r w:rsidR="00D11E4C">
        <w:t>attribuzione di un</w:t>
      </w:r>
      <w:r w:rsidR="000878EC">
        <w:t>'</w:t>
      </w:r>
      <w:r w:rsidR="00D11E4C">
        <w:t>esposizione alla sua localizzazione geografica ai fini della segnalazione delle informazioni di cui a questo modello.</w:t>
      </w:r>
    </w:p>
    <w:p w:rsidR="00154859" w:rsidRPr="00661595" w:rsidRDefault="00125707" w:rsidP="0023700C">
      <w:pPr>
        <w:pStyle w:val="Instructionsberschrift2"/>
        <w:numPr>
          <w:ilvl w:val="0"/>
          <w:numId w:val="0"/>
        </w:numPr>
        <w:ind w:left="357" w:hanging="357"/>
        <w:rPr>
          <w:rFonts w:ascii="Times New Roman" w:hAnsi="Times New Roman" w:cs="Times New Roman"/>
          <w:sz w:val="24"/>
        </w:rPr>
      </w:pPr>
      <w:bookmarkStart w:id="376" w:name="_Toc360188368"/>
      <w:bookmarkStart w:id="377" w:name="_Toc473560919"/>
      <w:bookmarkStart w:id="378" w:name="_Toc58915779"/>
      <w:r>
        <w:rPr>
          <w:rFonts w:ascii="Times New Roman" w:hAnsi="Times New Roman"/>
          <w:sz w:val="24"/>
          <w:u w:val="none"/>
        </w:rPr>
        <w:t>3.4.3.2.</w:t>
      </w:r>
      <w:r w:rsidRPr="007F0EBF">
        <w:rPr>
          <w:u w:val="none"/>
        </w:rPr>
        <w:tab/>
      </w:r>
      <w:r>
        <w:rPr>
          <w:rFonts w:ascii="Times New Roman" w:hAnsi="Times New Roman"/>
          <w:sz w:val="24"/>
        </w:rPr>
        <w:t>Istruzioni relative a posizioni specifiche</w:t>
      </w:r>
      <w:bookmarkEnd w:id="376"/>
      <w:bookmarkEnd w:id="377"/>
      <w:bookmarkEnd w:id="378"/>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4357B9" w:rsidRPr="00661595" w:rsidTr="00672D2A">
        <w:tc>
          <w:tcPr>
            <w:tcW w:w="1697" w:type="dxa"/>
            <w:shd w:val="clear" w:color="auto" w:fill="CCCCCC"/>
          </w:tcPr>
          <w:p w:rsidR="00154859" w:rsidRPr="00661595" w:rsidRDefault="00154859" w:rsidP="004357B9">
            <w:pPr>
              <w:rPr>
                <w:rFonts w:ascii="Times New Roman" w:hAnsi="Times New Roman"/>
                <w:b/>
                <w:sz w:val="24"/>
              </w:rPr>
            </w:pPr>
            <w:r>
              <w:rPr>
                <w:rFonts w:ascii="Times New Roman" w:hAnsi="Times New Roman"/>
                <w:b/>
                <w:sz w:val="24"/>
              </w:rPr>
              <w:t>Colonne</w:t>
            </w:r>
          </w:p>
        </w:tc>
        <w:tc>
          <w:tcPr>
            <w:tcW w:w="8131" w:type="dxa"/>
            <w:shd w:val="clear" w:color="auto" w:fill="CCCCCC"/>
          </w:tcPr>
          <w:p w:rsidR="004357B9" w:rsidRPr="00661595" w:rsidRDefault="004357B9" w:rsidP="004357B9">
            <w:pPr>
              <w:ind w:left="72"/>
              <w:rPr>
                <w:rFonts w:ascii="Times New Roman" w:hAnsi="Times New Roman"/>
                <w:sz w:val="24"/>
              </w:rPr>
            </w:pPr>
          </w:p>
        </w:tc>
      </w:tr>
      <w:tr w:rsidR="00154859" w:rsidRPr="00661595" w:rsidTr="00672D2A">
        <w:tc>
          <w:tcPr>
            <w:tcW w:w="1697" w:type="dxa"/>
          </w:tcPr>
          <w:p w:rsidR="00154859" w:rsidRPr="00661595" w:rsidRDefault="00154859" w:rsidP="004357B9">
            <w:pPr>
              <w:rPr>
                <w:rStyle w:val="InstructionsTabelleText"/>
                <w:rFonts w:ascii="Times New Roman" w:hAnsi="Times New Roman"/>
                <w:sz w:val="24"/>
              </w:rPr>
            </w:pPr>
            <w:r>
              <w:rPr>
                <w:rFonts w:ascii="Times New Roman" w:hAnsi="Times New Roman"/>
                <w:sz w:val="24"/>
              </w:rPr>
              <w:t>0010</w:t>
            </w:r>
          </w:p>
        </w:tc>
        <w:tc>
          <w:tcPr>
            <w:tcW w:w="8131" w:type="dxa"/>
          </w:tcPr>
          <w:p w:rsidR="00154859" w:rsidRPr="00661595" w:rsidRDefault="00154859" w:rsidP="00133107">
            <w:pPr>
              <w:rPr>
                <w:rFonts w:ascii="Times New Roman" w:hAnsi="Times New Roman"/>
                <w:b/>
                <w:bCs/>
                <w:sz w:val="24"/>
                <w:u w:val="single"/>
              </w:rPr>
            </w:pPr>
            <w:r>
              <w:rPr>
                <w:rFonts w:ascii="Times New Roman" w:hAnsi="Times New Roman"/>
                <w:b/>
                <w:bCs/>
                <w:sz w:val="24"/>
                <w:u w:val="single"/>
              </w:rPr>
              <w:t>Importo</w:t>
            </w:r>
          </w:p>
          <w:p w:rsidR="00154859" w:rsidRPr="00661595" w:rsidRDefault="006E3440" w:rsidP="00535A98">
            <w:pPr>
              <w:rPr>
                <w:rFonts w:ascii="Times New Roman" w:hAnsi="Times New Roman"/>
                <w:b/>
                <w:sz w:val="24"/>
                <w:u w:val="single"/>
              </w:rPr>
            </w:pPr>
            <w:r>
              <w:rPr>
                <w:rFonts w:ascii="Times New Roman" w:hAnsi="Times New Roman"/>
                <w:bCs/>
                <w:sz w:val="24"/>
              </w:rPr>
              <w:t>Il valore delle esposizioni creditizie rilevanti e i requisiti di fondi propri associati determinati conformemente alle istruzioni relative alla rispettiva riga.</w:t>
            </w:r>
          </w:p>
        </w:tc>
      </w:tr>
      <w:tr w:rsidR="00154859" w:rsidRPr="00661595" w:rsidTr="00672D2A">
        <w:tc>
          <w:tcPr>
            <w:tcW w:w="1697" w:type="dxa"/>
          </w:tcPr>
          <w:p w:rsidR="00154859" w:rsidRPr="00661595" w:rsidRDefault="00154859" w:rsidP="004357B9">
            <w:pPr>
              <w:rPr>
                <w:sz w:val="24"/>
              </w:rPr>
            </w:pPr>
            <w:r>
              <w:rPr>
                <w:rFonts w:ascii="Times New Roman" w:hAnsi="Times New Roman"/>
                <w:sz w:val="24"/>
              </w:rPr>
              <w:t>0020</w:t>
            </w:r>
          </w:p>
        </w:tc>
        <w:tc>
          <w:tcPr>
            <w:tcW w:w="8131" w:type="dxa"/>
          </w:tcPr>
          <w:p w:rsidR="00154859" w:rsidRPr="00661595" w:rsidRDefault="00154859" w:rsidP="00133107">
            <w:pPr>
              <w:rPr>
                <w:rFonts w:ascii="Times New Roman" w:hAnsi="Times New Roman"/>
                <w:b/>
                <w:bCs/>
                <w:sz w:val="24"/>
                <w:u w:val="single"/>
              </w:rPr>
            </w:pPr>
            <w:r>
              <w:rPr>
                <w:rFonts w:ascii="Times New Roman" w:hAnsi="Times New Roman"/>
                <w:b/>
                <w:bCs/>
                <w:sz w:val="24"/>
                <w:u w:val="single"/>
              </w:rPr>
              <w:t>Percentuale</w:t>
            </w:r>
          </w:p>
          <w:p w:rsidR="00154859" w:rsidRPr="00661595" w:rsidRDefault="00154859" w:rsidP="00133107">
            <w:pPr>
              <w:rPr>
                <w:rFonts w:ascii="Times New Roman" w:hAnsi="Times New Roman"/>
                <w:b/>
                <w:bCs/>
                <w:sz w:val="24"/>
                <w:u w:val="single"/>
                <w:lang w:eastAsia="de-DE"/>
              </w:rPr>
            </w:pPr>
          </w:p>
        </w:tc>
      </w:tr>
      <w:tr w:rsidR="00154859" w:rsidRPr="00661595" w:rsidTr="00672D2A">
        <w:tc>
          <w:tcPr>
            <w:tcW w:w="1697" w:type="dxa"/>
          </w:tcPr>
          <w:p w:rsidR="00154859" w:rsidRPr="00661595" w:rsidRDefault="00154859" w:rsidP="004357B9">
            <w:pPr>
              <w:rPr>
                <w:rFonts w:ascii="Times New Roman" w:hAnsi="Times New Roman"/>
                <w:sz w:val="24"/>
              </w:rPr>
            </w:pPr>
            <w:r>
              <w:rPr>
                <w:rFonts w:ascii="Times New Roman" w:hAnsi="Times New Roman"/>
                <w:sz w:val="24"/>
              </w:rPr>
              <w:t>0030</w:t>
            </w:r>
          </w:p>
        </w:tc>
        <w:tc>
          <w:tcPr>
            <w:tcW w:w="8131" w:type="dxa"/>
          </w:tcPr>
          <w:p w:rsidR="00154859" w:rsidRPr="00661595" w:rsidRDefault="00187348" w:rsidP="00133107">
            <w:pPr>
              <w:autoSpaceDE w:val="0"/>
              <w:autoSpaceDN w:val="0"/>
              <w:adjustRightInd w:val="0"/>
              <w:rPr>
                <w:rFonts w:ascii="Times New Roman" w:hAnsi="Times New Roman"/>
                <w:b/>
                <w:bCs/>
                <w:sz w:val="24"/>
                <w:u w:val="single"/>
              </w:rPr>
            </w:pPr>
            <w:r>
              <w:rPr>
                <w:rFonts w:ascii="Times New Roman" w:hAnsi="Times New Roman"/>
                <w:b/>
                <w:bCs/>
                <w:sz w:val="24"/>
                <w:u w:val="single"/>
              </w:rPr>
              <w:t>Informazioni qualitative</w:t>
            </w:r>
          </w:p>
          <w:p w:rsidR="00514783" w:rsidRPr="00661595" w:rsidRDefault="00CA270D" w:rsidP="00234E7D">
            <w:pPr>
              <w:autoSpaceDE w:val="0"/>
              <w:autoSpaceDN w:val="0"/>
              <w:adjustRightInd w:val="0"/>
              <w:rPr>
                <w:rFonts w:ascii="Times New Roman" w:hAnsi="Times New Roman"/>
                <w:sz w:val="24"/>
              </w:rPr>
            </w:pPr>
            <w:r>
              <w:rPr>
                <w:rFonts w:ascii="Times New Roman" w:hAnsi="Times New Roman"/>
                <w:sz w:val="24"/>
              </w:rPr>
              <w:t>Queste informazioni sono segnalate solo per il paese di residenza dell</w:t>
            </w:r>
            <w:r w:rsidR="000878EC">
              <w:rPr>
                <w:rFonts w:ascii="Times New Roman" w:hAnsi="Times New Roman"/>
                <w:sz w:val="24"/>
              </w:rPr>
              <w:t>'</w:t>
            </w:r>
            <w:r>
              <w:rPr>
                <w:rFonts w:ascii="Times New Roman" w:hAnsi="Times New Roman"/>
                <w:sz w:val="24"/>
              </w:rPr>
              <w:t xml:space="preserve">ente (la giurisdizione corrispondente al suo Stato membro di origine) e per il </w:t>
            </w:r>
            <w:r w:rsidR="000878EC">
              <w:rPr>
                <w:rFonts w:ascii="Times New Roman" w:hAnsi="Times New Roman"/>
                <w:sz w:val="24"/>
              </w:rPr>
              <w:t>"</w:t>
            </w:r>
            <w:r>
              <w:rPr>
                <w:rFonts w:ascii="Times New Roman" w:hAnsi="Times New Roman"/>
                <w:sz w:val="24"/>
              </w:rPr>
              <w:t>Totale</w:t>
            </w:r>
            <w:r w:rsidR="000878EC">
              <w:rPr>
                <w:rFonts w:ascii="Times New Roman" w:hAnsi="Times New Roman"/>
                <w:sz w:val="24"/>
              </w:rPr>
              <w:t>"</w:t>
            </w:r>
            <w:r>
              <w:rPr>
                <w:rFonts w:ascii="Times New Roman" w:hAnsi="Times New Roman"/>
                <w:sz w:val="24"/>
              </w:rPr>
              <w:t xml:space="preserve"> di tutti i paesi. </w:t>
            </w:r>
          </w:p>
          <w:p w:rsidR="00EF3F40" w:rsidRPr="00661595" w:rsidRDefault="00514783" w:rsidP="00514783">
            <w:pPr>
              <w:autoSpaceDE w:val="0"/>
              <w:autoSpaceDN w:val="0"/>
              <w:adjustRightInd w:val="0"/>
              <w:rPr>
                <w:rFonts w:ascii="Times New Roman" w:hAnsi="Times New Roman"/>
                <w:b/>
                <w:bCs/>
                <w:sz w:val="24"/>
                <w:u w:val="single"/>
              </w:rPr>
            </w:pPr>
            <w:r>
              <w:rPr>
                <w:rFonts w:ascii="Times New Roman" w:hAnsi="Times New Roman"/>
                <w:sz w:val="24"/>
              </w:rPr>
              <w:t>Gli enti indicano {s} o {n} conformemente alle istruzioni relative alla pertinente riga.</w:t>
            </w:r>
          </w:p>
        </w:tc>
      </w:tr>
    </w:tbl>
    <w:p w:rsidR="00464F34" w:rsidRPr="00661595" w:rsidRDefault="00464F34" w:rsidP="00115052">
      <w:pPr>
        <w:pStyle w:val="InstructionsText"/>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7"/>
        <w:gridCol w:w="8131"/>
      </w:tblGrid>
      <w:tr w:rsidR="00BD5485" w:rsidRPr="00661595" w:rsidTr="00672D2A">
        <w:tc>
          <w:tcPr>
            <w:tcW w:w="1697" w:type="dxa"/>
            <w:shd w:val="clear" w:color="auto" w:fill="CCCCCC"/>
          </w:tcPr>
          <w:p w:rsidR="00BD5485" w:rsidRPr="00661595" w:rsidRDefault="00BD5485" w:rsidP="00133107">
            <w:pPr>
              <w:rPr>
                <w:rFonts w:ascii="Times New Roman" w:hAnsi="Times New Roman"/>
                <w:b/>
                <w:sz w:val="24"/>
              </w:rPr>
            </w:pPr>
            <w:r>
              <w:rPr>
                <w:rFonts w:ascii="Times New Roman" w:hAnsi="Times New Roman"/>
                <w:b/>
                <w:sz w:val="24"/>
              </w:rPr>
              <w:t>Righe</w:t>
            </w:r>
          </w:p>
        </w:tc>
        <w:tc>
          <w:tcPr>
            <w:tcW w:w="8131" w:type="dxa"/>
            <w:shd w:val="clear" w:color="auto" w:fill="CCCCCC"/>
          </w:tcPr>
          <w:p w:rsidR="00BD5485" w:rsidRPr="00661595" w:rsidRDefault="00BD5485" w:rsidP="007F0EBF">
            <w:pPr>
              <w:suppressAutoHyphens/>
              <w:ind w:left="72"/>
              <w:rPr>
                <w:rFonts w:ascii="Times New Roman" w:hAnsi="Times New Roman"/>
                <w:sz w:val="24"/>
              </w:rPr>
            </w:pPr>
          </w:p>
        </w:tc>
      </w:tr>
      <w:tr w:rsidR="00BD5485" w:rsidRPr="00661595" w:rsidTr="00672D2A">
        <w:tc>
          <w:tcPr>
            <w:tcW w:w="1697" w:type="dxa"/>
          </w:tcPr>
          <w:p w:rsidR="00BD5485" w:rsidRPr="00661595" w:rsidRDefault="00BD5485" w:rsidP="00133107">
            <w:pPr>
              <w:rPr>
                <w:rStyle w:val="InstructionsTabelleText"/>
                <w:rFonts w:ascii="Times New Roman" w:hAnsi="Times New Roman"/>
                <w:sz w:val="24"/>
              </w:rPr>
            </w:pPr>
            <w:r>
              <w:rPr>
                <w:rFonts w:ascii="Times New Roman" w:hAnsi="Times New Roman"/>
                <w:sz w:val="24"/>
              </w:rPr>
              <w:t>0010-0020</w:t>
            </w:r>
          </w:p>
        </w:tc>
        <w:tc>
          <w:tcPr>
            <w:tcW w:w="8131" w:type="dxa"/>
          </w:tcPr>
          <w:p w:rsidR="00BD5485" w:rsidRPr="00661595" w:rsidRDefault="00BD5485" w:rsidP="007F0EBF">
            <w:pPr>
              <w:suppressAutoHyphens/>
              <w:rPr>
                <w:rFonts w:ascii="Times New Roman" w:hAnsi="Times New Roman"/>
                <w:b/>
                <w:bCs/>
                <w:sz w:val="24"/>
                <w:u w:val="single"/>
              </w:rPr>
            </w:pPr>
            <w:r>
              <w:rPr>
                <w:rFonts w:ascii="Times New Roman" w:hAnsi="Times New Roman"/>
                <w:b/>
                <w:bCs/>
                <w:sz w:val="24"/>
                <w:u w:val="single"/>
              </w:rPr>
              <w:t>Esposizioni creditizie rilevanti — Rischio di credito</w:t>
            </w:r>
          </w:p>
          <w:p w:rsidR="00BD5485" w:rsidRPr="00661595" w:rsidRDefault="00BD5485" w:rsidP="007F0EBF">
            <w:pPr>
              <w:suppressAutoHyphens/>
              <w:rPr>
                <w:rFonts w:ascii="Times New Roman" w:hAnsi="Times New Roman"/>
                <w:b/>
                <w:sz w:val="24"/>
                <w:u w:val="single"/>
              </w:rPr>
            </w:pPr>
            <w:r>
              <w:rPr>
                <w:rFonts w:ascii="Times New Roman" w:hAnsi="Times New Roman"/>
                <w:sz w:val="24"/>
              </w:rPr>
              <w:t>Esposizioni creditizie rilevanti di cui all</w:t>
            </w:r>
            <w:r w:rsidR="000878EC">
              <w:rPr>
                <w:rFonts w:ascii="Times New Roman" w:hAnsi="Times New Roman"/>
                <w:sz w:val="24"/>
              </w:rPr>
              <w:t>'</w:t>
            </w:r>
            <w:r>
              <w:rPr>
                <w:rFonts w:ascii="Times New Roman" w:hAnsi="Times New Roman"/>
                <w:sz w:val="24"/>
              </w:rPr>
              <w:t>articolo 140, paragrafo 4, lettera a), della CRD</w:t>
            </w:r>
          </w:p>
        </w:tc>
      </w:tr>
      <w:tr w:rsidR="00BD5485" w:rsidRPr="00661595" w:rsidTr="00672D2A">
        <w:tc>
          <w:tcPr>
            <w:tcW w:w="1697" w:type="dxa"/>
          </w:tcPr>
          <w:p w:rsidR="00BD5485" w:rsidRPr="00661595" w:rsidRDefault="00BD5485" w:rsidP="00133107">
            <w:pPr>
              <w:rPr>
                <w:sz w:val="24"/>
              </w:rPr>
            </w:pPr>
            <w:r>
              <w:rPr>
                <w:rFonts w:ascii="Times New Roman" w:hAnsi="Times New Roman"/>
                <w:sz w:val="24"/>
              </w:rPr>
              <w:t>0010</w:t>
            </w:r>
          </w:p>
        </w:tc>
        <w:tc>
          <w:tcPr>
            <w:tcW w:w="8131" w:type="dxa"/>
          </w:tcPr>
          <w:p w:rsidR="00BD5485" w:rsidRPr="00661595" w:rsidRDefault="00BD5485" w:rsidP="007F0EBF">
            <w:pPr>
              <w:suppressAutoHyphens/>
              <w:rPr>
                <w:rFonts w:ascii="Times New Roman" w:hAnsi="Times New Roman"/>
                <w:b/>
                <w:bCs/>
                <w:sz w:val="24"/>
                <w:u w:val="single"/>
              </w:rPr>
            </w:pPr>
            <w:r>
              <w:rPr>
                <w:rFonts w:ascii="Times New Roman" w:hAnsi="Times New Roman"/>
                <w:b/>
                <w:bCs/>
                <w:sz w:val="24"/>
                <w:u w:val="single"/>
              </w:rPr>
              <w:t>Valore dell</w:t>
            </w:r>
            <w:r w:rsidR="000878EC">
              <w:rPr>
                <w:rFonts w:ascii="Times New Roman" w:hAnsi="Times New Roman"/>
                <w:b/>
                <w:bCs/>
                <w:sz w:val="24"/>
                <w:u w:val="single"/>
              </w:rPr>
              <w:t>'</w:t>
            </w:r>
            <w:r>
              <w:rPr>
                <w:rFonts w:ascii="Times New Roman" w:hAnsi="Times New Roman"/>
                <w:b/>
                <w:bCs/>
                <w:sz w:val="24"/>
                <w:u w:val="single"/>
              </w:rPr>
              <w:t>esposizione secondo il metodo standardizzato</w:t>
            </w:r>
          </w:p>
          <w:p w:rsidR="00BD5485" w:rsidRPr="00661595" w:rsidRDefault="00BD5485" w:rsidP="007F0EBF">
            <w:pPr>
              <w:suppressAutoHyphens/>
              <w:autoSpaceDE w:val="0"/>
              <w:autoSpaceDN w:val="0"/>
              <w:adjustRightInd w:val="0"/>
              <w:rPr>
                <w:rFonts w:ascii="Times New Roman" w:hAnsi="Times New Roman"/>
                <w:sz w:val="24"/>
              </w:rPr>
            </w:pPr>
            <w:r>
              <w:rPr>
                <w:rFonts w:ascii="Times New Roman" w:hAnsi="Times New Roman"/>
                <w:sz w:val="24"/>
              </w:rPr>
              <w:t>Valore dell</w:t>
            </w:r>
            <w:r w:rsidR="000878EC">
              <w:rPr>
                <w:rFonts w:ascii="Times New Roman" w:hAnsi="Times New Roman"/>
                <w:sz w:val="24"/>
              </w:rPr>
              <w:t>'</w:t>
            </w:r>
            <w:r>
              <w:rPr>
                <w:rFonts w:ascii="Times New Roman" w:hAnsi="Times New Roman"/>
                <w:sz w:val="24"/>
              </w:rPr>
              <w:t>esposizione calcolato conformemente all</w:t>
            </w:r>
            <w:r w:rsidR="000878EC">
              <w:rPr>
                <w:rFonts w:ascii="Times New Roman" w:hAnsi="Times New Roman"/>
                <w:sz w:val="24"/>
              </w:rPr>
              <w:t>'</w:t>
            </w:r>
            <w:r>
              <w:rPr>
                <w:rFonts w:ascii="Times New Roman" w:hAnsi="Times New Roman"/>
                <w:sz w:val="24"/>
              </w:rPr>
              <w:t>articolo 111 del CRR per le esposizioni creditizie rilevanti di cui all</w:t>
            </w:r>
            <w:r w:rsidR="000878EC">
              <w:rPr>
                <w:rFonts w:ascii="Times New Roman" w:hAnsi="Times New Roman"/>
                <w:sz w:val="24"/>
              </w:rPr>
              <w:t>'</w:t>
            </w:r>
            <w:r>
              <w:rPr>
                <w:rFonts w:ascii="Times New Roman" w:hAnsi="Times New Roman"/>
                <w:sz w:val="24"/>
              </w:rPr>
              <w:t xml:space="preserve">articolo 140, paragrafo 4, lettera a), della CRD. </w:t>
            </w:r>
          </w:p>
          <w:p w:rsidR="00BD5485" w:rsidRPr="00661595" w:rsidRDefault="00BD5485" w:rsidP="007F0EBF">
            <w:pPr>
              <w:suppressAutoHyphens/>
              <w:autoSpaceDE w:val="0"/>
              <w:autoSpaceDN w:val="0"/>
              <w:adjustRightInd w:val="0"/>
              <w:rPr>
                <w:rFonts w:ascii="Times New Roman" w:hAnsi="Times New Roman"/>
                <w:b/>
                <w:bCs/>
                <w:sz w:val="24"/>
                <w:u w:val="single"/>
              </w:rPr>
            </w:pPr>
            <w:r>
              <w:rPr>
                <w:rFonts w:ascii="Times New Roman" w:hAnsi="Times New Roman"/>
                <w:sz w:val="24"/>
              </w:rPr>
              <w:t>Il valore dell</w:t>
            </w:r>
            <w:r w:rsidR="000878EC">
              <w:rPr>
                <w:rFonts w:ascii="Times New Roman" w:hAnsi="Times New Roman"/>
                <w:sz w:val="24"/>
              </w:rPr>
              <w:t>'</w:t>
            </w:r>
            <w:r>
              <w:rPr>
                <w:rFonts w:ascii="Times New Roman" w:hAnsi="Times New Roman"/>
                <w:sz w:val="24"/>
              </w:rPr>
              <w:t>esposizione delle posizioni verso la cartolarizzazione nel portafoglio bancario non è indicato in questa riga bensì nella riga 0055.</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0020</w:t>
            </w:r>
          </w:p>
        </w:tc>
        <w:tc>
          <w:tcPr>
            <w:tcW w:w="8131" w:type="dxa"/>
          </w:tcPr>
          <w:p w:rsidR="00BD5485" w:rsidRPr="00661595" w:rsidRDefault="00BD5485" w:rsidP="007F0EBF">
            <w:pPr>
              <w:suppressAutoHyphens/>
              <w:rPr>
                <w:rFonts w:ascii="Times New Roman" w:hAnsi="Times New Roman"/>
                <w:b/>
                <w:bCs/>
                <w:sz w:val="24"/>
                <w:u w:val="single"/>
              </w:rPr>
            </w:pPr>
            <w:r>
              <w:rPr>
                <w:rFonts w:ascii="Times New Roman" w:hAnsi="Times New Roman"/>
                <w:b/>
                <w:bCs/>
                <w:sz w:val="24"/>
                <w:u w:val="single"/>
              </w:rPr>
              <w:t>Valore dell</w:t>
            </w:r>
            <w:r w:rsidR="000878EC">
              <w:rPr>
                <w:rFonts w:ascii="Times New Roman" w:hAnsi="Times New Roman"/>
                <w:b/>
                <w:bCs/>
                <w:sz w:val="24"/>
                <w:u w:val="single"/>
              </w:rPr>
              <w:t>'</w:t>
            </w:r>
            <w:r>
              <w:rPr>
                <w:rFonts w:ascii="Times New Roman" w:hAnsi="Times New Roman"/>
                <w:b/>
                <w:bCs/>
                <w:sz w:val="24"/>
                <w:u w:val="single"/>
              </w:rPr>
              <w:t>esposizione secondo il metodo IRB</w:t>
            </w:r>
          </w:p>
          <w:p w:rsidR="00BD5485" w:rsidRPr="00661595" w:rsidRDefault="00BD5485" w:rsidP="007F0EBF">
            <w:pPr>
              <w:suppressAutoHyphens/>
              <w:autoSpaceDE w:val="0"/>
              <w:autoSpaceDN w:val="0"/>
              <w:adjustRightInd w:val="0"/>
              <w:rPr>
                <w:rFonts w:ascii="Times New Roman" w:hAnsi="Times New Roman"/>
                <w:sz w:val="24"/>
              </w:rPr>
            </w:pPr>
            <w:r>
              <w:rPr>
                <w:rFonts w:ascii="Times New Roman" w:hAnsi="Times New Roman"/>
                <w:sz w:val="24"/>
              </w:rPr>
              <w:t>Valore dell</w:t>
            </w:r>
            <w:r w:rsidR="000878EC">
              <w:rPr>
                <w:rFonts w:ascii="Times New Roman" w:hAnsi="Times New Roman"/>
                <w:sz w:val="24"/>
              </w:rPr>
              <w:t>'</w:t>
            </w:r>
            <w:r>
              <w:rPr>
                <w:rFonts w:ascii="Times New Roman" w:hAnsi="Times New Roman"/>
                <w:sz w:val="24"/>
              </w:rPr>
              <w:t>esposizione calcolato conformemente all</w:t>
            </w:r>
            <w:r w:rsidR="000878EC">
              <w:rPr>
                <w:rFonts w:ascii="Times New Roman" w:hAnsi="Times New Roman"/>
                <w:sz w:val="24"/>
              </w:rPr>
              <w:t>'</w:t>
            </w:r>
            <w:r>
              <w:rPr>
                <w:rFonts w:ascii="Times New Roman" w:hAnsi="Times New Roman"/>
                <w:sz w:val="24"/>
              </w:rPr>
              <w:t>articolo 166 del CRR per le esposizioni creditizie rilevanti di cui all</w:t>
            </w:r>
            <w:r w:rsidR="000878EC">
              <w:rPr>
                <w:rFonts w:ascii="Times New Roman" w:hAnsi="Times New Roman"/>
                <w:sz w:val="24"/>
              </w:rPr>
              <w:t>'</w:t>
            </w:r>
            <w:r>
              <w:rPr>
                <w:rFonts w:ascii="Times New Roman" w:hAnsi="Times New Roman"/>
                <w:sz w:val="24"/>
              </w:rPr>
              <w:t xml:space="preserve">articolo 140, paragrafo 4, lettera a), della CRD. </w:t>
            </w:r>
          </w:p>
          <w:p w:rsidR="00BD5485" w:rsidRPr="00661595" w:rsidRDefault="00BD5485" w:rsidP="007F0EBF">
            <w:pPr>
              <w:suppressAutoHyphens/>
              <w:rPr>
                <w:rFonts w:ascii="Times New Roman" w:hAnsi="Times New Roman"/>
                <w:b/>
                <w:bCs/>
                <w:sz w:val="24"/>
                <w:u w:val="single"/>
              </w:rPr>
            </w:pPr>
            <w:r>
              <w:rPr>
                <w:rFonts w:ascii="Times New Roman" w:hAnsi="Times New Roman"/>
                <w:sz w:val="24"/>
              </w:rPr>
              <w:t>Il valore dell</w:t>
            </w:r>
            <w:r w:rsidR="000878EC">
              <w:rPr>
                <w:rFonts w:ascii="Times New Roman" w:hAnsi="Times New Roman"/>
                <w:sz w:val="24"/>
              </w:rPr>
              <w:t>'</w:t>
            </w:r>
            <w:r>
              <w:rPr>
                <w:rFonts w:ascii="Times New Roman" w:hAnsi="Times New Roman"/>
                <w:sz w:val="24"/>
              </w:rPr>
              <w:t>esposizione delle posizioni verso la cartolarizzazione nel portafoglio bancario non è indicato in questa riga bensì nella riga 0055.</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0030-0040</w:t>
            </w:r>
          </w:p>
        </w:tc>
        <w:tc>
          <w:tcPr>
            <w:tcW w:w="8131" w:type="dxa"/>
          </w:tcPr>
          <w:p w:rsidR="00BD5485" w:rsidRPr="00661595" w:rsidRDefault="00BD5485" w:rsidP="007F0EBF">
            <w:pPr>
              <w:suppressAutoHyphens/>
              <w:rPr>
                <w:rFonts w:ascii="Times New Roman" w:hAnsi="Times New Roman"/>
                <w:b/>
                <w:bCs/>
                <w:sz w:val="24"/>
                <w:u w:val="single"/>
              </w:rPr>
            </w:pPr>
            <w:r>
              <w:rPr>
                <w:rFonts w:ascii="Times New Roman" w:hAnsi="Times New Roman"/>
                <w:b/>
                <w:bCs/>
                <w:sz w:val="24"/>
                <w:u w:val="single"/>
              </w:rPr>
              <w:t>Esposizioni creditizie rilevanti — Rischio di mercato</w:t>
            </w:r>
          </w:p>
          <w:p w:rsidR="00BD5485" w:rsidRPr="00661595" w:rsidRDefault="00BD5485" w:rsidP="007F0EBF">
            <w:pPr>
              <w:suppressAutoHyphens/>
              <w:rPr>
                <w:rFonts w:ascii="Times New Roman" w:hAnsi="Times New Roman"/>
                <w:b/>
                <w:bCs/>
                <w:sz w:val="24"/>
                <w:u w:val="single"/>
              </w:rPr>
            </w:pPr>
            <w:r>
              <w:rPr>
                <w:rFonts w:ascii="Times New Roman" w:hAnsi="Times New Roman"/>
                <w:sz w:val="24"/>
              </w:rPr>
              <w:t>Esposizioni creditizie rilevanti di cui all</w:t>
            </w:r>
            <w:r w:rsidR="000878EC">
              <w:rPr>
                <w:rFonts w:ascii="Times New Roman" w:hAnsi="Times New Roman"/>
                <w:sz w:val="24"/>
              </w:rPr>
              <w:t>'</w:t>
            </w:r>
            <w:r>
              <w:rPr>
                <w:rFonts w:ascii="Times New Roman" w:hAnsi="Times New Roman"/>
                <w:sz w:val="24"/>
              </w:rPr>
              <w:t>articolo 140, paragrafo 4, lettera b), della CRD</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0030</w:t>
            </w:r>
          </w:p>
        </w:tc>
        <w:tc>
          <w:tcPr>
            <w:tcW w:w="8131" w:type="dxa"/>
          </w:tcPr>
          <w:p w:rsidR="00BD5485" w:rsidRPr="00661595" w:rsidRDefault="00BD5485" w:rsidP="007F0EBF">
            <w:pPr>
              <w:suppressAutoHyphens/>
              <w:rPr>
                <w:rFonts w:ascii="Times New Roman" w:hAnsi="Times New Roman"/>
                <w:b/>
                <w:bCs/>
                <w:sz w:val="24"/>
                <w:u w:val="single"/>
              </w:rPr>
            </w:pPr>
            <w:r>
              <w:rPr>
                <w:rFonts w:ascii="Times New Roman" w:hAnsi="Times New Roman"/>
                <w:b/>
                <w:bCs/>
                <w:sz w:val="24"/>
                <w:u w:val="single"/>
              </w:rPr>
              <w:t>Somma delle posizioni lunghe e corte in esposizioni nel portafoglio di negoziazione secondo il metodo standardizzato</w:t>
            </w:r>
          </w:p>
          <w:p w:rsidR="00BD5485" w:rsidRPr="00661595" w:rsidRDefault="00BD5485" w:rsidP="007F0EBF">
            <w:pPr>
              <w:suppressAutoHyphens/>
              <w:autoSpaceDE w:val="0"/>
              <w:autoSpaceDN w:val="0"/>
              <w:adjustRightInd w:val="0"/>
              <w:rPr>
                <w:rFonts w:ascii="Times New Roman" w:hAnsi="Times New Roman"/>
                <w:sz w:val="24"/>
              </w:rPr>
            </w:pPr>
            <w:r>
              <w:rPr>
                <w:rFonts w:ascii="Times New Roman" w:hAnsi="Times New Roman"/>
                <w:sz w:val="24"/>
              </w:rPr>
              <w:t>Somma delle posizioni lunghe nette e corte nette ai sensi dell</w:t>
            </w:r>
            <w:r w:rsidR="000878EC">
              <w:rPr>
                <w:rFonts w:ascii="Times New Roman" w:hAnsi="Times New Roman"/>
                <w:sz w:val="24"/>
              </w:rPr>
              <w:t>'</w:t>
            </w:r>
            <w:r>
              <w:rPr>
                <w:rFonts w:ascii="Times New Roman" w:hAnsi="Times New Roman"/>
                <w:sz w:val="24"/>
              </w:rPr>
              <w:t>articolo 327 del CRR delle esposizioni creditizie rilevanti di cui all</w:t>
            </w:r>
            <w:r w:rsidR="000878EC">
              <w:rPr>
                <w:rFonts w:ascii="Times New Roman" w:hAnsi="Times New Roman"/>
                <w:sz w:val="24"/>
              </w:rPr>
              <w:t>'</w:t>
            </w:r>
            <w:r>
              <w:rPr>
                <w:rFonts w:ascii="Times New Roman" w:hAnsi="Times New Roman"/>
                <w:sz w:val="24"/>
              </w:rPr>
              <w:t>articolo 140, paragrafo 4, lettera b), della CRD soggette a requisiti di fondi propri a norma d</w:t>
            </w:r>
            <w:r w:rsidR="00030E48">
              <w:rPr>
                <w:rFonts w:ascii="Times New Roman" w:hAnsi="Times New Roman"/>
                <w:sz w:val="24"/>
              </w:rPr>
              <w:t>ella parte tre, titolo IV, capo </w:t>
            </w:r>
            <w:r>
              <w:rPr>
                <w:rFonts w:ascii="Times New Roman" w:hAnsi="Times New Roman"/>
                <w:sz w:val="24"/>
              </w:rPr>
              <w:t xml:space="preserve">2, del CRR: </w:t>
            </w:r>
          </w:p>
          <w:p w:rsidR="00C4425F" w:rsidRPr="00661595" w:rsidRDefault="00125707" w:rsidP="007F0EBF">
            <w:pPr>
              <w:suppressAutoHyphens/>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esposizioni verso strumenti di debito diversi dalla cartolarizzazione;</w:t>
            </w:r>
          </w:p>
          <w:p w:rsidR="00C4425F" w:rsidRPr="00661595" w:rsidRDefault="00125707" w:rsidP="007F0EBF">
            <w:pPr>
              <w:suppressAutoHyphens/>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esposizioni verso posizioni verso la cartolarizzazione nel portafoglio di negoziazione;</w:t>
            </w:r>
          </w:p>
          <w:p w:rsidR="00C4425F" w:rsidRPr="00661595" w:rsidRDefault="00125707" w:rsidP="007F0EBF">
            <w:pPr>
              <w:suppressAutoHyphens/>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esposizioni verso portafogli di negoziazione di correlazione;</w:t>
            </w:r>
          </w:p>
          <w:p w:rsidR="00C4425F" w:rsidRPr="00661595" w:rsidRDefault="00125707" w:rsidP="007F0EBF">
            <w:pPr>
              <w:suppressAutoHyphens/>
              <w:autoSpaceDE w:val="0"/>
              <w:autoSpaceDN w:val="0"/>
              <w:adjustRightInd w:val="0"/>
              <w:ind w:left="357" w:hanging="357"/>
              <w:contextualSpacing/>
              <w:rPr>
                <w:rFonts w:ascii="Times New Roman" w:hAnsi="Times New Roman"/>
                <w:sz w:val="24"/>
              </w:rPr>
            </w:pPr>
            <w:r>
              <w:rPr>
                <w:rFonts w:ascii="Times New Roman" w:hAnsi="Times New Roman"/>
                <w:sz w:val="24"/>
              </w:rPr>
              <w:t>-</w:t>
            </w:r>
            <w:r>
              <w:tab/>
            </w:r>
            <w:r>
              <w:rPr>
                <w:rFonts w:ascii="Times New Roman" w:hAnsi="Times New Roman"/>
                <w:sz w:val="24"/>
              </w:rPr>
              <w:t>esposizioni verso titoli di capitale;</w:t>
            </w:r>
          </w:p>
          <w:p w:rsidR="00797715" w:rsidRPr="00661595" w:rsidRDefault="00125707" w:rsidP="007F0EBF">
            <w:pPr>
              <w:suppressAutoHyphens/>
              <w:autoSpaceDE w:val="0"/>
              <w:autoSpaceDN w:val="0"/>
              <w:adjustRightInd w:val="0"/>
              <w:ind w:left="357" w:hanging="357"/>
              <w:contextualSpacing/>
              <w:rPr>
                <w:rFonts w:ascii="Times New Roman" w:hAnsi="Times New Roman"/>
                <w:b/>
                <w:bCs/>
                <w:sz w:val="24"/>
                <w:u w:val="single"/>
              </w:rPr>
            </w:pPr>
            <w:r>
              <w:rPr>
                <w:rFonts w:ascii="Times New Roman" w:hAnsi="Times New Roman"/>
                <w:bCs/>
                <w:sz w:val="24"/>
              </w:rPr>
              <w:t>-</w:t>
            </w:r>
            <w:r>
              <w:tab/>
            </w:r>
            <w:r>
              <w:rPr>
                <w:rFonts w:ascii="Times New Roman" w:hAnsi="Times New Roman"/>
                <w:sz w:val="24"/>
              </w:rPr>
              <w:t>esposizioni verso OIC se i requisiti patrimoniali sono calcolati conformemente all</w:t>
            </w:r>
            <w:r w:rsidR="000878EC">
              <w:rPr>
                <w:rFonts w:ascii="Times New Roman" w:hAnsi="Times New Roman"/>
                <w:sz w:val="24"/>
              </w:rPr>
              <w:t>'</w:t>
            </w:r>
            <w:r>
              <w:rPr>
                <w:rFonts w:ascii="Times New Roman" w:hAnsi="Times New Roman"/>
                <w:sz w:val="24"/>
              </w:rPr>
              <w:t>articolo 348 del CRR.</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0040</w:t>
            </w:r>
          </w:p>
        </w:tc>
        <w:tc>
          <w:tcPr>
            <w:tcW w:w="8131" w:type="dxa"/>
          </w:tcPr>
          <w:p w:rsidR="00BD5485" w:rsidRPr="00661595" w:rsidRDefault="00BD5485" w:rsidP="007F0EBF">
            <w:pPr>
              <w:suppressAutoHyphens/>
              <w:rPr>
                <w:rFonts w:ascii="Times New Roman" w:hAnsi="Times New Roman"/>
                <w:b/>
                <w:bCs/>
                <w:sz w:val="24"/>
                <w:u w:val="single"/>
              </w:rPr>
            </w:pPr>
            <w:r>
              <w:rPr>
                <w:rFonts w:ascii="Times New Roman" w:hAnsi="Times New Roman"/>
                <w:b/>
                <w:bCs/>
                <w:sz w:val="24"/>
                <w:u w:val="single"/>
              </w:rPr>
              <w:t>Valore delle esposizioni nel portafoglio di negoziazione secondo i modelli interni</w:t>
            </w:r>
          </w:p>
          <w:p w:rsidR="00BD5485" w:rsidRPr="00661595" w:rsidRDefault="00BD5485" w:rsidP="007F0EBF">
            <w:pPr>
              <w:suppressAutoHyphens/>
              <w:autoSpaceDE w:val="0"/>
              <w:autoSpaceDN w:val="0"/>
              <w:adjustRightInd w:val="0"/>
              <w:rPr>
                <w:rFonts w:ascii="Times New Roman" w:hAnsi="Times New Roman"/>
                <w:sz w:val="24"/>
              </w:rPr>
            </w:pPr>
            <w:r>
              <w:rPr>
                <w:rFonts w:ascii="Times New Roman" w:hAnsi="Times New Roman"/>
                <w:sz w:val="24"/>
              </w:rPr>
              <w:t>Per le esposizioni creditizie rilevanti di cui all</w:t>
            </w:r>
            <w:r w:rsidR="000878EC">
              <w:rPr>
                <w:rFonts w:ascii="Times New Roman" w:hAnsi="Times New Roman"/>
                <w:sz w:val="24"/>
              </w:rPr>
              <w:t>'</w:t>
            </w:r>
            <w:r>
              <w:rPr>
                <w:rFonts w:ascii="Times New Roman" w:hAnsi="Times New Roman"/>
                <w:sz w:val="24"/>
              </w:rPr>
              <w:t>articolo 140, paragrafo 4, lettera b), della CRD soggette a requisiti di fondi propri a norma d</w:t>
            </w:r>
            <w:r w:rsidR="00030E48">
              <w:rPr>
                <w:rFonts w:ascii="Times New Roman" w:hAnsi="Times New Roman"/>
                <w:sz w:val="24"/>
              </w:rPr>
              <w:t>ella parte tre, titolo IV, capi </w:t>
            </w:r>
            <w:r>
              <w:rPr>
                <w:rFonts w:ascii="Times New Roman" w:hAnsi="Times New Roman"/>
                <w:sz w:val="24"/>
              </w:rPr>
              <w:t>2 e 5, del CRR, segnalare la somma dei seguenti elementi:</w:t>
            </w:r>
          </w:p>
          <w:p w:rsidR="00BD5485" w:rsidRPr="00661595" w:rsidRDefault="00125707" w:rsidP="007F0EBF">
            <w:pPr>
              <w:suppressAutoHyphens/>
              <w:autoSpaceDE w:val="0"/>
              <w:autoSpaceDN w:val="0"/>
              <w:adjustRightInd w:val="0"/>
              <w:ind w:left="357" w:hanging="357"/>
              <w:contextualSpacing/>
              <w:rPr>
                <w:rFonts w:ascii="Times New Roman" w:hAnsi="Times New Roman"/>
                <w:sz w:val="24"/>
              </w:rPr>
            </w:pPr>
            <w:r>
              <w:rPr>
                <w:rFonts w:ascii="Calibri" w:hAnsi="Calibri"/>
                <w:sz w:val="24"/>
              </w:rPr>
              <w:t>-</w:t>
            </w:r>
            <w:r>
              <w:tab/>
            </w:r>
            <w:r>
              <w:rPr>
                <w:rFonts w:ascii="Times New Roman" w:hAnsi="Times New Roman"/>
                <w:sz w:val="24"/>
              </w:rPr>
              <w:t>il fair value (valore equo) delle posizioni non in derivati che rappresentano esposizioni creditizie rilevanti di cui all</w:t>
            </w:r>
            <w:r w:rsidR="000878EC">
              <w:rPr>
                <w:rFonts w:ascii="Times New Roman" w:hAnsi="Times New Roman"/>
                <w:sz w:val="24"/>
              </w:rPr>
              <w:t>'</w:t>
            </w:r>
            <w:r>
              <w:rPr>
                <w:rFonts w:ascii="Times New Roman" w:hAnsi="Times New Roman"/>
                <w:sz w:val="24"/>
              </w:rPr>
              <w:t>articolo 140, paragrafo 4, lettera b), della CRD determinate conformemente all</w:t>
            </w:r>
            <w:r w:rsidR="000878EC">
              <w:rPr>
                <w:rFonts w:ascii="Times New Roman" w:hAnsi="Times New Roman"/>
                <w:sz w:val="24"/>
              </w:rPr>
              <w:t>'</w:t>
            </w:r>
            <w:r>
              <w:rPr>
                <w:rFonts w:ascii="Times New Roman" w:hAnsi="Times New Roman"/>
                <w:sz w:val="24"/>
              </w:rPr>
              <w:t>articolo 104 del CRR;</w:t>
            </w:r>
          </w:p>
          <w:p w:rsidR="00BD5485" w:rsidRPr="00661595" w:rsidRDefault="00125707" w:rsidP="007F0EBF">
            <w:pPr>
              <w:suppressAutoHyphens/>
              <w:autoSpaceDE w:val="0"/>
              <w:autoSpaceDN w:val="0"/>
              <w:adjustRightInd w:val="0"/>
              <w:ind w:left="357" w:hanging="357"/>
              <w:contextualSpacing/>
              <w:rPr>
                <w:rFonts w:ascii="Times New Roman" w:hAnsi="Times New Roman"/>
                <w:b/>
                <w:bCs/>
                <w:sz w:val="24"/>
                <w:u w:val="single"/>
              </w:rPr>
            </w:pPr>
            <w:r>
              <w:rPr>
                <w:rFonts w:ascii="Calibri" w:hAnsi="Calibri"/>
                <w:bCs/>
                <w:sz w:val="24"/>
              </w:rPr>
              <w:t>-</w:t>
            </w:r>
            <w:r>
              <w:tab/>
            </w:r>
            <w:r>
              <w:rPr>
                <w:rFonts w:ascii="Times New Roman" w:hAnsi="Times New Roman"/>
                <w:sz w:val="24"/>
              </w:rPr>
              <w:t>il valore nozionale dei derivati che rappresentano esposizioni creditizie rilevanti di cui all</w:t>
            </w:r>
            <w:r w:rsidR="000878EC">
              <w:rPr>
                <w:rFonts w:ascii="Times New Roman" w:hAnsi="Times New Roman"/>
                <w:sz w:val="24"/>
              </w:rPr>
              <w:t>'</w:t>
            </w:r>
            <w:r>
              <w:rPr>
                <w:rFonts w:ascii="Times New Roman" w:hAnsi="Times New Roman"/>
                <w:sz w:val="24"/>
              </w:rPr>
              <w:t>articolo 140, paragrafo 4, lettera b), della CRD.</w:t>
            </w:r>
          </w:p>
        </w:tc>
      </w:tr>
      <w:tr w:rsidR="00BD5485" w:rsidRPr="00661595" w:rsidTr="00672D2A">
        <w:tc>
          <w:tcPr>
            <w:tcW w:w="1697" w:type="dxa"/>
          </w:tcPr>
          <w:p w:rsidR="00BD5485" w:rsidRPr="00661595" w:rsidRDefault="008B6B86" w:rsidP="008B6B86">
            <w:pPr>
              <w:rPr>
                <w:rFonts w:ascii="Times New Roman" w:hAnsi="Times New Roman"/>
                <w:sz w:val="24"/>
              </w:rPr>
            </w:pPr>
            <w:r>
              <w:rPr>
                <w:rFonts w:ascii="Times New Roman" w:hAnsi="Times New Roman"/>
                <w:sz w:val="24"/>
              </w:rPr>
              <w:t>0055</w:t>
            </w:r>
          </w:p>
        </w:tc>
        <w:tc>
          <w:tcPr>
            <w:tcW w:w="8131" w:type="dxa"/>
          </w:tcPr>
          <w:p w:rsidR="00BD5485" w:rsidRPr="00661595" w:rsidRDefault="00BD5485" w:rsidP="007F0EBF">
            <w:pPr>
              <w:suppressAutoHyphens/>
              <w:rPr>
                <w:rFonts w:ascii="Times New Roman" w:hAnsi="Times New Roman"/>
                <w:b/>
                <w:bCs/>
                <w:sz w:val="24"/>
                <w:u w:val="single"/>
              </w:rPr>
            </w:pPr>
            <w:r>
              <w:rPr>
                <w:rFonts w:ascii="Times New Roman" w:hAnsi="Times New Roman"/>
                <w:b/>
                <w:bCs/>
                <w:sz w:val="24"/>
                <w:u w:val="single"/>
              </w:rPr>
              <w:t>Esposizioni creditizie rilevanti — Posizioni verso la cartolarizzazione nel portafoglio bancario</w:t>
            </w:r>
          </w:p>
          <w:p w:rsidR="00BD5485" w:rsidRPr="00661595" w:rsidRDefault="00C44421" w:rsidP="007F0EBF">
            <w:pPr>
              <w:suppressAutoHyphens/>
              <w:rPr>
                <w:rFonts w:ascii="Times New Roman" w:hAnsi="Times New Roman"/>
                <w:sz w:val="24"/>
              </w:rPr>
            </w:pPr>
            <w:r>
              <w:rPr>
                <w:rFonts w:ascii="Times New Roman" w:hAnsi="Times New Roman"/>
                <w:sz w:val="24"/>
              </w:rPr>
              <w:t>Valore dell</w:t>
            </w:r>
            <w:r w:rsidR="000878EC">
              <w:rPr>
                <w:rFonts w:ascii="Times New Roman" w:hAnsi="Times New Roman"/>
                <w:sz w:val="24"/>
              </w:rPr>
              <w:t>'</w:t>
            </w:r>
            <w:r>
              <w:rPr>
                <w:rFonts w:ascii="Times New Roman" w:hAnsi="Times New Roman"/>
                <w:sz w:val="24"/>
              </w:rPr>
              <w:t>esposizione calcolato conformemente all</w:t>
            </w:r>
            <w:r w:rsidR="000878EC">
              <w:rPr>
                <w:rFonts w:ascii="Times New Roman" w:hAnsi="Times New Roman"/>
                <w:sz w:val="24"/>
              </w:rPr>
              <w:t>'</w:t>
            </w:r>
            <w:r>
              <w:rPr>
                <w:rFonts w:ascii="Times New Roman" w:hAnsi="Times New Roman"/>
                <w:sz w:val="24"/>
              </w:rPr>
              <w:t>articolo 248 del CRR per le esposizioni creditizie rilevanti di cui all</w:t>
            </w:r>
            <w:r w:rsidR="000878EC">
              <w:rPr>
                <w:rFonts w:ascii="Times New Roman" w:hAnsi="Times New Roman"/>
                <w:sz w:val="24"/>
              </w:rPr>
              <w:t>'</w:t>
            </w:r>
            <w:r>
              <w:rPr>
                <w:rFonts w:ascii="Times New Roman" w:hAnsi="Times New Roman"/>
                <w:sz w:val="24"/>
              </w:rPr>
              <w:t>articolo 140, paragrafo 4, lettera c), della CRD.</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0070-0110</w:t>
            </w:r>
          </w:p>
        </w:tc>
        <w:tc>
          <w:tcPr>
            <w:tcW w:w="8131" w:type="dxa"/>
          </w:tcPr>
          <w:p w:rsidR="00BD5485" w:rsidRPr="00661595" w:rsidRDefault="00BD5485" w:rsidP="007F0EBF">
            <w:pPr>
              <w:suppressAutoHyphens/>
              <w:rPr>
                <w:rFonts w:ascii="Times New Roman" w:hAnsi="Times New Roman"/>
                <w:b/>
                <w:bCs/>
                <w:sz w:val="24"/>
                <w:u w:val="single"/>
              </w:rPr>
            </w:pPr>
            <w:r>
              <w:rPr>
                <w:rFonts w:ascii="Times New Roman" w:hAnsi="Times New Roman"/>
                <w:b/>
                <w:bCs/>
                <w:sz w:val="24"/>
                <w:u w:val="single"/>
              </w:rPr>
              <w:t>Requisiti di fondi propri e fattori di ponderazione</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0070</w:t>
            </w:r>
          </w:p>
        </w:tc>
        <w:tc>
          <w:tcPr>
            <w:tcW w:w="8131" w:type="dxa"/>
          </w:tcPr>
          <w:p w:rsidR="00BD5485" w:rsidRPr="00661595" w:rsidRDefault="00BD5485" w:rsidP="007F0EBF">
            <w:pPr>
              <w:suppressAutoHyphens/>
              <w:rPr>
                <w:rFonts w:ascii="Times New Roman" w:hAnsi="Times New Roman"/>
                <w:b/>
                <w:bCs/>
                <w:sz w:val="24"/>
                <w:u w:val="single"/>
              </w:rPr>
            </w:pPr>
            <w:r>
              <w:rPr>
                <w:rFonts w:ascii="Times New Roman" w:hAnsi="Times New Roman"/>
                <w:b/>
                <w:bCs/>
                <w:sz w:val="24"/>
                <w:u w:val="single"/>
              </w:rPr>
              <w:t>Requisiti di fondi propri totali per CCB</w:t>
            </w:r>
          </w:p>
          <w:p w:rsidR="00BD5485" w:rsidRPr="00661595" w:rsidRDefault="00BD5485" w:rsidP="007F0EBF">
            <w:pPr>
              <w:suppressAutoHyphens/>
              <w:rPr>
                <w:rFonts w:ascii="Times New Roman" w:hAnsi="Times New Roman"/>
                <w:b/>
                <w:bCs/>
                <w:sz w:val="24"/>
                <w:u w:val="single"/>
              </w:rPr>
            </w:pPr>
            <w:r>
              <w:rPr>
                <w:rFonts w:ascii="Times New Roman" w:hAnsi="Times New Roman"/>
                <w:sz w:val="24"/>
              </w:rPr>
              <w:t>La somma delle righe 0080, 0090 e 0100.</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0080</w:t>
            </w:r>
          </w:p>
        </w:tc>
        <w:tc>
          <w:tcPr>
            <w:tcW w:w="8131" w:type="dxa"/>
          </w:tcPr>
          <w:p w:rsidR="00BD5485" w:rsidRPr="00661595" w:rsidRDefault="00C211DC" w:rsidP="007F0EBF">
            <w:pPr>
              <w:suppressAutoHyphens/>
              <w:rPr>
                <w:rFonts w:ascii="Times New Roman" w:hAnsi="Times New Roman"/>
                <w:b/>
                <w:bCs/>
                <w:sz w:val="24"/>
                <w:u w:val="single"/>
              </w:rPr>
            </w:pPr>
            <w:r>
              <w:rPr>
                <w:rFonts w:ascii="Times New Roman" w:hAnsi="Times New Roman"/>
                <w:b/>
                <w:sz w:val="24"/>
                <w:u w:val="single"/>
              </w:rPr>
              <w:t xml:space="preserve">Requisiti di fondi propri </w:t>
            </w:r>
            <w:r>
              <w:rPr>
                <w:rFonts w:ascii="Times New Roman" w:hAnsi="Times New Roman"/>
                <w:b/>
                <w:bCs/>
                <w:sz w:val="24"/>
                <w:u w:val="single"/>
              </w:rPr>
              <w:t xml:space="preserve">per le esposizioni creditizie rilevanti — Rischio di credito </w:t>
            </w:r>
          </w:p>
          <w:p w:rsidR="00BD5485" w:rsidRPr="00661595" w:rsidRDefault="00BD5485" w:rsidP="007F0EBF">
            <w:pPr>
              <w:suppressAutoHyphens/>
              <w:autoSpaceDE w:val="0"/>
              <w:autoSpaceDN w:val="0"/>
              <w:adjustRightInd w:val="0"/>
              <w:rPr>
                <w:rFonts w:ascii="Times New Roman" w:hAnsi="Times New Roman"/>
                <w:sz w:val="24"/>
              </w:rPr>
            </w:pPr>
            <w:r>
              <w:rPr>
                <w:rFonts w:ascii="Times New Roman" w:hAnsi="Times New Roman"/>
                <w:sz w:val="24"/>
              </w:rPr>
              <w:t>Requisiti di fondi propri calcolati conformemente alla parte tre, titolo II, capi da 1 a 4 e capo 6, del CRR per le esposizioni creditizie rilevanti di cui all</w:t>
            </w:r>
            <w:r w:rsidR="000878EC">
              <w:rPr>
                <w:rFonts w:ascii="Times New Roman" w:hAnsi="Times New Roman"/>
                <w:sz w:val="24"/>
              </w:rPr>
              <w:t>'</w:t>
            </w:r>
            <w:r>
              <w:rPr>
                <w:rFonts w:ascii="Times New Roman" w:hAnsi="Times New Roman"/>
                <w:sz w:val="24"/>
              </w:rPr>
              <w:t>articolo 140, paragrafo 4, lettera a), della CRD nel paese in questione.</w:t>
            </w:r>
          </w:p>
          <w:p w:rsidR="00BD5485" w:rsidRPr="00661595" w:rsidRDefault="00BD5485" w:rsidP="007F0EBF">
            <w:pPr>
              <w:suppressAutoHyphens/>
              <w:autoSpaceDE w:val="0"/>
              <w:autoSpaceDN w:val="0"/>
              <w:adjustRightInd w:val="0"/>
              <w:rPr>
                <w:rFonts w:ascii="Times New Roman" w:hAnsi="Times New Roman"/>
                <w:sz w:val="24"/>
              </w:rPr>
            </w:pPr>
            <w:r>
              <w:rPr>
                <w:rFonts w:ascii="Times New Roman" w:hAnsi="Times New Roman"/>
                <w:sz w:val="24"/>
              </w:rPr>
              <w:t>I requisiti di fondi propri per le posizioni verso la cartolarizzazione nel portafoglio bancario non sono indicati in questa riga bensì nella riga 0100.</w:t>
            </w:r>
          </w:p>
          <w:p w:rsidR="00BD5485" w:rsidRPr="00661595" w:rsidRDefault="00BD5485" w:rsidP="007F0EBF">
            <w:pPr>
              <w:suppressAutoHyphens/>
              <w:rPr>
                <w:rFonts w:ascii="Times New Roman" w:hAnsi="Times New Roman"/>
                <w:b/>
                <w:bCs/>
                <w:sz w:val="24"/>
                <w:u w:val="single"/>
              </w:rPr>
            </w:pPr>
            <w:r>
              <w:rPr>
                <w:rFonts w:ascii="Times New Roman" w:hAnsi="Times New Roman"/>
                <w:sz w:val="24"/>
              </w:rPr>
              <w:t>I requisiti di fondi propri sono pari all</w:t>
            </w:r>
            <w:r w:rsidR="000878EC">
              <w:rPr>
                <w:rFonts w:ascii="Times New Roman" w:hAnsi="Times New Roman"/>
                <w:sz w:val="24"/>
              </w:rPr>
              <w:t>'</w:t>
            </w:r>
            <w:r>
              <w:rPr>
                <w:rFonts w:ascii="Times New Roman" w:hAnsi="Times New Roman"/>
                <w:sz w:val="24"/>
              </w:rPr>
              <w:t>8 % dell</w:t>
            </w:r>
            <w:r w:rsidR="000878EC">
              <w:rPr>
                <w:rFonts w:ascii="Times New Roman" w:hAnsi="Times New Roman"/>
                <w:sz w:val="24"/>
              </w:rPr>
              <w:t>'</w:t>
            </w:r>
            <w:r>
              <w:rPr>
                <w:rFonts w:ascii="Times New Roman" w:hAnsi="Times New Roman"/>
                <w:sz w:val="24"/>
              </w:rPr>
              <w:t>importo dell</w:t>
            </w:r>
            <w:r w:rsidR="000878EC">
              <w:rPr>
                <w:rFonts w:ascii="Times New Roman" w:hAnsi="Times New Roman"/>
                <w:sz w:val="24"/>
              </w:rPr>
              <w:t>'</w:t>
            </w:r>
            <w:r>
              <w:rPr>
                <w:rFonts w:ascii="Times New Roman" w:hAnsi="Times New Roman"/>
                <w:sz w:val="24"/>
              </w:rPr>
              <w:t>esposizione ponderato per il rischio determinato ai sensi della parte tre, titolo II, capi da 1 a 4 e capo 6, del CRR.</w:t>
            </w:r>
          </w:p>
        </w:tc>
      </w:tr>
      <w:tr w:rsidR="00BD5485" w:rsidRPr="00661595" w:rsidTr="00672D2A">
        <w:tc>
          <w:tcPr>
            <w:tcW w:w="1697" w:type="dxa"/>
          </w:tcPr>
          <w:p w:rsidR="00BD5485" w:rsidRPr="00661595" w:rsidRDefault="00BD5485" w:rsidP="00133107">
            <w:pPr>
              <w:rPr>
                <w:rFonts w:ascii="Times New Roman" w:hAnsi="Times New Roman"/>
                <w:sz w:val="24"/>
              </w:rPr>
            </w:pPr>
            <w:r>
              <w:rPr>
                <w:rFonts w:ascii="Times New Roman" w:hAnsi="Times New Roman"/>
                <w:sz w:val="24"/>
              </w:rPr>
              <w:t>0090</w:t>
            </w:r>
          </w:p>
        </w:tc>
        <w:tc>
          <w:tcPr>
            <w:tcW w:w="8131" w:type="dxa"/>
          </w:tcPr>
          <w:p w:rsidR="00BD5485" w:rsidRPr="00661595" w:rsidRDefault="00C211DC" w:rsidP="007F0EBF">
            <w:pPr>
              <w:suppressAutoHyphens/>
              <w:rPr>
                <w:rFonts w:ascii="Times New Roman" w:hAnsi="Times New Roman"/>
                <w:b/>
                <w:bCs/>
                <w:sz w:val="24"/>
                <w:u w:val="single"/>
              </w:rPr>
            </w:pPr>
            <w:r>
              <w:rPr>
                <w:rFonts w:ascii="Times New Roman" w:hAnsi="Times New Roman"/>
                <w:b/>
                <w:sz w:val="24"/>
                <w:u w:val="single"/>
              </w:rPr>
              <w:t xml:space="preserve">Requisiti di fondi propri </w:t>
            </w:r>
            <w:r>
              <w:rPr>
                <w:rFonts w:ascii="Times New Roman" w:hAnsi="Times New Roman"/>
                <w:b/>
                <w:bCs/>
                <w:sz w:val="24"/>
                <w:u w:val="single"/>
              </w:rPr>
              <w:t xml:space="preserve">per le esposizioni creditizie rilevanti — Rischio di mercato </w:t>
            </w:r>
          </w:p>
          <w:p w:rsidR="00BD5485" w:rsidRPr="00661595" w:rsidRDefault="00BD5485" w:rsidP="007F0EBF">
            <w:pPr>
              <w:suppressAutoHyphens/>
              <w:autoSpaceDE w:val="0"/>
              <w:autoSpaceDN w:val="0"/>
              <w:adjustRightInd w:val="0"/>
              <w:rPr>
                <w:rFonts w:ascii="Times New Roman" w:hAnsi="Times New Roman"/>
                <w:sz w:val="24"/>
              </w:rPr>
            </w:pPr>
            <w:r>
              <w:rPr>
                <w:rFonts w:ascii="Times New Roman" w:hAnsi="Times New Roman"/>
                <w:sz w:val="24"/>
              </w:rPr>
              <w:t>Requisiti di fondi propri calcolati conformemente alla parte tre, titolo IV, capo 2, del CRR per il rischio specifico o conformemente alla parte tre, titolo IV, capo 5, del CRR per il rischio incrementale di default e di migrazione per le esposizioni creditizie rilevanti di cui all</w:t>
            </w:r>
            <w:r w:rsidR="000878EC">
              <w:rPr>
                <w:rFonts w:ascii="Times New Roman" w:hAnsi="Times New Roman"/>
                <w:sz w:val="24"/>
              </w:rPr>
              <w:t>'</w:t>
            </w:r>
            <w:r>
              <w:rPr>
                <w:rFonts w:ascii="Times New Roman" w:hAnsi="Times New Roman"/>
                <w:sz w:val="24"/>
              </w:rPr>
              <w:t xml:space="preserve">articolo 140, paragrafo 4, lettera b), della CRD, nel paese in questione. </w:t>
            </w:r>
          </w:p>
          <w:p w:rsidR="00BD5485" w:rsidRPr="00661595" w:rsidRDefault="00BD5485" w:rsidP="007F0EBF">
            <w:pPr>
              <w:suppressAutoHyphens/>
              <w:autoSpaceDE w:val="0"/>
              <w:autoSpaceDN w:val="0"/>
              <w:adjustRightInd w:val="0"/>
              <w:rPr>
                <w:rFonts w:ascii="Times New Roman" w:hAnsi="Times New Roman"/>
                <w:b/>
                <w:bCs/>
                <w:sz w:val="24"/>
                <w:u w:val="single"/>
              </w:rPr>
            </w:pPr>
            <w:r>
              <w:rPr>
                <w:rFonts w:ascii="Times New Roman" w:hAnsi="Times New Roman"/>
                <w:sz w:val="24"/>
              </w:rPr>
              <w:t>I requisiti di fondi propri per le esposizioni creditizie rilevanti nel quadro del rischio di mercato includono, tra l</w:t>
            </w:r>
            <w:r w:rsidR="000878EC">
              <w:rPr>
                <w:rFonts w:ascii="Times New Roman" w:hAnsi="Times New Roman"/>
                <w:sz w:val="24"/>
              </w:rPr>
              <w:t>'</w:t>
            </w:r>
            <w:r>
              <w:rPr>
                <w:rFonts w:ascii="Times New Roman" w:hAnsi="Times New Roman"/>
                <w:sz w:val="24"/>
              </w:rPr>
              <w:t>altro, i requisiti di fondi propri per le posizioni verso la cartolarizzazione calcolati ai sensi della parte tre, titolo IV, capo 2, del CRR e i requisiti di fondi propri per le esposizioni verso organismi di investimento collettivo determinati conformemente all</w:t>
            </w:r>
            <w:r w:rsidR="000878EC">
              <w:rPr>
                <w:rFonts w:ascii="Times New Roman" w:hAnsi="Times New Roman"/>
                <w:sz w:val="24"/>
              </w:rPr>
              <w:t>'</w:t>
            </w:r>
            <w:r>
              <w:rPr>
                <w:rFonts w:ascii="Times New Roman" w:hAnsi="Times New Roman"/>
                <w:sz w:val="24"/>
              </w:rPr>
              <w:t>articolo 348 del CRR.</w:t>
            </w:r>
          </w:p>
        </w:tc>
      </w:tr>
      <w:tr w:rsidR="00BD5485" w:rsidRPr="00661595" w:rsidTr="00672D2A">
        <w:tc>
          <w:tcPr>
            <w:tcW w:w="1697" w:type="dxa"/>
          </w:tcPr>
          <w:p w:rsidR="00BD5485" w:rsidRPr="00661595" w:rsidRDefault="006E0E76" w:rsidP="00133107">
            <w:pPr>
              <w:rPr>
                <w:rFonts w:ascii="Times New Roman" w:hAnsi="Times New Roman"/>
                <w:sz w:val="24"/>
              </w:rPr>
            </w:pPr>
            <w:r>
              <w:rPr>
                <w:rFonts w:ascii="Times New Roman" w:hAnsi="Times New Roman"/>
                <w:sz w:val="24"/>
              </w:rPr>
              <w:t>0100</w:t>
            </w:r>
          </w:p>
        </w:tc>
        <w:tc>
          <w:tcPr>
            <w:tcW w:w="8131" w:type="dxa"/>
          </w:tcPr>
          <w:p w:rsidR="00BD5485" w:rsidRPr="00661595" w:rsidRDefault="00C211DC" w:rsidP="007F0EBF">
            <w:pPr>
              <w:suppressAutoHyphens/>
              <w:rPr>
                <w:rFonts w:ascii="Times New Roman" w:hAnsi="Times New Roman"/>
                <w:b/>
                <w:bCs/>
                <w:sz w:val="24"/>
                <w:u w:val="single"/>
              </w:rPr>
            </w:pPr>
            <w:r>
              <w:rPr>
                <w:rFonts w:ascii="Times New Roman" w:hAnsi="Times New Roman"/>
                <w:b/>
                <w:sz w:val="24"/>
                <w:u w:val="single"/>
              </w:rPr>
              <w:t xml:space="preserve">Requisiti di fondi propri </w:t>
            </w:r>
            <w:r>
              <w:rPr>
                <w:rFonts w:ascii="Times New Roman" w:hAnsi="Times New Roman"/>
                <w:b/>
                <w:bCs/>
                <w:sz w:val="24"/>
                <w:u w:val="single"/>
              </w:rPr>
              <w:t>per le esposizioni creditizie rilevanti — Posizioni verso la cartolarizzazione nel portafoglio bancario</w:t>
            </w:r>
          </w:p>
          <w:p w:rsidR="00BD5485" w:rsidRPr="00661595" w:rsidRDefault="00BD5485" w:rsidP="007F0EBF">
            <w:pPr>
              <w:suppressAutoHyphens/>
              <w:autoSpaceDE w:val="0"/>
              <w:autoSpaceDN w:val="0"/>
              <w:adjustRightInd w:val="0"/>
              <w:rPr>
                <w:rFonts w:ascii="Times New Roman" w:hAnsi="Times New Roman"/>
                <w:sz w:val="24"/>
              </w:rPr>
            </w:pPr>
            <w:r>
              <w:rPr>
                <w:rFonts w:ascii="Times New Roman" w:hAnsi="Times New Roman"/>
                <w:sz w:val="24"/>
              </w:rPr>
              <w:t>Requisiti di fondi propri calcolati conformemente alla parte tre, titolo II, capo 5, del CRR per le esposizioni creditizie rilevanti di cui all</w:t>
            </w:r>
            <w:r w:rsidR="000878EC">
              <w:rPr>
                <w:rFonts w:ascii="Times New Roman" w:hAnsi="Times New Roman"/>
                <w:sz w:val="24"/>
              </w:rPr>
              <w:t>'</w:t>
            </w:r>
            <w:r>
              <w:rPr>
                <w:rFonts w:ascii="Times New Roman" w:hAnsi="Times New Roman"/>
                <w:sz w:val="24"/>
              </w:rPr>
              <w:t>articolo 140, paragrafo 4, lettera c), della CRD nel paese in questione.</w:t>
            </w:r>
          </w:p>
          <w:p w:rsidR="00BD5485" w:rsidRPr="00661595" w:rsidRDefault="00BD5485" w:rsidP="007F0EBF">
            <w:pPr>
              <w:suppressAutoHyphens/>
              <w:rPr>
                <w:rFonts w:ascii="Times New Roman" w:hAnsi="Times New Roman"/>
                <w:b/>
                <w:bCs/>
                <w:sz w:val="24"/>
                <w:u w:val="single"/>
              </w:rPr>
            </w:pPr>
            <w:r>
              <w:rPr>
                <w:rFonts w:ascii="Times New Roman" w:hAnsi="Times New Roman"/>
                <w:sz w:val="24"/>
              </w:rPr>
              <w:t>I requisiti di fondi propri sono pari all</w:t>
            </w:r>
            <w:r w:rsidR="000878EC">
              <w:rPr>
                <w:rFonts w:ascii="Times New Roman" w:hAnsi="Times New Roman"/>
                <w:sz w:val="24"/>
              </w:rPr>
              <w:t>'</w:t>
            </w:r>
            <w:r>
              <w:rPr>
                <w:rFonts w:ascii="Times New Roman" w:hAnsi="Times New Roman"/>
                <w:sz w:val="24"/>
              </w:rPr>
              <w:t>8 % dell</w:t>
            </w:r>
            <w:r w:rsidR="000878EC">
              <w:rPr>
                <w:rFonts w:ascii="Times New Roman" w:hAnsi="Times New Roman"/>
                <w:sz w:val="24"/>
              </w:rPr>
              <w:t>'</w:t>
            </w:r>
            <w:r>
              <w:rPr>
                <w:rFonts w:ascii="Times New Roman" w:hAnsi="Times New Roman"/>
                <w:sz w:val="24"/>
              </w:rPr>
              <w:t>importo dell</w:t>
            </w:r>
            <w:r w:rsidR="000878EC">
              <w:rPr>
                <w:rFonts w:ascii="Times New Roman" w:hAnsi="Times New Roman"/>
                <w:sz w:val="24"/>
              </w:rPr>
              <w:t>'</w:t>
            </w:r>
            <w:r>
              <w:rPr>
                <w:rFonts w:ascii="Times New Roman" w:hAnsi="Times New Roman"/>
                <w:sz w:val="24"/>
              </w:rPr>
              <w:t>esposizione ponderato per il rischio calcolato conformemente alla parte tre, titolo II, capo 5, del CRR.</w:t>
            </w:r>
          </w:p>
        </w:tc>
      </w:tr>
      <w:tr w:rsidR="00BD5485" w:rsidRPr="00661595" w:rsidTr="00672D2A">
        <w:tc>
          <w:tcPr>
            <w:tcW w:w="1697" w:type="dxa"/>
          </w:tcPr>
          <w:p w:rsidR="00BD5485" w:rsidRPr="00661595" w:rsidRDefault="006E0E76" w:rsidP="00133107">
            <w:pPr>
              <w:rPr>
                <w:rFonts w:ascii="Times New Roman" w:hAnsi="Times New Roman"/>
                <w:sz w:val="24"/>
              </w:rPr>
            </w:pPr>
            <w:r>
              <w:rPr>
                <w:rFonts w:ascii="Times New Roman" w:hAnsi="Times New Roman"/>
                <w:sz w:val="24"/>
              </w:rPr>
              <w:t>0110</w:t>
            </w:r>
          </w:p>
        </w:tc>
        <w:tc>
          <w:tcPr>
            <w:tcW w:w="8131" w:type="dxa"/>
          </w:tcPr>
          <w:p w:rsidR="00966663" w:rsidRPr="00661595" w:rsidRDefault="00966663" w:rsidP="007F0EBF">
            <w:pPr>
              <w:suppressAutoHyphens/>
              <w:rPr>
                <w:rFonts w:ascii="Times New Roman" w:hAnsi="Times New Roman"/>
                <w:b/>
                <w:bCs/>
                <w:sz w:val="24"/>
                <w:u w:val="single"/>
              </w:rPr>
            </w:pPr>
            <w:r>
              <w:rPr>
                <w:rFonts w:ascii="Times New Roman" w:hAnsi="Times New Roman"/>
                <w:b/>
                <w:bCs/>
                <w:sz w:val="24"/>
                <w:u w:val="single"/>
              </w:rPr>
              <w:t>Fattori di ponderazione dei requisiti di fondi propri</w:t>
            </w:r>
          </w:p>
          <w:p w:rsidR="00966663" w:rsidRPr="00661595" w:rsidRDefault="00966663" w:rsidP="007F0EBF">
            <w:pPr>
              <w:suppressAutoHyphens/>
              <w:rPr>
                <w:rFonts w:ascii="Times New Roman" w:hAnsi="Times New Roman"/>
                <w:sz w:val="24"/>
              </w:rPr>
            </w:pPr>
            <w:r>
              <w:rPr>
                <w:rFonts w:ascii="Times New Roman" w:hAnsi="Times New Roman"/>
                <w:sz w:val="24"/>
              </w:rPr>
              <w:t>Il fattore di ponderazione applicato al coefficiente anticiclico in ogni paese è calcolato come un rapporto tra requisiti di fondi propri, determinato come segue:</w:t>
            </w:r>
          </w:p>
          <w:p w:rsidR="00966663" w:rsidRPr="00661595" w:rsidRDefault="00966663" w:rsidP="007F0EBF">
            <w:pPr>
              <w:suppressAutoHyphens/>
              <w:rPr>
                <w:rFonts w:ascii="Times New Roman" w:hAnsi="Times New Roman"/>
                <w:sz w:val="24"/>
              </w:rPr>
            </w:pPr>
            <w:r>
              <w:rPr>
                <w:rFonts w:ascii="Times New Roman" w:hAnsi="Times New Roman"/>
                <w:sz w:val="24"/>
              </w:rPr>
              <w:t>1.</w:t>
            </w:r>
            <w:r>
              <w:tab/>
            </w:r>
            <w:r>
              <w:rPr>
                <w:rFonts w:ascii="Times New Roman" w:hAnsi="Times New Roman"/>
                <w:sz w:val="24"/>
              </w:rPr>
              <w:t xml:space="preserve">numeratore: requisiti di fondi propri totali che riguardano le esposizioni creditizie rilevanti nel paese in questione [r0070; c0010; foglio del paese]; </w:t>
            </w:r>
          </w:p>
          <w:p w:rsidR="00BD5485" w:rsidRPr="00661595" w:rsidRDefault="00966663" w:rsidP="007F0EBF">
            <w:pPr>
              <w:suppressAutoHyphens/>
              <w:rPr>
                <w:rFonts w:ascii="Times New Roman" w:hAnsi="Times New Roman"/>
                <w:b/>
                <w:bCs/>
                <w:sz w:val="24"/>
                <w:u w:val="single"/>
              </w:rPr>
            </w:pPr>
            <w:r>
              <w:rPr>
                <w:rFonts w:ascii="Times New Roman" w:hAnsi="Times New Roman"/>
                <w:sz w:val="24"/>
              </w:rPr>
              <w:t>2.</w:t>
            </w:r>
            <w:r>
              <w:tab/>
            </w:r>
            <w:r>
              <w:rPr>
                <w:rFonts w:ascii="Times New Roman" w:hAnsi="Times New Roman"/>
                <w:sz w:val="24"/>
              </w:rPr>
              <w:t>denominatore: requisiti di fondi propri totali che riguardano tutte le esposizioni creditizie rilevanti per il calcolo della riserva di capitale anticiclica di cui all</w:t>
            </w:r>
            <w:r w:rsidR="000878EC">
              <w:rPr>
                <w:rFonts w:ascii="Times New Roman" w:hAnsi="Times New Roman"/>
                <w:sz w:val="24"/>
              </w:rPr>
              <w:t>'</w:t>
            </w:r>
            <w:r>
              <w:rPr>
                <w:rFonts w:ascii="Times New Roman" w:hAnsi="Times New Roman"/>
                <w:sz w:val="24"/>
              </w:rPr>
              <w:t xml:space="preserve">articolo 140, paragrafo 4, della CRD [r0070; c0010; </w:t>
            </w:r>
            <w:r w:rsidR="000878EC">
              <w:rPr>
                <w:rFonts w:ascii="Times New Roman" w:hAnsi="Times New Roman"/>
                <w:sz w:val="24"/>
              </w:rPr>
              <w:t>"</w:t>
            </w:r>
            <w:r>
              <w:rPr>
                <w:rFonts w:ascii="Times New Roman" w:hAnsi="Times New Roman"/>
                <w:sz w:val="24"/>
              </w:rPr>
              <w:t>Totale</w:t>
            </w:r>
            <w:r w:rsidR="000878EC">
              <w:rPr>
                <w:rFonts w:ascii="Times New Roman" w:hAnsi="Times New Roman"/>
                <w:sz w:val="24"/>
              </w:rPr>
              <w:t>"</w:t>
            </w:r>
            <w:r>
              <w:rPr>
                <w:rFonts w:ascii="Times New Roman" w:hAnsi="Times New Roman"/>
                <w:sz w:val="24"/>
              </w:rPr>
              <w:t>].</w:t>
            </w:r>
          </w:p>
          <w:p w:rsidR="003B00F4" w:rsidRPr="00661595" w:rsidRDefault="003B00F4" w:rsidP="007F0EBF">
            <w:pPr>
              <w:suppressAutoHyphens/>
              <w:rPr>
                <w:rFonts w:ascii="Times New Roman" w:hAnsi="Times New Roman"/>
                <w:b/>
                <w:bCs/>
                <w:sz w:val="24"/>
                <w:u w:val="single"/>
              </w:rPr>
            </w:pPr>
            <w:r>
              <w:rPr>
                <w:rFonts w:ascii="Times New Roman" w:hAnsi="Times New Roman"/>
                <w:sz w:val="24"/>
              </w:rPr>
              <w:t xml:space="preserve">Le informazioni sui fattori di ponderazione dei requisiti di fondi propri non sono segnalate per il </w:t>
            </w:r>
            <w:r w:rsidR="000878EC">
              <w:rPr>
                <w:rFonts w:ascii="Times New Roman" w:hAnsi="Times New Roman"/>
                <w:sz w:val="24"/>
              </w:rPr>
              <w:t>"</w:t>
            </w:r>
            <w:r>
              <w:rPr>
                <w:rFonts w:ascii="Times New Roman" w:hAnsi="Times New Roman"/>
                <w:sz w:val="24"/>
              </w:rPr>
              <w:t>Totale</w:t>
            </w:r>
            <w:r w:rsidR="000878EC">
              <w:rPr>
                <w:rFonts w:ascii="Times New Roman" w:hAnsi="Times New Roman"/>
                <w:sz w:val="24"/>
              </w:rPr>
              <w:t>"</w:t>
            </w:r>
            <w:r>
              <w:rPr>
                <w:rFonts w:ascii="Times New Roman" w:hAnsi="Times New Roman"/>
                <w:sz w:val="24"/>
              </w:rPr>
              <w:t xml:space="preserve"> di tutti i paesi.</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0120-0140</w:t>
            </w:r>
          </w:p>
        </w:tc>
        <w:tc>
          <w:tcPr>
            <w:tcW w:w="8131" w:type="dxa"/>
          </w:tcPr>
          <w:p w:rsidR="00966663" w:rsidRPr="00661595" w:rsidRDefault="00966663" w:rsidP="007F0EBF">
            <w:pPr>
              <w:suppressAutoHyphens/>
              <w:rPr>
                <w:rFonts w:ascii="Times New Roman" w:hAnsi="Times New Roman"/>
                <w:b/>
                <w:bCs/>
                <w:sz w:val="24"/>
                <w:u w:val="single"/>
              </w:rPr>
            </w:pPr>
            <w:r>
              <w:rPr>
                <w:rFonts w:ascii="Times New Roman" w:hAnsi="Times New Roman"/>
                <w:b/>
                <w:bCs/>
                <w:sz w:val="24"/>
                <w:u w:val="single"/>
              </w:rPr>
              <w:t>Coefficienti anticiclici</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0120</w:t>
            </w:r>
          </w:p>
        </w:tc>
        <w:tc>
          <w:tcPr>
            <w:tcW w:w="8131" w:type="dxa"/>
          </w:tcPr>
          <w:p w:rsidR="00966663" w:rsidRPr="00661595" w:rsidRDefault="00966663" w:rsidP="007F0EBF">
            <w:pPr>
              <w:suppressAutoHyphens/>
              <w:rPr>
                <w:rFonts w:ascii="Times New Roman" w:hAnsi="Times New Roman"/>
                <w:b/>
                <w:bCs/>
                <w:sz w:val="24"/>
                <w:u w:val="single"/>
              </w:rPr>
            </w:pPr>
            <w:r>
              <w:rPr>
                <w:rFonts w:ascii="Times New Roman" w:hAnsi="Times New Roman"/>
                <w:b/>
                <w:bCs/>
                <w:sz w:val="24"/>
                <w:u w:val="single"/>
              </w:rPr>
              <w:t>Coefficiente anticiclico fissato dall</w:t>
            </w:r>
            <w:r w:rsidR="000878EC">
              <w:rPr>
                <w:rFonts w:ascii="Times New Roman" w:hAnsi="Times New Roman"/>
                <w:b/>
                <w:bCs/>
                <w:sz w:val="24"/>
                <w:u w:val="single"/>
              </w:rPr>
              <w:t>'</w:t>
            </w:r>
            <w:r>
              <w:rPr>
                <w:rFonts w:ascii="Times New Roman" w:hAnsi="Times New Roman"/>
                <w:b/>
                <w:bCs/>
                <w:sz w:val="24"/>
                <w:u w:val="single"/>
              </w:rPr>
              <w:t>autorità designata</w:t>
            </w:r>
          </w:p>
          <w:p w:rsidR="00966663" w:rsidRPr="00661595" w:rsidRDefault="00966663" w:rsidP="007F0EBF">
            <w:pPr>
              <w:suppressAutoHyphens/>
              <w:autoSpaceDE w:val="0"/>
              <w:autoSpaceDN w:val="0"/>
              <w:adjustRightInd w:val="0"/>
              <w:rPr>
                <w:rFonts w:ascii="Times New Roman" w:hAnsi="Times New Roman"/>
                <w:sz w:val="24"/>
              </w:rPr>
            </w:pPr>
            <w:r>
              <w:rPr>
                <w:rFonts w:ascii="Times New Roman" w:hAnsi="Times New Roman"/>
                <w:sz w:val="24"/>
              </w:rPr>
              <w:t>Coefficiente anticiclico fissato per il paese in questione dall</w:t>
            </w:r>
            <w:r w:rsidR="000878EC">
              <w:rPr>
                <w:rFonts w:ascii="Times New Roman" w:hAnsi="Times New Roman"/>
                <w:sz w:val="24"/>
              </w:rPr>
              <w:t>'</w:t>
            </w:r>
            <w:r>
              <w:rPr>
                <w:rFonts w:ascii="Times New Roman" w:hAnsi="Times New Roman"/>
                <w:sz w:val="24"/>
              </w:rPr>
              <w:t>autorità designata di detto paese conformemente agli articoli 136, 137, 139 e all</w:t>
            </w:r>
            <w:r w:rsidR="000878EC">
              <w:rPr>
                <w:rFonts w:ascii="Times New Roman" w:hAnsi="Times New Roman"/>
                <w:sz w:val="24"/>
              </w:rPr>
              <w:t>'</w:t>
            </w:r>
            <w:r>
              <w:rPr>
                <w:rFonts w:ascii="Times New Roman" w:hAnsi="Times New Roman"/>
                <w:sz w:val="24"/>
              </w:rPr>
              <w:t>articolo 140, paragrafo 2, lettere a) e c), e paragrafo 3, lettera b), della CRD.</w:t>
            </w:r>
          </w:p>
          <w:p w:rsidR="00C4425F" w:rsidRPr="00661595" w:rsidRDefault="00966663" w:rsidP="007F0EBF">
            <w:pPr>
              <w:suppressAutoHyphens/>
              <w:autoSpaceDE w:val="0"/>
              <w:autoSpaceDN w:val="0"/>
              <w:adjustRightInd w:val="0"/>
              <w:rPr>
                <w:rFonts w:ascii="Times New Roman" w:hAnsi="Times New Roman"/>
                <w:sz w:val="24"/>
              </w:rPr>
            </w:pPr>
            <w:r>
              <w:rPr>
                <w:rFonts w:ascii="Times New Roman" w:hAnsi="Times New Roman"/>
                <w:sz w:val="24"/>
              </w:rPr>
              <w:t>Se l</w:t>
            </w:r>
            <w:r w:rsidR="000878EC">
              <w:rPr>
                <w:rFonts w:ascii="Times New Roman" w:hAnsi="Times New Roman"/>
                <w:sz w:val="24"/>
              </w:rPr>
              <w:t>'</w:t>
            </w:r>
            <w:r>
              <w:rPr>
                <w:rFonts w:ascii="Times New Roman" w:hAnsi="Times New Roman"/>
                <w:sz w:val="24"/>
              </w:rPr>
              <w:t>autorità designata del paese in questione non ha fissato un coefficiente anticiclico lasciare vuota questa riga.</w:t>
            </w:r>
          </w:p>
          <w:p w:rsidR="00C4425F" w:rsidRPr="00661595" w:rsidRDefault="00966663" w:rsidP="007F0EBF">
            <w:pPr>
              <w:suppressAutoHyphens/>
              <w:autoSpaceDE w:val="0"/>
              <w:autoSpaceDN w:val="0"/>
              <w:adjustRightInd w:val="0"/>
              <w:rPr>
                <w:rFonts w:ascii="Times New Roman" w:hAnsi="Times New Roman"/>
                <w:sz w:val="24"/>
              </w:rPr>
            </w:pPr>
            <w:r>
              <w:rPr>
                <w:rFonts w:ascii="Times New Roman" w:hAnsi="Times New Roman"/>
                <w:sz w:val="24"/>
              </w:rPr>
              <w:t>I coefficienti anticiclici fissati dall</w:t>
            </w:r>
            <w:r w:rsidR="000878EC">
              <w:rPr>
                <w:rFonts w:ascii="Times New Roman" w:hAnsi="Times New Roman"/>
                <w:sz w:val="24"/>
              </w:rPr>
              <w:t>'</w:t>
            </w:r>
            <w:r>
              <w:rPr>
                <w:rFonts w:ascii="Times New Roman" w:hAnsi="Times New Roman"/>
                <w:sz w:val="24"/>
              </w:rPr>
              <w:t>autorità designata ma non ancora applicabili nel paese in questione alla data di riferimento per le segnalazioni non sono segnalati.</w:t>
            </w:r>
          </w:p>
          <w:p w:rsidR="00966663" w:rsidRPr="00661595" w:rsidRDefault="00966663" w:rsidP="007F0EBF">
            <w:pPr>
              <w:suppressAutoHyphens/>
              <w:rPr>
                <w:rFonts w:ascii="Times New Roman" w:hAnsi="Times New Roman"/>
                <w:b/>
                <w:bCs/>
                <w:sz w:val="24"/>
                <w:u w:val="single"/>
              </w:rPr>
            </w:pPr>
            <w:r>
              <w:rPr>
                <w:rFonts w:ascii="Times New Roman" w:hAnsi="Times New Roman"/>
                <w:sz w:val="24"/>
              </w:rPr>
              <w:t>Le informazioni sul coefficiente anticiclico fissato dall</w:t>
            </w:r>
            <w:r w:rsidR="000878EC">
              <w:rPr>
                <w:rFonts w:ascii="Times New Roman" w:hAnsi="Times New Roman"/>
                <w:sz w:val="24"/>
              </w:rPr>
              <w:t>'</w:t>
            </w:r>
            <w:r>
              <w:rPr>
                <w:rFonts w:ascii="Times New Roman" w:hAnsi="Times New Roman"/>
                <w:sz w:val="24"/>
              </w:rPr>
              <w:t xml:space="preserve">autorità designata non sono segnalate nel </w:t>
            </w:r>
            <w:r w:rsidR="000878EC">
              <w:rPr>
                <w:rFonts w:ascii="Times New Roman" w:hAnsi="Times New Roman"/>
                <w:sz w:val="24"/>
              </w:rPr>
              <w:t>"</w:t>
            </w:r>
            <w:r>
              <w:rPr>
                <w:rFonts w:ascii="Times New Roman" w:hAnsi="Times New Roman"/>
                <w:sz w:val="24"/>
              </w:rPr>
              <w:t>Totale</w:t>
            </w:r>
            <w:r w:rsidR="000878EC">
              <w:rPr>
                <w:rFonts w:ascii="Times New Roman" w:hAnsi="Times New Roman"/>
                <w:sz w:val="24"/>
              </w:rPr>
              <w:t>"</w:t>
            </w:r>
            <w:r>
              <w:rPr>
                <w:rFonts w:ascii="Times New Roman" w:hAnsi="Times New Roman"/>
                <w:sz w:val="24"/>
              </w:rPr>
              <w:t xml:space="preserve"> di tutti i paesi. </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0130</w:t>
            </w:r>
          </w:p>
        </w:tc>
        <w:tc>
          <w:tcPr>
            <w:tcW w:w="8131" w:type="dxa"/>
          </w:tcPr>
          <w:p w:rsidR="00966663" w:rsidRPr="00661595" w:rsidRDefault="00966663" w:rsidP="007F0EBF">
            <w:pPr>
              <w:suppressAutoHyphens/>
              <w:rPr>
                <w:rFonts w:ascii="Times New Roman" w:hAnsi="Times New Roman"/>
                <w:b/>
                <w:bCs/>
                <w:sz w:val="24"/>
                <w:u w:val="single"/>
              </w:rPr>
            </w:pPr>
            <w:r>
              <w:rPr>
                <w:rFonts w:ascii="Times New Roman" w:hAnsi="Times New Roman"/>
                <w:b/>
                <w:bCs/>
                <w:sz w:val="24"/>
                <w:u w:val="single"/>
              </w:rPr>
              <w:t>Coefficiente anticiclico applicabile per il paese dell</w:t>
            </w:r>
            <w:r w:rsidR="000878EC">
              <w:rPr>
                <w:rFonts w:ascii="Times New Roman" w:hAnsi="Times New Roman"/>
                <w:b/>
                <w:bCs/>
                <w:sz w:val="24"/>
                <w:u w:val="single"/>
              </w:rPr>
              <w:t>'</w:t>
            </w:r>
            <w:r>
              <w:rPr>
                <w:rFonts w:ascii="Times New Roman" w:hAnsi="Times New Roman"/>
                <w:b/>
                <w:bCs/>
                <w:sz w:val="24"/>
                <w:u w:val="single"/>
              </w:rPr>
              <w:t>ente</w:t>
            </w:r>
          </w:p>
          <w:p w:rsidR="00C4425F" w:rsidRPr="00661595" w:rsidRDefault="00966663" w:rsidP="007F0EBF">
            <w:pPr>
              <w:suppressAutoHyphens/>
              <w:autoSpaceDE w:val="0"/>
              <w:autoSpaceDN w:val="0"/>
              <w:adjustRightInd w:val="0"/>
              <w:rPr>
                <w:rFonts w:ascii="Times New Roman" w:hAnsi="Times New Roman"/>
                <w:sz w:val="24"/>
              </w:rPr>
            </w:pPr>
            <w:r>
              <w:rPr>
                <w:rFonts w:ascii="Times New Roman" w:hAnsi="Times New Roman"/>
                <w:sz w:val="24"/>
              </w:rPr>
              <w:t>Coefficiente anticiclico applicabile al paese in questione che è stato fissato dall</w:t>
            </w:r>
            <w:r w:rsidR="000878EC">
              <w:rPr>
                <w:rFonts w:ascii="Times New Roman" w:hAnsi="Times New Roman"/>
                <w:sz w:val="24"/>
              </w:rPr>
              <w:t>'</w:t>
            </w:r>
            <w:r>
              <w:rPr>
                <w:rFonts w:ascii="Times New Roman" w:hAnsi="Times New Roman"/>
                <w:sz w:val="24"/>
              </w:rPr>
              <w:t>autorità designata del paese di residenza dell</w:t>
            </w:r>
            <w:r w:rsidR="000878EC">
              <w:rPr>
                <w:rFonts w:ascii="Times New Roman" w:hAnsi="Times New Roman"/>
                <w:sz w:val="24"/>
              </w:rPr>
              <w:t>'</w:t>
            </w:r>
            <w:r>
              <w:rPr>
                <w:rFonts w:ascii="Times New Roman" w:hAnsi="Times New Roman"/>
                <w:sz w:val="24"/>
              </w:rPr>
              <w:t>e</w:t>
            </w:r>
            <w:r w:rsidR="00030E48">
              <w:rPr>
                <w:rFonts w:ascii="Times New Roman" w:hAnsi="Times New Roman"/>
                <w:sz w:val="24"/>
              </w:rPr>
              <w:t>nte conformemente agli articoli </w:t>
            </w:r>
            <w:r>
              <w:rPr>
                <w:rFonts w:ascii="Times New Roman" w:hAnsi="Times New Roman"/>
                <w:sz w:val="24"/>
              </w:rPr>
              <w:t>137, 138, 139 e all</w:t>
            </w:r>
            <w:r w:rsidR="000878EC">
              <w:rPr>
                <w:rFonts w:ascii="Times New Roman" w:hAnsi="Times New Roman"/>
                <w:sz w:val="24"/>
              </w:rPr>
              <w:t>'</w:t>
            </w:r>
            <w:r>
              <w:rPr>
                <w:rFonts w:ascii="Times New Roman" w:hAnsi="Times New Roman"/>
                <w:sz w:val="24"/>
              </w:rPr>
              <w:t>articolo 140, paragrafo 2, let</w:t>
            </w:r>
            <w:r w:rsidR="00030E48">
              <w:rPr>
                <w:rFonts w:ascii="Times New Roman" w:hAnsi="Times New Roman"/>
                <w:sz w:val="24"/>
              </w:rPr>
              <w:t>tera b), e paragrafo 3, lettera </w:t>
            </w:r>
            <w:r>
              <w:rPr>
                <w:rFonts w:ascii="Times New Roman" w:hAnsi="Times New Roman"/>
                <w:sz w:val="24"/>
              </w:rPr>
              <w:t>a), della CRD. I coefficienti anticiclici non ancora applicabili alla data di riferimento per le segnalazioni non sono segnalati.</w:t>
            </w:r>
          </w:p>
          <w:p w:rsidR="00966663" w:rsidRPr="00661595" w:rsidRDefault="00966663" w:rsidP="007F0EBF">
            <w:pPr>
              <w:suppressAutoHyphens/>
              <w:rPr>
                <w:rFonts w:ascii="Times New Roman" w:hAnsi="Times New Roman"/>
                <w:b/>
                <w:bCs/>
                <w:sz w:val="24"/>
                <w:u w:val="single"/>
              </w:rPr>
            </w:pPr>
            <w:r>
              <w:rPr>
                <w:rFonts w:ascii="Times New Roman" w:hAnsi="Times New Roman"/>
                <w:sz w:val="24"/>
              </w:rPr>
              <w:t>Le informazioni sul coefficiente anticiclico applicabile nel paese dell</w:t>
            </w:r>
            <w:r w:rsidR="000878EC">
              <w:rPr>
                <w:rFonts w:ascii="Times New Roman" w:hAnsi="Times New Roman"/>
                <w:sz w:val="24"/>
              </w:rPr>
              <w:t>'</w:t>
            </w:r>
            <w:r>
              <w:rPr>
                <w:rFonts w:ascii="Times New Roman" w:hAnsi="Times New Roman"/>
                <w:sz w:val="24"/>
              </w:rPr>
              <w:t xml:space="preserve">ente non sono segnalate per il </w:t>
            </w:r>
            <w:r w:rsidR="000878EC">
              <w:rPr>
                <w:rFonts w:ascii="Times New Roman" w:hAnsi="Times New Roman"/>
                <w:sz w:val="24"/>
              </w:rPr>
              <w:t>"</w:t>
            </w:r>
            <w:r>
              <w:rPr>
                <w:rFonts w:ascii="Times New Roman" w:hAnsi="Times New Roman"/>
                <w:sz w:val="24"/>
              </w:rPr>
              <w:t>Totale</w:t>
            </w:r>
            <w:r w:rsidR="000878EC">
              <w:rPr>
                <w:rFonts w:ascii="Times New Roman" w:hAnsi="Times New Roman"/>
                <w:sz w:val="24"/>
              </w:rPr>
              <w:t>"</w:t>
            </w:r>
            <w:r>
              <w:rPr>
                <w:rFonts w:ascii="Times New Roman" w:hAnsi="Times New Roman"/>
                <w:sz w:val="24"/>
              </w:rPr>
              <w:t xml:space="preserve"> di tutti i paesi.</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0140</w:t>
            </w:r>
          </w:p>
        </w:tc>
        <w:tc>
          <w:tcPr>
            <w:tcW w:w="8131" w:type="dxa"/>
          </w:tcPr>
          <w:p w:rsidR="00966663" w:rsidRPr="00661595" w:rsidRDefault="00966663" w:rsidP="007F0EBF">
            <w:pPr>
              <w:suppressAutoHyphens/>
              <w:rPr>
                <w:rFonts w:ascii="Times New Roman" w:hAnsi="Times New Roman"/>
                <w:b/>
                <w:bCs/>
                <w:sz w:val="24"/>
                <w:u w:val="single"/>
              </w:rPr>
            </w:pPr>
            <w:r>
              <w:rPr>
                <w:rFonts w:ascii="Times New Roman" w:hAnsi="Times New Roman"/>
                <w:b/>
                <w:bCs/>
                <w:sz w:val="24"/>
                <w:u w:val="single"/>
              </w:rPr>
              <w:t>Coefficiente anticiclico specifico dell</w:t>
            </w:r>
            <w:r w:rsidR="000878EC">
              <w:rPr>
                <w:rFonts w:ascii="Times New Roman" w:hAnsi="Times New Roman"/>
                <w:b/>
                <w:bCs/>
                <w:sz w:val="24"/>
                <w:u w:val="single"/>
              </w:rPr>
              <w:t>'</w:t>
            </w:r>
            <w:r>
              <w:rPr>
                <w:rFonts w:ascii="Times New Roman" w:hAnsi="Times New Roman"/>
                <w:b/>
                <w:bCs/>
                <w:sz w:val="24"/>
                <w:u w:val="single"/>
              </w:rPr>
              <w:t xml:space="preserve">ente </w:t>
            </w:r>
          </w:p>
          <w:p w:rsidR="00C4425F" w:rsidRPr="00661595" w:rsidRDefault="00966663" w:rsidP="007F0EBF">
            <w:pPr>
              <w:suppressAutoHyphens/>
              <w:autoSpaceDE w:val="0"/>
              <w:autoSpaceDN w:val="0"/>
              <w:adjustRightInd w:val="0"/>
              <w:rPr>
                <w:rFonts w:ascii="Times New Roman" w:hAnsi="Times New Roman"/>
                <w:sz w:val="24"/>
              </w:rPr>
            </w:pPr>
            <w:r>
              <w:rPr>
                <w:rFonts w:ascii="Times New Roman" w:hAnsi="Times New Roman"/>
                <w:sz w:val="24"/>
              </w:rPr>
              <w:t>Coefficiente anticiclico specifico dell</w:t>
            </w:r>
            <w:r w:rsidR="000878EC">
              <w:rPr>
                <w:rFonts w:ascii="Times New Roman" w:hAnsi="Times New Roman"/>
                <w:sz w:val="24"/>
              </w:rPr>
              <w:t>'</w:t>
            </w:r>
            <w:r>
              <w:rPr>
                <w:rFonts w:ascii="Times New Roman" w:hAnsi="Times New Roman"/>
                <w:sz w:val="24"/>
              </w:rPr>
              <w:t>ente calcolato confor</w:t>
            </w:r>
            <w:r w:rsidR="00030E48">
              <w:rPr>
                <w:rFonts w:ascii="Times New Roman" w:hAnsi="Times New Roman"/>
                <w:sz w:val="24"/>
              </w:rPr>
              <w:t>memente all</w:t>
            </w:r>
            <w:r w:rsidR="000878EC">
              <w:rPr>
                <w:rFonts w:ascii="Times New Roman" w:hAnsi="Times New Roman"/>
                <w:sz w:val="24"/>
              </w:rPr>
              <w:t>'</w:t>
            </w:r>
            <w:r w:rsidR="00030E48">
              <w:rPr>
                <w:rFonts w:ascii="Times New Roman" w:hAnsi="Times New Roman"/>
                <w:sz w:val="24"/>
              </w:rPr>
              <w:t>articolo </w:t>
            </w:r>
            <w:r>
              <w:rPr>
                <w:rFonts w:ascii="Times New Roman" w:hAnsi="Times New Roman"/>
                <w:sz w:val="24"/>
              </w:rPr>
              <w:t xml:space="preserve">140, paragrafo 1, della CRD. </w:t>
            </w:r>
          </w:p>
          <w:p w:rsidR="00C4425F" w:rsidRPr="00661595" w:rsidRDefault="00966663" w:rsidP="007F0EBF">
            <w:pPr>
              <w:suppressAutoHyphens/>
              <w:autoSpaceDE w:val="0"/>
              <w:autoSpaceDN w:val="0"/>
              <w:adjustRightInd w:val="0"/>
              <w:rPr>
                <w:rFonts w:ascii="Times New Roman" w:hAnsi="Times New Roman"/>
                <w:sz w:val="24"/>
              </w:rPr>
            </w:pPr>
            <w:r>
              <w:rPr>
                <w:rFonts w:ascii="Times New Roman" w:hAnsi="Times New Roman"/>
                <w:sz w:val="24"/>
              </w:rPr>
              <w:t>Il coefficiente anticiclico specifico dell</w:t>
            </w:r>
            <w:r w:rsidR="000878EC">
              <w:rPr>
                <w:rFonts w:ascii="Times New Roman" w:hAnsi="Times New Roman"/>
                <w:sz w:val="24"/>
              </w:rPr>
              <w:t>'</w:t>
            </w:r>
            <w:r>
              <w:rPr>
                <w:rFonts w:ascii="Times New Roman" w:hAnsi="Times New Roman"/>
                <w:sz w:val="24"/>
              </w:rPr>
              <w:t>ente è calcolato come la media ponderata dei coefficienti anticiclici che sono applicati nei paesi in cui sono situate le esposizioni creditizie rilevanti dell</w:t>
            </w:r>
            <w:r w:rsidR="000878EC">
              <w:rPr>
                <w:rFonts w:ascii="Times New Roman" w:hAnsi="Times New Roman"/>
                <w:sz w:val="24"/>
              </w:rPr>
              <w:t>'</w:t>
            </w:r>
            <w:r>
              <w:rPr>
                <w:rFonts w:ascii="Times New Roman" w:hAnsi="Times New Roman"/>
                <w:sz w:val="24"/>
              </w:rPr>
              <w:t>ente, ovvero che sono applicati ai fini dell</w:t>
            </w:r>
            <w:r w:rsidR="000878EC">
              <w:rPr>
                <w:rFonts w:ascii="Times New Roman" w:hAnsi="Times New Roman"/>
                <w:sz w:val="24"/>
              </w:rPr>
              <w:t>'</w:t>
            </w:r>
            <w:r>
              <w:rPr>
                <w:rFonts w:ascii="Times New Roman" w:hAnsi="Times New Roman"/>
                <w:sz w:val="24"/>
              </w:rPr>
              <w:t>articolo 140 ai sensi dell</w:t>
            </w:r>
            <w:r w:rsidR="000878EC">
              <w:rPr>
                <w:rFonts w:ascii="Times New Roman" w:hAnsi="Times New Roman"/>
                <w:sz w:val="24"/>
              </w:rPr>
              <w:t>'</w:t>
            </w:r>
            <w:r>
              <w:rPr>
                <w:rFonts w:ascii="Times New Roman" w:hAnsi="Times New Roman"/>
                <w:sz w:val="24"/>
              </w:rPr>
              <w:t>articolo 139, paragrafo 2 o 3, della CRD. Il coefficiente anticiclico pertinente è segnalato in [r0120; c0020; foglio del paese] o in [r0130; c0020; foglio del paese], a seconda del caso.</w:t>
            </w:r>
          </w:p>
          <w:p w:rsidR="00C4425F" w:rsidRPr="00661595" w:rsidRDefault="00966663" w:rsidP="007F0EBF">
            <w:pPr>
              <w:suppressAutoHyphens/>
              <w:autoSpaceDE w:val="0"/>
              <w:autoSpaceDN w:val="0"/>
              <w:adjustRightInd w:val="0"/>
              <w:rPr>
                <w:rFonts w:ascii="Times New Roman" w:hAnsi="Times New Roman"/>
                <w:b/>
                <w:strike/>
                <w:sz w:val="24"/>
              </w:rPr>
            </w:pPr>
            <w:r>
              <w:rPr>
                <w:rFonts w:ascii="Times New Roman" w:hAnsi="Times New Roman"/>
                <w:sz w:val="24"/>
              </w:rPr>
              <w:t xml:space="preserve">Il fattore di ponderazione applicato al coefficiente anticiclico in ogni paese è la quota di requisiti di fondi propri sul totale dei requisiti di fondi propri ed è segnalato in [r0110; c0020; foglio del paese]. </w:t>
            </w:r>
          </w:p>
          <w:p w:rsidR="00966663" w:rsidRPr="00661595" w:rsidRDefault="00966663" w:rsidP="007F0EBF">
            <w:pPr>
              <w:suppressAutoHyphens/>
              <w:rPr>
                <w:rFonts w:ascii="Times New Roman" w:hAnsi="Times New Roman"/>
                <w:b/>
                <w:bCs/>
                <w:sz w:val="24"/>
                <w:u w:val="single"/>
              </w:rPr>
            </w:pPr>
            <w:r>
              <w:rPr>
                <w:rFonts w:ascii="Times New Roman" w:hAnsi="Times New Roman"/>
                <w:sz w:val="24"/>
              </w:rPr>
              <w:t>Le informazioni sul coefficiente anticiclico specifico dell</w:t>
            </w:r>
            <w:r w:rsidR="000878EC">
              <w:rPr>
                <w:rFonts w:ascii="Times New Roman" w:hAnsi="Times New Roman"/>
                <w:sz w:val="24"/>
              </w:rPr>
              <w:t>'</w:t>
            </w:r>
            <w:r>
              <w:rPr>
                <w:rFonts w:ascii="Times New Roman" w:hAnsi="Times New Roman"/>
                <w:sz w:val="24"/>
              </w:rPr>
              <w:t xml:space="preserve">ente sono segnalate soltanto per il </w:t>
            </w:r>
            <w:r w:rsidR="000878EC">
              <w:rPr>
                <w:rFonts w:ascii="Times New Roman" w:hAnsi="Times New Roman"/>
                <w:sz w:val="24"/>
              </w:rPr>
              <w:t>"</w:t>
            </w:r>
            <w:r>
              <w:rPr>
                <w:rFonts w:ascii="Times New Roman" w:hAnsi="Times New Roman"/>
                <w:sz w:val="24"/>
              </w:rPr>
              <w:t>Totale</w:t>
            </w:r>
            <w:r w:rsidR="000878EC">
              <w:rPr>
                <w:rFonts w:ascii="Times New Roman" w:hAnsi="Times New Roman"/>
                <w:sz w:val="24"/>
              </w:rPr>
              <w:t>"</w:t>
            </w:r>
            <w:r>
              <w:rPr>
                <w:rFonts w:ascii="Times New Roman" w:hAnsi="Times New Roman"/>
                <w:sz w:val="24"/>
              </w:rPr>
              <w:t xml:space="preserve"> di tutti i paesi e non per ogni paese separatamente.</w:t>
            </w:r>
          </w:p>
        </w:tc>
      </w:tr>
      <w:tr w:rsidR="006B1A77" w:rsidRPr="00661595" w:rsidTr="00672D2A">
        <w:tc>
          <w:tcPr>
            <w:tcW w:w="1697" w:type="dxa"/>
          </w:tcPr>
          <w:p w:rsidR="006B1A77" w:rsidRPr="00661595" w:rsidRDefault="006E0E76" w:rsidP="00FC0B81">
            <w:pPr>
              <w:rPr>
                <w:rFonts w:ascii="Times New Roman" w:hAnsi="Times New Roman"/>
                <w:sz w:val="24"/>
              </w:rPr>
            </w:pPr>
            <w:r>
              <w:rPr>
                <w:rFonts w:ascii="Times New Roman" w:hAnsi="Times New Roman"/>
                <w:sz w:val="24"/>
              </w:rPr>
              <w:t>0150-0160</w:t>
            </w:r>
          </w:p>
        </w:tc>
        <w:tc>
          <w:tcPr>
            <w:tcW w:w="8131" w:type="dxa"/>
          </w:tcPr>
          <w:p w:rsidR="006B1A77" w:rsidRPr="00661595" w:rsidRDefault="006B1A77" w:rsidP="007F0EBF">
            <w:pPr>
              <w:suppressAutoHyphens/>
              <w:rPr>
                <w:rFonts w:ascii="Times New Roman" w:hAnsi="Times New Roman"/>
                <w:b/>
                <w:bCs/>
                <w:sz w:val="24"/>
                <w:u w:val="single"/>
              </w:rPr>
            </w:pPr>
            <w:r>
              <w:rPr>
                <w:rFonts w:ascii="Times New Roman" w:hAnsi="Times New Roman"/>
                <w:b/>
                <w:bCs/>
                <w:sz w:val="24"/>
                <w:u w:val="single"/>
              </w:rPr>
              <w:t>Uso della soglia del 2 %</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0150</w:t>
            </w:r>
          </w:p>
        </w:tc>
        <w:tc>
          <w:tcPr>
            <w:tcW w:w="8131" w:type="dxa"/>
          </w:tcPr>
          <w:p w:rsidR="006A3A82" w:rsidRPr="00661595" w:rsidRDefault="00FC0B81" w:rsidP="007F0EBF">
            <w:pPr>
              <w:suppressAutoHyphens/>
              <w:autoSpaceDE w:val="0"/>
              <w:autoSpaceDN w:val="0"/>
              <w:adjustRightInd w:val="0"/>
              <w:rPr>
                <w:rFonts w:ascii="Times New Roman" w:hAnsi="Times New Roman"/>
                <w:sz w:val="24"/>
              </w:rPr>
            </w:pPr>
            <w:r>
              <w:rPr>
                <w:rFonts w:ascii="Times New Roman" w:hAnsi="Times New Roman"/>
                <w:b/>
                <w:bCs/>
                <w:sz w:val="24"/>
                <w:u w:val="single"/>
              </w:rPr>
              <w:t>Uso della soglia del 2 % per le esposizioni creditizie generiche</w:t>
            </w:r>
            <w:r>
              <w:rPr>
                <w:rFonts w:ascii="Times New Roman" w:hAnsi="Times New Roman"/>
                <w:sz w:val="24"/>
              </w:rPr>
              <w:t xml:space="preserve"> </w:t>
            </w:r>
          </w:p>
          <w:p w:rsidR="006A3A82" w:rsidRPr="00661595" w:rsidRDefault="006A3A82" w:rsidP="007F0EBF">
            <w:pPr>
              <w:suppressAutoHyphens/>
              <w:autoSpaceDE w:val="0"/>
              <w:autoSpaceDN w:val="0"/>
              <w:adjustRightInd w:val="0"/>
              <w:rPr>
                <w:rFonts w:ascii="Times New Roman" w:hAnsi="Times New Roman"/>
                <w:sz w:val="24"/>
              </w:rPr>
            </w:pPr>
            <w:r>
              <w:rPr>
                <w:rFonts w:ascii="Times New Roman" w:hAnsi="Times New Roman"/>
                <w:sz w:val="24"/>
              </w:rPr>
              <w:t>Ai sensi dell</w:t>
            </w:r>
            <w:r w:rsidR="000878EC">
              <w:rPr>
                <w:rFonts w:ascii="Times New Roman" w:hAnsi="Times New Roman"/>
                <w:sz w:val="24"/>
              </w:rPr>
              <w:t>'</w:t>
            </w:r>
            <w:r>
              <w:rPr>
                <w:rFonts w:ascii="Times New Roman" w:hAnsi="Times New Roman"/>
                <w:sz w:val="24"/>
              </w:rPr>
              <w:t>articolo 2, paragrafo 5, lettera b), del regolamento delegato (UE) n. 1152/2014 della Commissione, le esposizioni creditizie generiche estere il cui aggregato non supera il 2 % dell</w:t>
            </w:r>
            <w:r w:rsidR="000878EC">
              <w:rPr>
                <w:rFonts w:ascii="Times New Roman" w:hAnsi="Times New Roman"/>
                <w:sz w:val="24"/>
              </w:rPr>
              <w:t>'</w:t>
            </w:r>
            <w:r>
              <w:rPr>
                <w:rFonts w:ascii="Times New Roman" w:hAnsi="Times New Roman"/>
                <w:sz w:val="24"/>
              </w:rPr>
              <w:t>aggregato delle esposizioni creditizie generiche, delle esposizioni nel portafoglio di negoziazione e delle esposizioni verso la cartolarizzazione dell</w:t>
            </w:r>
            <w:r w:rsidR="000878EC">
              <w:rPr>
                <w:rFonts w:ascii="Times New Roman" w:hAnsi="Times New Roman"/>
                <w:sz w:val="24"/>
              </w:rPr>
              <w:t>'</w:t>
            </w:r>
            <w:r>
              <w:rPr>
                <w:rFonts w:ascii="Times New Roman" w:hAnsi="Times New Roman"/>
                <w:sz w:val="24"/>
              </w:rPr>
              <w:t>ente possono essere assegnate allo Stato membro di origine dell</w:t>
            </w:r>
            <w:r w:rsidR="000878EC">
              <w:rPr>
                <w:rFonts w:ascii="Times New Roman" w:hAnsi="Times New Roman"/>
                <w:sz w:val="24"/>
              </w:rPr>
              <w:t>'</w:t>
            </w:r>
            <w:r>
              <w:rPr>
                <w:rFonts w:ascii="Times New Roman" w:hAnsi="Times New Roman"/>
                <w:sz w:val="24"/>
              </w:rPr>
              <w:t>ente. L</w:t>
            </w:r>
            <w:r w:rsidR="000878EC">
              <w:rPr>
                <w:rFonts w:ascii="Times New Roman" w:hAnsi="Times New Roman"/>
                <w:sz w:val="24"/>
              </w:rPr>
              <w:t>'</w:t>
            </w:r>
            <w:r>
              <w:rPr>
                <w:rFonts w:ascii="Times New Roman" w:hAnsi="Times New Roman"/>
                <w:sz w:val="24"/>
              </w:rPr>
              <w:t>aggregato delle esposizioni creditizie generiche, delle esposizioni nel portafoglio di negoziazione e delle esposizioni verso la cartolarizzazione è calcolato escludendo le esposizioni creditizie generiche localizzate ai sensi dell</w:t>
            </w:r>
            <w:r w:rsidR="000878EC">
              <w:rPr>
                <w:rFonts w:ascii="Times New Roman" w:hAnsi="Times New Roman"/>
                <w:sz w:val="24"/>
              </w:rPr>
              <w:t>'</w:t>
            </w:r>
            <w:r>
              <w:rPr>
                <w:rFonts w:ascii="Times New Roman" w:hAnsi="Times New Roman"/>
                <w:sz w:val="24"/>
              </w:rPr>
              <w:t>articolo 2, paragrafo 5, lettera a), e dell</w:t>
            </w:r>
            <w:r w:rsidR="000878EC">
              <w:rPr>
                <w:rFonts w:ascii="Times New Roman" w:hAnsi="Times New Roman"/>
                <w:sz w:val="24"/>
              </w:rPr>
              <w:t>'</w:t>
            </w:r>
            <w:r>
              <w:rPr>
                <w:rFonts w:ascii="Times New Roman" w:hAnsi="Times New Roman"/>
                <w:sz w:val="24"/>
              </w:rPr>
              <w:t>articolo 2, paragrafo 4, del regolamento delegato (UE) n. 1152/2014 della Commissione.</w:t>
            </w:r>
          </w:p>
          <w:p w:rsidR="00966663" w:rsidRPr="00661595" w:rsidRDefault="006A3A82" w:rsidP="007F0EBF">
            <w:pPr>
              <w:suppressAutoHyphens/>
              <w:autoSpaceDE w:val="0"/>
              <w:autoSpaceDN w:val="0"/>
              <w:adjustRightInd w:val="0"/>
              <w:rPr>
                <w:rFonts w:ascii="Times New Roman" w:hAnsi="Times New Roman"/>
                <w:sz w:val="24"/>
              </w:rPr>
            </w:pPr>
            <w:r>
              <w:rPr>
                <w:rFonts w:ascii="Times New Roman" w:hAnsi="Times New Roman"/>
                <w:sz w:val="24"/>
              </w:rPr>
              <w:t>Se si avvale di questa deroga, l</w:t>
            </w:r>
            <w:r w:rsidR="000878EC">
              <w:rPr>
                <w:rFonts w:ascii="Times New Roman" w:hAnsi="Times New Roman"/>
                <w:sz w:val="24"/>
              </w:rPr>
              <w:t>'</w:t>
            </w:r>
            <w:r>
              <w:rPr>
                <w:rFonts w:ascii="Times New Roman" w:hAnsi="Times New Roman"/>
                <w:sz w:val="24"/>
              </w:rPr>
              <w:t xml:space="preserve">ente indica </w:t>
            </w:r>
            <w:r w:rsidR="000878EC">
              <w:rPr>
                <w:rFonts w:ascii="Times New Roman" w:hAnsi="Times New Roman"/>
                <w:sz w:val="24"/>
              </w:rPr>
              <w:t>"</w:t>
            </w:r>
            <w:r>
              <w:rPr>
                <w:rFonts w:ascii="Times New Roman" w:hAnsi="Times New Roman"/>
                <w:sz w:val="24"/>
              </w:rPr>
              <w:t>y</w:t>
            </w:r>
            <w:r w:rsidR="000878EC">
              <w:rPr>
                <w:rFonts w:ascii="Times New Roman" w:hAnsi="Times New Roman"/>
                <w:sz w:val="24"/>
              </w:rPr>
              <w:t>"</w:t>
            </w:r>
            <w:r>
              <w:rPr>
                <w:rFonts w:ascii="Times New Roman" w:hAnsi="Times New Roman"/>
                <w:sz w:val="24"/>
              </w:rPr>
              <w:t xml:space="preserve"> (sì) nel modello per il paese corrispondente al suo Stato membro di origine e per il </w:t>
            </w:r>
            <w:r w:rsidR="000878EC">
              <w:rPr>
                <w:rFonts w:ascii="Times New Roman" w:hAnsi="Times New Roman"/>
                <w:sz w:val="24"/>
              </w:rPr>
              <w:t>"</w:t>
            </w:r>
            <w:r>
              <w:rPr>
                <w:rFonts w:ascii="Times New Roman" w:hAnsi="Times New Roman"/>
                <w:sz w:val="24"/>
              </w:rPr>
              <w:t>Totale</w:t>
            </w:r>
            <w:r w:rsidR="000878EC">
              <w:rPr>
                <w:rFonts w:ascii="Times New Roman" w:hAnsi="Times New Roman"/>
                <w:sz w:val="24"/>
              </w:rPr>
              <w:t>"</w:t>
            </w:r>
            <w:r>
              <w:rPr>
                <w:rFonts w:ascii="Times New Roman" w:hAnsi="Times New Roman"/>
                <w:sz w:val="24"/>
              </w:rPr>
              <w:t xml:space="preserve"> di tutti i paesi.</w:t>
            </w:r>
          </w:p>
          <w:p w:rsidR="006A3A82" w:rsidRPr="00661595" w:rsidRDefault="006A3A82" w:rsidP="007F0EBF">
            <w:pPr>
              <w:suppressAutoHyphens/>
              <w:autoSpaceDE w:val="0"/>
              <w:autoSpaceDN w:val="0"/>
              <w:adjustRightInd w:val="0"/>
              <w:rPr>
                <w:rFonts w:ascii="Times New Roman" w:hAnsi="Times New Roman"/>
                <w:sz w:val="24"/>
              </w:rPr>
            </w:pPr>
            <w:r>
              <w:rPr>
                <w:rFonts w:ascii="Times New Roman" w:hAnsi="Times New Roman"/>
                <w:sz w:val="24"/>
              </w:rPr>
              <w:t>Se non si avvale di questa deroga, l</w:t>
            </w:r>
            <w:r w:rsidR="000878EC">
              <w:rPr>
                <w:rFonts w:ascii="Times New Roman" w:hAnsi="Times New Roman"/>
                <w:sz w:val="24"/>
              </w:rPr>
              <w:t>'</w:t>
            </w:r>
            <w:r>
              <w:rPr>
                <w:rFonts w:ascii="Times New Roman" w:hAnsi="Times New Roman"/>
                <w:sz w:val="24"/>
              </w:rPr>
              <w:t xml:space="preserve">ente indica </w:t>
            </w:r>
            <w:r w:rsidR="000878EC">
              <w:rPr>
                <w:rFonts w:ascii="Times New Roman" w:hAnsi="Times New Roman"/>
                <w:sz w:val="24"/>
              </w:rPr>
              <w:t>"</w:t>
            </w:r>
            <w:r>
              <w:rPr>
                <w:rFonts w:ascii="Times New Roman" w:hAnsi="Times New Roman"/>
                <w:sz w:val="24"/>
              </w:rPr>
              <w:t>n</w:t>
            </w:r>
            <w:r w:rsidR="000878EC">
              <w:rPr>
                <w:rFonts w:ascii="Times New Roman" w:hAnsi="Times New Roman"/>
                <w:sz w:val="24"/>
              </w:rPr>
              <w:t>"</w:t>
            </w:r>
            <w:r>
              <w:rPr>
                <w:rFonts w:ascii="Times New Roman" w:hAnsi="Times New Roman"/>
                <w:sz w:val="24"/>
              </w:rPr>
              <w:t xml:space="preserve"> (no) nella rispettiva cella.</w:t>
            </w:r>
          </w:p>
        </w:tc>
      </w:tr>
      <w:tr w:rsidR="00966663" w:rsidRPr="00661595" w:rsidTr="00672D2A">
        <w:tc>
          <w:tcPr>
            <w:tcW w:w="1697" w:type="dxa"/>
          </w:tcPr>
          <w:p w:rsidR="00966663" w:rsidRPr="00661595" w:rsidRDefault="006E0E76" w:rsidP="00133107">
            <w:pPr>
              <w:rPr>
                <w:rFonts w:ascii="Times New Roman" w:hAnsi="Times New Roman"/>
                <w:sz w:val="24"/>
              </w:rPr>
            </w:pPr>
            <w:r>
              <w:rPr>
                <w:rFonts w:ascii="Times New Roman" w:hAnsi="Times New Roman"/>
                <w:sz w:val="24"/>
              </w:rPr>
              <w:t>0160</w:t>
            </w:r>
          </w:p>
        </w:tc>
        <w:tc>
          <w:tcPr>
            <w:tcW w:w="8131" w:type="dxa"/>
          </w:tcPr>
          <w:p w:rsidR="00535A98" w:rsidRPr="00661595" w:rsidRDefault="00FC0B81" w:rsidP="007F0EBF">
            <w:pPr>
              <w:suppressAutoHyphens/>
              <w:autoSpaceDE w:val="0"/>
              <w:autoSpaceDN w:val="0"/>
              <w:adjustRightInd w:val="0"/>
              <w:rPr>
                <w:rFonts w:ascii="Times New Roman" w:hAnsi="Times New Roman"/>
                <w:sz w:val="24"/>
              </w:rPr>
            </w:pPr>
            <w:r>
              <w:rPr>
                <w:rFonts w:ascii="Times New Roman" w:hAnsi="Times New Roman"/>
                <w:b/>
                <w:bCs/>
                <w:sz w:val="24"/>
                <w:u w:val="single"/>
              </w:rPr>
              <w:t>Uso della soglia del 2 % per le esposizioni nel portafoglio di negoziazione</w:t>
            </w:r>
          </w:p>
          <w:p w:rsidR="006A3A82" w:rsidRPr="00661595" w:rsidRDefault="006A3A82" w:rsidP="007F0EBF">
            <w:pPr>
              <w:suppressAutoHyphens/>
              <w:autoSpaceDE w:val="0"/>
              <w:autoSpaceDN w:val="0"/>
              <w:adjustRightInd w:val="0"/>
              <w:rPr>
                <w:rFonts w:ascii="Times New Roman" w:hAnsi="Times New Roman"/>
                <w:sz w:val="24"/>
              </w:rPr>
            </w:pPr>
            <w:r>
              <w:rPr>
                <w:rFonts w:ascii="Times New Roman" w:hAnsi="Times New Roman"/>
                <w:sz w:val="24"/>
              </w:rPr>
              <w:t>Ai sensi dell</w:t>
            </w:r>
            <w:r w:rsidR="000878EC">
              <w:rPr>
                <w:rFonts w:ascii="Times New Roman" w:hAnsi="Times New Roman"/>
                <w:sz w:val="24"/>
              </w:rPr>
              <w:t>'</w:t>
            </w:r>
            <w:r>
              <w:rPr>
                <w:rFonts w:ascii="Times New Roman" w:hAnsi="Times New Roman"/>
                <w:sz w:val="24"/>
              </w:rPr>
              <w:t>articolo 3, paragrafo 3, del regolamento delegato (UE) n. 1152/2014 della Commissione, gli enti di cui il totale delle esposizioni nel portafoglio di negoziazione non supera il 2 % del totale delle loro esposizioni creditizie generiche, delle loro esposizioni nel portafoglio di negoziazione e delle loro esposizioni verso la cartolarizzazione possono assegnare le esposizioni nel portafoglio di negoziazione allo Stato membro di origine dell</w:t>
            </w:r>
            <w:r w:rsidR="000878EC">
              <w:rPr>
                <w:rFonts w:ascii="Times New Roman" w:hAnsi="Times New Roman"/>
                <w:sz w:val="24"/>
              </w:rPr>
              <w:t>'</w:t>
            </w:r>
            <w:r>
              <w:rPr>
                <w:rFonts w:ascii="Times New Roman" w:hAnsi="Times New Roman"/>
                <w:sz w:val="24"/>
              </w:rPr>
              <w:t>ente.</w:t>
            </w:r>
          </w:p>
          <w:p w:rsidR="006A3A82" w:rsidRPr="00661595" w:rsidRDefault="006A3A82" w:rsidP="007F0EBF">
            <w:pPr>
              <w:suppressAutoHyphens/>
              <w:rPr>
                <w:rFonts w:ascii="Times New Roman" w:hAnsi="Times New Roman"/>
                <w:sz w:val="24"/>
              </w:rPr>
            </w:pPr>
            <w:r>
              <w:rPr>
                <w:rFonts w:ascii="Times New Roman" w:hAnsi="Times New Roman"/>
                <w:sz w:val="24"/>
              </w:rPr>
              <w:t>Se si avvale di questa deroga, l</w:t>
            </w:r>
            <w:r w:rsidR="000878EC">
              <w:rPr>
                <w:rFonts w:ascii="Times New Roman" w:hAnsi="Times New Roman"/>
                <w:sz w:val="24"/>
              </w:rPr>
              <w:t>'</w:t>
            </w:r>
            <w:r>
              <w:rPr>
                <w:rFonts w:ascii="Times New Roman" w:hAnsi="Times New Roman"/>
                <w:sz w:val="24"/>
              </w:rPr>
              <w:t xml:space="preserve">ente indica </w:t>
            </w:r>
            <w:r w:rsidR="000878EC">
              <w:rPr>
                <w:rFonts w:ascii="Times New Roman" w:hAnsi="Times New Roman"/>
                <w:sz w:val="24"/>
              </w:rPr>
              <w:t>"</w:t>
            </w:r>
            <w:r>
              <w:rPr>
                <w:rFonts w:ascii="Times New Roman" w:hAnsi="Times New Roman"/>
                <w:sz w:val="24"/>
              </w:rPr>
              <w:t>y</w:t>
            </w:r>
            <w:r w:rsidR="000878EC">
              <w:rPr>
                <w:rFonts w:ascii="Times New Roman" w:hAnsi="Times New Roman"/>
                <w:sz w:val="24"/>
              </w:rPr>
              <w:t>"</w:t>
            </w:r>
            <w:r>
              <w:rPr>
                <w:rFonts w:ascii="Times New Roman" w:hAnsi="Times New Roman"/>
                <w:sz w:val="24"/>
              </w:rPr>
              <w:t xml:space="preserve"> (sì) nel modello per il paese corrispondente al suo Stato membro di origine e per il </w:t>
            </w:r>
            <w:r w:rsidR="000878EC">
              <w:rPr>
                <w:rFonts w:ascii="Times New Roman" w:hAnsi="Times New Roman"/>
                <w:sz w:val="24"/>
              </w:rPr>
              <w:t>"</w:t>
            </w:r>
            <w:r>
              <w:rPr>
                <w:rFonts w:ascii="Times New Roman" w:hAnsi="Times New Roman"/>
                <w:sz w:val="24"/>
              </w:rPr>
              <w:t>Totale</w:t>
            </w:r>
            <w:r w:rsidR="000878EC">
              <w:rPr>
                <w:rFonts w:ascii="Times New Roman" w:hAnsi="Times New Roman"/>
                <w:sz w:val="24"/>
              </w:rPr>
              <w:t>"</w:t>
            </w:r>
            <w:r>
              <w:rPr>
                <w:rFonts w:ascii="Times New Roman" w:hAnsi="Times New Roman"/>
                <w:sz w:val="24"/>
              </w:rPr>
              <w:t xml:space="preserve"> di tutti i paesi.</w:t>
            </w:r>
          </w:p>
          <w:p w:rsidR="00966663" w:rsidRPr="00661595" w:rsidRDefault="006A3A82" w:rsidP="007F0EBF">
            <w:pPr>
              <w:suppressAutoHyphens/>
              <w:rPr>
                <w:rFonts w:ascii="Times New Roman" w:hAnsi="Times New Roman"/>
                <w:b/>
                <w:bCs/>
                <w:sz w:val="24"/>
                <w:u w:val="single"/>
              </w:rPr>
            </w:pPr>
            <w:r>
              <w:rPr>
                <w:rFonts w:ascii="Times New Roman" w:hAnsi="Times New Roman"/>
                <w:sz w:val="24"/>
              </w:rPr>
              <w:t>Se non si avvale di questa deroga, l</w:t>
            </w:r>
            <w:r w:rsidR="000878EC">
              <w:rPr>
                <w:rFonts w:ascii="Times New Roman" w:hAnsi="Times New Roman"/>
                <w:sz w:val="24"/>
              </w:rPr>
              <w:t>'</w:t>
            </w:r>
            <w:r>
              <w:rPr>
                <w:rFonts w:ascii="Times New Roman" w:hAnsi="Times New Roman"/>
                <w:sz w:val="24"/>
              </w:rPr>
              <w:t xml:space="preserve">ente indica </w:t>
            </w:r>
            <w:r w:rsidR="000878EC">
              <w:rPr>
                <w:rFonts w:ascii="Times New Roman" w:hAnsi="Times New Roman"/>
                <w:sz w:val="24"/>
              </w:rPr>
              <w:t>"</w:t>
            </w:r>
            <w:r>
              <w:rPr>
                <w:rFonts w:ascii="Times New Roman" w:hAnsi="Times New Roman"/>
                <w:sz w:val="24"/>
              </w:rPr>
              <w:t>n</w:t>
            </w:r>
            <w:r w:rsidR="000878EC">
              <w:rPr>
                <w:rFonts w:ascii="Times New Roman" w:hAnsi="Times New Roman"/>
                <w:sz w:val="24"/>
              </w:rPr>
              <w:t>"</w:t>
            </w:r>
            <w:r>
              <w:rPr>
                <w:rFonts w:ascii="Times New Roman" w:hAnsi="Times New Roman"/>
                <w:sz w:val="24"/>
              </w:rPr>
              <w:t xml:space="preserve"> (no) nella rispettiva cella.</w:t>
            </w:r>
          </w:p>
        </w:tc>
      </w:tr>
    </w:tbl>
    <w:p w:rsidR="004357B9" w:rsidRPr="00661595" w:rsidRDefault="004357B9">
      <w:pPr>
        <w:spacing w:before="0" w:after="0"/>
        <w:jc w:val="left"/>
        <w:rPr>
          <w:rFonts w:ascii="Times New Roman" w:hAnsi="Times New Roman"/>
          <w:bCs/>
          <w:sz w:val="24"/>
          <w:lang w:eastAsia="de-DE"/>
        </w:rPr>
      </w:pPr>
    </w:p>
    <w:p w:rsidR="00C61FF5" w:rsidRPr="00661595" w:rsidRDefault="00125707" w:rsidP="0023700C">
      <w:pPr>
        <w:pStyle w:val="Instructionsberschrift2"/>
        <w:numPr>
          <w:ilvl w:val="0"/>
          <w:numId w:val="0"/>
        </w:numPr>
        <w:ind w:left="357" w:hanging="357"/>
        <w:rPr>
          <w:rFonts w:ascii="Times New Roman" w:hAnsi="Times New Roman" w:cs="Times New Roman"/>
          <w:sz w:val="24"/>
        </w:rPr>
      </w:pPr>
      <w:bookmarkStart w:id="379" w:name="_Toc473560920"/>
      <w:bookmarkStart w:id="380" w:name="_Toc58915780"/>
      <w:r>
        <w:rPr>
          <w:rFonts w:ascii="Times New Roman" w:hAnsi="Times New Roman"/>
          <w:sz w:val="24"/>
          <w:u w:val="none"/>
        </w:rPr>
        <w:t>3.5.</w:t>
      </w:r>
      <w:r w:rsidRPr="00030E48">
        <w:rPr>
          <w:u w:val="none"/>
        </w:rPr>
        <w:tab/>
      </w:r>
      <w:bookmarkStart w:id="381" w:name="_Toc295829919"/>
      <w:r>
        <w:rPr>
          <w:rFonts w:ascii="Times New Roman" w:hAnsi="Times New Roman"/>
          <w:sz w:val="24"/>
        </w:rPr>
        <w:t>C 10.01 e C 10.02 — Esposizioni in strumenti di capitale in base al metodo IRB (CR EQU IRB 1 e CR EQU IRB 2)</w:t>
      </w:r>
      <w:bookmarkEnd w:id="379"/>
      <w:bookmarkEnd w:id="380"/>
      <w:bookmarkEnd w:id="381"/>
    </w:p>
    <w:p w:rsidR="00C61FF5" w:rsidRPr="00661595" w:rsidRDefault="00125707" w:rsidP="0023700C">
      <w:pPr>
        <w:pStyle w:val="Instructionsberschrift2"/>
        <w:numPr>
          <w:ilvl w:val="0"/>
          <w:numId w:val="0"/>
        </w:numPr>
        <w:ind w:left="357" w:hanging="357"/>
        <w:rPr>
          <w:rFonts w:ascii="Times New Roman" w:hAnsi="Times New Roman" w:cs="Times New Roman"/>
          <w:sz w:val="24"/>
        </w:rPr>
      </w:pPr>
      <w:bookmarkStart w:id="382" w:name="_Toc239157382"/>
      <w:bookmarkStart w:id="383" w:name="_Toc295829920"/>
      <w:bookmarkStart w:id="384" w:name="_Toc310415032"/>
      <w:bookmarkStart w:id="385" w:name="_Toc360188370"/>
      <w:bookmarkStart w:id="386" w:name="_Toc473560921"/>
      <w:bookmarkStart w:id="387" w:name="_Toc58915781"/>
      <w:r>
        <w:rPr>
          <w:rFonts w:ascii="Times New Roman" w:hAnsi="Times New Roman"/>
          <w:sz w:val="24"/>
          <w:u w:val="none"/>
        </w:rPr>
        <w:t>3.5.1.</w:t>
      </w:r>
      <w:r w:rsidRPr="00030E48">
        <w:rPr>
          <w:u w:val="none"/>
        </w:rPr>
        <w:tab/>
      </w:r>
      <w:r>
        <w:rPr>
          <w:rFonts w:ascii="Times New Roman" w:hAnsi="Times New Roman"/>
          <w:sz w:val="24"/>
        </w:rPr>
        <w:t>Osservazioni di carattere generale</w:t>
      </w:r>
      <w:bookmarkEnd w:id="382"/>
      <w:bookmarkEnd w:id="383"/>
      <w:bookmarkEnd w:id="384"/>
      <w:bookmarkEnd w:id="385"/>
      <w:bookmarkEnd w:id="386"/>
      <w:bookmarkEnd w:id="387"/>
    </w:p>
    <w:p w:rsidR="00C61FF5" w:rsidRPr="00661595" w:rsidRDefault="00A971CA" w:rsidP="00030E48">
      <w:pPr>
        <w:pStyle w:val="InstructionsText2"/>
        <w:numPr>
          <w:ilvl w:val="0"/>
          <w:numId w:val="0"/>
        </w:numPr>
        <w:ind w:left="1560" w:hanging="360"/>
      </w:pPr>
      <w:r>
        <w:fldChar w:fldCharType="begin"/>
      </w:r>
      <w:r>
        <w:instrText xml:space="preserve"> seq paragraphs </w:instrText>
      </w:r>
      <w:r>
        <w:fldChar w:fldCharType="separate"/>
      </w:r>
      <w:r w:rsidR="00D11E4C">
        <w:rPr>
          <w:noProof/>
        </w:rPr>
        <w:t>92</w:t>
      </w:r>
      <w:r>
        <w:rPr>
          <w:noProof/>
        </w:rPr>
        <w:fldChar w:fldCharType="end"/>
      </w:r>
      <w:r w:rsidR="00D11E4C">
        <w:t>.</w:t>
      </w:r>
      <w:r w:rsidR="00D11E4C">
        <w:tab/>
        <w:t>Il modello CR EQU IRB consta di due modelli: il modello CR EQU IRB 1, che offre un quadro generale delle esposizioni cui è applicato il metodo IRB della classe di esposizioni in strumenti di capitale e dei differenti metodi di calcolo degli importi complessivi dell</w:t>
      </w:r>
      <w:r w:rsidR="000878EC">
        <w:t>'</w:t>
      </w:r>
      <w:r w:rsidR="00D11E4C">
        <w:t>esposizione al r</w:t>
      </w:r>
      <w:r w:rsidR="00030E48">
        <w:t>ischio, e il modello CR EQU IRB </w:t>
      </w:r>
      <w:r w:rsidR="00D11E4C">
        <w:t xml:space="preserve">2, che espone la ripartizione delle esposizioni totali assegnate alle classi di debitori secondo il metodo PD/LGD. Nelle seguenti istruzioni, il termine </w:t>
      </w:r>
      <w:r w:rsidR="000878EC">
        <w:t>"</w:t>
      </w:r>
      <w:r w:rsidR="00D11E4C">
        <w:t>CR EQU IRB</w:t>
      </w:r>
      <w:r w:rsidR="000878EC">
        <w:t>"</w:t>
      </w:r>
      <w:r w:rsidR="00D11E4C">
        <w:t xml:space="preserve"> si riferisce sia al modello CR EQU IRB 1 che al modello CR EQU IRB 2, in funzione della loro applicabilità.</w:t>
      </w:r>
    </w:p>
    <w:p w:rsidR="00C61FF5" w:rsidRPr="00661595" w:rsidRDefault="00A971CA" w:rsidP="00030E48">
      <w:pPr>
        <w:pStyle w:val="InstructionsText2"/>
        <w:numPr>
          <w:ilvl w:val="0"/>
          <w:numId w:val="0"/>
        </w:numPr>
        <w:ind w:left="1560" w:hanging="360"/>
      </w:pPr>
      <w:r>
        <w:fldChar w:fldCharType="begin"/>
      </w:r>
      <w:r>
        <w:instrText xml:space="preserve"> seq paragraphs </w:instrText>
      </w:r>
      <w:r>
        <w:fldChar w:fldCharType="separate"/>
      </w:r>
      <w:r w:rsidR="00D11E4C">
        <w:rPr>
          <w:noProof/>
        </w:rPr>
        <w:t>93</w:t>
      </w:r>
      <w:r>
        <w:rPr>
          <w:noProof/>
        </w:rPr>
        <w:fldChar w:fldCharType="end"/>
      </w:r>
      <w:r w:rsidR="00D11E4C">
        <w:t>.</w:t>
      </w:r>
      <w:r w:rsidR="00D11E4C">
        <w:tab/>
        <w:t>Il modello CR EQU IRB fornisce informazioni sul calcolo degli importi delle esposizioni ponderati per il rischio di credito (ar</w:t>
      </w:r>
      <w:r w:rsidR="00030E48">
        <w:t>ticolo 92, paragrafo 3, lettera </w:t>
      </w:r>
      <w:r w:rsidR="00D11E4C">
        <w:t>a), del CRR) conformemente alla parte tre, titolo II, capo 3, del CRR per le esposizioni in strumenti di capitale di cui all</w:t>
      </w:r>
      <w:r w:rsidR="000878EC">
        <w:t>'</w:t>
      </w:r>
      <w:r w:rsidR="00D11E4C">
        <w:t>art</w:t>
      </w:r>
      <w:r w:rsidR="00030E48">
        <w:t>icolo 147, paragrafo 2, lettera </w:t>
      </w:r>
      <w:r w:rsidR="00D11E4C">
        <w:t>e), del CRR.</w:t>
      </w:r>
    </w:p>
    <w:p w:rsidR="00C61FF5" w:rsidRPr="00661595" w:rsidRDefault="00A971CA" w:rsidP="00030E48">
      <w:pPr>
        <w:pStyle w:val="InstructionsText2"/>
        <w:numPr>
          <w:ilvl w:val="0"/>
          <w:numId w:val="0"/>
        </w:numPr>
        <w:ind w:left="1560" w:hanging="360"/>
      </w:pPr>
      <w:r>
        <w:fldChar w:fldCharType="begin"/>
      </w:r>
      <w:r>
        <w:instrText xml:space="preserve"> seq paragraphs </w:instrText>
      </w:r>
      <w:r>
        <w:fldChar w:fldCharType="separate"/>
      </w:r>
      <w:r w:rsidR="00D11E4C">
        <w:rPr>
          <w:noProof/>
        </w:rPr>
        <w:t>94</w:t>
      </w:r>
      <w:r>
        <w:rPr>
          <w:noProof/>
        </w:rPr>
        <w:fldChar w:fldCharType="end"/>
      </w:r>
      <w:r w:rsidR="00D11E4C">
        <w:t>.</w:t>
      </w:r>
      <w:r w:rsidR="00D11E4C">
        <w:tab/>
        <w:t>Ai sensi dell</w:t>
      </w:r>
      <w:r w:rsidR="000878EC">
        <w:t>'</w:t>
      </w:r>
      <w:r w:rsidR="00D11E4C">
        <w:t>articolo 147, paragrafo 6, del CRR le seguenti esposizioni sono assegnate alla classe delle esposizioni in strumenti di capitale:</w:t>
      </w:r>
    </w:p>
    <w:p w:rsidR="00C61FF5" w:rsidRPr="00661595" w:rsidRDefault="00125707" w:rsidP="00030E48">
      <w:pPr>
        <w:pStyle w:val="InstructionsText2"/>
        <w:numPr>
          <w:ilvl w:val="0"/>
          <w:numId w:val="0"/>
        </w:numPr>
        <w:ind w:left="1560" w:hanging="360"/>
      </w:pPr>
      <w:r>
        <w:t>a)</w:t>
      </w:r>
      <w:r>
        <w:tab/>
        <w:t>esposizioni non debitorie che conferiscono un diritto o credito residuale subordinato sulle attività o sul reddito dell</w:t>
      </w:r>
      <w:r w:rsidR="000878EC">
        <w:t>'</w:t>
      </w:r>
      <w:r>
        <w:t>emittente;</w:t>
      </w:r>
    </w:p>
    <w:p w:rsidR="00C61FF5" w:rsidRPr="00661595" w:rsidRDefault="00125707" w:rsidP="00030E48">
      <w:pPr>
        <w:pStyle w:val="InstructionsText2"/>
        <w:numPr>
          <w:ilvl w:val="0"/>
          <w:numId w:val="0"/>
        </w:numPr>
        <w:ind w:left="1560" w:hanging="360"/>
      </w:pPr>
      <w:r>
        <w:t>b)</w:t>
      </w:r>
      <w:r>
        <w:tab/>
        <w:t>esposizioni debitorie e altri titoli, partnership, derivati o altri veicoli, la cui sostanza economica è analoga a quella delle espo</w:t>
      </w:r>
      <w:r w:rsidR="00030E48">
        <w:t>sizioni menzionate alla lettera </w:t>
      </w:r>
      <w:r>
        <w:t>a).</w:t>
      </w:r>
    </w:p>
    <w:p w:rsidR="00C61FF5" w:rsidRPr="00661595" w:rsidRDefault="00A971CA" w:rsidP="00030E48">
      <w:pPr>
        <w:pStyle w:val="InstructionsText2"/>
        <w:numPr>
          <w:ilvl w:val="0"/>
          <w:numId w:val="0"/>
        </w:numPr>
        <w:ind w:left="1560" w:hanging="360"/>
      </w:pPr>
      <w:r>
        <w:fldChar w:fldCharType="begin"/>
      </w:r>
      <w:r>
        <w:instrText xml:space="preserve"> seq paragraphs </w:instrText>
      </w:r>
      <w:r>
        <w:fldChar w:fldCharType="separate"/>
      </w:r>
      <w:r w:rsidR="00D11E4C">
        <w:rPr>
          <w:noProof/>
        </w:rPr>
        <w:t>95</w:t>
      </w:r>
      <w:r>
        <w:rPr>
          <w:noProof/>
        </w:rPr>
        <w:fldChar w:fldCharType="end"/>
      </w:r>
      <w:r w:rsidR="00D11E4C">
        <w:t>.</w:t>
      </w:r>
      <w:r w:rsidR="00D11E4C">
        <w:tab/>
        <w:t>Nel modello CR EQU IRB sono segnalati anche gli organismi di investimento collettivo trattati secondo il metodo della ponderazione semplice di cui all</w:t>
      </w:r>
      <w:r w:rsidR="000878EC">
        <w:t>'</w:t>
      </w:r>
      <w:r w:rsidR="00D11E4C">
        <w:t>articolo 152 del CRR.</w:t>
      </w:r>
    </w:p>
    <w:p w:rsidR="00C61FF5" w:rsidRPr="00661595" w:rsidRDefault="00A971CA" w:rsidP="00030E48">
      <w:pPr>
        <w:pStyle w:val="InstructionsText2"/>
        <w:numPr>
          <w:ilvl w:val="0"/>
          <w:numId w:val="0"/>
        </w:numPr>
        <w:ind w:left="1560" w:hanging="360"/>
      </w:pPr>
      <w:r>
        <w:fldChar w:fldCharType="begin"/>
      </w:r>
      <w:r>
        <w:instrText xml:space="preserve"> seq paragraphs </w:instrText>
      </w:r>
      <w:r>
        <w:fldChar w:fldCharType="separate"/>
      </w:r>
      <w:r w:rsidR="00D11E4C">
        <w:rPr>
          <w:noProof/>
        </w:rPr>
        <w:t>96</w:t>
      </w:r>
      <w:r>
        <w:rPr>
          <w:noProof/>
        </w:rPr>
        <w:fldChar w:fldCharType="end"/>
      </w:r>
      <w:r w:rsidR="00D11E4C">
        <w:t>.</w:t>
      </w:r>
      <w:r w:rsidR="00D11E4C">
        <w:tab/>
        <w:t>Ai sensi dell</w:t>
      </w:r>
      <w:r w:rsidR="000878EC">
        <w:t>'</w:t>
      </w:r>
      <w:r w:rsidR="00D11E4C">
        <w:t>articolo 151, paragrafo 1, del CRR gli enti trasmettono il modello CR EQU IRB qualora applichino uno dei tre metodi citati nell</w:t>
      </w:r>
      <w:r w:rsidR="000878EC">
        <w:t>'</w:t>
      </w:r>
      <w:r w:rsidR="00D11E4C">
        <w:t xml:space="preserve">articolo 155 del CRR: </w:t>
      </w:r>
    </w:p>
    <w:p w:rsidR="00C61FF5" w:rsidRPr="00661595" w:rsidRDefault="00C61FF5" w:rsidP="00115052">
      <w:pPr>
        <w:pStyle w:val="InstructionsText"/>
      </w:pPr>
      <w:r>
        <w:t>- metodo della ponderazione semplice;</w:t>
      </w:r>
    </w:p>
    <w:p w:rsidR="00C61FF5" w:rsidRPr="00661595" w:rsidRDefault="00C61FF5" w:rsidP="00115052">
      <w:pPr>
        <w:pStyle w:val="InstructionsText"/>
      </w:pPr>
      <w:r>
        <w:t>- metodo PD/LGD;</w:t>
      </w:r>
    </w:p>
    <w:p w:rsidR="00C61FF5" w:rsidRPr="00661595" w:rsidRDefault="00C61FF5" w:rsidP="00115052">
      <w:pPr>
        <w:pStyle w:val="InstructionsText"/>
      </w:pPr>
      <w:r>
        <w:t>- metodo dei modelli interni.</w:t>
      </w:r>
    </w:p>
    <w:p w:rsidR="00C61FF5" w:rsidRPr="00661595" w:rsidRDefault="00C61FF5" w:rsidP="00E94ED9">
      <w:pPr>
        <w:pStyle w:val="InstructionsText"/>
        <w:ind w:left="1560"/>
      </w:pPr>
      <w:r>
        <w:t>Inoltre, gli enti che applicano il metodo IRB segnalano nel modello CR EQU IRB anche gli importi ponderati per il rischio delle esposizioni in strumenti di capitale cui si applica un trattamento fisso di ponderazione del rischio (senza tuttavia essere trattate esplicitamente secondo il metodo della ponderazione semplice o senza l</w:t>
      </w:r>
      <w:r w:rsidR="000878EC">
        <w:t>'</w:t>
      </w:r>
      <w:r>
        <w:t>applicazione parziale, in via temporanea o permanente, del metodo standardizzato per il rischio di credito), ad esempio le esposizioni in strumenti di capitale alle quali si applica una ponderazione del rischio del 250 % conformemente all</w:t>
      </w:r>
      <w:r w:rsidR="000878EC">
        <w:t>'</w:t>
      </w:r>
      <w:r>
        <w:t>articolo 48, paragrafo 4, del CRR e, rispettivamente, una ponderazione del rischio del 370 % conformemente all</w:t>
      </w:r>
      <w:r w:rsidR="000878EC">
        <w:t>'</w:t>
      </w:r>
      <w:r>
        <w:t>articolo 471, paragrafo 2, del CRR.</w:t>
      </w:r>
    </w:p>
    <w:p w:rsidR="00C61FF5" w:rsidRPr="00661595" w:rsidRDefault="00A971CA" w:rsidP="00030E48">
      <w:pPr>
        <w:pStyle w:val="InstructionsText2"/>
        <w:numPr>
          <w:ilvl w:val="0"/>
          <w:numId w:val="0"/>
        </w:numPr>
        <w:ind w:left="1560" w:hanging="360"/>
      </w:pPr>
      <w:r>
        <w:fldChar w:fldCharType="begin"/>
      </w:r>
      <w:r>
        <w:instrText xml:space="preserve"> seq paragraphs </w:instrText>
      </w:r>
      <w:r>
        <w:fldChar w:fldCharType="separate"/>
      </w:r>
      <w:r w:rsidR="00D11E4C">
        <w:rPr>
          <w:noProof/>
        </w:rPr>
        <w:t>97</w:t>
      </w:r>
      <w:r>
        <w:rPr>
          <w:noProof/>
        </w:rPr>
        <w:fldChar w:fldCharType="end"/>
      </w:r>
      <w:r w:rsidR="00D11E4C">
        <w:t>.</w:t>
      </w:r>
      <w:r w:rsidR="00D11E4C">
        <w:tab/>
        <w:t>Nel modello CR EQU IRB non sono segnalati i seguenti crediti in strumenti di capitale:</w:t>
      </w:r>
    </w:p>
    <w:p w:rsidR="00C61FF5" w:rsidRPr="00661595" w:rsidRDefault="00C61FF5" w:rsidP="00E94ED9">
      <w:pPr>
        <w:pStyle w:val="InstructionsText"/>
        <w:ind w:left="1560"/>
      </w:pPr>
      <w:r>
        <w:t>- le esposizioni in strumenti di capitale nel portafoglio di negoziazione, se l</w:t>
      </w:r>
      <w:r w:rsidR="000878EC">
        <w:t>'</w:t>
      </w:r>
      <w:r>
        <w:t xml:space="preserve">ente non è esentato dal calcolo dei requisiti di fondi propri per le posizioni interne al portafoglio di negoziazione (articolo 94 del CRR); </w:t>
      </w:r>
    </w:p>
    <w:p w:rsidR="00C61FF5" w:rsidRPr="00661595" w:rsidRDefault="00C61FF5" w:rsidP="00E94ED9">
      <w:pPr>
        <w:pStyle w:val="InstructionsText"/>
        <w:ind w:left="1560"/>
      </w:pPr>
      <w:r>
        <w:t>- le esposizioni in strumenti di capitale soggette all</w:t>
      </w:r>
      <w:r w:rsidR="000878EC">
        <w:t>'</w:t>
      </w:r>
      <w:r>
        <w:t>applicazione parziale del metodo standardizzato (articolo 150 del CRR), comprese:</w:t>
      </w:r>
    </w:p>
    <w:p w:rsidR="00C61FF5" w:rsidRPr="00661595" w:rsidRDefault="00C61FF5" w:rsidP="00E94ED9">
      <w:pPr>
        <w:pStyle w:val="InstructionsText"/>
        <w:ind w:left="1560"/>
      </w:pPr>
      <w:r>
        <w:t>- le esposizioni in strumenti di capitale soggette alla clausola grandfathering ai sensi dell</w:t>
      </w:r>
      <w:r w:rsidR="000878EC">
        <w:t>'</w:t>
      </w:r>
      <w:r>
        <w:t>articolo 495, paragrafo 1, del CRR;</w:t>
      </w:r>
    </w:p>
    <w:p w:rsidR="00C61FF5" w:rsidRPr="00661595" w:rsidRDefault="00C61FF5" w:rsidP="00E94ED9">
      <w:pPr>
        <w:pStyle w:val="InstructionsText"/>
        <w:ind w:left="1560"/>
      </w:pPr>
      <w:r>
        <w:t>- le esposizioni in strumenti di capitale verso soggetti alle cui obbligazioni creditizie sia assegnato un fattore di ponderazione del rischio pari allo 0 % secondo il metodo standardizzato, compresi i soggetti che beneficiano di sostegno pubblico, nei casi in cui è applicabile un fattore di ponderazione del rischio dello 0 % (articolo 150, paragrafo 1, lettera g), del CRR);</w:t>
      </w:r>
    </w:p>
    <w:p w:rsidR="00C61FF5" w:rsidRPr="00661595" w:rsidRDefault="00C61FF5" w:rsidP="00E94ED9">
      <w:pPr>
        <w:pStyle w:val="InstructionsText"/>
        <w:ind w:left="1560"/>
      </w:pPr>
      <w:r>
        <w:t>- le esposizioni in strumenti di capitale sorte nel quadro di programmi legislativi allo scopo di promuovere determinati settori economici che prevedono consistenti sovvenzioni per investimenti a favore dell</w:t>
      </w:r>
      <w:r w:rsidR="000878EC">
        <w:t>'</w:t>
      </w:r>
      <w:r>
        <w:t>ente e comportano una qualche forma di supervisione pubblica e restrizioni sugli investimenti in strumenti di capitale (articolo 150, paragrafo 1, lettera h), del CRR);</w:t>
      </w:r>
    </w:p>
    <w:p w:rsidR="00C61FF5" w:rsidRPr="00661595" w:rsidRDefault="00C61FF5" w:rsidP="00E94ED9">
      <w:pPr>
        <w:pStyle w:val="InstructionsText"/>
        <w:ind w:left="1560"/>
      </w:pPr>
      <w:r>
        <w:t xml:space="preserve">- le esposizioni in strumenti di capitale verso società strumentali i cui importi delle esposizioni ponderati per il rischio possono essere calcolati conformemente al trattamento delle </w:t>
      </w:r>
      <w:r w:rsidR="000878EC">
        <w:t>"</w:t>
      </w:r>
      <w:r>
        <w:t>altre attività diverse da crediti</w:t>
      </w:r>
      <w:r w:rsidR="000878EC">
        <w:t>"</w:t>
      </w:r>
      <w:r>
        <w:t xml:space="preserve"> (ar</w:t>
      </w:r>
      <w:r w:rsidR="00E94ED9">
        <w:t>ticolo </w:t>
      </w:r>
      <w:r>
        <w:t>155, paragrafo 1, del CRR);</w:t>
      </w:r>
    </w:p>
    <w:p w:rsidR="00C61FF5" w:rsidRPr="00661595" w:rsidRDefault="00C61FF5" w:rsidP="00E94ED9">
      <w:pPr>
        <w:pStyle w:val="InstructionsText"/>
        <w:ind w:left="1560"/>
      </w:pPr>
      <w:r>
        <w:t>- i crediti in strumenti di capitale dedotti dai fondi propri conformemente agli articoli 46 e 48 del CRR.</w:t>
      </w:r>
    </w:p>
    <w:p w:rsidR="00C61FF5" w:rsidRPr="00661595" w:rsidRDefault="00C61FF5" w:rsidP="00115052">
      <w:pPr>
        <w:pStyle w:val="InstructionsText"/>
      </w:pPr>
    </w:p>
    <w:p w:rsidR="00C61FF5" w:rsidRPr="00661595" w:rsidRDefault="00125707" w:rsidP="00E94ED9">
      <w:pPr>
        <w:pStyle w:val="Instructionsberschrift2"/>
        <w:keepLines/>
        <w:numPr>
          <w:ilvl w:val="0"/>
          <w:numId w:val="0"/>
        </w:numPr>
        <w:ind w:left="357" w:hanging="357"/>
        <w:rPr>
          <w:rFonts w:ascii="Times New Roman" w:hAnsi="Times New Roman" w:cs="Times New Roman"/>
          <w:sz w:val="24"/>
        </w:rPr>
      </w:pPr>
      <w:bookmarkStart w:id="388" w:name="_Toc360188371"/>
      <w:bookmarkStart w:id="389" w:name="_Toc473560922"/>
      <w:bookmarkStart w:id="390" w:name="_Toc58915782"/>
      <w:r>
        <w:rPr>
          <w:rFonts w:ascii="Times New Roman" w:hAnsi="Times New Roman"/>
          <w:sz w:val="24"/>
          <w:u w:val="none"/>
        </w:rPr>
        <w:t>3.5.2.</w:t>
      </w:r>
      <w:r w:rsidRPr="00E94ED9">
        <w:rPr>
          <w:u w:val="none"/>
        </w:rPr>
        <w:tab/>
      </w:r>
      <w:bookmarkStart w:id="391" w:name="_Toc295829921"/>
      <w:r>
        <w:rPr>
          <w:rFonts w:ascii="Times New Roman" w:hAnsi="Times New Roman"/>
          <w:sz w:val="24"/>
        </w:rPr>
        <w:t>Istruzioni relative a posizioni specifiche (valide sia per il modello CR EQU IRB 1 che per il modello CR EQU IRB 2)</w:t>
      </w:r>
      <w:bookmarkEnd w:id="388"/>
      <w:bookmarkEnd w:id="389"/>
      <w:bookmarkEnd w:id="390"/>
      <w:bookmarkEnd w:id="391"/>
    </w:p>
    <w:tbl>
      <w:tblPr>
        <w:tblW w:w="0" w:type="auto"/>
        <w:tblLook w:val="01E0" w:firstRow="1" w:lastRow="1" w:firstColumn="1" w:lastColumn="1" w:noHBand="0" w:noVBand="0"/>
      </w:tblPr>
      <w:tblGrid>
        <w:gridCol w:w="852"/>
        <w:gridCol w:w="8004"/>
      </w:tblGrid>
      <w:tr w:rsidR="00C61FF5" w:rsidRPr="00661595" w:rsidTr="00672D2A">
        <w:tc>
          <w:tcPr>
            <w:tcW w:w="8856" w:type="dxa"/>
            <w:gridSpan w:val="2"/>
            <w:tcBorders>
              <w:top w:val="single" w:sz="4" w:space="0" w:color="auto"/>
              <w:left w:val="single" w:sz="4" w:space="0" w:color="auto"/>
              <w:bottom w:val="single" w:sz="4" w:space="0" w:color="auto"/>
              <w:right w:val="single" w:sz="4" w:space="0" w:color="auto"/>
            </w:tcBorders>
            <w:shd w:val="clear" w:color="auto" w:fill="BFBFBF"/>
          </w:tcPr>
          <w:p w:rsidR="00745369" w:rsidRPr="00661595" w:rsidRDefault="00C61FF5" w:rsidP="008728EE">
            <w:pPr>
              <w:keepNext/>
              <w:keepLines/>
              <w:suppressAutoHyphens/>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Colonne</w:t>
            </w:r>
          </w:p>
        </w:tc>
      </w:tr>
      <w:tr w:rsidR="003F05A0"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3F05A0" w:rsidRPr="00661595" w:rsidRDefault="003F05A0" w:rsidP="008728EE">
            <w:pPr>
              <w:keepNext/>
              <w:keepLines/>
              <w:suppressAutoHyphens/>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0005</w:t>
            </w:r>
          </w:p>
        </w:tc>
        <w:tc>
          <w:tcPr>
            <w:tcW w:w="8004" w:type="dxa"/>
          </w:tcPr>
          <w:p w:rsidR="003F05A0" w:rsidRPr="00661595" w:rsidRDefault="003F05A0" w:rsidP="008728EE">
            <w:pPr>
              <w:keepNext/>
              <w:keepLines/>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CLASSE DI DEBITORI (IDENTIFICATIVO DELLA RIGA)</w:t>
            </w:r>
          </w:p>
          <w:p w:rsidR="003F05A0" w:rsidRPr="00661595" w:rsidRDefault="003F05A0" w:rsidP="008728EE">
            <w:pPr>
              <w:keepNext/>
              <w:keepLines/>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La classe di debitori è un identificativo della riga ed è unico per ciascuna riga del modello. </w:t>
            </w:r>
            <w:r>
              <w:rPr>
                <w:rFonts w:ascii="Times New Roman" w:hAnsi="Times New Roman"/>
                <w:sz w:val="24"/>
              </w:rPr>
              <w:t>Segue l</w:t>
            </w:r>
            <w:r w:rsidR="000878EC">
              <w:rPr>
                <w:rFonts w:ascii="Times New Roman" w:hAnsi="Times New Roman"/>
                <w:sz w:val="24"/>
              </w:rPr>
              <w:t>'</w:t>
            </w:r>
            <w:r>
              <w:rPr>
                <w:rFonts w:ascii="Times New Roman" w:hAnsi="Times New Roman"/>
                <w:sz w:val="24"/>
              </w:rPr>
              <w:t>ordine numerico 1, 2, 3 ecc.</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8728EE">
            <w:pPr>
              <w:suppressAutoHyphens/>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0010</w:t>
            </w:r>
          </w:p>
        </w:tc>
        <w:tc>
          <w:tcPr>
            <w:tcW w:w="8004" w:type="dxa"/>
          </w:tcPr>
          <w:p w:rsidR="00745369" w:rsidRPr="00661595" w:rsidRDefault="00C61FF5" w:rsidP="008728EE">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SCALA DI RATING INTERNI </w:t>
            </w:r>
          </w:p>
          <w:p w:rsidR="00745369" w:rsidRPr="00661595" w:rsidRDefault="00C61FF5" w:rsidP="008728EE">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PROBABILITÀ DI DEFAULT ASSEGNATA ALLA CLASSE DI DEBITORI (%)</w:t>
            </w:r>
          </w:p>
          <w:p w:rsidR="00745369" w:rsidRPr="00661595" w:rsidRDefault="00C61FF5" w:rsidP="008728EE">
            <w:pPr>
              <w:suppressAutoHyphens/>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Gli enti che applicano il metodo PD/LGD segnalano nella colonna 0010 la probabilità di default (PD) calcolata a norma dell</w:t>
            </w:r>
            <w:r w:rsidR="000878EC">
              <w:rPr>
                <w:rStyle w:val="InstructionsTabelleText"/>
                <w:rFonts w:ascii="Times New Roman" w:hAnsi="Times New Roman"/>
                <w:sz w:val="24"/>
              </w:rPr>
              <w:t>'</w:t>
            </w:r>
            <w:r>
              <w:rPr>
                <w:rStyle w:val="InstructionsTabelleText"/>
                <w:rFonts w:ascii="Times New Roman" w:hAnsi="Times New Roman"/>
                <w:sz w:val="24"/>
              </w:rPr>
              <w:t>articolo 165, paragrafo 1, del CRR.</w:t>
            </w:r>
          </w:p>
          <w:p w:rsidR="00745369" w:rsidRPr="00661595" w:rsidRDefault="00C61FF5" w:rsidP="008728EE">
            <w:pPr>
              <w:suppressAutoHyphens/>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La PD assegnata alla classe o al pool di debitori da segnalare è conforme ai requisiti minimi previsti dalla parte tre, titolo II, capo 3, sezione 6, del CRR. Per ogni singola classe o singolo pool di debitori è indicata la PD ad essa o ad esso attribuita. Tutti i parametri di rischio segnalati sono ricavati dai parametri di rischio utilizzati nella scala di rating interni approvata dall</w:t>
            </w:r>
            <w:r w:rsidR="000878EC">
              <w:rPr>
                <w:rStyle w:val="InstructionsTabelleText"/>
                <w:rFonts w:ascii="Times New Roman" w:hAnsi="Times New Roman"/>
                <w:sz w:val="24"/>
              </w:rPr>
              <w:t>'</w:t>
            </w:r>
            <w:r>
              <w:rPr>
                <w:rStyle w:val="InstructionsTabelleText"/>
                <w:rFonts w:ascii="Times New Roman" w:hAnsi="Times New Roman"/>
                <w:sz w:val="24"/>
              </w:rPr>
              <w:t>autorità competente.</w:t>
            </w:r>
          </w:p>
          <w:p w:rsidR="00745369" w:rsidRPr="00661595" w:rsidRDefault="00C61FF5" w:rsidP="008728EE">
            <w:pPr>
              <w:suppressAutoHyphens/>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Per gli importi relativi a un</w:t>
            </w:r>
            <w:r w:rsidR="000878EC">
              <w:rPr>
                <w:rStyle w:val="InstructionsTabelleText"/>
                <w:rFonts w:ascii="Times New Roman" w:hAnsi="Times New Roman"/>
                <w:sz w:val="24"/>
              </w:rPr>
              <w:t>'</w:t>
            </w:r>
            <w:r>
              <w:rPr>
                <w:rStyle w:val="InstructionsTabelleText"/>
                <w:rFonts w:ascii="Times New Roman" w:hAnsi="Times New Roman"/>
                <w:sz w:val="24"/>
              </w:rPr>
              <w:t xml:space="preserve">aggregazione di classi o pool di debitori (ad esempio </w:t>
            </w:r>
            <w:r w:rsidR="000878EC">
              <w:rPr>
                <w:rStyle w:val="InstructionsTabelleText"/>
                <w:rFonts w:ascii="Times New Roman" w:hAnsi="Times New Roman"/>
                <w:sz w:val="24"/>
              </w:rPr>
              <w:t>"</w:t>
            </w:r>
            <w:r>
              <w:rPr>
                <w:rStyle w:val="InstructionsTabelleText"/>
                <w:rFonts w:ascii="Times New Roman" w:hAnsi="Times New Roman"/>
                <w:sz w:val="24"/>
              </w:rPr>
              <w:t>esposizioni totali</w:t>
            </w:r>
            <w:r w:rsidR="000878EC">
              <w:rPr>
                <w:rStyle w:val="InstructionsTabelleText"/>
                <w:rFonts w:ascii="Times New Roman" w:hAnsi="Times New Roman"/>
                <w:sz w:val="24"/>
              </w:rPr>
              <w:t>"</w:t>
            </w:r>
            <w:r>
              <w:rPr>
                <w:rStyle w:val="InstructionsTabelleText"/>
                <w:rFonts w:ascii="Times New Roman" w:hAnsi="Times New Roman"/>
                <w:sz w:val="24"/>
              </w:rPr>
              <w:t>), si riporta la media ponderata per l</w:t>
            </w:r>
            <w:r w:rsidR="000878EC">
              <w:rPr>
                <w:rStyle w:val="InstructionsTabelleText"/>
                <w:rFonts w:ascii="Times New Roman" w:hAnsi="Times New Roman"/>
                <w:sz w:val="24"/>
              </w:rPr>
              <w:t>'</w:t>
            </w:r>
            <w:r>
              <w:rPr>
                <w:rStyle w:val="InstructionsTabelleText"/>
                <w:rFonts w:ascii="Times New Roman" w:hAnsi="Times New Roman"/>
                <w:sz w:val="24"/>
              </w:rPr>
              <w:t>esposizione delle PD attribuite alle classi o ai pool di debitori compresi nell</w:t>
            </w:r>
            <w:r w:rsidR="000878EC">
              <w:rPr>
                <w:rStyle w:val="InstructionsTabelleText"/>
                <w:rFonts w:ascii="Times New Roman" w:hAnsi="Times New Roman"/>
                <w:sz w:val="24"/>
              </w:rPr>
              <w:t>'</w:t>
            </w:r>
            <w:r>
              <w:rPr>
                <w:rStyle w:val="InstructionsTabelleText"/>
                <w:rFonts w:ascii="Times New Roman" w:hAnsi="Times New Roman"/>
                <w:sz w:val="24"/>
              </w:rPr>
              <w:t>aggregazione considerata. Ai fini del calcolo della PD media ponderata per l</w:t>
            </w:r>
            <w:r w:rsidR="000878EC">
              <w:rPr>
                <w:rStyle w:val="InstructionsTabelleText"/>
                <w:rFonts w:ascii="Times New Roman" w:hAnsi="Times New Roman"/>
                <w:sz w:val="24"/>
              </w:rPr>
              <w:t>'</w:t>
            </w:r>
            <w:r>
              <w:rPr>
                <w:rStyle w:val="InstructionsTabelleText"/>
                <w:rFonts w:ascii="Times New Roman" w:hAnsi="Times New Roman"/>
                <w:sz w:val="24"/>
              </w:rPr>
              <w:t>esposizione si deve tener conto di tutte le esposizioni, comprese quelle in stato di default. Per il calcolo della PD media ponderata per l</w:t>
            </w:r>
            <w:r w:rsidR="000878EC">
              <w:rPr>
                <w:rStyle w:val="InstructionsTabelleText"/>
                <w:rFonts w:ascii="Times New Roman" w:hAnsi="Times New Roman"/>
                <w:sz w:val="24"/>
              </w:rPr>
              <w:t>'</w:t>
            </w:r>
            <w:r>
              <w:rPr>
                <w:rStyle w:val="InstructionsTabelleText"/>
                <w:rFonts w:ascii="Times New Roman" w:hAnsi="Times New Roman"/>
                <w:sz w:val="24"/>
              </w:rPr>
              <w:t>esposizione si applica, a fini di ponderazione, il valore dell</w:t>
            </w:r>
            <w:r w:rsidR="000878EC">
              <w:rPr>
                <w:rStyle w:val="InstructionsTabelleText"/>
                <w:rFonts w:ascii="Times New Roman" w:hAnsi="Times New Roman"/>
                <w:sz w:val="24"/>
              </w:rPr>
              <w:t>'</w:t>
            </w:r>
            <w:r>
              <w:rPr>
                <w:rStyle w:val="InstructionsTabelleText"/>
                <w:rFonts w:ascii="Times New Roman" w:hAnsi="Times New Roman"/>
                <w:sz w:val="24"/>
              </w:rPr>
              <w:t xml:space="preserve">esposizione tenuto conto della protezione del credito di tipo personale (colonna 0060). </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8728EE">
            <w:pPr>
              <w:suppressAutoHyphens/>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0020</w:t>
            </w:r>
          </w:p>
        </w:tc>
        <w:tc>
          <w:tcPr>
            <w:tcW w:w="8004" w:type="dxa"/>
          </w:tcPr>
          <w:p w:rsidR="00745369" w:rsidRPr="00661595" w:rsidRDefault="00C61FF5" w:rsidP="008728EE">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ESPOSIZIONE ORIGINARIA PRIMA DELL</w:t>
            </w:r>
            <w:r w:rsidR="000878EC">
              <w:rPr>
                <w:rStyle w:val="InstructionsTabelleberschrift"/>
                <w:rFonts w:ascii="Times New Roman" w:hAnsi="Times New Roman"/>
                <w:sz w:val="24"/>
              </w:rPr>
              <w:t>'</w:t>
            </w:r>
            <w:r>
              <w:rPr>
                <w:rStyle w:val="InstructionsTabelleberschrift"/>
                <w:rFonts w:ascii="Times New Roman" w:hAnsi="Times New Roman"/>
                <w:sz w:val="24"/>
              </w:rPr>
              <w:t>APPLICAZIONE DEI FATTORI DI CONVERSIONE</w:t>
            </w:r>
          </w:p>
          <w:p w:rsidR="00C61FF5" w:rsidRPr="00661595" w:rsidRDefault="00C61FF5" w:rsidP="008728EE">
            <w:pPr>
              <w:suppressAutoHyphens/>
              <w:autoSpaceDE w:val="0"/>
              <w:autoSpaceDN w:val="0"/>
              <w:adjustRightInd w:val="0"/>
              <w:spacing w:before="60" w:after="60"/>
              <w:rPr>
                <w:rStyle w:val="InstructionsTabelleText"/>
                <w:rFonts w:ascii="Times New Roman" w:hAnsi="Times New Roman"/>
                <w:sz w:val="24"/>
              </w:rPr>
            </w:pPr>
            <w:r>
              <w:rPr>
                <w:rStyle w:val="InstructionsTabelleText"/>
                <w:rFonts w:ascii="Times New Roman" w:hAnsi="Times New Roman"/>
                <w:sz w:val="24"/>
              </w:rPr>
              <w:t>L</w:t>
            </w:r>
            <w:r w:rsidR="000878EC">
              <w:rPr>
                <w:rStyle w:val="InstructionsTabelleText"/>
                <w:rFonts w:ascii="Times New Roman" w:hAnsi="Times New Roman"/>
                <w:sz w:val="24"/>
              </w:rPr>
              <w:t>'</w:t>
            </w:r>
            <w:r>
              <w:rPr>
                <w:rStyle w:val="InstructionsTabelleText"/>
                <w:rFonts w:ascii="Times New Roman" w:hAnsi="Times New Roman"/>
                <w:sz w:val="24"/>
              </w:rPr>
              <w:t>ente segnala nella colonna 0020 il valore dell</w:t>
            </w:r>
            <w:r w:rsidR="000878EC">
              <w:rPr>
                <w:rStyle w:val="InstructionsTabelleText"/>
                <w:rFonts w:ascii="Times New Roman" w:hAnsi="Times New Roman"/>
                <w:sz w:val="24"/>
              </w:rPr>
              <w:t>'</w:t>
            </w:r>
            <w:r>
              <w:rPr>
                <w:rStyle w:val="InstructionsTabelleText"/>
                <w:rFonts w:ascii="Times New Roman" w:hAnsi="Times New Roman"/>
                <w:sz w:val="24"/>
              </w:rPr>
              <w:t>esposizione originaria (prima dell</w:t>
            </w:r>
            <w:r w:rsidR="000878EC">
              <w:rPr>
                <w:rStyle w:val="InstructionsTabelleText"/>
                <w:rFonts w:ascii="Times New Roman" w:hAnsi="Times New Roman"/>
                <w:sz w:val="24"/>
              </w:rPr>
              <w:t>'</w:t>
            </w:r>
            <w:r>
              <w:rPr>
                <w:rStyle w:val="InstructionsTabelleText"/>
                <w:rFonts w:ascii="Times New Roman" w:hAnsi="Times New Roman"/>
                <w:sz w:val="24"/>
              </w:rPr>
              <w:t>applicazione dei fattori di conversione). Conformemente all</w:t>
            </w:r>
            <w:r w:rsidR="000878EC">
              <w:rPr>
                <w:rStyle w:val="InstructionsTabelleText"/>
                <w:rFonts w:ascii="Times New Roman" w:hAnsi="Times New Roman"/>
                <w:sz w:val="24"/>
              </w:rPr>
              <w:t>'</w:t>
            </w:r>
            <w:r>
              <w:rPr>
                <w:rStyle w:val="InstructionsTabelleText"/>
                <w:rFonts w:ascii="Times New Roman" w:hAnsi="Times New Roman"/>
                <w:sz w:val="24"/>
              </w:rPr>
              <w:t>articolo 167 del CRR, il valore delle esposizioni in strumenti di capitale è il valore contabile rimanente dopo l</w:t>
            </w:r>
            <w:r w:rsidR="000878EC">
              <w:rPr>
                <w:rStyle w:val="InstructionsTabelleText"/>
                <w:rFonts w:ascii="Times New Roman" w:hAnsi="Times New Roman"/>
                <w:sz w:val="24"/>
              </w:rPr>
              <w:t>'</w:t>
            </w:r>
            <w:r>
              <w:rPr>
                <w:rStyle w:val="InstructionsTabelleText"/>
                <w:rFonts w:ascii="Times New Roman" w:hAnsi="Times New Roman"/>
                <w:sz w:val="24"/>
              </w:rPr>
              <w:t>applicazione delle rettifiche di valore su crediti specifiche. Il</w:t>
            </w:r>
            <w:r>
              <w:rPr>
                <w:rFonts w:ascii="Times New Roman" w:hAnsi="Times New Roman"/>
                <w:sz w:val="24"/>
              </w:rPr>
              <w:t xml:space="preserve"> valore delle esposizioni in strumenti di capitale fuori bilancio è pari al valore nominale ridotto delle rettifiche di valore su crediti specifiche.</w:t>
            </w:r>
          </w:p>
          <w:p w:rsidR="00745369" w:rsidRPr="00661595" w:rsidRDefault="00C61FF5" w:rsidP="008728EE">
            <w:pPr>
              <w:suppressAutoHyphens/>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Gli enti comprendono nella colonna 0020 anche gli elementi fuori bilancio di cui all</w:t>
            </w:r>
            <w:r w:rsidR="000878EC">
              <w:rPr>
                <w:rStyle w:val="InstructionsTabelleText"/>
                <w:rFonts w:ascii="Times New Roman" w:hAnsi="Times New Roman"/>
                <w:sz w:val="24"/>
              </w:rPr>
              <w:t>'</w:t>
            </w:r>
            <w:r>
              <w:rPr>
                <w:rStyle w:val="InstructionsTabelleText"/>
                <w:rFonts w:ascii="Times New Roman" w:hAnsi="Times New Roman"/>
                <w:sz w:val="24"/>
              </w:rPr>
              <w:t xml:space="preserve">allegato I del CRR assegnati alla classe delle esposizioni in strumenti di capitale (ossia la </w:t>
            </w:r>
            <w:r w:rsidR="000878EC">
              <w:rPr>
                <w:rStyle w:val="InstructionsTabelleText"/>
                <w:rFonts w:ascii="Times New Roman" w:hAnsi="Times New Roman"/>
                <w:sz w:val="24"/>
              </w:rPr>
              <w:t>"</w:t>
            </w:r>
            <w:r>
              <w:rPr>
                <w:rStyle w:val="InstructionsTabelleText"/>
                <w:rFonts w:ascii="Times New Roman" w:hAnsi="Times New Roman"/>
                <w:sz w:val="24"/>
              </w:rPr>
              <w:t>parte non pagata di azioni sottoscritte</w:t>
            </w:r>
            <w:r w:rsidR="000878EC">
              <w:rPr>
                <w:rStyle w:val="InstructionsTabelleText"/>
                <w:rFonts w:ascii="Times New Roman" w:hAnsi="Times New Roman"/>
                <w:sz w:val="24"/>
              </w:rPr>
              <w:t>"</w:t>
            </w:r>
            <w:r>
              <w:rPr>
                <w:rStyle w:val="InstructionsTabelleText"/>
                <w:rFonts w:ascii="Times New Roman" w:hAnsi="Times New Roman"/>
                <w:sz w:val="24"/>
              </w:rPr>
              <w:t>).</w:t>
            </w:r>
          </w:p>
          <w:p w:rsidR="00745369" w:rsidRPr="00661595" w:rsidRDefault="00C61FF5" w:rsidP="008728EE">
            <w:pPr>
              <w:suppressAutoHyphens/>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Gli enti che applicano il metodo della ponderazione semplice o il metodo PD/LGD (di cui all</w:t>
            </w:r>
            <w:r w:rsidR="000878EC">
              <w:rPr>
                <w:rStyle w:val="InstructionsTabelleText"/>
                <w:rFonts w:ascii="Times New Roman" w:hAnsi="Times New Roman"/>
                <w:sz w:val="24"/>
              </w:rPr>
              <w:t>'</w:t>
            </w:r>
            <w:r>
              <w:rPr>
                <w:rStyle w:val="InstructionsTabelleText"/>
                <w:rFonts w:ascii="Times New Roman" w:hAnsi="Times New Roman"/>
                <w:sz w:val="24"/>
              </w:rPr>
              <w:t>articolo 165, paragrafo 1, del CRR) tengono conto anche della compensazione di cui all</w:t>
            </w:r>
            <w:r w:rsidR="000878EC">
              <w:rPr>
                <w:rStyle w:val="InstructionsTabelleText"/>
                <w:rFonts w:ascii="Times New Roman" w:hAnsi="Times New Roman"/>
                <w:sz w:val="24"/>
              </w:rPr>
              <w:t>'</w:t>
            </w:r>
            <w:r>
              <w:rPr>
                <w:rStyle w:val="InstructionsTabelleText"/>
                <w:rFonts w:ascii="Times New Roman" w:hAnsi="Times New Roman"/>
                <w:sz w:val="24"/>
              </w:rPr>
              <w:t xml:space="preserve">articolo 155, paragrafo 2, secondo comma, del CRR. </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8728EE">
            <w:pPr>
              <w:suppressAutoHyphens/>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0030-0040</w:t>
            </w:r>
          </w:p>
        </w:tc>
        <w:tc>
          <w:tcPr>
            <w:tcW w:w="8004" w:type="dxa"/>
          </w:tcPr>
          <w:p w:rsidR="00745369" w:rsidRPr="00661595" w:rsidRDefault="00C61FF5" w:rsidP="008728EE">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TECNICHE DI ATTENUAZIONE DEL RISCHIO DI CREDITO (CRM) CON EFFETTI DI SOSTITUZIONE SULL</w:t>
            </w:r>
            <w:r w:rsidR="000878EC">
              <w:rPr>
                <w:rStyle w:val="InstructionsTabelleberschrift"/>
                <w:rFonts w:ascii="Times New Roman" w:hAnsi="Times New Roman"/>
                <w:sz w:val="24"/>
              </w:rPr>
              <w:t>'</w:t>
            </w:r>
            <w:r>
              <w:rPr>
                <w:rStyle w:val="InstructionsTabelleberschrift"/>
                <w:rFonts w:ascii="Times New Roman" w:hAnsi="Times New Roman"/>
                <w:sz w:val="24"/>
              </w:rPr>
              <w:t>ESPOSIZIONE</w:t>
            </w:r>
          </w:p>
          <w:p w:rsidR="00745369" w:rsidRPr="00661595" w:rsidRDefault="00C61FF5" w:rsidP="008728EE">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PROTEZIONE DEL CREDITO DI TIPO PERSONALE</w:t>
            </w:r>
          </w:p>
          <w:p w:rsidR="00745369" w:rsidRPr="00661595" w:rsidRDefault="00C61FF5" w:rsidP="008728EE">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GARANZIE</w:t>
            </w:r>
          </w:p>
          <w:p w:rsidR="00745369" w:rsidRPr="00661595" w:rsidRDefault="00C61FF5" w:rsidP="008728EE">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DERIVATI SU CREDITI</w:t>
            </w:r>
          </w:p>
          <w:p w:rsidR="00745369" w:rsidRPr="00661595" w:rsidRDefault="00C61FF5" w:rsidP="008728EE">
            <w:pPr>
              <w:suppressAutoHyphens/>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Indipendentemente dal metodo applicato al calcolo degli importi ponderati per il rischio delle esposizioni in strumenti di capitale, gli enti possono rilevare le protezioni del credito di tipo personale ottenute per le esposizioni in strumenti di capitale (articolo 155, paragrafi 2, 3 e 4, del CRR). Gli enti che applicano il metodo della ponderazione semplice o il metodo PD/LGD segnalano nelle colonne 0030 e 040 l</w:t>
            </w:r>
            <w:r w:rsidR="000878EC">
              <w:rPr>
                <w:rStyle w:val="InstructionsTabelleText"/>
                <w:rFonts w:ascii="Times New Roman" w:hAnsi="Times New Roman"/>
                <w:sz w:val="24"/>
              </w:rPr>
              <w:t>'</w:t>
            </w:r>
            <w:r>
              <w:rPr>
                <w:rStyle w:val="InstructionsTabelleText"/>
                <w:rFonts w:ascii="Times New Roman" w:hAnsi="Times New Roman"/>
                <w:sz w:val="24"/>
              </w:rPr>
              <w:t>importo della protezione del credito di tipo personale in forma di garanzie (colonna 0030) o di derivati su crediti (colonna 0040) rilevato secondo i metodi di cui alla parte tre, titolo II, capo 4, del CRR.</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8728EE">
            <w:pPr>
              <w:suppressAutoHyphens/>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0050</w:t>
            </w:r>
          </w:p>
        </w:tc>
        <w:tc>
          <w:tcPr>
            <w:tcW w:w="8004" w:type="dxa"/>
          </w:tcPr>
          <w:p w:rsidR="00745369" w:rsidRPr="00661595" w:rsidRDefault="00C61FF5" w:rsidP="008728EE">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TECNICHE DI ATTENUAZIONE DEL RISCHIO DI CREDITO (CRM) CON EFFETTI DI SOSTITUZIONE SULL</w:t>
            </w:r>
            <w:r w:rsidR="000878EC">
              <w:rPr>
                <w:rStyle w:val="InstructionsTabelleberschrift"/>
                <w:rFonts w:ascii="Times New Roman" w:hAnsi="Times New Roman"/>
                <w:sz w:val="24"/>
              </w:rPr>
              <w:t>'</w:t>
            </w:r>
            <w:r>
              <w:rPr>
                <w:rStyle w:val="InstructionsTabelleberschrift"/>
                <w:rFonts w:ascii="Times New Roman" w:hAnsi="Times New Roman"/>
                <w:sz w:val="24"/>
              </w:rPr>
              <w:t>ESPOSIZIONE</w:t>
            </w:r>
          </w:p>
          <w:p w:rsidR="00745369" w:rsidRPr="00661595" w:rsidRDefault="00C61FF5" w:rsidP="008728EE">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SOSTITUZIONE DELL</w:t>
            </w:r>
            <w:r w:rsidR="000878EC">
              <w:rPr>
                <w:rStyle w:val="InstructionsTabelleberschrift"/>
                <w:rFonts w:ascii="Times New Roman" w:hAnsi="Times New Roman"/>
                <w:sz w:val="24"/>
              </w:rPr>
              <w:t>'</w:t>
            </w:r>
            <w:r>
              <w:rPr>
                <w:rStyle w:val="InstructionsTabelleberschrift"/>
                <w:rFonts w:ascii="Times New Roman" w:hAnsi="Times New Roman"/>
                <w:sz w:val="24"/>
              </w:rPr>
              <w:t>ESPOSIZIONE DOVUTA ALL</w:t>
            </w:r>
            <w:r w:rsidR="000878EC">
              <w:rPr>
                <w:rStyle w:val="InstructionsTabelleberschrift"/>
                <w:rFonts w:ascii="Times New Roman" w:hAnsi="Times New Roman"/>
                <w:sz w:val="24"/>
              </w:rPr>
              <w:t>'</w:t>
            </w:r>
            <w:r>
              <w:rPr>
                <w:rStyle w:val="InstructionsTabelleberschrift"/>
                <w:rFonts w:ascii="Times New Roman" w:hAnsi="Times New Roman"/>
                <w:sz w:val="24"/>
              </w:rPr>
              <w:t>ATTENUAZIONE DEL RISCHIO DI CREDITO</w:t>
            </w:r>
          </w:p>
          <w:p w:rsidR="00745369" w:rsidRPr="00661595" w:rsidRDefault="00C61FF5" w:rsidP="008728EE">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DEFLUSSI TOTALI</w:t>
            </w:r>
          </w:p>
          <w:p w:rsidR="00745369" w:rsidRPr="00661595" w:rsidRDefault="00C61FF5" w:rsidP="008728EE">
            <w:pPr>
              <w:suppressAutoHyphens/>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w:t>
            </w:r>
            <w:r w:rsidR="000878EC">
              <w:rPr>
                <w:rStyle w:val="InstructionsTabelleText"/>
                <w:rFonts w:ascii="Times New Roman" w:hAnsi="Times New Roman"/>
                <w:sz w:val="24"/>
              </w:rPr>
              <w:t>'</w:t>
            </w:r>
            <w:r>
              <w:rPr>
                <w:rStyle w:val="InstructionsTabelleText"/>
                <w:rFonts w:ascii="Times New Roman" w:hAnsi="Times New Roman"/>
                <w:sz w:val="24"/>
              </w:rPr>
              <w:t>ente segnala nella colonna 0050 la parte dell</w:t>
            </w:r>
            <w:r w:rsidR="000878EC">
              <w:rPr>
                <w:rStyle w:val="InstructionsTabelleText"/>
                <w:rFonts w:ascii="Times New Roman" w:hAnsi="Times New Roman"/>
                <w:sz w:val="24"/>
              </w:rPr>
              <w:t>'</w:t>
            </w:r>
            <w:r>
              <w:rPr>
                <w:rStyle w:val="InstructionsTabelleText"/>
                <w:rFonts w:ascii="Times New Roman" w:hAnsi="Times New Roman"/>
                <w:sz w:val="24"/>
              </w:rPr>
              <w:t>esposizione originaria prima dell</w:t>
            </w:r>
            <w:r w:rsidR="000878EC">
              <w:rPr>
                <w:rStyle w:val="InstructionsTabelleText"/>
                <w:rFonts w:ascii="Times New Roman" w:hAnsi="Times New Roman"/>
                <w:sz w:val="24"/>
              </w:rPr>
              <w:t>'</w:t>
            </w:r>
            <w:r>
              <w:rPr>
                <w:rStyle w:val="InstructionsTabelleText"/>
                <w:rFonts w:ascii="Times New Roman" w:hAnsi="Times New Roman"/>
                <w:sz w:val="24"/>
              </w:rPr>
              <w:t>applicazione dei fattori di conversione garantita dalla protezione del credito di tipo personale rilevata secondo i metodi di cui alla parte tre, titolo II, capo 4, del CRR.</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8728EE">
            <w:pPr>
              <w:suppressAutoHyphens/>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0060</w:t>
            </w:r>
          </w:p>
        </w:tc>
        <w:tc>
          <w:tcPr>
            <w:tcW w:w="8004" w:type="dxa"/>
          </w:tcPr>
          <w:p w:rsidR="00745369" w:rsidRPr="00661595" w:rsidRDefault="00C61FF5" w:rsidP="008728EE">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VALORE DELL</w:t>
            </w:r>
            <w:r w:rsidR="000878EC">
              <w:rPr>
                <w:rStyle w:val="InstructionsTabelleberschrift"/>
                <w:rFonts w:ascii="Times New Roman" w:hAnsi="Times New Roman"/>
                <w:sz w:val="24"/>
              </w:rPr>
              <w:t>'</w:t>
            </w:r>
            <w:r>
              <w:rPr>
                <w:rStyle w:val="InstructionsTabelleberschrift"/>
                <w:rFonts w:ascii="Times New Roman" w:hAnsi="Times New Roman"/>
                <w:sz w:val="24"/>
              </w:rPr>
              <w:t>ESPOSIZIONE</w:t>
            </w:r>
          </w:p>
          <w:p w:rsidR="00745369" w:rsidRPr="00661595" w:rsidRDefault="00C61FF5" w:rsidP="008728EE">
            <w:pPr>
              <w:suppressAutoHyphens/>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Gli enti che applicano il metodo della ponderazione semplice o il metodo PD/LGD segnalano nella colonna 0060 il valore dell</w:t>
            </w:r>
            <w:r w:rsidR="000878EC">
              <w:rPr>
                <w:rStyle w:val="InstructionsTabelleText"/>
                <w:rFonts w:ascii="Times New Roman" w:hAnsi="Times New Roman"/>
                <w:sz w:val="24"/>
              </w:rPr>
              <w:t>'</w:t>
            </w:r>
            <w:r>
              <w:rPr>
                <w:rStyle w:val="InstructionsTabelleText"/>
                <w:rFonts w:ascii="Times New Roman" w:hAnsi="Times New Roman"/>
                <w:sz w:val="24"/>
              </w:rPr>
              <w:t>esposizione tenendo conto degli effetti di sostituzione derivanti dalla protezione del cred</w:t>
            </w:r>
            <w:r w:rsidR="008728EE">
              <w:rPr>
                <w:rStyle w:val="InstructionsTabelleText"/>
                <w:rFonts w:ascii="Times New Roman" w:hAnsi="Times New Roman"/>
                <w:sz w:val="24"/>
              </w:rPr>
              <w:t>ito di tipo personale (articolo </w:t>
            </w:r>
            <w:r>
              <w:rPr>
                <w:rStyle w:val="InstructionsTabelleText"/>
                <w:rFonts w:ascii="Times New Roman" w:hAnsi="Times New Roman"/>
                <w:sz w:val="24"/>
              </w:rPr>
              <w:t>155, paragrafi 2 e 3, e articolo 167 del CRR).</w:t>
            </w:r>
          </w:p>
          <w:p w:rsidR="00745369" w:rsidRPr="00661595" w:rsidRDefault="00A16FFF" w:rsidP="008728EE">
            <w:pPr>
              <w:suppressAutoHyphens/>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Nel caso delle esposizioni in strumenti di capitale fuori bilancio, il valore dell</w:t>
            </w:r>
            <w:r w:rsidR="000878EC">
              <w:rPr>
                <w:rStyle w:val="InstructionsTabelleText"/>
                <w:rFonts w:ascii="Times New Roman" w:hAnsi="Times New Roman"/>
                <w:sz w:val="24"/>
              </w:rPr>
              <w:t>'</w:t>
            </w:r>
            <w:r>
              <w:rPr>
                <w:rStyle w:val="InstructionsTabelleText"/>
                <w:rFonts w:ascii="Times New Roman" w:hAnsi="Times New Roman"/>
                <w:sz w:val="24"/>
              </w:rPr>
              <w:t>esposizione è pari al valore nominale ridotto delle rettifiche di valore su crediti specifiche (articolo 167 del CRR).</w:t>
            </w:r>
          </w:p>
        </w:tc>
      </w:tr>
      <w:tr w:rsidR="0027034D"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27034D" w:rsidRPr="00661595" w:rsidRDefault="0027034D" w:rsidP="008728EE">
            <w:pPr>
              <w:suppressAutoHyphens/>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0061</w:t>
            </w:r>
          </w:p>
        </w:tc>
        <w:tc>
          <w:tcPr>
            <w:tcW w:w="8004" w:type="dxa"/>
          </w:tcPr>
          <w:p w:rsidR="0027034D" w:rsidRPr="00661595" w:rsidRDefault="0027034D" w:rsidP="008728EE">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 CUI: ELEMENTI FUORI BILANCIO</w:t>
            </w:r>
          </w:p>
          <w:p w:rsidR="0027034D" w:rsidRPr="00661595" w:rsidRDefault="0027034D" w:rsidP="008728EE">
            <w:pPr>
              <w:suppressAutoHyphens/>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Cfr. le istruzioni relative al modello CR SA.</w:t>
            </w:r>
            <w:r>
              <w:rPr>
                <w:rStyle w:val="InstructionsTabelleberschrift"/>
                <w:rFonts w:ascii="Times New Roman" w:hAnsi="Times New Roman"/>
                <w:b w:val="0"/>
                <w:sz w:val="24"/>
              </w:rPr>
              <w:t xml:space="preserve"> </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8728EE">
            <w:pPr>
              <w:suppressAutoHyphens/>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0070</w:t>
            </w:r>
          </w:p>
        </w:tc>
        <w:tc>
          <w:tcPr>
            <w:tcW w:w="8004" w:type="dxa"/>
          </w:tcPr>
          <w:p w:rsidR="00745369" w:rsidRPr="00661595" w:rsidRDefault="00C61FF5" w:rsidP="008728EE">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LGD MEDIA PONDERATA PER L</w:t>
            </w:r>
            <w:r w:rsidR="000878EC">
              <w:rPr>
                <w:rStyle w:val="InstructionsTabelleberschrift"/>
                <w:rFonts w:ascii="Times New Roman" w:hAnsi="Times New Roman"/>
                <w:sz w:val="24"/>
              </w:rPr>
              <w:t>'</w:t>
            </w:r>
            <w:r>
              <w:rPr>
                <w:rStyle w:val="InstructionsTabelleberschrift"/>
                <w:rFonts w:ascii="Times New Roman" w:hAnsi="Times New Roman"/>
                <w:sz w:val="24"/>
              </w:rPr>
              <w:t>ESPOSIZIONE (%)</w:t>
            </w:r>
          </w:p>
          <w:p w:rsidR="001A627D" w:rsidRPr="00661595" w:rsidRDefault="00C61FF5" w:rsidP="008728EE">
            <w:pPr>
              <w:suppressAutoHyphens/>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Gli enti che applicano il metodo PD/LGD segnalano la media ponderata per l</w:t>
            </w:r>
            <w:r w:rsidR="000878EC">
              <w:rPr>
                <w:rStyle w:val="InstructionsTabelleText"/>
                <w:rFonts w:ascii="Times New Roman" w:hAnsi="Times New Roman"/>
                <w:sz w:val="24"/>
              </w:rPr>
              <w:t>'</w:t>
            </w:r>
            <w:r>
              <w:rPr>
                <w:rStyle w:val="InstructionsTabelleText"/>
                <w:rFonts w:ascii="Times New Roman" w:hAnsi="Times New Roman"/>
                <w:sz w:val="24"/>
              </w:rPr>
              <w:t>esposizione delle LGD assegnate alle classi o ai pool di debitori compresi nell</w:t>
            </w:r>
            <w:r w:rsidR="000878EC">
              <w:rPr>
                <w:rStyle w:val="InstructionsTabelleText"/>
                <w:rFonts w:ascii="Times New Roman" w:hAnsi="Times New Roman"/>
                <w:sz w:val="24"/>
              </w:rPr>
              <w:t>'</w:t>
            </w:r>
            <w:r>
              <w:rPr>
                <w:rStyle w:val="InstructionsTabelleText"/>
                <w:rFonts w:ascii="Times New Roman" w:hAnsi="Times New Roman"/>
                <w:sz w:val="24"/>
              </w:rPr>
              <w:t>aggregazione.</w:t>
            </w:r>
          </w:p>
          <w:p w:rsidR="001A627D" w:rsidRPr="00661595" w:rsidRDefault="00C61FF5" w:rsidP="008728EE">
            <w:pPr>
              <w:suppressAutoHyphens/>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Per il calcolo della LGD media ponderata per l</w:t>
            </w:r>
            <w:r w:rsidR="000878EC">
              <w:rPr>
                <w:rStyle w:val="InstructionsTabelleText"/>
                <w:rFonts w:ascii="Times New Roman" w:hAnsi="Times New Roman"/>
                <w:sz w:val="24"/>
              </w:rPr>
              <w:t>'</w:t>
            </w:r>
            <w:r>
              <w:rPr>
                <w:rStyle w:val="InstructionsTabelleText"/>
                <w:rFonts w:ascii="Times New Roman" w:hAnsi="Times New Roman"/>
                <w:sz w:val="24"/>
              </w:rPr>
              <w:t>esposizione è utilizzato il valore dell</w:t>
            </w:r>
            <w:r w:rsidR="000878EC">
              <w:rPr>
                <w:rStyle w:val="InstructionsTabelleText"/>
                <w:rFonts w:ascii="Times New Roman" w:hAnsi="Times New Roman"/>
                <w:sz w:val="24"/>
              </w:rPr>
              <w:t>'</w:t>
            </w:r>
            <w:r>
              <w:rPr>
                <w:rStyle w:val="InstructionsTabelleText"/>
                <w:rFonts w:ascii="Times New Roman" w:hAnsi="Times New Roman"/>
                <w:sz w:val="24"/>
              </w:rPr>
              <w:t xml:space="preserve">esposizione tenuto conto della protezione del credito di tipo personale (colonna 0060). </w:t>
            </w:r>
          </w:p>
          <w:p w:rsidR="00745369" w:rsidRPr="00661595" w:rsidRDefault="00C61FF5" w:rsidP="008728EE">
            <w:pPr>
              <w:suppressAutoHyphens/>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Gli enti tengono conto delle disposizioni dell</w:t>
            </w:r>
            <w:r w:rsidR="000878EC">
              <w:rPr>
                <w:rStyle w:val="InstructionsTabelleText"/>
                <w:rFonts w:ascii="Times New Roman" w:hAnsi="Times New Roman"/>
                <w:sz w:val="24"/>
              </w:rPr>
              <w:t>'</w:t>
            </w:r>
            <w:r>
              <w:rPr>
                <w:rStyle w:val="InstructionsTabelleText"/>
                <w:rFonts w:ascii="Times New Roman" w:hAnsi="Times New Roman"/>
                <w:sz w:val="24"/>
              </w:rPr>
              <w:t>articolo 165, paragrafo 2, del CRR.</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8728EE">
            <w:pPr>
              <w:suppressAutoHyphens/>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0080</w:t>
            </w:r>
          </w:p>
        </w:tc>
        <w:tc>
          <w:tcPr>
            <w:tcW w:w="8004" w:type="dxa"/>
          </w:tcPr>
          <w:p w:rsidR="00745369" w:rsidRPr="00661595" w:rsidRDefault="00C61FF5" w:rsidP="008728EE">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IMPORTO DELLE ESPOSIZIONI PONDERATO PER IL RISCHIO</w:t>
            </w:r>
          </w:p>
          <w:p w:rsidR="00745369" w:rsidRPr="00661595" w:rsidRDefault="00C61FF5" w:rsidP="008728EE">
            <w:pPr>
              <w:suppressAutoHyphens/>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w:t>
            </w:r>
            <w:r w:rsidR="000878EC">
              <w:rPr>
                <w:rStyle w:val="InstructionsTabelleText"/>
                <w:rFonts w:ascii="Times New Roman" w:hAnsi="Times New Roman"/>
                <w:sz w:val="24"/>
              </w:rPr>
              <w:t>'</w:t>
            </w:r>
            <w:r>
              <w:rPr>
                <w:rStyle w:val="InstructionsTabelleText"/>
                <w:rFonts w:ascii="Times New Roman" w:hAnsi="Times New Roman"/>
                <w:sz w:val="24"/>
              </w:rPr>
              <w:t>ente segnala gli importi ponderati per il rischio delle esposizioni in strumenti di capitale calcolati a norma dell</w:t>
            </w:r>
            <w:r w:rsidR="000878EC">
              <w:rPr>
                <w:rStyle w:val="InstructionsTabelleText"/>
                <w:rFonts w:ascii="Times New Roman" w:hAnsi="Times New Roman"/>
                <w:sz w:val="24"/>
              </w:rPr>
              <w:t>'</w:t>
            </w:r>
            <w:r>
              <w:rPr>
                <w:rStyle w:val="InstructionsTabelleText"/>
                <w:rFonts w:ascii="Times New Roman" w:hAnsi="Times New Roman"/>
                <w:sz w:val="24"/>
              </w:rPr>
              <w:t>articolo 155 del CRR.</w:t>
            </w:r>
          </w:p>
          <w:p w:rsidR="00745369" w:rsidRPr="00661595" w:rsidRDefault="00D021AF" w:rsidP="008728EE">
            <w:pPr>
              <w:suppressAutoHyphens/>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Se gli enti che applicano il metodo PD/LGD non dispongono di sufficienti informazioni per poter impiegare la definizione di default di cui all</w:t>
            </w:r>
            <w:r w:rsidR="000878EC">
              <w:rPr>
                <w:rStyle w:val="InstructionsTabelleText"/>
                <w:rFonts w:ascii="Times New Roman" w:hAnsi="Times New Roman"/>
                <w:sz w:val="24"/>
              </w:rPr>
              <w:t>'</w:t>
            </w:r>
            <w:r>
              <w:rPr>
                <w:rStyle w:val="InstructionsTabelleText"/>
                <w:rFonts w:ascii="Times New Roman" w:hAnsi="Times New Roman"/>
                <w:sz w:val="24"/>
              </w:rPr>
              <w:t>articolo 178 del CRR, ai fattori di ponderazione è assegnato un fattore di graduazione di 1,5 quando si calcolano gli importi delle esposizioni pon</w:t>
            </w:r>
            <w:r w:rsidR="008728EE">
              <w:rPr>
                <w:rStyle w:val="InstructionsTabelleText"/>
                <w:rFonts w:ascii="Times New Roman" w:hAnsi="Times New Roman"/>
                <w:sz w:val="24"/>
              </w:rPr>
              <w:t>derati per il rischio (articolo </w:t>
            </w:r>
            <w:r>
              <w:rPr>
                <w:rStyle w:val="InstructionsTabelleText"/>
                <w:rFonts w:ascii="Times New Roman" w:hAnsi="Times New Roman"/>
                <w:sz w:val="24"/>
              </w:rPr>
              <w:t xml:space="preserve">155, paragrafo 3, del CRR). </w:t>
            </w:r>
          </w:p>
          <w:p w:rsidR="00745369" w:rsidRPr="00661595" w:rsidRDefault="00C61FF5" w:rsidP="008728EE">
            <w:pPr>
              <w:suppressAutoHyphens/>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Per quanto riguarda il parametro M (</w:t>
            </w:r>
            <w:r w:rsidR="000878EC">
              <w:rPr>
                <w:rStyle w:val="InstructionsTabelleText"/>
                <w:rFonts w:ascii="Times New Roman" w:hAnsi="Times New Roman"/>
                <w:sz w:val="24"/>
              </w:rPr>
              <w:t>"</w:t>
            </w:r>
            <w:r>
              <w:rPr>
                <w:rStyle w:val="InstructionsTabelleText"/>
                <w:rFonts w:ascii="Times New Roman" w:hAnsi="Times New Roman"/>
                <w:sz w:val="24"/>
              </w:rPr>
              <w:t>maturity</w:t>
            </w:r>
            <w:r w:rsidR="000878EC">
              <w:rPr>
                <w:rStyle w:val="InstructionsTabelleText"/>
                <w:rFonts w:ascii="Times New Roman" w:hAnsi="Times New Roman"/>
                <w:sz w:val="24"/>
              </w:rPr>
              <w:t>"</w:t>
            </w:r>
            <w:r>
              <w:rPr>
                <w:rStyle w:val="InstructionsTabelleText"/>
                <w:rFonts w:ascii="Times New Roman" w:hAnsi="Times New Roman"/>
                <w:sz w:val="24"/>
              </w:rPr>
              <w:t>, durata) immesso nella funzione di ponderazione del rischio, la durata assegnata alle esposizioni in strumenti di capitale è di cinque anni (articolo 165, paragrafo 3, del CRR).</w:t>
            </w:r>
          </w:p>
        </w:tc>
      </w:tr>
      <w:tr w:rsidR="00C61FF5" w:rsidRPr="00661595" w:rsidTr="00672D2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 w:type="dxa"/>
          </w:tcPr>
          <w:p w:rsidR="00745369" w:rsidRPr="00661595" w:rsidRDefault="00C61FF5" w:rsidP="008728EE">
            <w:pPr>
              <w:suppressAutoHyphens/>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0090</w:t>
            </w:r>
          </w:p>
        </w:tc>
        <w:tc>
          <w:tcPr>
            <w:tcW w:w="8004" w:type="dxa"/>
          </w:tcPr>
          <w:p w:rsidR="00745369" w:rsidRPr="00661595" w:rsidRDefault="00C61FF5" w:rsidP="008728EE">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VOCE PER MEMORIA: IMPORTO DELLE PERDITE ATTESE</w:t>
            </w:r>
          </w:p>
          <w:p w:rsidR="00745369" w:rsidRPr="00661595" w:rsidRDefault="00C61FF5" w:rsidP="008728EE">
            <w:pPr>
              <w:suppressAutoHyphens/>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L</w:t>
            </w:r>
            <w:r w:rsidR="000878EC">
              <w:rPr>
                <w:rStyle w:val="InstructionsTabelleText"/>
                <w:rFonts w:ascii="Times New Roman" w:hAnsi="Times New Roman"/>
                <w:sz w:val="24"/>
              </w:rPr>
              <w:t>'</w:t>
            </w:r>
            <w:r>
              <w:rPr>
                <w:rStyle w:val="InstructionsTabelleText"/>
                <w:rFonts w:ascii="Times New Roman" w:hAnsi="Times New Roman"/>
                <w:sz w:val="24"/>
              </w:rPr>
              <w:t>ente segnala nella colonna 0090 l</w:t>
            </w:r>
            <w:r w:rsidR="000878EC">
              <w:rPr>
                <w:rStyle w:val="InstructionsTabelleText"/>
                <w:rFonts w:ascii="Times New Roman" w:hAnsi="Times New Roman"/>
                <w:sz w:val="24"/>
              </w:rPr>
              <w:t>'</w:t>
            </w:r>
            <w:r>
              <w:rPr>
                <w:rStyle w:val="InstructionsTabelleText"/>
                <w:rFonts w:ascii="Times New Roman" w:hAnsi="Times New Roman"/>
                <w:sz w:val="24"/>
              </w:rPr>
              <w:t>importo delle perdite attese delle esposizioni in strumenti di capitale calcolato ai sensi dell</w:t>
            </w:r>
            <w:r w:rsidR="000878EC">
              <w:rPr>
                <w:rStyle w:val="InstructionsTabelleText"/>
                <w:rFonts w:ascii="Times New Roman" w:hAnsi="Times New Roman"/>
                <w:sz w:val="24"/>
              </w:rPr>
              <w:t>'</w:t>
            </w:r>
            <w:r>
              <w:rPr>
                <w:rStyle w:val="InstructionsTabelleText"/>
                <w:rFonts w:ascii="Times New Roman" w:hAnsi="Times New Roman"/>
                <w:sz w:val="24"/>
              </w:rPr>
              <w:t xml:space="preserve">articolo 158, paragrafi 4, 7, 8 e 9, del CRR. </w:t>
            </w:r>
          </w:p>
        </w:tc>
      </w:tr>
    </w:tbl>
    <w:p w:rsidR="00745369" w:rsidRPr="00661595" w:rsidRDefault="00745369" w:rsidP="00115052">
      <w:pPr>
        <w:pStyle w:val="InstructionsText"/>
      </w:pPr>
    </w:p>
    <w:p w:rsidR="00C61FF5" w:rsidRPr="00661595" w:rsidRDefault="00A971CA" w:rsidP="008728EE">
      <w:pPr>
        <w:pStyle w:val="InstructionsText2"/>
        <w:numPr>
          <w:ilvl w:val="0"/>
          <w:numId w:val="0"/>
        </w:numPr>
        <w:ind w:left="1680" w:hanging="480"/>
      </w:pPr>
      <w:r>
        <w:fldChar w:fldCharType="begin"/>
      </w:r>
      <w:r>
        <w:instrText xml:space="preserve"> seq paragraphs </w:instrText>
      </w:r>
      <w:r>
        <w:fldChar w:fldCharType="separate"/>
      </w:r>
      <w:r w:rsidR="00D11E4C">
        <w:rPr>
          <w:noProof/>
        </w:rPr>
        <w:t>98</w:t>
      </w:r>
      <w:r>
        <w:rPr>
          <w:noProof/>
        </w:rPr>
        <w:fldChar w:fldCharType="end"/>
      </w:r>
      <w:r w:rsidR="00D11E4C">
        <w:t>.</w:t>
      </w:r>
      <w:r w:rsidR="00D11E4C">
        <w:tab/>
        <w:t>Conformemente all</w:t>
      </w:r>
      <w:r w:rsidR="000878EC">
        <w:t>'</w:t>
      </w:r>
      <w:r w:rsidR="00D11E4C">
        <w:t>articolo 155 del CRR, gli enti possono applicare metodi diversi (metodo della ponderazione semplice, metodo PD/LGD o metodo dei modelli interni) a portafogli diversi se utilizzano tali metodi differenti a livello interno. L</w:t>
      </w:r>
      <w:r w:rsidR="000878EC">
        <w:t>'</w:t>
      </w:r>
      <w:r w:rsidR="00D11E4C">
        <w:t>ente segnala nel modello CR EQU IRB 1 anche gli importi ponderati per il rischio delle esposizioni in strumenti di capitale cui si applica un trattamento fisso di ponderazione del rischio (senza tuttavia essere trattate esplicitamente secondo il metodo della ponderazione semplice o senza l</w:t>
      </w:r>
      <w:r w:rsidR="000878EC">
        <w:t>'</w:t>
      </w:r>
      <w:r w:rsidR="00D11E4C">
        <w:t>applicazione parziale, in via temporanea o permanente, del metodo standardizzato per il rischio di credito).</w:t>
      </w:r>
    </w:p>
    <w:tbl>
      <w:tblPr>
        <w:tblW w:w="9524" w:type="dxa"/>
        <w:tblLook w:val="01E0" w:firstRow="1" w:lastRow="1" w:firstColumn="1" w:lastColumn="1" w:noHBand="0" w:noVBand="0"/>
      </w:tblPr>
      <w:tblGrid>
        <w:gridCol w:w="2035"/>
        <w:gridCol w:w="7489"/>
      </w:tblGrid>
      <w:tr w:rsidR="00C61FF5" w:rsidRPr="00661595" w:rsidTr="00672D2A">
        <w:tc>
          <w:tcPr>
            <w:tcW w:w="9524" w:type="dxa"/>
            <w:gridSpan w:val="2"/>
            <w:tcBorders>
              <w:top w:val="single" w:sz="4" w:space="0" w:color="auto"/>
              <w:left w:val="single" w:sz="4" w:space="0" w:color="auto"/>
              <w:bottom w:val="single" w:sz="4" w:space="0" w:color="auto"/>
              <w:right w:val="single" w:sz="4" w:space="0" w:color="auto"/>
            </w:tcBorders>
            <w:shd w:val="clear" w:color="auto" w:fill="A6A6A6"/>
          </w:tcPr>
          <w:p w:rsidR="00745369" w:rsidRPr="00661595" w:rsidRDefault="00C61FF5" w:rsidP="008728EE">
            <w:pPr>
              <w:suppressAutoHyphens/>
              <w:spacing w:beforeLines="60" w:before="144" w:afterLines="60" w:after="144"/>
              <w:rPr>
                <w:rStyle w:val="InstructionsTabelleText"/>
                <w:rFonts w:ascii="Times New Roman" w:hAnsi="Times New Roman"/>
                <w:b/>
                <w:sz w:val="24"/>
              </w:rPr>
            </w:pPr>
            <w:r>
              <w:rPr>
                <w:rStyle w:val="InstructionsTabelleText"/>
                <w:rFonts w:ascii="Times New Roman" w:hAnsi="Times New Roman"/>
                <w:b/>
                <w:sz w:val="24"/>
              </w:rPr>
              <w:t>Righe</w:t>
            </w:r>
          </w:p>
        </w:tc>
      </w:tr>
      <w:tr w:rsidR="00C61FF5" w:rsidRPr="00661595" w:rsidTr="008728EE">
        <w:tc>
          <w:tcPr>
            <w:tcW w:w="2035" w:type="dxa"/>
            <w:tcBorders>
              <w:top w:val="single" w:sz="4" w:space="0" w:color="auto"/>
              <w:left w:val="single" w:sz="4" w:space="0" w:color="auto"/>
              <w:bottom w:val="single" w:sz="4" w:space="0" w:color="auto"/>
              <w:right w:val="single" w:sz="4" w:space="0" w:color="auto"/>
            </w:tcBorders>
          </w:tcPr>
          <w:p w:rsidR="00745369" w:rsidRPr="00661595" w:rsidRDefault="00C61FF5" w:rsidP="008728EE">
            <w:pPr>
              <w:suppressAutoHyphens/>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riga 0020</w:t>
            </w:r>
          </w:p>
          <w:p w:rsidR="00745369" w:rsidRPr="00661595" w:rsidRDefault="00745369" w:rsidP="008728EE">
            <w:pPr>
              <w:suppressAutoHyphens/>
              <w:spacing w:beforeLines="60" w:before="144" w:afterLines="60" w:after="144"/>
              <w:rPr>
                <w:rStyle w:val="InstructionsTabelleText"/>
                <w:rFonts w:ascii="Times New Roman" w:hAnsi="Times New Roman"/>
                <w:sz w:val="24"/>
              </w:rPr>
            </w:pPr>
          </w:p>
        </w:tc>
        <w:tc>
          <w:tcPr>
            <w:tcW w:w="7489" w:type="dxa"/>
            <w:tcBorders>
              <w:top w:val="single" w:sz="4" w:space="0" w:color="auto"/>
              <w:left w:val="single" w:sz="4" w:space="0" w:color="auto"/>
              <w:bottom w:val="single" w:sz="4" w:space="0" w:color="auto"/>
              <w:right w:val="single" w:sz="4" w:space="0" w:color="auto"/>
            </w:tcBorders>
          </w:tcPr>
          <w:p w:rsidR="00745369" w:rsidRPr="00661595" w:rsidRDefault="00C61FF5" w:rsidP="008728EE">
            <w:pPr>
              <w:keepNext/>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METODO PD/LGD: TOTALE </w:t>
            </w:r>
          </w:p>
          <w:p w:rsidR="00745369" w:rsidRPr="00661595" w:rsidRDefault="00C61FF5" w:rsidP="008728EE">
            <w:pPr>
              <w:keepNext/>
              <w:suppressAutoHyphens/>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Gli enti che applicano il metodo PD/LGD (articolo 155, paragrafo 3, del CRR) segnalano le informazioni richieste nella riga 0020 del modello CR EQU IRB 1.</w:t>
            </w:r>
          </w:p>
        </w:tc>
      </w:tr>
      <w:tr w:rsidR="00C61FF5" w:rsidRPr="00661595" w:rsidTr="008728EE">
        <w:tc>
          <w:tcPr>
            <w:tcW w:w="2035" w:type="dxa"/>
            <w:tcBorders>
              <w:top w:val="single" w:sz="4" w:space="0" w:color="auto"/>
              <w:left w:val="single" w:sz="4" w:space="0" w:color="auto"/>
              <w:bottom w:val="single" w:sz="4" w:space="0" w:color="auto"/>
              <w:right w:val="single" w:sz="4" w:space="0" w:color="auto"/>
            </w:tcBorders>
          </w:tcPr>
          <w:p w:rsidR="00745369" w:rsidRPr="00661595" w:rsidRDefault="00C61FF5" w:rsidP="008728EE">
            <w:pPr>
              <w:keepNext/>
              <w:keepLines/>
              <w:suppressAutoHyphens/>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righe 0050 - 0090</w:t>
            </w:r>
          </w:p>
        </w:tc>
        <w:tc>
          <w:tcPr>
            <w:tcW w:w="7489" w:type="dxa"/>
            <w:tcBorders>
              <w:top w:val="single" w:sz="4" w:space="0" w:color="auto"/>
              <w:left w:val="single" w:sz="4" w:space="0" w:color="auto"/>
              <w:bottom w:val="single" w:sz="4" w:space="0" w:color="auto"/>
              <w:right w:val="single" w:sz="4" w:space="0" w:color="auto"/>
            </w:tcBorders>
          </w:tcPr>
          <w:p w:rsidR="00C61FF5" w:rsidRPr="00661595" w:rsidRDefault="00C61FF5" w:rsidP="008728EE">
            <w:pPr>
              <w:keepNext/>
              <w:keepLines/>
              <w:suppressAutoHyphens/>
              <w:rPr>
                <w:rStyle w:val="InstructionsTabelleText"/>
                <w:rFonts w:ascii="Times New Roman" w:hAnsi="Times New Roman"/>
                <w:b/>
                <w:sz w:val="24"/>
                <w:u w:val="single"/>
              </w:rPr>
            </w:pPr>
            <w:r>
              <w:rPr>
                <w:rStyle w:val="InstructionsTabelleText"/>
                <w:rFonts w:ascii="Times New Roman" w:hAnsi="Times New Roman"/>
                <w:b/>
                <w:sz w:val="24"/>
                <w:u w:val="single"/>
              </w:rPr>
              <w:t>METODO DELLA PONDERAZIONE SEMPLICE: TOTALE</w:t>
            </w:r>
          </w:p>
          <w:p w:rsidR="00C61FF5" w:rsidRPr="00661595" w:rsidRDefault="00C61FF5" w:rsidP="008728EE">
            <w:pPr>
              <w:keepNext/>
              <w:keepLines/>
              <w:suppressAutoHyphens/>
              <w:rPr>
                <w:rStyle w:val="InstructionsTabelleText"/>
                <w:rFonts w:ascii="Times New Roman" w:hAnsi="Times New Roman"/>
                <w:b/>
                <w:sz w:val="24"/>
                <w:u w:val="single"/>
              </w:rPr>
            </w:pPr>
            <w:r>
              <w:rPr>
                <w:rStyle w:val="InstructionsTabelleText"/>
                <w:rFonts w:ascii="Times New Roman" w:hAnsi="Times New Roman"/>
                <w:b/>
                <w:sz w:val="24"/>
                <w:u w:val="single"/>
              </w:rPr>
              <w:t>RIPARTIZIONE PER FATTORE DI PONDERAZIONE DEL RISCHIO DELLE ESPOSIZIONI TOTALI IN BASE AL METODO DELLA PONDERAZIONE SEMPLICE</w:t>
            </w:r>
          </w:p>
          <w:p w:rsidR="00745369" w:rsidRPr="00661595" w:rsidRDefault="00C61FF5" w:rsidP="008728EE">
            <w:pPr>
              <w:keepNext/>
              <w:keepLines/>
              <w:suppressAutoHyphens/>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Gli enti che applicano il metodo della ponderazione semplice (articolo 155, paragrafo 2, del CRR) segnalano le informazioni richieste in base alle caratteristiche delle esposizioni sottostanti nelle righe da 0050 a 0090.</w:t>
            </w:r>
          </w:p>
        </w:tc>
      </w:tr>
      <w:tr w:rsidR="00C61FF5" w:rsidRPr="00661595" w:rsidTr="008728EE">
        <w:tc>
          <w:tcPr>
            <w:tcW w:w="2035" w:type="dxa"/>
            <w:tcBorders>
              <w:top w:val="single" w:sz="4" w:space="0" w:color="auto"/>
              <w:left w:val="single" w:sz="4" w:space="0" w:color="auto"/>
              <w:bottom w:val="single" w:sz="4" w:space="0" w:color="auto"/>
              <w:right w:val="single" w:sz="4" w:space="0" w:color="auto"/>
            </w:tcBorders>
          </w:tcPr>
          <w:p w:rsidR="00745369" w:rsidRPr="00661595" w:rsidRDefault="00C61FF5" w:rsidP="008728EE">
            <w:pPr>
              <w:suppressAutoHyphens/>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CR EQU IRB 1 — riga 0100</w:t>
            </w:r>
          </w:p>
        </w:tc>
        <w:tc>
          <w:tcPr>
            <w:tcW w:w="7489" w:type="dxa"/>
            <w:tcBorders>
              <w:top w:val="single" w:sz="4" w:space="0" w:color="auto"/>
              <w:left w:val="single" w:sz="4" w:space="0" w:color="auto"/>
              <w:bottom w:val="single" w:sz="4" w:space="0" w:color="auto"/>
              <w:right w:val="single" w:sz="4" w:space="0" w:color="auto"/>
            </w:tcBorders>
          </w:tcPr>
          <w:p w:rsidR="00C61FF5" w:rsidRPr="00661595" w:rsidRDefault="00C61FF5" w:rsidP="008728EE">
            <w:pPr>
              <w:suppressAutoHyphens/>
              <w:rPr>
                <w:rStyle w:val="InstructionsTabelleberschrift"/>
                <w:rFonts w:ascii="Times New Roman" w:hAnsi="Times New Roman"/>
                <w:sz w:val="24"/>
              </w:rPr>
            </w:pPr>
            <w:r>
              <w:rPr>
                <w:rStyle w:val="InstructionsTabelleberschrift"/>
                <w:rFonts w:ascii="Times New Roman" w:hAnsi="Times New Roman"/>
                <w:sz w:val="24"/>
              </w:rPr>
              <w:t>METODO DEI MODELLI INTERNI</w:t>
            </w:r>
          </w:p>
          <w:p w:rsidR="00C61FF5" w:rsidRPr="00661595" w:rsidRDefault="00C61FF5" w:rsidP="008728EE">
            <w:pPr>
              <w:pStyle w:val="InstructionsText"/>
              <w:rPr>
                <w:rStyle w:val="FormatvorlageInstructionsTabelleText"/>
                <w:rFonts w:ascii="Times New Roman" w:hAnsi="Times New Roman"/>
                <w:bCs w:val="0"/>
                <w:sz w:val="24"/>
              </w:rPr>
            </w:pPr>
            <w:r>
              <w:rPr>
                <w:rStyle w:val="FormatvorlageInstructionsTabelleText"/>
                <w:rFonts w:ascii="Times New Roman" w:hAnsi="Times New Roman"/>
                <w:sz w:val="24"/>
              </w:rPr>
              <w:t>Gli enti che applicano il metodo dei modelli i</w:t>
            </w:r>
            <w:r w:rsidR="008728EE">
              <w:rPr>
                <w:rStyle w:val="FormatvorlageInstructionsTabelleText"/>
                <w:rFonts w:ascii="Times New Roman" w:hAnsi="Times New Roman"/>
                <w:sz w:val="24"/>
              </w:rPr>
              <w:t>nterni (articolo 155, paragrafo </w:t>
            </w:r>
            <w:r>
              <w:rPr>
                <w:rStyle w:val="FormatvorlageInstructionsTabelleText"/>
                <w:rFonts w:ascii="Times New Roman" w:hAnsi="Times New Roman"/>
                <w:sz w:val="24"/>
              </w:rPr>
              <w:t>4, del CRR) segnalano le informazioni richieste nella riga 0100.</w:t>
            </w:r>
          </w:p>
        </w:tc>
      </w:tr>
      <w:tr w:rsidR="00C61FF5" w:rsidRPr="00661595" w:rsidTr="008728EE">
        <w:tc>
          <w:tcPr>
            <w:tcW w:w="2035" w:type="dxa"/>
            <w:tcBorders>
              <w:top w:val="single" w:sz="4" w:space="0" w:color="auto"/>
              <w:left w:val="single" w:sz="4" w:space="0" w:color="auto"/>
              <w:bottom w:val="single" w:sz="4" w:space="0" w:color="auto"/>
              <w:right w:val="single" w:sz="4" w:space="0" w:color="auto"/>
            </w:tcBorders>
          </w:tcPr>
          <w:p w:rsidR="00745369" w:rsidRPr="00661595" w:rsidRDefault="00C61FF5" w:rsidP="008728EE">
            <w:pPr>
              <w:suppressAutoHyphens/>
              <w:spacing w:beforeLines="60" w:before="144" w:afterLines="60" w:after="144"/>
              <w:rPr>
                <w:rStyle w:val="InstructionsTabelleText"/>
                <w:rFonts w:ascii="Times New Roman" w:hAnsi="Times New Roman"/>
                <w:bCs/>
                <w:sz w:val="24"/>
              </w:rPr>
            </w:pPr>
            <w:r>
              <w:rPr>
                <w:rStyle w:val="InstructionsTabelleText"/>
                <w:rFonts w:ascii="Times New Roman" w:hAnsi="Times New Roman"/>
                <w:sz w:val="24"/>
              </w:rPr>
              <w:t>CR EQU IRB 1 — riga 0110</w:t>
            </w:r>
          </w:p>
        </w:tc>
        <w:tc>
          <w:tcPr>
            <w:tcW w:w="7489" w:type="dxa"/>
            <w:tcBorders>
              <w:top w:val="single" w:sz="4" w:space="0" w:color="auto"/>
              <w:left w:val="single" w:sz="4" w:space="0" w:color="auto"/>
              <w:bottom w:val="single" w:sz="4" w:space="0" w:color="auto"/>
              <w:right w:val="single" w:sz="4" w:space="0" w:color="auto"/>
            </w:tcBorders>
          </w:tcPr>
          <w:p w:rsidR="00C61FF5" w:rsidRPr="00661595" w:rsidRDefault="00C61FF5" w:rsidP="008728EE">
            <w:pPr>
              <w:suppressAutoHyphens/>
              <w:rPr>
                <w:rStyle w:val="InstructionsTabelleberschrift"/>
                <w:rFonts w:ascii="Times New Roman" w:hAnsi="Times New Roman"/>
                <w:sz w:val="24"/>
              </w:rPr>
            </w:pPr>
            <w:r>
              <w:rPr>
                <w:rStyle w:val="InstructionsTabelleberschrift"/>
                <w:rFonts w:ascii="Times New Roman" w:hAnsi="Times New Roman"/>
                <w:sz w:val="24"/>
              </w:rPr>
              <w:t>ESPOSIZIONI IN STRUMENTI DI CAPITALE SOGGETTE A FATTORI DI PONDERAZIONE DEL RISCHIO</w:t>
            </w:r>
          </w:p>
          <w:p w:rsidR="00C61FF5" w:rsidRPr="00661595" w:rsidRDefault="00C61FF5" w:rsidP="008728EE">
            <w:pPr>
              <w:suppressAutoHyphens/>
              <w:rPr>
                <w:rFonts w:ascii="Times New Roman" w:hAnsi="Times New Roman"/>
                <w:sz w:val="24"/>
              </w:rPr>
            </w:pPr>
            <w:r>
              <w:rPr>
                <w:rFonts w:ascii="Times New Roman" w:hAnsi="Times New Roman"/>
                <w:sz w:val="24"/>
              </w:rPr>
              <w:t>Gli enti che applicano il metodo IRB segnalano gli importi ponderati per il rischio delle esposizioni in strumenti di capitale cui si applica un trattamento fisso di ponderazione del rischio (senza tuttavia essere trattate esplicitamente secondo il metodo della ponderazione semplice o senza l</w:t>
            </w:r>
            <w:r w:rsidR="000878EC">
              <w:rPr>
                <w:rFonts w:ascii="Times New Roman" w:hAnsi="Times New Roman"/>
                <w:sz w:val="24"/>
              </w:rPr>
              <w:t>'</w:t>
            </w:r>
            <w:r>
              <w:rPr>
                <w:rFonts w:ascii="Times New Roman" w:hAnsi="Times New Roman"/>
                <w:sz w:val="24"/>
              </w:rPr>
              <w:t>applicazione parziale, in via temporanea o permanente, del metodo standardizzato per il rischio di credito). Ad esempio:</w:t>
            </w:r>
          </w:p>
          <w:p w:rsidR="00C61FF5" w:rsidRPr="00661595" w:rsidRDefault="00C61FF5" w:rsidP="008728EE">
            <w:pPr>
              <w:suppressAutoHyphens/>
              <w:rPr>
                <w:rStyle w:val="FormatvorlageInstructionsTabelleText"/>
                <w:rFonts w:ascii="Times New Roman" w:hAnsi="Times New Roman"/>
                <w:sz w:val="24"/>
              </w:rPr>
            </w:pPr>
            <w:r>
              <w:rPr>
                <w:rFonts w:ascii="Times New Roman" w:hAnsi="Times New Roman"/>
                <w:sz w:val="24"/>
              </w:rPr>
              <w:t>-</w:t>
            </w:r>
            <w:r>
              <w:rPr>
                <w:rStyle w:val="FormatvorlageInstructionsTabelleText"/>
                <w:rFonts w:ascii="Times New Roman" w:hAnsi="Times New Roman"/>
                <w:sz w:val="24"/>
              </w:rPr>
              <w:t xml:space="preserve"> 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importo dell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esposizione ponderato per il rischio delle posizioni in strumenti di capitale di soggetti del settore finanziario trattate conformemente all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articolo 48, paragrafo 4, del CRR e</w:t>
            </w:r>
          </w:p>
          <w:p w:rsidR="00C61FF5" w:rsidRPr="00661595" w:rsidRDefault="00C61FF5" w:rsidP="008728EE">
            <w:pPr>
              <w:suppressAutoHyphens/>
              <w:rPr>
                <w:rStyle w:val="FormatvorlageInstructionsTabelleText"/>
                <w:rFonts w:ascii="Times New Roman" w:hAnsi="Times New Roman"/>
                <w:sz w:val="24"/>
              </w:rPr>
            </w:pPr>
            <w:r>
              <w:rPr>
                <w:rStyle w:val="FormatvorlageInstructionsTabelleText"/>
                <w:rFonts w:ascii="Times New Roman" w:hAnsi="Times New Roman"/>
                <w:sz w:val="24"/>
              </w:rPr>
              <w:t>- le posizioni in strumenti di capitale con una ponderazione del rischio del 370 % conformemente all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articolo 471, paragrafo 2, del CRR sono segnalati nella riga 0110.</w:t>
            </w:r>
          </w:p>
        </w:tc>
      </w:tr>
      <w:tr w:rsidR="00C61FF5" w:rsidRPr="00661595" w:rsidTr="008728EE">
        <w:tc>
          <w:tcPr>
            <w:tcW w:w="2035" w:type="dxa"/>
            <w:tcBorders>
              <w:top w:val="single" w:sz="4" w:space="0" w:color="auto"/>
              <w:left w:val="single" w:sz="4" w:space="0" w:color="auto"/>
              <w:bottom w:val="single" w:sz="4" w:space="0" w:color="auto"/>
              <w:right w:val="single" w:sz="4" w:space="0" w:color="auto"/>
            </w:tcBorders>
          </w:tcPr>
          <w:p w:rsidR="00C61FF5" w:rsidRPr="00661595" w:rsidRDefault="00C61FF5" w:rsidP="008728EE">
            <w:pPr>
              <w:suppressAutoHyphens/>
              <w:rPr>
                <w:rStyle w:val="InstructionsTabelleText"/>
                <w:rFonts w:ascii="Times New Roman" w:hAnsi="Times New Roman"/>
                <w:sz w:val="24"/>
              </w:rPr>
            </w:pPr>
            <w:r>
              <w:rPr>
                <w:rStyle w:val="InstructionsTabelleText"/>
                <w:rFonts w:ascii="Times New Roman" w:hAnsi="Times New Roman"/>
                <w:sz w:val="24"/>
              </w:rPr>
              <w:t>CR EQU IRB 2</w:t>
            </w:r>
          </w:p>
          <w:p w:rsidR="00745369" w:rsidRPr="00661595" w:rsidRDefault="00745369" w:rsidP="008728EE">
            <w:pPr>
              <w:suppressAutoHyphens/>
              <w:spacing w:beforeLines="60" w:before="144" w:afterLines="60" w:after="144"/>
              <w:rPr>
                <w:rStyle w:val="InstructionsTabelleText"/>
                <w:rFonts w:ascii="Times New Roman" w:hAnsi="Times New Roman"/>
                <w:sz w:val="24"/>
              </w:rPr>
            </w:pPr>
          </w:p>
        </w:tc>
        <w:tc>
          <w:tcPr>
            <w:tcW w:w="7489" w:type="dxa"/>
            <w:tcBorders>
              <w:top w:val="single" w:sz="4" w:space="0" w:color="auto"/>
              <w:left w:val="single" w:sz="4" w:space="0" w:color="auto"/>
              <w:bottom w:val="single" w:sz="4" w:space="0" w:color="auto"/>
              <w:right w:val="single" w:sz="4" w:space="0" w:color="auto"/>
            </w:tcBorders>
          </w:tcPr>
          <w:p w:rsidR="00745369" w:rsidRPr="00661595" w:rsidRDefault="00C61FF5" w:rsidP="008728EE">
            <w:pPr>
              <w:keepNext/>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RIPARTIZIONE DELLE ESPOSIZIONI TOTALI PER CLASSE DI DEBITORI IN BASE AL METODO PD/LGD</w:t>
            </w:r>
          </w:p>
          <w:p w:rsidR="00745369" w:rsidRPr="00661595" w:rsidRDefault="00C61FF5" w:rsidP="008728EE">
            <w:pPr>
              <w:keepNext/>
              <w:suppressAutoHyphens/>
              <w:spacing w:beforeLines="60" w:before="144" w:afterLines="60" w:after="144"/>
              <w:rPr>
                <w:rStyle w:val="InstructionsTabelleText"/>
                <w:rFonts w:ascii="Times New Roman" w:hAnsi="Times New Roman"/>
                <w:sz w:val="24"/>
              </w:rPr>
            </w:pPr>
            <w:r>
              <w:rPr>
                <w:rStyle w:val="InstructionsTabelleText"/>
                <w:rFonts w:ascii="Times New Roman" w:hAnsi="Times New Roman"/>
                <w:sz w:val="24"/>
              </w:rPr>
              <w:t>Gli enti che applicano il metodo PD/LGD (articolo 155, paragrafo 3, del CRR) segnalano le informazioni richieste nel modello CR EQU IRB 2.</w:t>
            </w:r>
          </w:p>
          <w:p w:rsidR="00C61FF5" w:rsidRPr="00661595" w:rsidRDefault="00D021AF" w:rsidP="008728EE">
            <w:pPr>
              <w:suppressAutoHyphens/>
              <w:rPr>
                <w:rStyle w:val="InstructionsTabelleberschrift"/>
                <w:rFonts w:ascii="Times New Roman" w:hAnsi="Times New Roman"/>
                <w:b w:val="0"/>
                <w:bCs w:val="0"/>
                <w:sz w:val="24"/>
                <w:u w:val="none"/>
              </w:rPr>
            </w:pPr>
            <w:r>
              <w:rPr>
                <w:rStyle w:val="InstructionsTabelleText"/>
                <w:rFonts w:ascii="Times New Roman" w:hAnsi="Times New Roman"/>
                <w:sz w:val="24"/>
              </w:rPr>
              <w:t>Gli enti che applicano il metodo PD/LGD e che utilizzano una scala di rating unica, o sono in grado di effettuare segnalazioni in conformità di una scala tipo interna, segnalano nel modello CR EQU IRB 2 le classi o i pool di rating associati a detta scala di rating unica/scala tipo. In tutti gli altri casi, le differenti scale di rating sono riunite e classificate secondo i seguenti criteri: le classi o i pool di debitori delle differenti scale di rating sono accorpati e ordinati a partire dalla classe o dal pool con la PD più bassa alla classe o al pool con la PD più alta.</w:t>
            </w:r>
          </w:p>
        </w:tc>
      </w:tr>
    </w:tbl>
    <w:p w:rsidR="00633DEB" w:rsidRPr="00661595" w:rsidRDefault="00633DEB">
      <w:pPr>
        <w:spacing w:before="0" w:after="0"/>
        <w:jc w:val="left"/>
        <w:rPr>
          <w:rStyle w:val="InstructionsTabelleText"/>
          <w:rFonts w:ascii="Times New Roman" w:hAnsi="Times New Roman"/>
          <w:sz w:val="24"/>
        </w:rPr>
      </w:pPr>
    </w:p>
    <w:p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392" w:name="_Toc473560923"/>
      <w:bookmarkStart w:id="393" w:name="_Toc58915783"/>
      <w:r>
        <w:rPr>
          <w:rFonts w:ascii="Times New Roman" w:hAnsi="Times New Roman"/>
          <w:sz w:val="24"/>
          <w:u w:val="none"/>
        </w:rPr>
        <w:t>3.6.</w:t>
      </w:r>
      <w:r w:rsidRPr="008728EE">
        <w:rPr>
          <w:u w:val="none"/>
        </w:rPr>
        <w:tab/>
      </w:r>
      <w:bookmarkStart w:id="394" w:name="_Toc310415035"/>
      <w:r>
        <w:rPr>
          <w:rFonts w:ascii="Times New Roman" w:hAnsi="Times New Roman"/>
          <w:sz w:val="24"/>
        </w:rPr>
        <w:t>C 11.00 – Rischio di regolamento/consegna (CR SETT)</w:t>
      </w:r>
      <w:bookmarkEnd w:id="392"/>
      <w:bookmarkEnd w:id="393"/>
      <w:bookmarkEnd w:id="394"/>
    </w:p>
    <w:p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395" w:name="_Toc262568045"/>
      <w:bookmarkStart w:id="396" w:name="_Toc295829924"/>
      <w:bookmarkStart w:id="397" w:name="_Toc310415036"/>
      <w:bookmarkStart w:id="398" w:name="_Toc360188373"/>
      <w:bookmarkStart w:id="399" w:name="_Toc473560924"/>
      <w:bookmarkStart w:id="400" w:name="_Toc58915784"/>
      <w:r>
        <w:rPr>
          <w:rFonts w:ascii="Times New Roman" w:hAnsi="Times New Roman"/>
          <w:sz w:val="24"/>
          <w:u w:val="none"/>
        </w:rPr>
        <w:t>3.6.1.</w:t>
      </w:r>
      <w:r w:rsidRPr="008728EE">
        <w:rPr>
          <w:u w:val="none"/>
        </w:rPr>
        <w:tab/>
      </w:r>
      <w:r>
        <w:rPr>
          <w:rFonts w:ascii="Times New Roman" w:hAnsi="Times New Roman"/>
          <w:sz w:val="24"/>
        </w:rPr>
        <w:t>Osservazioni di carattere generale</w:t>
      </w:r>
      <w:bookmarkEnd w:id="395"/>
      <w:bookmarkEnd w:id="396"/>
      <w:bookmarkEnd w:id="397"/>
      <w:bookmarkEnd w:id="398"/>
      <w:bookmarkEnd w:id="399"/>
      <w:bookmarkEnd w:id="400"/>
    </w:p>
    <w:p w:rsidR="00612780" w:rsidRPr="00661595" w:rsidRDefault="00A971CA" w:rsidP="00B80E5D">
      <w:pPr>
        <w:pStyle w:val="InstructionsText2"/>
        <w:numPr>
          <w:ilvl w:val="0"/>
          <w:numId w:val="0"/>
        </w:numPr>
        <w:ind w:left="1680" w:hanging="480"/>
      </w:pPr>
      <w:r>
        <w:fldChar w:fldCharType="begin"/>
      </w:r>
      <w:r>
        <w:instrText xml:space="preserve"> seq paragraphs </w:instrText>
      </w:r>
      <w:r>
        <w:fldChar w:fldCharType="separate"/>
      </w:r>
      <w:r w:rsidR="00D11E4C">
        <w:rPr>
          <w:noProof/>
        </w:rPr>
        <w:t>99</w:t>
      </w:r>
      <w:r>
        <w:rPr>
          <w:noProof/>
        </w:rPr>
        <w:fldChar w:fldCharType="end"/>
      </w:r>
      <w:r w:rsidR="00D11E4C">
        <w:t>.</w:t>
      </w:r>
      <w:r w:rsidR="00D11E4C">
        <w:tab/>
        <w:t>Questo modello serve per segnalare informazioni riguardanti sia le operazioni interne al portafoglio di negoziazione sia quelle esterne che risultano non liquidate dopo lo scadere delle relative date di consegna, nonché informazioni sui relativi requisiti di fondi propri per il rischio di regolamento di cui all</w:t>
      </w:r>
      <w:r w:rsidR="000878EC">
        <w:t>'</w:t>
      </w:r>
      <w:r w:rsidR="00D11E4C">
        <w:t>articolo 92, paragrafo 3, lettera c), punto ii), e all</w:t>
      </w:r>
      <w:r w:rsidR="000878EC">
        <w:t>'</w:t>
      </w:r>
      <w:r w:rsidR="00D11E4C">
        <w:t xml:space="preserve">articolo 378 del CRR. </w:t>
      </w:r>
    </w:p>
    <w:p w:rsidR="00612780" w:rsidRPr="00661595" w:rsidRDefault="00A971CA" w:rsidP="00B80E5D">
      <w:pPr>
        <w:pStyle w:val="InstructionsText2"/>
        <w:numPr>
          <w:ilvl w:val="0"/>
          <w:numId w:val="0"/>
        </w:numPr>
        <w:ind w:left="1680" w:hanging="480"/>
      </w:pPr>
      <w:r>
        <w:fldChar w:fldCharType="begin"/>
      </w:r>
      <w:r>
        <w:instrText xml:space="preserve"> seq paragraphs </w:instrText>
      </w:r>
      <w:r>
        <w:fldChar w:fldCharType="separate"/>
      </w:r>
      <w:r w:rsidR="00D11E4C">
        <w:rPr>
          <w:noProof/>
        </w:rPr>
        <w:t>100</w:t>
      </w:r>
      <w:r>
        <w:rPr>
          <w:noProof/>
        </w:rPr>
        <w:fldChar w:fldCharType="end"/>
      </w:r>
      <w:r w:rsidR="00D11E4C">
        <w:t>.</w:t>
      </w:r>
      <w:r w:rsidR="00D11E4C">
        <w:tab/>
        <w:t>L</w:t>
      </w:r>
      <w:r w:rsidR="000878EC">
        <w:t>'</w:t>
      </w:r>
      <w:r w:rsidR="00D11E4C">
        <w:t xml:space="preserve">ente segnala nel modello CR SETT le informazioni sul rischio di regolamento/consegna relativamente agli strumenti di debito, agli strumenti di capitale, alle valute estere e alle merci interne o esterne al proprio portafoglio di negoziazione. </w:t>
      </w:r>
    </w:p>
    <w:p w:rsidR="00612780" w:rsidRPr="00661595" w:rsidRDefault="00A971CA" w:rsidP="00B80E5D">
      <w:pPr>
        <w:pStyle w:val="InstructionsText2"/>
        <w:numPr>
          <w:ilvl w:val="0"/>
          <w:numId w:val="0"/>
        </w:numPr>
        <w:ind w:left="1680" w:hanging="480"/>
      </w:pPr>
      <w:r>
        <w:fldChar w:fldCharType="begin"/>
      </w:r>
      <w:r>
        <w:instrText xml:space="preserve"> seq paragraphs </w:instrText>
      </w:r>
      <w:r>
        <w:fldChar w:fldCharType="separate"/>
      </w:r>
      <w:r w:rsidR="00D11E4C">
        <w:rPr>
          <w:noProof/>
        </w:rPr>
        <w:t>101</w:t>
      </w:r>
      <w:r>
        <w:rPr>
          <w:noProof/>
        </w:rPr>
        <w:fldChar w:fldCharType="end"/>
      </w:r>
      <w:r w:rsidR="00D11E4C">
        <w:t>.</w:t>
      </w:r>
      <w:r w:rsidR="00D11E4C">
        <w:tab/>
        <w:t>Ai sensi dell</w:t>
      </w:r>
      <w:r w:rsidR="000878EC">
        <w:t>'</w:t>
      </w:r>
      <w:r w:rsidR="00D11E4C">
        <w:t>articolo 378 del CRR le operazioni di vendita con patto di riacquisto e le operazioni di concessione e assunzione in prestito di titoli o di merci relative a strumenti di debito, strumenti di capitale, valute estere e merci non sono soggette ai requisiti di fondi propri per il rischio di regolamento/consegna. Si rileva, tuttavia, che i derivati e le operazioni con regolamento a lungo termine che risultano non liquidati dopo lo scadere delle relative date di consegna sono invece soggetti ai requisiti di fondi propri per il rischio di regolamento/consegna, secondo quanto stabilito dall</w:t>
      </w:r>
      <w:r w:rsidR="000878EC">
        <w:t>'</w:t>
      </w:r>
      <w:r w:rsidR="00D11E4C">
        <w:t>articolo 378 del CRR.</w:t>
      </w:r>
    </w:p>
    <w:p w:rsidR="00612780" w:rsidRPr="00661595" w:rsidRDefault="00A971CA" w:rsidP="00B80E5D">
      <w:pPr>
        <w:pStyle w:val="InstructionsText2"/>
        <w:numPr>
          <w:ilvl w:val="0"/>
          <w:numId w:val="0"/>
        </w:numPr>
        <w:ind w:left="1680" w:hanging="480"/>
      </w:pPr>
      <w:r>
        <w:fldChar w:fldCharType="begin"/>
      </w:r>
      <w:r>
        <w:instrText xml:space="preserve"> seq paragraphs </w:instrText>
      </w:r>
      <w:r>
        <w:fldChar w:fldCharType="separate"/>
      </w:r>
      <w:r w:rsidR="00D11E4C">
        <w:rPr>
          <w:noProof/>
        </w:rPr>
        <w:t>102</w:t>
      </w:r>
      <w:r>
        <w:rPr>
          <w:noProof/>
        </w:rPr>
        <w:fldChar w:fldCharType="end"/>
      </w:r>
      <w:r w:rsidR="00D11E4C">
        <w:t>.</w:t>
      </w:r>
      <w:r w:rsidR="00D11E4C">
        <w:tab/>
        <w:t>In caso di operazioni non liquidate dopo lo scadere della data di consegna, l</w:t>
      </w:r>
      <w:r w:rsidR="000878EC">
        <w:t>'</w:t>
      </w:r>
      <w:r w:rsidR="00D11E4C">
        <w:t>ente calcola la differenza di prezzo alla quale si trova esposto. La differenza di prezzo risulta dalla differenza tra il prezzo di liquidazione convenuto per lo strumento di debito, lo strumento di capitale, la valuta estera o la merce in questione e il suo valore di mercato corrente, quando tale differenza può comportare una perdita per l</w:t>
      </w:r>
      <w:r w:rsidR="000878EC">
        <w:t>'</w:t>
      </w:r>
      <w:r w:rsidR="00D11E4C">
        <w:t xml:space="preserve">ente. </w:t>
      </w:r>
    </w:p>
    <w:p w:rsidR="00612780" w:rsidRPr="00661595" w:rsidRDefault="00A971CA" w:rsidP="00B80E5D">
      <w:pPr>
        <w:pStyle w:val="InstructionsText2"/>
        <w:numPr>
          <w:ilvl w:val="0"/>
          <w:numId w:val="0"/>
        </w:numPr>
        <w:ind w:left="1680" w:hanging="480"/>
      </w:pPr>
      <w:r>
        <w:fldChar w:fldCharType="begin"/>
      </w:r>
      <w:r>
        <w:instrText xml:space="preserve"> seq paragraphs </w:instrText>
      </w:r>
      <w:r>
        <w:fldChar w:fldCharType="separate"/>
      </w:r>
      <w:r w:rsidR="00D11E4C">
        <w:rPr>
          <w:noProof/>
        </w:rPr>
        <w:t>103</w:t>
      </w:r>
      <w:r>
        <w:rPr>
          <w:noProof/>
        </w:rPr>
        <w:fldChar w:fldCharType="end"/>
      </w:r>
      <w:r w:rsidR="00D11E4C">
        <w:t>.</w:t>
      </w:r>
      <w:r w:rsidR="00D11E4C">
        <w:tab/>
        <w:t>Al fine di calcolare i corrispondenti requisiti di fondi propri, l</w:t>
      </w:r>
      <w:r w:rsidR="000878EC">
        <w:t>'</w:t>
      </w:r>
      <w:r w:rsidR="00D11E4C">
        <w:t>ente moltiplica tale differenza di prezzo per il fattore appropriato di cui alla tabella 1 dell</w:t>
      </w:r>
      <w:r w:rsidR="000878EC">
        <w:t>'</w:t>
      </w:r>
      <w:r w:rsidR="00D11E4C">
        <w:t>articolo 378 del CRR.</w:t>
      </w:r>
    </w:p>
    <w:p w:rsidR="00612780" w:rsidRPr="00661595" w:rsidRDefault="00A971CA" w:rsidP="00B80E5D">
      <w:pPr>
        <w:pStyle w:val="InstructionsText2"/>
        <w:numPr>
          <w:ilvl w:val="0"/>
          <w:numId w:val="0"/>
        </w:numPr>
        <w:ind w:left="1680" w:hanging="480"/>
      </w:pPr>
      <w:r>
        <w:fldChar w:fldCharType="begin"/>
      </w:r>
      <w:r>
        <w:instrText xml:space="preserve"> seq paragraphs </w:instrText>
      </w:r>
      <w:r>
        <w:fldChar w:fldCharType="separate"/>
      </w:r>
      <w:r w:rsidR="00D11E4C">
        <w:rPr>
          <w:noProof/>
        </w:rPr>
        <w:t>104</w:t>
      </w:r>
      <w:r>
        <w:rPr>
          <w:noProof/>
        </w:rPr>
        <w:fldChar w:fldCharType="end"/>
      </w:r>
      <w:r w:rsidR="00D11E4C">
        <w:t>.</w:t>
      </w:r>
      <w:r w:rsidR="00D11E4C">
        <w:tab/>
        <w:t>Ai sensi dell</w:t>
      </w:r>
      <w:r w:rsidR="000878EC">
        <w:t>'</w:t>
      </w:r>
      <w:r w:rsidR="00D11E4C">
        <w:t>articolo 92, paragrafo 4, lettera b), del CRR, per determinare l</w:t>
      </w:r>
      <w:r w:rsidR="000878EC">
        <w:t>'</w:t>
      </w:r>
      <w:r w:rsidR="00D11E4C">
        <w:t>importo dell</w:t>
      </w:r>
      <w:r w:rsidR="000878EC">
        <w:t>'</w:t>
      </w:r>
      <w:r w:rsidR="00D11E4C">
        <w:t>esposizione al rischio i requisiti di fondi propri per il rischio di regolamento/consegna sono moltiplicati per 12,5.</w:t>
      </w:r>
    </w:p>
    <w:p w:rsidR="00612780" w:rsidRPr="00661595" w:rsidRDefault="00A971CA" w:rsidP="00B80E5D">
      <w:pPr>
        <w:pStyle w:val="InstructionsText2"/>
        <w:numPr>
          <w:ilvl w:val="0"/>
          <w:numId w:val="0"/>
        </w:numPr>
        <w:ind w:left="1680" w:hanging="480"/>
      </w:pPr>
      <w:r>
        <w:fldChar w:fldCharType="begin"/>
      </w:r>
      <w:r>
        <w:instrText xml:space="preserve"> seq paragraphs </w:instrText>
      </w:r>
      <w:r>
        <w:fldChar w:fldCharType="separate"/>
      </w:r>
      <w:r w:rsidR="00D11E4C">
        <w:rPr>
          <w:noProof/>
        </w:rPr>
        <w:t>105</w:t>
      </w:r>
      <w:r>
        <w:rPr>
          <w:noProof/>
        </w:rPr>
        <w:fldChar w:fldCharType="end"/>
      </w:r>
      <w:r w:rsidR="00D11E4C">
        <w:t>.</w:t>
      </w:r>
      <w:r w:rsidR="00D11E4C">
        <w:tab/>
        <w:t>Si rileva che i requisiti di fondi propri per le operazioni con regolamento non contestuale ai sensi dell</w:t>
      </w:r>
      <w:r w:rsidR="000878EC">
        <w:t>'</w:t>
      </w:r>
      <w:r w:rsidR="00D11E4C">
        <w:t>articolo 379 del CRR non sono compresi nel modello CR SETT. Essi sono segnalati nei modelli relativi al rischio di credito (CR SA, CR IRB).</w:t>
      </w:r>
    </w:p>
    <w:p w:rsidR="00612780" w:rsidRPr="00661595" w:rsidRDefault="00125707" w:rsidP="00B80E5D">
      <w:pPr>
        <w:pStyle w:val="Instructionsberschrift2"/>
        <w:keepLines/>
        <w:numPr>
          <w:ilvl w:val="0"/>
          <w:numId w:val="0"/>
        </w:numPr>
        <w:ind w:left="357" w:hanging="357"/>
        <w:rPr>
          <w:rFonts w:ascii="Times New Roman" w:hAnsi="Times New Roman" w:cs="Times New Roman"/>
          <w:sz w:val="24"/>
        </w:rPr>
      </w:pPr>
      <w:bookmarkStart w:id="401" w:name="_Toc310415037"/>
      <w:bookmarkStart w:id="402" w:name="_Toc360188374"/>
      <w:bookmarkStart w:id="403" w:name="_Toc473560925"/>
      <w:bookmarkStart w:id="404" w:name="_Toc58915785"/>
      <w:r>
        <w:rPr>
          <w:rFonts w:ascii="Times New Roman" w:hAnsi="Times New Roman"/>
          <w:sz w:val="24"/>
          <w:u w:val="none"/>
        </w:rPr>
        <w:t>3.6.2.</w:t>
      </w:r>
      <w:r w:rsidRPr="00B80E5D">
        <w:rPr>
          <w:u w:val="none"/>
        </w:rPr>
        <w:tab/>
      </w:r>
      <w:r>
        <w:rPr>
          <w:rFonts w:ascii="Times New Roman" w:hAnsi="Times New Roman"/>
          <w:sz w:val="24"/>
        </w:rPr>
        <w:t>Istruzioni relative a posizioni specifiche</w:t>
      </w:r>
      <w:bookmarkEnd w:id="401"/>
      <w:bookmarkEnd w:id="402"/>
      <w:bookmarkEnd w:id="403"/>
      <w:bookmarkEnd w:id="40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612780" w:rsidRPr="00661595" w:rsidTr="00672D2A">
        <w:tc>
          <w:tcPr>
            <w:tcW w:w="8856" w:type="dxa"/>
            <w:gridSpan w:val="2"/>
            <w:shd w:val="clear" w:color="auto" w:fill="CCCCCC"/>
          </w:tcPr>
          <w:p w:rsidR="00745369" w:rsidRPr="00661595" w:rsidRDefault="00612780" w:rsidP="00B80E5D">
            <w:pPr>
              <w:keepNext/>
              <w:keepLines/>
              <w:suppressAutoHyphens/>
              <w:spacing w:beforeLines="60" w:before="144" w:afterLines="60" w:after="144"/>
              <w:rPr>
                <w:rFonts w:ascii="Times New Roman" w:hAnsi="Times New Roman"/>
                <w:b/>
                <w:sz w:val="24"/>
              </w:rPr>
            </w:pPr>
            <w:r>
              <w:rPr>
                <w:rFonts w:ascii="Times New Roman" w:hAnsi="Times New Roman"/>
                <w:b/>
                <w:sz w:val="24"/>
              </w:rPr>
              <w:t>Colonne</w:t>
            </w:r>
          </w:p>
        </w:tc>
      </w:tr>
      <w:tr w:rsidR="00612780" w:rsidRPr="00661595" w:rsidTr="00672D2A">
        <w:tc>
          <w:tcPr>
            <w:tcW w:w="852" w:type="dxa"/>
          </w:tcPr>
          <w:p w:rsidR="00745369" w:rsidRPr="00661595" w:rsidRDefault="00612780" w:rsidP="00B80E5D">
            <w:pPr>
              <w:keepNext/>
              <w:keepLines/>
              <w:suppressAutoHyphens/>
              <w:spacing w:beforeLines="60" w:before="144" w:afterLines="60" w:after="144"/>
              <w:rPr>
                <w:rFonts w:ascii="Times New Roman" w:hAnsi="Times New Roman"/>
                <w:sz w:val="24"/>
              </w:rPr>
            </w:pPr>
            <w:r>
              <w:rPr>
                <w:rFonts w:ascii="Times New Roman" w:hAnsi="Times New Roman"/>
                <w:sz w:val="24"/>
              </w:rPr>
              <w:t>0010</w:t>
            </w:r>
          </w:p>
        </w:tc>
        <w:tc>
          <w:tcPr>
            <w:tcW w:w="8004" w:type="dxa"/>
          </w:tcPr>
          <w:p w:rsidR="00745369" w:rsidRPr="00661595" w:rsidRDefault="00612780" w:rsidP="00B80E5D">
            <w:pPr>
              <w:keepNext/>
              <w:keepLines/>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OPERAZIONI NON LIQUIDATE AL PREZZO DI LIQUIDAZIONE</w:t>
            </w:r>
          </w:p>
          <w:p w:rsidR="00745369" w:rsidRPr="00661595" w:rsidRDefault="00A16FFF" w:rsidP="00B80E5D">
            <w:pPr>
              <w:keepNext/>
              <w:keepLines/>
              <w:suppressAutoHyphens/>
              <w:spacing w:beforeLines="60" w:before="144" w:afterLines="60" w:after="144"/>
              <w:rPr>
                <w:rFonts w:ascii="Times New Roman" w:hAnsi="Times New Roman"/>
                <w:sz w:val="24"/>
              </w:rPr>
            </w:pPr>
            <w:r>
              <w:rPr>
                <w:rFonts w:ascii="Times New Roman" w:hAnsi="Times New Roman"/>
                <w:sz w:val="24"/>
              </w:rPr>
              <w:t>L</w:t>
            </w:r>
            <w:r w:rsidR="000878EC">
              <w:rPr>
                <w:rFonts w:ascii="Times New Roman" w:hAnsi="Times New Roman"/>
                <w:sz w:val="24"/>
              </w:rPr>
              <w:t>'</w:t>
            </w:r>
            <w:r>
              <w:rPr>
                <w:rFonts w:ascii="Times New Roman" w:hAnsi="Times New Roman"/>
                <w:sz w:val="24"/>
              </w:rPr>
              <w:t>ente segnala, al prezzo di liquidazione convenuto di cui all</w:t>
            </w:r>
            <w:r w:rsidR="000878EC">
              <w:rPr>
                <w:rFonts w:ascii="Times New Roman" w:hAnsi="Times New Roman"/>
                <w:sz w:val="24"/>
              </w:rPr>
              <w:t>'</w:t>
            </w:r>
            <w:r>
              <w:rPr>
                <w:rFonts w:ascii="Times New Roman" w:hAnsi="Times New Roman"/>
                <w:sz w:val="24"/>
              </w:rPr>
              <w:t xml:space="preserve">articolo 378 del CRR, le operazioni che risultano non liquidate dopo lo scadere delle relative date di consegna. </w:t>
            </w:r>
          </w:p>
          <w:p w:rsidR="00745369" w:rsidRPr="00661595" w:rsidRDefault="00612780" w:rsidP="00B80E5D">
            <w:pPr>
              <w:keepNext/>
              <w:keepLines/>
              <w:suppressAutoHyphens/>
              <w:spacing w:beforeLines="60" w:before="144" w:afterLines="60" w:after="144"/>
              <w:rPr>
                <w:rFonts w:ascii="Times New Roman" w:hAnsi="Times New Roman"/>
                <w:sz w:val="24"/>
              </w:rPr>
            </w:pPr>
            <w:r>
              <w:rPr>
                <w:rFonts w:ascii="Times New Roman" w:hAnsi="Times New Roman"/>
                <w:sz w:val="24"/>
              </w:rPr>
              <w:t>Tutte le operazioni non liquidate sono comprese in questa colonna, a prescindere dal fatto che, allo scadere della data di regolamento, costituiscano una perdita o un profitto.</w:t>
            </w:r>
          </w:p>
        </w:tc>
      </w:tr>
      <w:tr w:rsidR="00612780" w:rsidRPr="00661595" w:rsidTr="00672D2A">
        <w:tc>
          <w:tcPr>
            <w:tcW w:w="852" w:type="dxa"/>
          </w:tcPr>
          <w:p w:rsidR="00745369" w:rsidRPr="00661595" w:rsidRDefault="00612780" w:rsidP="00B80E5D">
            <w:pPr>
              <w:suppressAutoHyphens/>
              <w:spacing w:beforeLines="60" w:before="144" w:afterLines="60" w:after="144"/>
              <w:rPr>
                <w:rFonts w:ascii="Times New Roman" w:hAnsi="Times New Roman"/>
                <w:sz w:val="24"/>
              </w:rPr>
            </w:pPr>
            <w:r>
              <w:rPr>
                <w:rFonts w:ascii="Times New Roman" w:hAnsi="Times New Roman"/>
                <w:sz w:val="24"/>
              </w:rPr>
              <w:t>0020</w:t>
            </w:r>
          </w:p>
        </w:tc>
        <w:tc>
          <w:tcPr>
            <w:tcW w:w="8004" w:type="dxa"/>
          </w:tcPr>
          <w:p w:rsidR="00745369" w:rsidRPr="00661595" w:rsidRDefault="00612780" w:rsidP="00B80E5D">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ESPOSIZIONE DERIVANTE DA UNA DIFFERENZA DI PREZZO PER OPERAZIONI NON LIQUIDATE</w:t>
            </w:r>
          </w:p>
          <w:p w:rsidR="00745369" w:rsidRPr="00661595" w:rsidRDefault="00A16FFF" w:rsidP="00B80E5D">
            <w:pPr>
              <w:suppressAutoHyphens/>
              <w:spacing w:beforeLines="60" w:before="144" w:afterLines="60" w:after="144"/>
              <w:rPr>
                <w:rFonts w:ascii="Times New Roman" w:hAnsi="Times New Roman"/>
                <w:sz w:val="24"/>
              </w:rPr>
            </w:pPr>
            <w:r>
              <w:rPr>
                <w:rFonts w:ascii="Times New Roman" w:hAnsi="Times New Roman"/>
                <w:sz w:val="24"/>
              </w:rPr>
              <w:t>Ai sensi dell</w:t>
            </w:r>
            <w:r w:rsidR="000878EC">
              <w:rPr>
                <w:rFonts w:ascii="Times New Roman" w:hAnsi="Times New Roman"/>
                <w:sz w:val="24"/>
              </w:rPr>
              <w:t>'</w:t>
            </w:r>
            <w:r>
              <w:rPr>
                <w:rFonts w:ascii="Times New Roman" w:hAnsi="Times New Roman"/>
                <w:sz w:val="24"/>
              </w:rPr>
              <w:t>articolo 378 del CRR, gli enti segnalano la differenza di prezzo tra il prezzo di liquidazione convenuto e il valore di mercato corrente dello strumento di debito, dello strumento di capitale, della valuta estera o della merce in questione, quando tale differenza può comportare una perdita per l</w:t>
            </w:r>
            <w:r w:rsidR="000878EC">
              <w:rPr>
                <w:rFonts w:ascii="Times New Roman" w:hAnsi="Times New Roman"/>
                <w:sz w:val="24"/>
              </w:rPr>
              <w:t>'</w:t>
            </w:r>
            <w:r>
              <w:rPr>
                <w:rFonts w:ascii="Times New Roman" w:hAnsi="Times New Roman"/>
                <w:sz w:val="24"/>
              </w:rPr>
              <w:t xml:space="preserve">ente. </w:t>
            </w:r>
          </w:p>
          <w:p w:rsidR="00745369" w:rsidRPr="00661595" w:rsidRDefault="00612780" w:rsidP="00B80E5D">
            <w:pPr>
              <w:suppressAutoHyphens/>
              <w:spacing w:beforeLines="60" w:before="144" w:afterLines="60" w:after="144"/>
              <w:rPr>
                <w:rFonts w:ascii="Times New Roman" w:hAnsi="Times New Roman"/>
                <w:sz w:val="24"/>
              </w:rPr>
            </w:pPr>
            <w:r>
              <w:rPr>
                <w:rFonts w:ascii="Times New Roman" w:hAnsi="Times New Roman"/>
                <w:sz w:val="24"/>
              </w:rPr>
              <w:t>In questa colonna sono segnalate soltanto le operazioni non liquidate che comportano una perdita allo scadere della data di regolamento.</w:t>
            </w:r>
          </w:p>
        </w:tc>
      </w:tr>
      <w:tr w:rsidR="00612780" w:rsidRPr="00661595" w:rsidTr="00672D2A">
        <w:tc>
          <w:tcPr>
            <w:tcW w:w="852" w:type="dxa"/>
          </w:tcPr>
          <w:p w:rsidR="00745369" w:rsidRPr="00661595" w:rsidRDefault="00612780" w:rsidP="00B80E5D">
            <w:pPr>
              <w:suppressAutoHyphens/>
              <w:spacing w:beforeLines="60" w:before="144" w:afterLines="60" w:after="144"/>
              <w:rPr>
                <w:rFonts w:ascii="Times New Roman" w:hAnsi="Times New Roman"/>
                <w:sz w:val="24"/>
              </w:rPr>
            </w:pPr>
            <w:r>
              <w:rPr>
                <w:rFonts w:ascii="Times New Roman" w:hAnsi="Times New Roman"/>
                <w:sz w:val="24"/>
              </w:rPr>
              <w:t>0030</w:t>
            </w:r>
          </w:p>
        </w:tc>
        <w:tc>
          <w:tcPr>
            <w:tcW w:w="8004" w:type="dxa"/>
          </w:tcPr>
          <w:p w:rsidR="00745369" w:rsidRPr="00661595" w:rsidRDefault="00612780" w:rsidP="00B80E5D">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REQUISITI DI FONDI PROPRI</w:t>
            </w:r>
          </w:p>
          <w:p w:rsidR="00745369" w:rsidRPr="00661595" w:rsidRDefault="00612780" w:rsidP="00B80E5D">
            <w:pPr>
              <w:suppressAutoHyphens/>
              <w:spacing w:beforeLines="60" w:before="144" w:afterLines="60" w:after="144"/>
              <w:rPr>
                <w:rFonts w:ascii="Times New Roman" w:hAnsi="Times New Roman"/>
                <w:sz w:val="24"/>
              </w:rPr>
            </w:pPr>
            <w:r>
              <w:rPr>
                <w:rFonts w:ascii="Times New Roman" w:hAnsi="Times New Roman"/>
                <w:sz w:val="24"/>
              </w:rPr>
              <w:t>L</w:t>
            </w:r>
            <w:r w:rsidR="000878EC">
              <w:rPr>
                <w:rFonts w:ascii="Times New Roman" w:hAnsi="Times New Roman"/>
                <w:sz w:val="24"/>
              </w:rPr>
              <w:t>'</w:t>
            </w:r>
            <w:r>
              <w:rPr>
                <w:rFonts w:ascii="Times New Roman" w:hAnsi="Times New Roman"/>
                <w:sz w:val="24"/>
              </w:rPr>
              <w:t>ente segnala i requisiti di fondi propri calcolati ai sensi dell</w:t>
            </w:r>
            <w:r w:rsidR="000878EC">
              <w:rPr>
                <w:rFonts w:ascii="Times New Roman" w:hAnsi="Times New Roman"/>
                <w:sz w:val="24"/>
              </w:rPr>
              <w:t>'</w:t>
            </w:r>
            <w:r>
              <w:rPr>
                <w:rFonts w:ascii="Times New Roman" w:hAnsi="Times New Roman"/>
                <w:sz w:val="24"/>
              </w:rPr>
              <w:t>articolo 378 del CRR.</w:t>
            </w:r>
          </w:p>
        </w:tc>
      </w:tr>
      <w:tr w:rsidR="00612780" w:rsidRPr="00661595" w:rsidTr="00672D2A">
        <w:tc>
          <w:tcPr>
            <w:tcW w:w="852" w:type="dxa"/>
          </w:tcPr>
          <w:p w:rsidR="00745369" w:rsidRPr="00661595" w:rsidRDefault="00612780" w:rsidP="00B80E5D">
            <w:pPr>
              <w:suppressAutoHyphens/>
              <w:spacing w:beforeLines="60" w:before="144" w:afterLines="60" w:after="144"/>
              <w:rPr>
                <w:rFonts w:ascii="Times New Roman" w:hAnsi="Times New Roman"/>
                <w:sz w:val="24"/>
              </w:rPr>
            </w:pPr>
            <w:r>
              <w:rPr>
                <w:rFonts w:ascii="Times New Roman" w:hAnsi="Times New Roman"/>
                <w:sz w:val="24"/>
              </w:rPr>
              <w:t>0040</w:t>
            </w:r>
          </w:p>
        </w:tc>
        <w:tc>
          <w:tcPr>
            <w:tcW w:w="8004" w:type="dxa"/>
          </w:tcPr>
          <w:p w:rsidR="00745369" w:rsidRPr="00661595" w:rsidRDefault="00612780" w:rsidP="00B80E5D">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IMPORTO COMPLESSIVO DELL</w:t>
            </w:r>
            <w:r w:rsidR="000878EC">
              <w:rPr>
                <w:rStyle w:val="InstructionsTabelleberschrift"/>
                <w:rFonts w:ascii="Times New Roman" w:hAnsi="Times New Roman"/>
                <w:sz w:val="24"/>
              </w:rPr>
              <w:t>'</w:t>
            </w:r>
            <w:r>
              <w:rPr>
                <w:rStyle w:val="InstructionsTabelleberschrift"/>
                <w:rFonts w:ascii="Times New Roman" w:hAnsi="Times New Roman"/>
                <w:sz w:val="24"/>
              </w:rPr>
              <w:t>ESPOSIZIONE AL RISCHIO DI REGOLAMENTO</w:t>
            </w:r>
          </w:p>
          <w:p w:rsidR="00745369" w:rsidRPr="00661595" w:rsidRDefault="00612780" w:rsidP="00B80E5D">
            <w:pPr>
              <w:suppressAutoHyphens/>
              <w:spacing w:beforeLines="60" w:before="144" w:afterLines="60" w:after="144"/>
              <w:rPr>
                <w:rFonts w:ascii="Times New Roman" w:hAnsi="Times New Roman"/>
                <w:sz w:val="24"/>
              </w:rPr>
            </w:pPr>
            <w:r>
              <w:rPr>
                <w:rFonts w:ascii="Times New Roman" w:hAnsi="Times New Roman"/>
                <w:sz w:val="24"/>
              </w:rPr>
              <w:t>Conformemente all</w:t>
            </w:r>
            <w:r w:rsidR="000878EC">
              <w:rPr>
                <w:rFonts w:ascii="Times New Roman" w:hAnsi="Times New Roman"/>
                <w:sz w:val="24"/>
              </w:rPr>
              <w:t>'</w:t>
            </w:r>
            <w:r>
              <w:rPr>
                <w:rFonts w:ascii="Times New Roman" w:hAnsi="Times New Roman"/>
                <w:sz w:val="24"/>
              </w:rPr>
              <w:t>articolo 92, paragrafo 4, lettera b), del CRR, per determinare l</w:t>
            </w:r>
            <w:r w:rsidR="000878EC">
              <w:rPr>
                <w:rFonts w:ascii="Times New Roman" w:hAnsi="Times New Roman"/>
                <w:sz w:val="24"/>
              </w:rPr>
              <w:t>'</w:t>
            </w:r>
            <w:r>
              <w:rPr>
                <w:rFonts w:ascii="Times New Roman" w:hAnsi="Times New Roman"/>
                <w:sz w:val="24"/>
              </w:rPr>
              <w:t>importo dell</w:t>
            </w:r>
            <w:r w:rsidR="000878EC">
              <w:rPr>
                <w:rFonts w:ascii="Times New Roman" w:hAnsi="Times New Roman"/>
                <w:sz w:val="24"/>
              </w:rPr>
              <w:t>'</w:t>
            </w:r>
            <w:r>
              <w:rPr>
                <w:rFonts w:ascii="Times New Roman" w:hAnsi="Times New Roman"/>
                <w:sz w:val="24"/>
              </w:rPr>
              <w:t>esposizione al rischio di regolamento l</w:t>
            </w:r>
            <w:r w:rsidR="000878EC">
              <w:rPr>
                <w:rFonts w:ascii="Times New Roman" w:hAnsi="Times New Roman"/>
                <w:sz w:val="24"/>
              </w:rPr>
              <w:t>'</w:t>
            </w:r>
            <w:r>
              <w:rPr>
                <w:rFonts w:ascii="Times New Roman" w:hAnsi="Times New Roman"/>
                <w:sz w:val="24"/>
              </w:rPr>
              <w:t>ente moltiplica per 12,5 i requisiti di fondi propri segnalati nella colonna 0030.</w:t>
            </w:r>
          </w:p>
        </w:tc>
      </w:tr>
    </w:tbl>
    <w:p w:rsidR="00612780" w:rsidRPr="00661595" w:rsidRDefault="00612780" w:rsidP="00612780">
      <w:pPr>
        <w:autoSpaceDE w:val="0"/>
        <w:autoSpaceDN w:val="0"/>
        <w:adjustRightInd w:val="0"/>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10"/>
      </w:tblGrid>
      <w:tr w:rsidR="00612780" w:rsidRPr="00661595" w:rsidTr="00672D2A">
        <w:tc>
          <w:tcPr>
            <w:tcW w:w="8862" w:type="dxa"/>
            <w:gridSpan w:val="2"/>
            <w:shd w:val="clear" w:color="auto" w:fill="CCCCCC"/>
          </w:tcPr>
          <w:p w:rsidR="00745369" w:rsidRPr="00661595" w:rsidRDefault="00612780" w:rsidP="00B80E5D">
            <w:pPr>
              <w:suppressAutoHyphens/>
              <w:spacing w:beforeLines="60" w:before="144" w:afterLines="60" w:after="144"/>
              <w:rPr>
                <w:rFonts w:ascii="Times New Roman" w:hAnsi="Times New Roman"/>
                <w:b/>
                <w:sz w:val="24"/>
              </w:rPr>
            </w:pPr>
            <w:r>
              <w:rPr>
                <w:rFonts w:ascii="Times New Roman" w:hAnsi="Times New Roman"/>
                <w:b/>
                <w:sz w:val="24"/>
              </w:rPr>
              <w:t>Righe</w:t>
            </w:r>
          </w:p>
        </w:tc>
      </w:tr>
      <w:tr w:rsidR="00612780" w:rsidRPr="00661595" w:rsidTr="00672D2A">
        <w:tc>
          <w:tcPr>
            <w:tcW w:w="852" w:type="dxa"/>
          </w:tcPr>
          <w:p w:rsidR="00745369" w:rsidRPr="00661595" w:rsidRDefault="00612780" w:rsidP="00B80E5D">
            <w:pPr>
              <w:suppressAutoHyphens/>
              <w:spacing w:beforeLines="60" w:before="144" w:afterLines="60" w:after="144"/>
              <w:rPr>
                <w:rFonts w:ascii="Times New Roman" w:hAnsi="Times New Roman"/>
                <w:sz w:val="24"/>
              </w:rPr>
            </w:pPr>
            <w:r>
              <w:rPr>
                <w:rFonts w:ascii="Times New Roman" w:hAnsi="Times New Roman"/>
                <w:sz w:val="24"/>
              </w:rPr>
              <w:t>0010</w:t>
            </w:r>
          </w:p>
        </w:tc>
        <w:tc>
          <w:tcPr>
            <w:tcW w:w="8010" w:type="dxa"/>
          </w:tcPr>
          <w:p w:rsidR="00745369" w:rsidRPr="00661595" w:rsidRDefault="00612780" w:rsidP="00B80E5D">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Operazioni non liquidate totali esterne al portafoglio di negoziazione</w:t>
            </w:r>
          </w:p>
          <w:p w:rsidR="00745369" w:rsidRPr="00661595" w:rsidRDefault="00612780" w:rsidP="00B80E5D">
            <w:pPr>
              <w:suppressAutoHyphens/>
              <w:spacing w:beforeLines="60" w:before="144" w:afterLines="60" w:after="144"/>
              <w:rPr>
                <w:rFonts w:ascii="Times New Roman" w:hAnsi="Times New Roman"/>
                <w:sz w:val="24"/>
              </w:rPr>
            </w:pPr>
            <w:r>
              <w:rPr>
                <w:rFonts w:ascii="Times New Roman" w:hAnsi="Times New Roman"/>
                <w:sz w:val="24"/>
              </w:rPr>
              <w:t>L</w:t>
            </w:r>
            <w:r w:rsidR="000878EC">
              <w:rPr>
                <w:rFonts w:ascii="Times New Roman" w:hAnsi="Times New Roman"/>
                <w:sz w:val="24"/>
              </w:rPr>
              <w:t>'</w:t>
            </w:r>
            <w:r>
              <w:rPr>
                <w:rFonts w:ascii="Times New Roman" w:hAnsi="Times New Roman"/>
                <w:sz w:val="24"/>
              </w:rPr>
              <w:t>ente segnala informazioni aggregate riguardanti il rischio di regolamento/consegna delle posizioni esterne al portafoglio di negoziazione (di cui all</w:t>
            </w:r>
            <w:r w:rsidR="000878EC">
              <w:rPr>
                <w:rFonts w:ascii="Times New Roman" w:hAnsi="Times New Roman"/>
                <w:sz w:val="24"/>
              </w:rPr>
              <w:t>'</w:t>
            </w:r>
            <w:r>
              <w:rPr>
                <w:rFonts w:ascii="Times New Roman" w:hAnsi="Times New Roman"/>
                <w:sz w:val="24"/>
              </w:rPr>
              <w:t>articolo 92, paragrafo 3, lettera c), punto ii), e all</w:t>
            </w:r>
            <w:r w:rsidR="000878EC">
              <w:rPr>
                <w:rFonts w:ascii="Times New Roman" w:hAnsi="Times New Roman"/>
                <w:sz w:val="24"/>
              </w:rPr>
              <w:t>'</w:t>
            </w:r>
            <w:r>
              <w:rPr>
                <w:rFonts w:ascii="Times New Roman" w:hAnsi="Times New Roman"/>
                <w:sz w:val="24"/>
              </w:rPr>
              <w:t>articolo 378 del CRR).</w:t>
            </w:r>
          </w:p>
          <w:p w:rsidR="00745369" w:rsidRPr="00661595" w:rsidRDefault="00612780" w:rsidP="00B80E5D">
            <w:pPr>
              <w:suppressAutoHyphens/>
              <w:spacing w:beforeLines="60" w:before="144" w:after="60"/>
              <w:rPr>
                <w:rFonts w:ascii="Times New Roman" w:hAnsi="Times New Roman"/>
                <w:sz w:val="24"/>
              </w:rPr>
            </w:pPr>
            <w:r>
              <w:rPr>
                <w:rFonts w:ascii="Times New Roman" w:hAnsi="Times New Roman"/>
                <w:sz w:val="24"/>
              </w:rPr>
              <w:t>L</w:t>
            </w:r>
            <w:r w:rsidR="000878EC">
              <w:rPr>
                <w:rFonts w:ascii="Times New Roman" w:hAnsi="Times New Roman"/>
                <w:sz w:val="24"/>
              </w:rPr>
              <w:t>'</w:t>
            </w:r>
            <w:r>
              <w:rPr>
                <w:rFonts w:ascii="Times New Roman" w:hAnsi="Times New Roman"/>
                <w:sz w:val="24"/>
              </w:rPr>
              <w:t>ente segnala nella cella {r0010;c0010} la somma aggregata delle operazioni non liquidate dopo lo scadere delle relative date di consegna al rispettivo prezzo di liquidazione convenuto.</w:t>
            </w:r>
          </w:p>
          <w:p w:rsidR="00745369" w:rsidRPr="00661595" w:rsidRDefault="00612780" w:rsidP="00B80E5D">
            <w:pPr>
              <w:suppressAutoHyphens/>
              <w:spacing w:beforeLines="60" w:before="144" w:after="60"/>
              <w:rPr>
                <w:rFonts w:ascii="Times New Roman" w:hAnsi="Times New Roman"/>
                <w:sz w:val="24"/>
              </w:rPr>
            </w:pPr>
            <w:r>
              <w:rPr>
                <w:rFonts w:ascii="Times New Roman" w:hAnsi="Times New Roman"/>
                <w:sz w:val="24"/>
              </w:rPr>
              <w:t>L</w:t>
            </w:r>
            <w:r w:rsidR="000878EC">
              <w:rPr>
                <w:rFonts w:ascii="Times New Roman" w:hAnsi="Times New Roman"/>
                <w:sz w:val="24"/>
              </w:rPr>
              <w:t>'</w:t>
            </w:r>
            <w:r>
              <w:rPr>
                <w:rFonts w:ascii="Times New Roman" w:hAnsi="Times New Roman"/>
                <w:sz w:val="24"/>
              </w:rPr>
              <w:t>ente segnala nella cella {r0010;c0020} le informazioni aggregate relative all</w:t>
            </w:r>
            <w:r w:rsidR="000878EC">
              <w:rPr>
                <w:rFonts w:ascii="Times New Roman" w:hAnsi="Times New Roman"/>
                <w:sz w:val="24"/>
              </w:rPr>
              <w:t>'</w:t>
            </w:r>
            <w:r>
              <w:rPr>
                <w:rFonts w:ascii="Times New Roman" w:hAnsi="Times New Roman"/>
                <w:sz w:val="24"/>
              </w:rPr>
              <w:t>esposizione derivante da una differenza di prezzo per le operazioni non liquidate che comportano una perdita.</w:t>
            </w:r>
          </w:p>
          <w:p w:rsidR="00745369" w:rsidRPr="00661595" w:rsidRDefault="00612780" w:rsidP="00B80E5D">
            <w:pPr>
              <w:suppressAutoHyphens/>
              <w:spacing w:beforeLines="60" w:before="144" w:afterLines="60" w:after="144"/>
              <w:rPr>
                <w:rFonts w:ascii="Times New Roman" w:hAnsi="Times New Roman"/>
                <w:sz w:val="24"/>
              </w:rPr>
            </w:pPr>
            <w:r>
              <w:rPr>
                <w:rFonts w:ascii="Times New Roman" w:hAnsi="Times New Roman"/>
                <w:sz w:val="24"/>
              </w:rPr>
              <w:t>L</w:t>
            </w:r>
            <w:r w:rsidR="000878EC">
              <w:rPr>
                <w:rFonts w:ascii="Times New Roman" w:hAnsi="Times New Roman"/>
                <w:sz w:val="24"/>
              </w:rPr>
              <w:t>'</w:t>
            </w:r>
            <w:r>
              <w:rPr>
                <w:rFonts w:ascii="Times New Roman" w:hAnsi="Times New Roman"/>
                <w:sz w:val="24"/>
              </w:rPr>
              <w:t xml:space="preserve">ente segnala nella cella {r0010;c0030} i requisiti aggregati di fondi propri ricavati dalla somma dei requisiti di fondi propri delle operazioni non liquidate moltiplicando la </w:t>
            </w:r>
            <w:r w:rsidR="000878EC">
              <w:rPr>
                <w:rFonts w:ascii="Times New Roman" w:hAnsi="Times New Roman"/>
                <w:sz w:val="24"/>
              </w:rPr>
              <w:t>"</w:t>
            </w:r>
            <w:r>
              <w:rPr>
                <w:rFonts w:ascii="Times New Roman" w:hAnsi="Times New Roman"/>
                <w:sz w:val="24"/>
              </w:rPr>
              <w:t>differenza di prezzo</w:t>
            </w:r>
            <w:r w:rsidR="000878EC">
              <w:rPr>
                <w:rFonts w:ascii="Times New Roman" w:hAnsi="Times New Roman"/>
                <w:sz w:val="24"/>
              </w:rPr>
              <w:t>"</w:t>
            </w:r>
            <w:r>
              <w:rPr>
                <w:rFonts w:ascii="Times New Roman" w:hAnsi="Times New Roman"/>
                <w:sz w:val="24"/>
              </w:rPr>
              <w:t xml:space="preserve"> indicata nella colonna 0020 per il fattore appropriato basato sul numero di giorni lavorativi di ritardo rispetto alla data di regolamento (categorie di cui alla tabella 1 dell</w:t>
            </w:r>
            <w:r w:rsidR="000878EC">
              <w:rPr>
                <w:rFonts w:ascii="Times New Roman" w:hAnsi="Times New Roman"/>
                <w:sz w:val="24"/>
              </w:rPr>
              <w:t>'</w:t>
            </w:r>
            <w:r>
              <w:rPr>
                <w:rFonts w:ascii="Times New Roman" w:hAnsi="Times New Roman"/>
                <w:sz w:val="24"/>
              </w:rPr>
              <w:t>articolo 378 del CRR).</w:t>
            </w:r>
          </w:p>
        </w:tc>
      </w:tr>
      <w:tr w:rsidR="00612780" w:rsidRPr="00661595" w:rsidTr="00672D2A">
        <w:tc>
          <w:tcPr>
            <w:tcW w:w="852" w:type="dxa"/>
          </w:tcPr>
          <w:p w:rsidR="00745369" w:rsidRPr="00661595" w:rsidRDefault="00612780" w:rsidP="00B80E5D">
            <w:pPr>
              <w:suppressAutoHyphens/>
              <w:spacing w:beforeLines="60" w:before="144" w:afterLines="60" w:after="144"/>
              <w:rPr>
                <w:rFonts w:ascii="Times New Roman" w:hAnsi="Times New Roman"/>
                <w:sz w:val="24"/>
              </w:rPr>
            </w:pPr>
            <w:r>
              <w:rPr>
                <w:rFonts w:ascii="Times New Roman" w:hAnsi="Times New Roman"/>
                <w:sz w:val="24"/>
              </w:rPr>
              <w:t>da 0020 a 0060</w:t>
            </w:r>
          </w:p>
        </w:tc>
        <w:tc>
          <w:tcPr>
            <w:tcW w:w="8010" w:type="dxa"/>
          </w:tcPr>
          <w:p w:rsidR="00745369" w:rsidRPr="00661595" w:rsidRDefault="00612780" w:rsidP="00B80E5D">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Operazioni non liquidate fino a 4 giorni (fattore 0 %) </w:t>
            </w:r>
          </w:p>
          <w:p w:rsidR="00745369" w:rsidRPr="00661595" w:rsidRDefault="00612780" w:rsidP="00B80E5D">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Operazioni non liquidate tra 5 e 15 giorni (fattore 8 %)</w:t>
            </w:r>
          </w:p>
          <w:p w:rsidR="00745369" w:rsidRPr="00661595" w:rsidRDefault="00612780" w:rsidP="00B80E5D">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Operazioni non liquidate tra 16 e 30 giorni (fattore 50 %)</w:t>
            </w:r>
          </w:p>
          <w:p w:rsidR="00745369" w:rsidRPr="00661595" w:rsidRDefault="00612780" w:rsidP="00B80E5D">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Operazioni non liquidate tra 31 e 45 giorni (fattore 75 %)</w:t>
            </w:r>
          </w:p>
          <w:p w:rsidR="00745369" w:rsidRPr="00661595" w:rsidRDefault="00612780" w:rsidP="00B80E5D">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Operazioni non liquidate per 46 giorni o più (fattore 100 %)</w:t>
            </w:r>
          </w:p>
          <w:p w:rsidR="00745369" w:rsidRPr="00661595" w:rsidRDefault="00612780" w:rsidP="00B80E5D">
            <w:pPr>
              <w:suppressAutoHyphens/>
              <w:spacing w:beforeLines="60" w:before="144" w:afterLines="60" w:after="144"/>
              <w:rPr>
                <w:rFonts w:ascii="Times New Roman" w:hAnsi="Times New Roman"/>
                <w:sz w:val="24"/>
              </w:rPr>
            </w:pPr>
            <w:r>
              <w:rPr>
                <w:rFonts w:ascii="Times New Roman" w:hAnsi="Times New Roman"/>
                <w:sz w:val="24"/>
              </w:rPr>
              <w:t>L</w:t>
            </w:r>
            <w:r w:rsidR="000878EC">
              <w:rPr>
                <w:rFonts w:ascii="Times New Roman" w:hAnsi="Times New Roman"/>
                <w:sz w:val="24"/>
              </w:rPr>
              <w:t>'</w:t>
            </w:r>
            <w:r>
              <w:rPr>
                <w:rFonts w:ascii="Times New Roman" w:hAnsi="Times New Roman"/>
                <w:sz w:val="24"/>
              </w:rPr>
              <w:t>ente segnala nelle righe da 0020 a 0060 informazioni riguardanti il rischio di regolamento/consegna delle posizioni esterne al portafoglio di negoziazione conformemente alle categorie di cui alla tabella 1 dell</w:t>
            </w:r>
            <w:r w:rsidR="000878EC">
              <w:rPr>
                <w:rFonts w:ascii="Times New Roman" w:hAnsi="Times New Roman"/>
                <w:sz w:val="24"/>
              </w:rPr>
              <w:t>'</w:t>
            </w:r>
            <w:r>
              <w:rPr>
                <w:rFonts w:ascii="Times New Roman" w:hAnsi="Times New Roman"/>
                <w:sz w:val="24"/>
              </w:rPr>
              <w:t xml:space="preserve">articolo 378 del CRR. </w:t>
            </w:r>
          </w:p>
          <w:p w:rsidR="00745369" w:rsidRPr="00661595" w:rsidRDefault="00612780" w:rsidP="00B80E5D">
            <w:pPr>
              <w:suppressAutoHyphens/>
              <w:spacing w:beforeLines="60" w:before="144" w:afterLines="60" w:after="144"/>
              <w:rPr>
                <w:rFonts w:ascii="Times New Roman" w:hAnsi="Times New Roman"/>
                <w:sz w:val="24"/>
              </w:rPr>
            </w:pPr>
            <w:r>
              <w:rPr>
                <w:rFonts w:ascii="Times New Roman" w:hAnsi="Times New Roman"/>
                <w:sz w:val="24"/>
              </w:rPr>
              <w:t>Non sono previsti requisiti di fondi propri per il rischio di regolamento/consegna per le operazioni che risultano non liquidate meno di cinque giorni lavorativi dopo la data di regolamento prevista.</w:t>
            </w:r>
          </w:p>
        </w:tc>
      </w:tr>
      <w:tr w:rsidR="00612780" w:rsidRPr="00661595" w:rsidTr="00672D2A">
        <w:tc>
          <w:tcPr>
            <w:tcW w:w="852" w:type="dxa"/>
          </w:tcPr>
          <w:p w:rsidR="00745369" w:rsidRPr="00661595" w:rsidRDefault="00612780" w:rsidP="00B80E5D">
            <w:pPr>
              <w:suppressAutoHyphens/>
              <w:spacing w:beforeLines="60" w:before="144" w:afterLines="60" w:after="144"/>
              <w:rPr>
                <w:rFonts w:ascii="Times New Roman" w:hAnsi="Times New Roman"/>
                <w:sz w:val="24"/>
              </w:rPr>
            </w:pPr>
            <w:r>
              <w:rPr>
                <w:rFonts w:ascii="Times New Roman" w:hAnsi="Times New Roman"/>
                <w:sz w:val="24"/>
              </w:rPr>
              <w:t>0070</w:t>
            </w:r>
          </w:p>
        </w:tc>
        <w:tc>
          <w:tcPr>
            <w:tcW w:w="8010" w:type="dxa"/>
          </w:tcPr>
          <w:p w:rsidR="00745369" w:rsidRPr="00661595" w:rsidRDefault="00612780" w:rsidP="00B80E5D">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Operazioni non liquidate totali interne al portafoglio di negoziazione</w:t>
            </w:r>
          </w:p>
          <w:p w:rsidR="00745369" w:rsidRPr="00661595" w:rsidRDefault="00612780" w:rsidP="00B80E5D">
            <w:pPr>
              <w:suppressAutoHyphens/>
              <w:spacing w:beforeLines="60" w:before="144" w:afterLines="60" w:after="144"/>
              <w:rPr>
                <w:rFonts w:ascii="Times New Roman" w:hAnsi="Times New Roman"/>
                <w:sz w:val="24"/>
              </w:rPr>
            </w:pPr>
            <w:r>
              <w:rPr>
                <w:rFonts w:ascii="Times New Roman" w:hAnsi="Times New Roman"/>
                <w:sz w:val="24"/>
              </w:rPr>
              <w:t>L</w:t>
            </w:r>
            <w:r w:rsidR="000878EC">
              <w:rPr>
                <w:rFonts w:ascii="Times New Roman" w:hAnsi="Times New Roman"/>
                <w:sz w:val="24"/>
              </w:rPr>
              <w:t>'</w:t>
            </w:r>
            <w:r>
              <w:rPr>
                <w:rFonts w:ascii="Times New Roman" w:hAnsi="Times New Roman"/>
                <w:sz w:val="24"/>
              </w:rPr>
              <w:t>ente segnala informazioni aggregate riguardanti il rischio di regolamento/consegna delle posizioni interne al portafoglio di negoziazione (di cui all</w:t>
            </w:r>
            <w:r w:rsidR="000878EC">
              <w:rPr>
                <w:rFonts w:ascii="Times New Roman" w:hAnsi="Times New Roman"/>
                <w:sz w:val="24"/>
              </w:rPr>
              <w:t>'</w:t>
            </w:r>
            <w:r>
              <w:rPr>
                <w:rFonts w:ascii="Times New Roman" w:hAnsi="Times New Roman"/>
                <w:sz w:val="24"/>
              </w:rPr>
              <w:t>articolo 92, paragrafo 3, lettera c), punto ii), e all</w:t>
            </w:r>
            <w:r w:rsidR="000878EC">
              <w:rPr>
                <w:rFonts w:ascii="Times New Roman" w:hAnsi="Times New Roman"/>
                <w:sz w:val="24"/>
              </w:rPr>
              <w:t>'</w:t>
            </w:r>
            <w:r>
              <w:rPr>
                <w:rFonts w:ascii="Times New Roman" w:hAnsi="Times New Roman"/>
                <w:sz w:val="24"/>
              </w:rPr>
              <w:t>articolo 378 del CRR).</w:t>
            </w:r>
          </w:p>
          <w:p w:rsidR="00745369" w:rsidRPr="00661595" w:rsidRDefault="00612780" w:rsidP="00B80E5D">
            <w:pPr>
              <w:suppressAutoHyphens/>
              <w:spacing w:beforeLines="60" w:before="144" w:afterLines="60" w:after="144"/>
              <w:rPr>
                <w:rFonts w:ascii="Times New Roman" w:hAnsi="Times New Roman"/>
                <w:sz w:val="24"/>
              </w:rPr>
            </w:pPr>
            <w:r>
              <w:rPr>
                <w:rFonts w:ascii="Times New Roman" w:hAnsi="Times New Roman"/>
                <w:sz w:val="24"/>
              </w:rPr>
              <w:t>L</w:t>
            </w:r>
            <w:r w:rsidR="000878EC">
              <w:rPr>
                <w:rFonts w:ascii="Times New Roman" w:hAnsi="Times New Roman"/>
                <w:sz w:val="24"/>
              </w:rPr>
              <w:t>'</w:t>
            </w:r>
            <w:r>
              <w:rPr>
                <w:rFonts w:ascii="Times New Roman" w:hAnsi="Times New Roman"/>
                <w:sz w:val="24"/>
              </w:rPr>
              <w:t>ente segnala nella cella {r0070;c0010} la somma aggregata delle operazioni non liquidate dopo lo scadere delle relative date di consegna al rispettivo prezzo di liquidazione convenuto.</w:t>
            </w:r>
          </w:p>
          <w:p w:rsidR="00745369" w:rsidRPr="00661595" w:rsidRDefault="00612780" w:rsidP="00B80E5D">
            <w:pPr>
              <w:suppressAutoHyphens/>
              <w:spacing w:beforeLines="60" w:before="144" w:afterLines="60" w:after="144"/>
              <w:rPr>
                <w:rFonts w:ascii="Times New Roman" w:hAnsi="Times New Roman"/>
                <w:sz w:val="24"/>
              </w:rPr>
            </w:pPr>
            <w:r>
              <w:rPr>
                <w:rFonts w:ascii="Times New Roman" w:hAnsi="Times New Roman"/>
                <w:sz w:val="24"/>
              </w:rPr>
              <w:t>L</w:t>
            </w:r>
            <w:r w:rsidR="000878EC">
              <w:rPr>
                <w:rFonts w:ascii="Times New Roman" w:hAnsi="Times New Roman"/>
                <w:sz w:val="24"/>
              </w:rPr>
              <w:t>'</w:t>
            </w:r>
            <w:r>
              <w:rPr>
                <w:rFonts w:ascii="Times New Roman" w:hAnsi="Times New Roman"/>
                <w:sz w:val="24"/>
              </w:rPr>
              <w:t>ente segnala nella cella {r0070;c0020} le informazioni aggregate relative all</w:t>
            </w:r>
            <w:r w:rsidR="000878EC">
              <w:rPr>
                <w:rFonts w:ascii="Times New Roman" w:hAnsi="Times New Roman"/>
                <w:sz w:val="24"/>
              </w:rPr>
              <w:t>'</w:t>
            </w:r>
            <w:r>
              <w:rPr>
                <w:rFonts w:ascii="Times New Roman" w:hAnsi="Times New Roman"/>
                <w:sz w:val="24"/>
              </w:rPr>
              <w:t>esposizione derivante da una differenza di prezzo per le operazioni non liquidate che comportano una perdita.</w:t>
            </w:r>
          </w:p>
          <w:p w:rsidR="00745369" w:rsidRPr="00661595" w:rsidRDefault="00612780" w:rsidP="00B80E5D">
            <w:pPr>
              <w:suppressAutoHyphens/>
              <w:spacing w:beforeLines="60" w:before="144" w:afterLines="60" w:after="144"/>
              <w:rPr>
                <w:rFonts w:ascii="Times New Roman" w:hAnsi="Times New Roman"/>
                <w:b/>
                <w:sz w:val="24"/>
              </w:rPr>
            </w:pPr>
            <w:r>
              <w:rPr>
                <w:rFonts w:ascii="Times New Roman" w:hAnsi="Times New Roman"/>
                <w:sz w:val="24"/>
              </w:rPr>
              <w:t>L</w:t>
            </w:r>
            <w:r w:rsidR="000878EC">
              <w:rPr>
                <w:rFonts w:ascii="Times New Roman" w:hAnsi="Times New Roman"/>
                <w:sz w:val="24"/>
              </w:rPr>
              <w:t>'</w:t>
            </w:r>
            <w:r>
              <w:rPr>
                <w:rFonts w:ascii="Times New Roman" w:hAnsi="Times New Roman"/>
                <w:sz w:val="24"/>
              </w:rPr>
              <w:t xml:space="preserve">ente segnala nella cella {r0070;c0030} i requisiti aggregati di fondi propri ricavati dalla somma dei requisiti di fondi propri delle operazioni non liquidate moltiplicando la </w:t>
            </w:r>
            <w:r w:rsidR="000878EC">
              <w:rPr>
                <w:rFonts w:ascii="Times New Roman" w:hAnsi="Times New Roman"/>
                <w:sz w:val="24"/>
              </w:rPr>
              <w:t>"</w:t>
            </w:r>
            <w:r>
              <w:rPr>
                <w:rFonts w:ascii="Times New Roman" w:hAnsi="Times New Roman"/>
                <w:sz w:val="24"/>
              </w:rPr>
              <w:t>differenza di prezzo</w:t>
            </w:r>
            <w:r w:rsidR="000878EC">
              <w:rPr>
                <w:rFonts w:ascii="Times New Roman" w:hAnsi="Times New Roman"/>
                <w:sz w:val="24"/>
              </w:rPr>
              <w:t>"</w:t>
            </w:r>
            <w:r>
              <w:rPr>
                <w:rFonts w:ascii="Times New Roman" w:hAnsi="Times New Roman"/>
                <w:sz w:val="24"/>
              </w:rPr>
              <w:t xml:space="preserve"> indicata nella colonna 0020 per il fattore appropriato basato sul numero di giorni lavorativi di ritardo rispetto alla data di regolamento (categorie di cui alla tabella 1 dell</w:t>
            </w:r>
            <w:r w:rsidR="000878EC">
              <w:rPr>
                <w:rFonts w:ascii="Times New Roman" w:hAnsi="Times New Roman"/>
                <w:sz w:val="24"/>
              </w:rPr>
              <w:t>'</w:t>
            </w:r>
            <w:r>
              <w:rPr>
                <w:rFonts w:ascii="Times New Roman" w:hAnsi="Times New Roman"/>
                <w:sz w:val="24"/>
              </w:rPr>
              <w:t>articolo 378 del CRR).</w:t>
            </w:r>
          </w:p>
        </w:tc>
      </w:tr>
      <w:tr w:rsidR="00612780" w:rsidRPr="00661595" w:rsidTr="00672D2A">
        <w:tc>
          <w:tcPr>
            <w:tcW w:w="852" w:type="dxa"/>
          </w:tcPr>
          <w:p w:rsidR="00745369" w:rsidRPr="00661595" w:rsidRDefault="00612780" w:rsidP="00B80E5D">
            <w:pPr>
              <w:keepNext/>
              <w:keepLines/>
              <w:suppressAutoHyphens/>
              <w:spacing w:beforeLines="60" w:before="144" w:afterLines="60" w:after="144"/>
              <w:rPr>
                <w:rFonts w:ascii="Times New Roman" w:hAnsi="Times New Roman"/>
                <w:sz w:val="24"/>
              </w:rPr>
            </w:pPr>
            <w:r>
              <w:rPr>
                <w:rFonts w:ascii="Times New Roman" w:hAnsi="Times New Roman"/>
                <w:sz w:val="24"/>
              </w:rPr>
              <w:t>da 0080 a 0120</w:t>
            </w:r>
          </w:p>
        </w:tc>
        <w:tc>
          <w:tcPr>
            <w:tcW w:w="8010" w:type="dxa"/>
          </w:tcPr>
          <w:p w:rsidR="00745369" w:rsidRPr="00661595" w:rsidRDefault="00612780" w:rsidP="00B80E5D">
            <w:pPr>
              <w:keepNext/>
              <w:keepLines/>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Operazioni non liquidate fino a 4 giorni (fattore 0 %) </w:t>
            </w:r>
          </w:p>
          <w:p w:rsidR="00745369" w:rsidRPr="00661595" w:rsidRDefault="00612780" w:rsidP="00B80E5D">
            <w:pPr>
              <w:keepNext/>
              <w:keepLines/>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Operazioni non liquidate tra 5 e 15 giorni (fattore 8 %)</w:t>
            </w:r>
          </w:p>
          <w:p w:rsidR="00745369" w:rsidRPr="00661595" w:rsidRDefault="00612780" w:rsidP="00B80E5D">
            <w:pPr>
              <w:keepNext/>
              <w:keepLines/>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Operazioni non liquidate tra 16 e 30 giorni (fattore 50 %)</w:t>
            </w:r>
          </w:p>
          <w:p w:rsidR="00745369" w:rsidRPr="00661595" w:rsidRDefault="00612780" w:rsidP="00B80E5D">
            <w:pPr>
              <w:keepNext/>
              <w:keepLines/>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Operazioni non liquidate tra 31 e 45 giorni (fattore 75 %)</w:t>
            </w:r>
          </w:p>
          <w:p w:rsidR="00745369" w:rsidRPr="00661595" w:rsidRDefault="00612780" w:rsidP="00B80E5D">
            <w:pPr>
              <w:keepNext/>
              <w:keepLines/>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Operazioni non liquidate per 46 giorni o più (fattore 100 %)</w:t>
            </w:r>
          </w:p>
          <w:p w:rsidR="00745369" w:rsidRPr="00661595" w:rsidRDefault="00612780" w:rsidP="00B80E5D">
            <w:pPr>
              <w:keepNext/>
              <w:keepLines/>
              <w:suppressAutoHyphens/>
              <w:spacing w:beforeLines="60" w:before="144" w:afterLines="60" w:after="144"/>
              <w:rPr>
                <w:rFonts w:ascii="Times New Roman" w:hAnsi="Times New Roman"/>
                <w:sz w:val="24"/>
              </w:rPr>
            </w:pPr>
            <w:r>
              <w:rPr>
                <w:rFonts w:ascii="Times New Roman" w:hAnsi="Times New Roman"/>
                <w:sz w:val="24"/>
              </w:rPr>
              <w:t>L</w:t>
            </w:r>
            <w:r w:rsidR="000878EC">
              <w:rPr>
                <w:rFonts w:ascii="Times New Roman" w:hAnsi="Times New Roman"/>
                <w:sz w:val="24"/>
              </w:rPr>
              <w:t>'</w:t>
            </w:r>
            <w:r>
              <w:rPr>
                <w:rFonts w:ascii="Times New Roman" w:hAnsi="Times New Roman"/>
                <w:sz w:val="24"/>
              </w:rPr>
              <w:t>ente segnala nelle righe da 0080 a 0120 informazioni riguardanti il rischio di regolamento/consegna delle posizioni interne al portafoglio di negoziazione conformemente alle categorie di cui alla tabella 1 dell</w:t>
            </w:r>
            <w:r w:rsidR="000878EC">
              <w:rPr>
                <w:rFonts w:ascii="Times New Roman" w:hAnsi="Times New Roman"/>
                <w:sz w:val="24"/>
              </w:rPr>
              <w:t>'</w:t>
            </w:r>
            <w:r>
              <w:rPr>
                <w:rFonts w:ascii="Times New Roman" w:hAnsi="Times New Roman"/>
                <w:sz w:val="24"/>
              </w:rPr>
              <w:t xml:space="preserve">articolo 378 del CRR. </w:t>
            </w:r>
          </w:p>
          <w:p w:rsidR="00745369" w:rsidRPr="00661595" w:rsidRDefault="00612780" w:rsidP="00B80E5D">
            <w:pPr>
              <w:keepNext/>
              <w:keepLines/>
              <w:suppressAutoHyphens/>
              <w:spacing w:beforeLines="60" w:before="144" w:afterLines="60" w:after="144"/>
              <w:rPr>
                <w:rFonts w:ascii="Times New Roman" w:hAnsi="Times New Roman"/>
                <w:b/>
                <w:sz w:val="24"/>
              </w:rPr>
            </w:pPr>
            <w:r>
              <w:rPr>
                <w:rFonts w:ascii="Times New Roman" w:hAnsi="Times New Roman"/>
                <w:sz w:val="24"/>
              </w:rPr>
              <w:t>Non sono previsti requisiti di fondi propri per il rischio di regolamento/consegna per le operazioni che risultano non liquidate meno di cinque giorni lavorativi dopo la data di regolamento prevista.</w:t>
            </w:r>
          </w:p>
        </w:tc>
      </w:tr>
    </w:tbl>
    <w:p w:rsidR="00612780" w:rsidRPr="00661595" w:rsidRDefault="00612780" w:rsidP="00612780">
      <w:pPr>
        <w:spacing w:after="0"/>
        <w:rPr>
          <w:rFonts w:ascii="Times New Roman" w:hAnsi="Times New Roman"/>
          <w:sz w:val="24"/>
        </w:rPr>
      </w:pPr>
    </w:p>
    <w:p w:rsidR="00E026FB" w:rsidRPr="00661595" w:rsidRDefault="00E026FB" w:rsidP="00E026FB">
      <w:pPr>
        <w:pStyle w:val="Instructionsberschrift2"/>
        <w:numPr>
          <w:ilvl w:val="0"/>
          <w:numId w:val="0"/>
        </w:numPr>
        <w:ind w:left="357" w:hanging="357"/>
        <w:rPr>
          <w:rFonts w:ascii="Times New Roman" w:hAnsi="Times New Roman" w:cs="Times New Roman"/>
          <w:sz w:val="24"/>
        </w:rPr>
      </w:pPr>
      <w:bookmarkStart w:id="405" w:name="_Toc522019827"/>
      <w:bookmarkStart w:id="406" w:name="_Toc58915786"/>
      <w:r>
        <w:rPr>
          <w:rFonts w:ascii="Times New Roman" w:hAnsi="Times New Roman"/>
          <w:sz w:val="24"/>
          <w:u w:val="none"/>
        </w:rPr>
        <w:t>3.7.</w:t>
      </w:r>
      <w:r w:rsidRPr="00B80E5D">
        <w:rPr>
          <w:u w:val="none"/>
        </w:rPr>
        <w:tab/>
      </w:r>
      <w:r>
        <w:rPr>
          <w:rFonts w:ascii="Times New Roman" w:hAnsi="Times New Roman"/>
          <w:sz w:val="24"/>
        </w:rPr>
        <w:t>C 13.01 - Rischio di credito – Cartolarizzazioni (CR SEC)</w:t>
      </w:r>
      <w:bookmarkEnd w:id="405"/>
      <w:bookmarkEnd w:id="406"/>
    </w:p>
    <w:p w:rsidR="00E026FB" w:rsidRPr="00661595" w:rsidRDefault="00E026FB" w:rsidP="00E026FB">
      <w:pPr>
        <w:pStyle w:val="Instructionsberschrift2"/>
        <w:numPr>
          <w:ilvl w:val="0"/>
          <w:numId w:val="0"/>
        </w:numPr>
        <w:ind w:left="357" w:hanging="357"/>
        <w:rPr>
          <w:rFonts w:ascii="Times New Roman" w:hAnsi="Times New Roman" w:cs="Times New Roman"/>
          <w:sz w:val="24"/>
        </w:rPr>
      </w:pPr>
      <w:bookmarkStart w:id="407" w:name="_Toc522019828"/>
      <w:bookmarkStart w:id="408" w:name="_Toc58915787"/>
      <w:r>
        <w:rPr>
          <w:rFonts w:ascii="Times New Roman" w:hAnsi="Times New Roman"/>
          <w:sz w:val="24"/>
          <w:u w:val="none"/>
        </w:rPr>
        <w:t>3.7.1.</w:t>
      </w:r>
      <w:r w:rsidR="00B80E5D" w:rsidRPr="00B80E5D">
        <w:rPr>
          <w:u w:val="none"/>
        </w:rPr>
        <w:tab/>
      </w:r>
      <w:r>
        <w:rPr>
          <w:rFonts w:ascii="Times New Roman" w:hAnsi="Times New Roman"/>
          <w:sz w:val="24"/>
        </w:rPr>
        <w:t>Osservazioni di carattere generale</w:t>
      </w:r>
      <w:bookmarkEnd w:id="407"/>
      <w:bookmarkEnd w:id="408"/>
    </w:p>
    <w:p w:rsidR="00E026FB" w:rsidRPr="00661595" w:rsidRDefault="00A971CA" w:rsidP="00B80E5D">
      <w:pPr>
        <w:pStyle w:val="InstructionsText2"/>
        <w:numPr>
          <w:ilvl w:val="0"/>
          <w:numId w:val="0"/>
        </w:numPr>
        <w:ind w:left="1680" w:hanging="480"/>
      </w:pPr>
      <w:r>
        <w:fldChar w:fldCharType="begin"/>
      </w:r>
      <w:r>
        <w:instrText xml:space="preserve"> seq paragraphs </w:instrText>
      </w:r>
      <w:r>
        <w:fldChar w:fldCharType="separate"/>
      </w:r>
      <w:r w:rsidR="00D11E4C">
        <w:rPr>
          <w:noProof/>
        </w:rPr>
        <w:t>106</w:t>
      </w:r>
      <w:r>
        <w:rPr>
          <w:noProof/>
        </w:rPr>
        <w:fldChar w:fldCharType="end"/>
      </w:r>
      <w:r w:rsidR="00D11E4C">
        <w:t>. Quando l</w:t>
      </w:r>
      <w:r w:rsidR="000878EC">
        <w:t>'</w:t>
      </w:r>
      <w:r w:rsidR="00D11E4C">
        <w:t>ente agisce in qualità di cedente, le informazioni contenute in questo modello sono richieste per tutte le cartolarizzazioni per le quali è riconosciuto un trasferimento significativo del rischio. Se l</w:t>
      </w:r>
      <w:r w:rsidR="000878EC">
        <w:t>'</w:t>
      </w:r>
      <w:r w:rsidR="00D11E4C">
        <w:t xml:space="preserve">ente agisce in qualità di investitore, devono essere segnalate tutte le esposizioni. </w:t>
      </w:r>
    </w:p>
    <w:p w:rsidR="00E026FB" w:rsidRPr="00661595" w:rsidRDefault="00A971CA" w:rsidP="00B80E5D">
      <w:pPr>
        <w:pStyle w:val="InstructionsText2"/>
        <w:numPr>
          <w:ilvl w:val="0"/>
          <w:numId w:val="0"/>
        </w:numPr>
        <w:ind w:left="1680" w:hanging="480"/>
      </w:pPr>
      <w:r>
        <w:fldChar w:fldCharType="begin"/>
      </w:r>
      <w:r>
        <w:instrText xml:space="preserve"> seq paragraphs </w:instrText>
      </w:r>
      <w:r>
        <w:fldChar w:fldCharType="separate"/>
      </w:r>
      <w:r w:rsidR="00D11E4C">
        <w:rPr>
          <w:noProof/>
        </w:rPr>
        <w:t>107</w:t>
      </w:r>
      <w:r>
        <w:rPr>
          <w:noProof/>
        </w:rPr>
        <w:fldChar w:fldCharType="end"/>
      </w:r>
      <w:r w:rsidR="00D11E4C">
        <w:t>.</w:t>
      </w:r>
      <w:r w:rsidR="00D11E4C">
        <w:tab/>
        <w:t xml:space="preserve"> Le informazioni da segnalare sono condizionate dal ruolo svolto dall</w:t>
      </w:r>
      <w:r w:rsidR="000878EC">
        <w:t>'</w:t>
      </w:r>
      <w:r w:rsidR="00D11E4C">
        <w:t>ente nel contesto della cartolarizzazione, pertanto si utilizzano elementi di segnalazione specifici per i cedenti, i promotori e gli investitori.</w:t>
      </w:r>
    </w:p>
    <w:p w:rsidR="00E026FB" w:rsidRPr="00661595" w:rsidRDefault="00A971CA" w:rsidP="00B80E5D">
      <w:pPr>
        <w:pStyle w:val="InstructionsText2"/>
        <w:numPr>
          <w:ilvl w:val="0"/>
          <w:numId w:val="0"/>
        </w:numPr>
        <w:ind w:left="1680" w:hanging="480"/>
      </w:pPr>
      <w:r>
        <w:fldChar w:fldCharType="begin"/>
      </w:r>
      <w:r>
        <w:instrText xml:space="preserve"> seq paragraphs </w:instrText>
      </w:r>
      <w:r>
        <w:fldChar w:fldCharType="separate"/>
      </w:r>
      <w:r w:rsidR="00D11E4C">
        <w:rPr>
          <w:noProof/>
        </w:rPr>
        <w:t>108</w:t>
      </w:r>
      <w:r>
        <w:rPr>
          <w:noProof/>
        </w:rPr>
        <w:fldChar w:fldCharType="end"/>
      </w:r>
      <w:r w:rsidR="00D11E4C">
        <w:t xml:space="preserve">. Questo modello contiene informazioni comuni sulle cartolarizzazioni tradizionali e sintetiche contenute nel portafoglio bancario. </w:t>
      </w:r>
    </w:p>
    <w:p w:rsidR="00E026FB" w:rsidRPr="00661595" w:rsidRDefault="00E026FB" w:rsidP="00E026FB">
      <w:pPr>
        <w:pStyle w:val="Instructionsberschrift2"/>
        <w:numPr>
          <w:ilvl w:val="0"/>
          <w:numId w:val="0"/>
        </w:numPr>
        <w:ind w:left="357" w:hanging="357"/>
        <w:rPr>
          <w:rFonts w:ascii="Times New Roman" w:hAnsi="Times New Roman" w:cs="Times New Roman"/>
          <w:sz w:val="24"/>
        </w:rPr>
      </w:pPr>
      <w:bookmarkStart w:id="409" w:name="_Toc522019829"/>
      <w:bookmarkStart w:id="410" w:name="_Toc58915788"/>
      <w:r>
        <w:rPr>
          <w:rFonts w:ascii="Times New Roman" w:hAnsi="Times New Roman"/>
          <w:sz w:val="24"/>
          <w:u w:val="none"/>
        </w:rPr>
        <w:t>3.7.2.</w:t>
      </w:r>
      <w:r w:rsidRPr="00B80E5D">
        <w:rPr>
          <w:u w:val="none"/>
        </w:rPr>
        <w:tab/>
      </w:r>
      <w:r>
        <w:rPr>
          <w:rFonts w:ascii="Times New Roman" w:hAnsi="Times New Roman"/>
          <w:sz w:val="24"/>
        </w:rPr>
        <w:t>Istruzioni relative a posizioni specifiche</w:t>
      </w:r>
      <w:bookmarkEnd w:id="409"/>
      <w:bookmarkEnd w:id="410"/>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E026FB" w:rsidRPr="00661595" w:rsidTr="00E10B85">
        <w:tc>
          <w:tcPr>
            <w:tcW w:w="9004" w:type="dxa"/>
            <w:gridSpan w:val="2"/>
            <w:shd w:val="clear" w:color="auto" w:fill="CCCCCC"/>
          </w:tcPr>
          <w:p w:rsidR="00E026FB" w:rsidRPr="00661595" w:rsidRDefault="00E026FB" w:rsidP="009B4B8B">
            <w:pPr>
              <w:suppressAutoHyphens/>
              <w:autoSpaceDE w:val="0"/>
              <w:autoSpaceDN w:val="0"/>
              <w:adjustRightInd w:val="0"/>
              <w:spacing w:before="0" w:after="0"/>
              <w:ind w:left="426"/>
              <w:jc w:val="left"/>
              <w:rPr>
                <w:rFonts w:ascii="Times New Roman" w:hAnsi="Times New Roman"/>
                <w:sz w:val="24"/>
                <w:lang w:eastAsia="de-DE"/>
              </w:rPr>
            </w:pPr>
          </w:p>
          <w:p w:rsidR="00E026FB" w:rsidRPr="00661595" w:rsidRDefault="00E026FB" w:rsidP="009B4B8B">
            <w:pPr>
              <w:suppressAutoHyphens/>
              <w:autoSpaceDE w:val="0"/>
              <w:autoSpaceDN w:val="0"/>
              <w:adjustRightInd w:val="0"/>
              <w:spacing w:before="0" w:after="0"/>
              <w:rPr>
                <w:rFonts w:ascii="Times New Roman" w:hAnsi="Times New Roman"/>
                <w:b/>
                <w:bCs/>
                <w:sz w:val="24"/>
              </w:rPr>
            </w:pPr>
            <w:r>
              <w:rPr>
                <w:rFonts w:ascii="Times New Roman" w:hAnsi="Times New Roman"/>
                <w:b/>
                <w:sz w:val="24"/>
              </w:rPr>
              <w:t>Colonne</w:t>
            </w:r>
          </w:p>
          <w:p w:rsidR="00E026FB" w:rsidRPr="00661595" w:rsidRDefault="00E026FB" w:rsidP="009B4B8B">
            <w:pPr>
              <w:suppressAutoHyphens/>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9B4B8B">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0010</w:t>
            </w:r>
          </w:p>
        </w:tc>
        <w:tc>
          <w:tcPr>
            <w:tcW w:w="7436" w:type="dxa"/>
          </w:tcPr>
          <w:p w:rsidR="00E026FB" w:rsidRPr="00661595" w:rsidRDefault="00E026FB" w:rsidP="009B4B8B">
            <w:pPr>
              <w:suppressAutoHyphens/>
              <w:spacing w:before="0" w:after="0"/>
              <w:jc w:val="left"/>
              <w:rPr>
                <w:rFonts w:ascii="Times New Roman" w:hAnsi="Times New Roman"/>
                <w:sz w:val="24"/>
              </w:rPr>
            </w:pPr>
            <w:r>
              <w:rPr>
                <w:rFonts w:ascii="Times New Roman" w:hAnsi="Times New Roman"/>
                <w:b/>
                <w:sz w:val="24"/>
                <w:u w:val="single"/>
              </w:rPr>
              <w:t>IMPORTO COMPLESSIVO DELLE ESPOSIZIONI VERSO LA CARTOLARIZZAZIONE CREATE</w:t>
            </w:r>
          </w:p>
          <w:p w:rsidR="00E026FB" w:rsidRPr="00661595" w:rsidRDefault="00E026FB" w:rsidP="009B4B8B">
            <w:pPr>
              <w:suppressAutoHyphens/>
              <w:spacing w:before="0" w:after="0"/>
              <w:jc w:val="left"/>
              <w:rPr>
                <w:rFonts w:ascii="Times New Roman" w:hAnsi="Times New Roman"/>
                <w:sz w:val="24"/>
              </w:rPr>
            </w:pPr>
          </w:p>
          <w:p w:rsidR="00E026FB" w:rsidRPr="00661595" w:rsidRDefault="00E026FB" w:rsidP="009B4B8B">
            <w:pPr>
              <w:suppressAutoHyphens/>
              <w:autoSpaceDE w:val="0"/>
              <w:autoSpaceDN w:val="0"/>
              <w:adjustRightInd w:val="0"/>
              <w:spacing w:before="0" w:after="0"/>
              <w:rPr>
                <w:rFonts w:ascii="Times New Roman" w:hAnsi="Times New Roman"/>
                <w:sz w:val="24"/>
              </w:rPr>
            </w:pPr>
            <w:r>
              <w:rPr>
                <w:rFonts w:ascii="Times New Roman" w:hAnsi="Times New Roman"/>
                <w:sz w:val="24"/>
              </w:rPr>
              <w:t>L</w:t>
            </w:r>
            <w:r w:rsidR="000878EC">
              <w:rPr>
                <w:rFonts w:ascii="Times New Roman" w:hAnsi="Times New Roman"/>
                <w:sz w:val="24"/>
              </w:rPr>
              <w:t>'</w:t>
            </w:r>
            <w:r>
              <w:rPr>
                <w:rFonts w:ascii="Times New Roman" w:hAnsi="Times New Roman"/>
                <w:sz w:val="24"/>
              </w:rPr>
              <w:t>ente cedente segnala l</w:t>
            </w:r>
            <w:r w:rsidR="000878EC">
              <w:rPr>
                <w:rFonts w:ascii="Times New Roman" w:hAnsi="Times New Roman"/>
                <w:sz w:val="24"/>
              </w:rPr>
              <w:t>'</w:t>
            </w:r>
            <w:r>
              <w:rPr>
                <w:rFonts w:ascii="Times New Roman" w:hAnsi="Times New Roman"/>
                <w:sz w:val="24"/>
              </w:rPr>
              <w:t>importo in essere, alla data di riferimento per le segnalazioni, di tutte le esposizioni correnti verso la cartolarizzazione create nell</w:t>
            </w:r>
            <w:r w:rsidR="000878EC">
              <w:rPr>
                <w:rFonts w:ascii="Times New Roman" w:hAnsi="Times New Roman"/>
                <w:sz w:val="24"/>
              </w:rPr>
              <w:t>'</w:t>
            </w:r>
            <w:r>
              <w:rPr>
                <w:rFonts w:ascii="Times New Roman" w:hAnsi="Times New Roman"/>
                <w:sz w:val="24"/>
              </w:rPr>
              <w:t>operazione di cartolarizzazione, a prescindere dal soggetto che detiene le posizioni. Sono pertanto segnalate le esposizioni verso la cartolarizzazione in bilancio (ad esempio obbligazioni, prestiti subordinati) nonché le esposizioni fuori bilancio e i derivati (ad esempio linee di credito subordinate, linee di liquidità, contratti swap su tassi d</w:t>
            </w:r>
            <w:r w:rsidR="000878EC">
              <w:rPr>
                <w:rFonts w:ascii="Times New Roman" w:hAnsi="Times New Roman"/>
                <w:sz w:val="24"/>
              </w:rPr>
              <w:t>'</w:t>
            </w:r>
            <w:r>
              <w:rPr>
                <w:rFonts w:ascii="Times New Roman" w:hAnsi="Times New Roman"/>
                <w:sz w:val="24"/>
              </w:rPr>
              <w:t xml:space="preserve">interesse, credit default swap, eccetera) creati dalla cartolarizzazione. </w:t>
            </w:r>
          </w:p>
          <w:p w:rsidR="00E026FB" w:rsidRPr="00661595" w:rsidRDefault="00E026FB" w:rsidP="009B4B8B">
            <w:pPr>
              <w:suppressAutoHyphens/>
              <w:autoSpaceDE w:val="0"/>
              <w:autoSpaceDN w:val="0"/>
              <w:adjustRightInd w:val="0"/>
              <w:spacing w:before="0" w:after="0"/>
              <w:rPr>
                <w:rFonts w:ascii="Times New Roman" w:hAnsi="Times New Roman"/>
                <w:sz w:val="24"/>
              </w:rPr>
            </w:pPr>
          </w:p>
          <w:p w:rsidR="00E026FB" w:rsidRPr="00661595" w:rsidRDefault="00E026FB" w:rsidP="009B4B8B">
            <w:pPr>
              <w:suppressAutoHyphens/>
              <w:autoSpaceDE w:val="0"/>
              <w:autoSpaceDN w:val="0"/>
              <w:adjustRightInd w:val="0"/>
              <w:spacing w:before="0" w:after="0"/>
              <w:rPr>
                <w:rFonts w:ascii="Times New Roman" w:hAnsi="Times New Roman"/>
                <w:sz w:val="24"/>
              </w:rPr>
            </w:pPr>
            <w:r>
              <w:rPr>
                <w:rFonts w:ascii="Times New Roman" w:hAnsi="Times New Roman"/>
                <w:sz w:val="24"/>
              </w:rPr>
              <w:t>Il cedente non segnala in questo modello le cartolarizzazioni tradizionali nelle quali non detiene alcuna posizione. A tal fine le posizioni verso la cartolarizzazione detenute dal cedente includono clausole di rimborso anticipato ai sensi dell</w:t>
            </w:r>
            <w:r w:rsidR="000878EC">
              <w:rPr>
                <w:rFonts w:ascii="Times New Roman" w:hAnsi="Times New Roman"/>
                <w:sz w:val="24"/>
              </w:rPr>
              <w:t>'</w:t>
            </w:r>
            <w:r>
              <w:rPr>
                <w:rFonts w:ascii="Times New Roman" w:hAnsi="Times New Roman"/>
                <w:sz w:val="24"/>
              </w:rPr>
              <w:t>articolo 242, punto 16, del CRR nella cartolarizzazione di esposizioni rotative.</w:t>
            </w:r>
          </w:p>
          <w:p w:rsidR="00E026FB" w:rsidRPr="00661595" w:rsidRDefault="00E026FB" w:rsidP="009B4B8B">
            <w:pPr>
              <w:suppressAutoHyphens/>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9B4B8B">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0020-0040</w:t>
            </w:r>
          </w:p>
        </w:tc>
        <w:tc>
          <w:tcPr>
            <w:tcW w:w="7436" w:type="dxa"/>
          </w:tcPr>
          <w:p w:rsidR="00E026FB" w:rsidRPr="00661595" w:rsidRDefault="00E026FB" w:rsidP="009B4B8B">
            <w:pPr>
              <w:suppressAutoHyphens/>
              <w:spacing w:before="0" w:after="0"/>
              <w:jc w:val="left"/>
              <w:rPr>
                <w:rFonts w:ascii="Times New Roman" w:hAnsi="Times New Roman"/>
                <w:b/>
                <w:sz w:val="24"/>
                <w:u w:val="single"/>
              </w:rPr>
            </w:pPr>
            <w:r>
              <w:rPr>
                <w:rFonts w:ascii="Times New Roman" w:hAnsi="Times New Roman"/>
                <w:b/>
                <w:sz w:val="24"/>
                <w:u w:val="single"/>
              </w:rPr>
              <w:t>CARTOLARIZZAZIONI SINTETICHE: PROTEZIONE DEL CREDITO PER LE ESPOSIZIONI CARTOLARIZZATE</w:t>
            </w:r>
          </w:p>
          <w:p w:rsidR="00E026FB" w:rsidRPr="00661595" w:rsidRDefault="00E026FB" w:rsidP="009B4B8B">
            <w:pPr>
              <w:suppressAutoHyphens/>
              <w:spacing w:before="0" w:after="0"/>
              <w:jc w:val="left"/>
              <w:rPr>
                <w:rFonts w:ascii="Times New Roman" w:hAnsi="Times New Roman"/>
                <w:sz w:val="24"/>
              </w:rPr>
            </w:pPr>
          </w:p>
          <w:p w:rsidR="00E026FB" w:rsidRPr="00661595" w:rsidRDefault="00E026FB" w:rsidP="009B4B8B">
            <w:pPr>
              <w:suppressAutoHyphens/>
              <w:spacing w:before="0" w:after="0"/>
              <w:rPr>
                <w:rFonts w:ascii="Times New Roman" w:hAnsi="Times New Roman"/>
                <w:sz w:val="24"/>
              </w:rPr>
            </w:pPr>
            <w:r>
              <w:rPr>
                <w:rFonts w:ascii="Times New Roman" w:hAnsi="Times New Roman"/>
                <w:sz w:val="24"/>
              </w:rPr>
              <w:t xml:space="preserve">Articoli 251 e 252 del CRR </w:t>
            </w:r>
          </w:p>
          <w:p w:rsidR="00E026FB" w:rsidRPr="00661595" w:rsidRDefault="00E026FB" w:rsidP="009B4B8B">
            <w:pPr>
              <w:suppressAutoHyphens/>
              <w:spacing w:before="0" w:after="0"/>
              <w:rPr>
                <w:rFonts w:ascii="Times New Roman" w:hAnsi="Times New Roman"/>
                <w:sz w:val="24"/>
              </w:rPr>
            </w:pPr>
          </w:p>
          <w:p w:rsidR="00E026FB" w:rsidRPr="00661595" w:rsidRDefault="00E026FB" w:rsidP="009B4B8B">
            <w:pPr>
              <w:suppressAutoHyphens/>
              <w:spacing w:before="0" w:after="0"/>
              <w:rPr>
                <w:rFonts w:ascii="Times New Roman" w:hAnsi="Times New Roman"/>
                <w:sz w:val="24"/>
              </w:rPr>
            </w:pPr>
            <w:r>
              <w:rPr>
                <w:rFonts w:ascii="Times New Roman" w:hAnsi="Times New Roman"/>
                <w:sz w:val="24"/>
              </w:rPr>
              <w:t xml:space="preserve">Il valore corretto delle tecniche di attenuazione del rischio di credito utilizzate nella struttura di cartolarizzazione non tiene conto dei disallineamenti di durata. </w:t>
            </w:r>
          </w:p>
          <w:p w:rsidR="00E026FB" w:rsidRPr="00661595" w:rsidRDefault="00E026FB" w:rsidP="009B4B8B">
            <w:pPr>
              <w:suppressAutoHyphens/>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9B4B8B">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0020</w:t>
            </w:r>
          </w:p>
        </w:tc>
        <w:tc>
          <w:tcPr>
            <w:tcW w:w="7436" w:type="dxa"/>
          </w:tcPr>
          <w:p w:rsidR="00E026FB" w:rsidRPr="00661595" w:rsidRDefault="00E026FB" w:rsidP="009B4B8B">
            <w:pPr>
              <w:suppressAutoHyphens/>
              <w:spacing w:before="0" w:after="0"/>
              <w:jc w:val="left"/>
              <w:rPr>
                <w:rFonts w:ascii="Times New Roman" w:hAnsi="Times New Roman"/>
                <w:b/>
                <w:strike/>
                <w:sz w:val="24"/>
                <w:u w:val="single"/>
              </w:rPr>
            </w:pPr>
            <w:r>
              <w:rPr>
                <w:rFonts w:ascii="Times New Roman" w:hAnsi="Times New Roman"/>
                <w:b/>
                <w:sz w:val="24"/>
                <w:u w:val="single"/>
              </w:rPr>
              <w:t>(-) PROTEZIONE DEL CREDITO DI TIPO REALE (C</w:t>
            </w:r>
            <w:r>
              <w:rPr>
                <w:rFonts w:ascii="Times New Roman" w:hAnsi="Times New Roman"/>
                <w:b/>
                <w:sz w:val="24"/>
                <w:u w:val="single"/>
                <w:vertAlign w:val="subscript"/>
              </w:rPr>
              <w:t>VA</w:t>
            </w:r>
            <w:r>
              <w:rPr>
                <w:rFonts w:ascii="Times New Roman" w:hAnsi="Times New Roman"/>
                <w:b/>
                <w:sz w:val="24"/>
                <w:u w:val="single"/>
              </w:rPr>
              <w:t xml:space="preserve">) </w:t>
            </w:r>
          </w:p>
          <w:p w:rsidR="00E026FB" w:rsidRPr="00661595" w:rsidRDefault="00E026FB" w:rsidP="009B4B8B">
            <w:pPr>
              <w:suppressAutoHyphens/>
              <w:spacing w:before="0" w:after="0"/>
              <w:jc w:val="left"/>
              <w:rPr>
                <w:rFonts w:ascii="Times New Roman" w:hAnsi="Times New Roman"/>
                <w:sz w:val="24"/>
                <w:lang w:eastAsia="es-ES_tradnl"/>
              </w:rPr>
            </w:pPr>
          </w:p>
          <w:p w:rsidR="00E026FB" w:rsidRPr="00661595" w:rsidRDefault="00E026FB" w:rsidP="009B4B8B">
            <w:pPr>
              <w:suppressAutoHyphens/>
              <w:autoSpaceDE w:val="0"/>
              <w:autoSpaceDN w:val="0"/>
              <w:adjustRightInd w:val="0"/>
              <w:spacing w:before="0" w:after="0"/>
              <w:rPr>
                <w:rFonts w:ascii="Times New Roman" w:hAnsi="Times New Roman"/>
                <w:sz w:val="24"/>
              </w:rPr>
            </w:pPr>
            <w:r>
              <w:rPr>
                <w:rFonts w:ascii="Times New Roman" w:hAnsi="Times New Roman"/>
                <w:sz w:val="24"/>
              </w:rPr>
              <w:t>La procedura dettagliata per il calcolo del valore della garanzia corretto per la volatilità (C</w:t>
            </w:r>
            <w:r>
              <w:rPr>
                <w:rFonts w:ascii="Times New Roman" w:hAnsi="Times New Roman"/>
                <w:sz w:val="24"/>
                <w:vertAlign w:val="subscript"/>
              </w:rPr>
              <w:t>VA</w:t>
            </w:r>
            <w:r>
              <w:rPr>
                <w:rFonts w:ascii="Times New Roman" w:hAnsi="Times New Roman"/>
                <w:sz w:val="24"/>
              </w:rPr>
              <w:t>) da segnalare in questa colonna è esposta nell</w:t>
            </w:r>
            <w:r w:rsidR="000878EC">
              <w:rPr>
                <w:rFonts w:ascii="Times New Roman" w:hAnsi="Times New Roman"/>
                <w:sz w:val="24"/>
              </w:rPr>
              <w:t>'</w:t>
            </w:r>
            <w:r>
              <w:rPr>
                <w:rFonts w:ascii="Times New Roman" w:hAnsi="Times New Roman"/>
                <w:sz w:val="24"/>
              </w:rPr>
              <w:t>articolo 223, paragrafo 2, del CRR.</w:t>
            </w:r>
          </w:p>
          <w:p w:rsidR="00E026FB" w:rsidRPr="00661595" w:rsidRDefault="00E026FB" w:rsidP="009B4B8B">
            <w:pPr>
              <w:suppressAutoHyphens/>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9B4B8B">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0030</w:t>
            </w:r>
          </w:p>
        </w:tc>
        <w:tc>
          <w:tcPr>
            <w:tcW w:w="7436" w:type="dxa"/>
          </w:tcPr>
          <w:p w:rsidR="00E026FB" w:rsidRPr="00661595" w:rsidRDefault="00E026FB" w:rsidP="009B4B8B">
            <w:pPr>
              <w:suppressAutoHyphens/>
              <w:spacing w:before="0" w:after="0"/>
              <w:jc w:val="left"/>
              <w:rPr>
                <w:rFonts w:ascii="Times New Roman" w:hAnsi="Times New Roman"/>
                <w:b/>
                <w:sz w:val="24"/>
                <w:u w:val="single"/>
              </w:rPr>
            </w:pPr>
            <w:r>
              <w:rPr>
                <w:rFonts w:ascii="Times New Roman" w:hAnsi="Times New Roman"/>
                <w:b/>
                <w:sz w:val="24"/>
                <w:u w:val="single"/>
              </w:rPr>
              <w:t xml:space="preserve">(-) DEFLUSSI TOTALI (-) VALORI CORRETTI DELLA PROTEZIONE DEL CREDITO DI TIPO PERSONALE (G*) </w:t>
            </w:r>
          </w:p>
          <w:p w:rsidR="00E026FB" w:rsidRPr="00661595" w:rsidRDefault="00E026FB" w:rsidP="009B4B8B">
            <w:pPr>
              <w:suppressAutoHyphens/>
              <w:spacing w:before="0" w:after="0"/>
              <w:jc w:val="left"/>
              <w:rPr>
                <w:rFonts w:ascii="Times New Roman" w:hAnsi="Times New Roman"/>
                <w:sz w:val="24"/>
                <w:lang w:eastAsia="es-ES_tradnl"/>
              </w:rPr>
            </w:pPr>
          </w:p>
          <w:p w:rsidR="00E026FB" w:rsidRPr="00661595" w:rsidRDefault="00E026FB" w:rsidP="009B4B8B">
            <w:pPr>
              <w:suppressAutoHyphens/>
              <w:spacing w:before="0" w:after="0"/>
              <w:rPr>
                <w:rFonts w:ascii="Times New Roman" w:hAnsi="Times New Roman"/>
                <w:sz w:val="24"/>
              </w:rPr>
            </w:pPr>
            <w:r>
              <w:rPr>
                <w:rFonts w:ascii="Times New Roman" w:hAnsi="Times New Roman"/>
                <w:sz w:val="24"/>
              </w:rPr>
              <w:t xml:space="preserve">Conformemente alla regola generale per gli </w:t>
            </w:r>
            <w:r w:rsidR="000878EC">
              <w:rPr>
                <w:rFonts w:ascii="Times New Roman" w:hAnsi="Times New Roman"/>
                <w:sz w:val="24"/>
              </w:rPr>
              <w:t>"</w:t>
            </w:r>
            <w:r>
              <w:rPr>
                <w:rFonts w:ascii="Times New Roman" w:hAnsi="Times New Roman"/>
                <w:sz w:val="24"/>
              </w:rPr>
              <w:t>afflussi</w:t>
            </w:r>
            <w:r w:rsidR="000878EC">
              <w:rPr>
                <w:rFonts w:ascii="Times New Roman" w:hAnsi="Times New Roman"/>
                <w:sz w:val="24"/>
              </w:rPr>
              <w:t>"</w:t>
            </w:r>
            <w:r>
              <w:rPr>
                <w:rFonts w:ascii="Times New Roman" w:hAnsi="Times New Roman"/>
                <w:sz w:val="24"/>
              </w:rPr>
              <w:t xml:space="preserve"> e i </w:t>
            </w:r>
            <w:r w:rsidR="000878EC">
              <w:rPr>
                <w:rFonts w:ascii="Times New Roman" w:hAnsi="Times New Roman"/>
                <w:sz w:val="24"/>
              </w:rPr>
              <w:t>"</w:t>
            </w:r>
            <w:r>
              <w:rPr>
                <w:rFonts w:ascii="Times New Roman" w:hAnsi="Times New Roman"/>
                <w:sz w:val="24"/>
              </w:rPr>
              <w:t>deflussi</w:t>
            </w:r>
            <w:r w:rsidR="000878EC">
              <w:rPr>
                <w:rFonts w:ascii="Times New Roman" w:hAnsi="Times New Roman"/>
                <w:sz w:val="24"/>
              </w:rPr>
              <w:t>"</w:t>
            </w:r>
            <w:r>
              <w:rPr>
                <w:rFonts w:ascii="Times New Roman" w:hAnsi="Times New Roman"/>
                <w:sz w:val="24"/>
              </w:rPr>
              <w:t xml:space="preserve">, gli importi segnalati in questa colonna figurano come </w:t>
            </w:r>
            <w:r w:rsidR="000878EC">
              <w:rPr>
                <w:rFonts w:ascii="Times New Roman" w:hAnsi="Times New Roman"/>
                <w:sz w:val="24"/>
              </w:rPr>
              <w:t>"</w:t>
            </w:r>
            <w:r>
              <w:rPr>
                <w:rFonts w:ascii="Times New Roman" w:hAnsi="Times New Roman"/>
                <w:sz w:val="24"/>
              </w:rPr>
              <w:t>afflussi</w:t>
            </w:r>
            <w:r w:rsidR="000878EC">
              <w:rPr>
                <w:rFonts w:ascii="Times New Roman" w:hAnsi="Times New Roman"/>
                <w:sz w:val="24"/>
              </w:rPr>
              <w:t>"</w:t>
            </w:r>
            <w:r>
              <w:rPr>
                <w:rFonts w:ascii="Times New Roman" w:hAnsi="Times New Roman"/>
                <w:sz w:val="24"/>
              </w:rPr>
              <w:t xml:space="preserve"> nel corrispondente modello relativo al rischio di credito (CR SA o CR IRB) e nella classe di esposizioni alla quale il soggetto segnalante assegna il fornitore della protezione (ovvero il terzo al quale il segmento è trasferito mediante protezione del credito di tipo personale).</w:t>
            </w:r>
          </w:p>
          <w:p w:rsidR="00E026FB" w:rsidRPr="00661595" w:rsidRDefault="00E026FB" w:rsidP="009B4B8B">
            <w:pPr>
              <w:suppressAutoHyphens/>
              <w:spacing w:before="0" w:after="0"/>
              <w:jc w:val="left"/>
              <w:rPr>
                <w:rFonts w:ascii="Times New Roman" w:hAnsi="Times New Roman"/>
                <w:sz w:val="24"/>
                <w:lang w:eastAsia="es-ES_tradnl"/>
              </w:rPr>
            </w:pPr>
          </w:p>
          <w:p w:rsidR="00E026FB" w:rsidRPr="00661595" w:rsidRDefault="00E026FB" w:rsidP="009B4B8B">
            <w:pPr>
              <w:suppressAutoHyphens/>
              <w:autoSpaceDE w:val="0"/>
              <w:autoSpaceDN w:val="0"/>
              <w:adjustRightInd w:val="0"/>
              <w:spacing w:before="0" w:after="0"/>
              <w:rPr>
                <w:rFonts w:ascii="Times New Roman" w:hAnsi="Times New Roman"/>
                <w:sz w:val="24"/>
              </w:rPr>
            </w:pPr>
            <w:r>
              <w:rPr>
                <w:rFonts w:ascii="Times New Roman" w:hAnsi="Times New Roman"/>
                <w:sz w:val="24"/>
              </w:rPr>
              <w:t>La procedura di calcolo dell</w:t>
            </w:r>
            <w:r w:rsidR="000878EC">
              <w:rPr>
                <w:rFonts w:ascii="Times New Roman" w:hAnsi="Times New Roman"/>
                <w:sz w:val="24"/>
              </w:rPr>
              <w:t>'</w:t>
            </w:r>
            <w:r>
              <w:rPr>
                <w:rFonts w:ascii="Times New Roman" w:hAnsi="Times New Roman"/>
                <w:sz w:val="24"/>
              </w:rPr>
              <w:t xml:space="preserve">importo nominale corretto per il </w:t>
            </w:r>
            <w:r w:rsidR="000878EC">
              <w:rPr>
                <w:rFonts w:ascii="Times New Roman" w:hAnsi="Times New Roman"/>
                <w:sz w:val="24"/>
              </w:rPr>
              <w:t>"</w:t>
            </w:r>
            <w:r>
              <w:rPr>
                <w:rFonts w:ascii="Times New Roman" w:hAnsi="Times New Roman"/>
                <w:sz w:val="24"/>
              </w:rPr>
              <w:t>rischio di cambio</w:t>
            </w:r>
            <w:r w:rsidR="000878EC">
              <w:rPr>
                <w:rFonts w:ascii="Times New Roman" w:hAnsi="Times New Roman"/>
                <w:sz w:val="24"/>
              </w:rPr>
              <w:t>"</w:t>
            </w:r>
            <w:r>
              <w:rPr>
                <w:rFonts w:ascii="Times New Roman" w:hAnsi="Times New Roman"/>
                <w:sz w:val="24"/>
              </w:rPr>
              <w:t xml:space="preserve"> della protezione del credito (G*) è indicata nell</w:t>
            </w:r>
            <w:r w:rsidR="000878EC">
              <w:rPr>
                <w:rFonts w:ascii="Times New Roman" w:hAnsi="Times New Roman"/>
                <w:sz w:val="24"/>
              </w:rPr>
              <w:t>'</w:t>
            </w:r>
            <w:r>
              <w:rPr>
                <w:rFonts w:ascii="Times New Roman" w:hAnsi="Times New Roman"/>
                <w:sz w:val="24"/>
              </w:rPr>
              <w:t>articolo 233, paragrafo 3, del CRR.</w:t>
            </w:r>
          </w:p>
          <w:p w:rsidR="00E026FB" w:rsidRPr="00661595" w:rsidRDefault="00E026FB" w:rsidP="009B4B8B">
            <w:pPr>
              <w:suppressAutoHyphens/>
              <w:autoSpaceDE w:val="0"/>
              <w:autoSpaceDN w:val="0"/>
              <w:adjustRightInd w:val="0"/>
              <w:spacing w:before="0" w:after="0"/>
              <w:jc w:val="left"/>
              <w:rPr>
                <w:rFonts w:ascii="Times New Roman" w:hAnsi="Times New Roman"/>
                <w:bCs/>
                <w:sz w:val="24"/>
                <w:lang w:eastAsia="nl-BE"/>
              </w:rPr>
            </w:pPr>
          </w:p>
        </w:tc>
      </w:tr>
      <w:tr w:rsidR="00E026FB" w:rsidRPr="00661595" w:rsidTr="00E10B85">
        <w:tc>
          <w:tcPr>
            <w:tcW w:w="1568" w:type="dxa"/>
          </w:tcPr>
          <w:p w:rsidR="00E026FB" w:rsidRPr="00661595" w:rsidRDefault="00E026FB" w:rsidP="009B4B8B">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0040</w:t>
            </w:r>
          </w:p>
        </w:tc>
        <w:tc>
          <w:tcPr>
            <w:tcW w:w="7436" w:type="dxa"/>
          </w:tcPr>
          <w:p w:rsidR="00E026FB" w:rsidRPr="00661595" w:rsidRDefault="00E026FB" w:rsidP="009B4B8B">
            <w:pPr>
              <w:suppressAutoHyphens/>
              <w:spacing w:before="0" w:after="0"/>
              <w:jc w:val="left"/>
              <w:rPr>
                <w:rFonts w:ascii="Times New Roman" w:hAnsi="Times New Roman"/>
                <w:b/>
                <w:sz w:val="24"/>
                <w:u w:val="single"/>
              </w:rPr>
            </w:pPr>
            <w:r>
              <w:rPr>
                <w:rFonts w:ascii="Times New Roman" w:hAnsi="Times New Roman"/>
                <w:b/>
                <w:sz w:val="24"/>
                <w:u w:val="single"/>
              </w:rPr>
              <w:t>IMPORTO NOZIONALE MANTENUTO O RIACQUISTATO DELLA PROTEZIONE DEL CREDITO</w:t>
            </w:r>
          </w:p>
          <w:p w:rsidR="00E026FB" w:rsidRPr="00661595" w:rsidRDefault="00E026FB" w:rsidP="009B4B8B">
            <w:pPr>
              <w:suppressAutoHyphens/>
              <w:spacing w:before="0" w:after="0"/>
              <w:jc w:val="left"/>
              <w:rPr>
                <w:rFonts w:ascii="Times New Roman" w:hAnsi="Times New Roman"/>
                <w:sz w:val="24"/>
                <w:lang w:eastAsia="es-ES_tradnl"/>
              </w:rPr>
            </w:pPr>
          </w:p>
          <w:p w:rsidR="00E026FB" w:rsidRPr="00661595" w:rsidRDefault="00E026FB" w:rsidP="009B4B8B">
            <w:pPr>
              <w:suppressAutoHyphens/>
              <w:autoSpaceDE w:val="0"/>
              <w:autoSpaceDN w:val="0"/>
              <w:adjustRightInd w:val="0"/>
              <w:spacing w:before="0" w:after="0"/>
              <w:rPr>
                <w:rFonts w:ascii="Times New Roman" w:hAnsi="Times New Roman"/>
                <w:sz w:val="24"/>
              </w:rPr>
            </w:pPr>
            <w:r>
              <w:rPr>
                <w:rFonts w:ascii="Times New Roman" w:hAnsi="Times New Roman"/>
                <w:sz w:val="24"/>
              </w:rPr>
              <w:t>Tutti i segmenti mantenuti o riacquistati, ad esempio le posizioni che coprono le prime perdite non traslate, sono segnalati al rispettivo valore nominale.</w:t>
            </w:r>
          </w:p>
          <w:p w:rsidR="00E026FB" w:rsidRPr="00661595" w:rsidRDefault="00E026FB" w:rsidP="009B4B8B">
            <w:pPr>
              <w:suppressAutoHyphens/>
              <w:autoSpaceDE w:val="0"/>
              <w:autoSpaceDN w:val="0"/>
              <w:adjustRightInd w:val="0"/>
              <w:spacing w:before="0" w:after="0"/>
              <w:rPr>
                <w:rFonts w:ascii="Times New Roman" w:hAnsi="Times New Roman"/>
                <w:bCs/>
                <w:sz w:val="24"/>
                <w:lang w:eastAsia="nl-BE"/>
              </w:rPr>
            </w:pPr>
          </w:p>
          <w:p w:rsidR="00E026FB" w:rsidRPr="00661595" w:rsidRDefault="00E026FB" w:rsidP="009B4B8B">
            <w:pPr>
              <w:suppressAutoHyphens/>
              <w:autoSpaceDE w:val="0"/>
              <w:autoSpaceDN w:val="0"/>
              <w:adjustRightInd w:val="0"/>
              <w:spacing w:before="0" w:after="0"/>
              <w:rPr>
                <w:rFonts w:ascii="Times New Roman" w:hAnsi="Times New Roman"/>
                <w:sz w:val="24"/>
              </w:rPr>
            </w:pPr>
            <w:r>
              <w:rPr>
                <w:rFonts w:ascii="Times New Roman" w:hAnsi="Times New Roman"/>
                <w:sz w:val="24"/>
              </w:rPr>
              <w:t>Nel calcolo dell</w:t>
            </w:r>
            <w:r w:rsidR="000878EC">
              <w:rPr>
                <w:rFonts w:ascii="Times New Roman" w:hAnsi="Times New Roman"/>
                <w:sz w:val="24"/>
              </w:rPr>
              <w:t>'</w:t>
            </w:r>
            <w:r>
              <w:rPr>
                <w:rFonts w:ascii="Times New Roman" w:hAnsi="Times New Roman"/>
                <w:sz w:val="24"/>
              </w:rPr>
              <w:t>importo mantenuto o riacquistato della protezione del credito non si tiene conto dell</w:t>
            </w:r>
            <w:r w:rsidR="000878EC">
              <w:rPr>
                <w:rFonts w:ascii="Times New Roman" w:hAnsi="Times New Roman"/>
                <w:sz w:val="24"/>
              </w:rPr>
              <w:t>'</w:t>
            </w:r>
            <w:r>
              <w:rPr>
                <w:rFonts w:ascii="Times New Roman" w:hAnsi="Times New Roman"/>
                <w:sz w:val="24"/>
              </w:rPr>
              <w:t>effetto dei coefficienti di scarto (haircut) di vigilanza sulla protezione del credito.</w:t>
            </w:r>
          </w:p>
          <w:p w:rsidR="00E026FB" w:rsidRPr="00661595" w:rsidRDefault="00E026FB" w:rsidP="009B4B8B">
            <w:pPr>
              <w:suppressAutoHyphens/>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9B4B8B">
            <w:pPr>
              <w:keepNext/>
              <w:keepLines/>
              <w:suppressAutoHyphens/>
              <w:autoSpaceDE w:val="0"/>
              <w:autoSpaceDN w:val="0"/>
              <w:adjustRightInd w:val="0"/>
              <w:spacing w:before="0" w:after="0"/>
              <w:rPr>
                <w:rFonts w:ascii="Times New Roman" w:hAnsi="Times New Roman"/>
                <w:bCs/>
                <w:sz w:val="24"/>
              </w:rPr>
            </w:pPr>
            <w:r>
              <w:rPr>
                <w:rFonts w:ascii="Times New Roman" w:hAnsi="Times New Roman"/>
                <w:bCs/>
                <w:sz w:val="24"/>
              </w:rPr>
              <w:t>0050</w:t>
            </w:r>
          </w:p>
        </w:tc>
        <w:tc>
          <w:tcPr>
            <w:tcW w:w="7436" w:type="dxa"/>
          </w:tcPr>
          <w:p w:rsidR="00E026FB" w:rsidRPr="00661595" w:rsidRDefault="00E026FB" w:rsidP="009B4B8B">
            <w:pPr>
              <w:keepNext/>
              <w:keepLines/>
              <w:suppressAutoHyphens/>
              <w:spacing w:before="0" w:after="0"/>
              <w:rPr>
                <w:rFonts w:ascii="Times New Roman" w:hAnsi="Times New Roman"/>
                <w:b/>
                <w:sz w:val="24"/>
                <w:u w:val="single"/>
              </w:rPr>
            </w:pPr>
            <w:r>
              <w:rPr>
                <w:rFonts w:ascii="Times New Roman" w:hAnsi="Times New Roman"/>
                <w:b/>
                <w:sz w:val="24"/>
                <w:u w:val="single"/>
              </w:rPr>
              <w:t>POSIZIONI VERSO LA CARTOLARIZZAZIONE: ESPOSIZIONE ORIGINARIA PRIMA DELL</w:t>
            </w:r>
            <w:r w:rsidR="000878EC">
              <w:rPr>
                <w:rFonts w:ascii="Times New Roman" w:hAnsi="Times New Roman"/>
                <w:b/>
                <w:sz w:val="24"/>
                <w:u w:val="single"/>
              </w:rPr>
              <w:t>'</w:t>
            </w:r>
            <w:r>
              <w:rPr>
                <w:rFonts w:ascii="Times New Roman" w:hAnsi="Times New Roman"/>
                <w:b/>
                <w:sz w:val="24"/>
                <w:u w:val="single"/>
              </w:rPr>
              <w:t xml:space="preserve">APPLICAZIONE DEI FATTORI DI CONVERSIONE </w:t>
            </w:r>
          </w:p>
          <w:p w:rsidR="00E026FB" w:rsidRPr="00661595" w:rsidRDefault="00E026FB" w:rsidP="009B4B8B">
            <w:pPr>
              <w:keepNext/>
              <w:keepLines/>
              <w:suppressAutoHyphens/>
              <w:spacing w:before="0" w:after="0"/>
              <w:jc w:val="left"/>
              <w:rPr>
                <w:rFonts w:ascii="Times New Roman" w:hAnsi="Times New Roman"/>
                <w:sz w:val="24"/>
              </w:rPr>
            </w:pPr>
          </w:p>
          <w:p w:rsidR="00126395" w:rsidRPr="00661595" w:rsidRDefault="00A16FFF" w:rsidP="009B4B8B">
            <w:pPr>
              <w:keepNext/>
              <w:keepLines/>
              <w:suppressAutoHyphens/>
              <w:autoSpaceDE w:val="0"/>
              <w:autoSpaceDN w:val="0"/>
              <w:adjustRightInd w:val="0"/>
              <w:spacing w:before="0" w:after="0"/>
              <w:jc w:val="left"/>
              <w:rPr>
                <w:rFonts w:ascii="Times New Roman" w:hAnsi="Times New Roman"/>
                <w:sz w:val="24"/>
              </w:rPr>
            </w:pPr>
            <w:r>
              <w:rPr>
                <w:rFonts w:ascii="Times New Roman" w:hAnsi="Times New Roman"/>
                <w:sz w:val="24"/>
              </w:rPr>
              <w:t>Questa colonna comprende i valori delle esposizioni delle posizioni verso la cartolarizzazione detenute dall</w:t>
            </w:r>
            <w:r w:rsidR="000878EC">
              <w:rPr>
                <w:rFonts w:ascii="Times New Roman" w:hAnsi="Times New Roman"/>
                <w:sz w:val="24"/>
              </w:rPr>
              <w:t>'</w:t>
            </w:r>
            <w:r>
              <w:rPr>
                <w:rFonts w:ascii="Times New Roman" w:hAnsi="Times New Roman"/>
                <w:sz w:val="24"/>
              </w:rPr>
              <w:t>ente segnalante, calcolate in conformità dell</w:t>
            </w:r>
            <w:r w:rsidR="000878EC">
              <w:rPr>
                <w:rFonts w:ascii="Times New Roman" w:hAnsi="Times New Roman"/>
                <w:sz w:val="24"/>
              </w:rPr>
              <w:t>'</w:t>
            </w:r>
            <w:r>
              <w:rPr>
                <w:rFonts w:ascii="Times New Roman" w:hAnsi="Times New Roman"/>
                <w:sz w:val="24"/>
              </w:rPr>
              <w:t>articolo 248, paragrafi 1 e 2, del CRR, senza applicare i fattori di conversione del credito, al lordo delle rettifiche di valore e degli accantonamenti, e degli eventuali sconti su prezzi d</w:t>
            </w:r>
            <w:r w:rsidR="000878EC">
              <w:rPr>
                <w:rFonts w:ascii="Times New Roman" w:hAnsi="Times New Roman"/>
                <w:sz w:val="24"/>
              </w:rPr>
              <w:t>'</w:t>
            </w:r>
            <w:r>
              <w:rPr>
                <w:rFonts w:ascii="Times New Roman" w:hAnsi="Times New Roman"/>
                <w:sz w:val="24"/>
              </w:rPr>
              <w:t>acquisto non rimborsabili sulle esposizioni cartolarizzate di cui all</w:t>
            </w:r>
            <w:r w:rsidR="000878EC">
              <w:rPr>
                <w:rFonts w:ascii="Times New Roman" w:hAnsi="Times New Roman"/>
                <w:sz w:val="24"/>
              </w:rPr>
              <w:t>'</w:t>
            </w:r>
            <w:r>
              <w:rPr>
                <w:rFonts w:ascii="Times New Roman" w:hAnsi="Times New Roman"/>
                <w:sz w:val="24"/>
              </w:rPr>
              <w:t>articolo 248, paragrafo 1, lettera d), del CRR, e al lordo delle rettifiche di valore e degli accantonamenti relativi alla posizione verso la cartolarizzazione.</w:t>
            </w:r>
          </w:p>
          <w:p w:rsidR="00A16FFF" w:rsidRPr="00661595" w:rsidRDefault="00A16FFF" w:rsidP="009B4B8B">
            <w:pPr>
              <w:keepNext/>
              <w:keepLines/>
              <w:suppressAutoHyphens/>
              <w:autoSpaceDE w:val="0"/>
              <w:autoSpaceDN w:val="0"/>
              <w:adjustRightInd w:val="0"/>
              <w:spacing w:before="0" w:after="0"/>
              <w:jc w:val="left"/>
              <w:rPr>
                <w:rFonts w:ascii="Times New Roman" w:hAnsi="Times New Roman"/>
                <w:sz w:val="24"/>
                <w:lang w:eastAsia="es-ES_tradnl"/>
              </w:rPr>
            </w:pPr>
          </w:p>
          <w:p w:rsidR="00E026FB" w:rsidRPr="00661595" w:rsidRDefault="00E026FB" w:rsidP="009B4B8B">
            <w:pPr>
              <w:keepNext/>
              <w:keepLines/>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La compensazione è rilevante unicamente per i derivati multipli forniti alla stessa società veicolo per la cartolarizzazione (SSPE) coperti da accordi di compensazione ammissibili. </w:t>
            </w:r>
          </w:p>
          <w:p w:rsidR="00E026FB" w:rsidRPr="00661595" w:rsidRDefault="00E026FB" w:rsidP="009B4B8B">
            <w:pPr>
              <w:keepNext/>
              <w:keepLines/>
              <w:suppressAutoHyphens/>
              <w:autoSpaceDE w:val="0"/>
              <w:autoSpaceDN w:val="0"/>
              <w:adjustRightInd w:val="0"/>
              <w:spacing w:before="0" w:after="0"/>
              <w:rPr>
                <w:rFonts w:ascii="Times New Roman" w:hAnsi="Times New Roman"/>
                <w:sz w:val="24"/>
                <w:lang w:eastAsia="es-ES_tradnl"/>
              </w:rPr>
            </w:pPr>
          </w:p>
          <w:p w:rsidR="00E026FB" w:rsidRPr="00661595" w:rsidRDefault="00E026FB" w:rsidP="009B4B8B">
            <w:pPr>
              <w:keepNext/>
              <w:keepLines/>
              <w:suppressAutoHyphens/>
              <w:autoSpaceDE w:val="0"/>
              <w:autoSpaceDN w:val="0"/>
              <w:adjustRightInd w:val="0"/>
              <w:spacing w:before="0" w:after="0"/>
              <w:rPr>
                <w:rFonts w:ascii="Times New Roman" w:hAnsi="Times New Roman"/>
                <w:sz w:val="24"/>
              </w:rPr>
            </w:pPr>
            <w:r>
              <w:rPr>
                <w:rFonts w:ascii="Times New Roman" w:hAnsi="Times New Roman"/>
                <w:sz w:val="24"/>
              </w:rPr>
              <w:t>Nelle cartolarizzazioni sintetiche le posizioni detenute dal cedente sotto forma di elementi in bilancio e/o ragioni di credito dell</w:t>
            </w:r>
            <w:r w:rsidR="000878EC">
              <w:rPr>
                <w:rFonts w:ascii="Times New Roman" w:hAnsi="Times New Roman"/>
                <w:sz w:val="24"/>
              </w:rPr>
              <w:t>'</w:t>
            </w:r>
            <w:r>
              <w:rPr>
                <w:rFonts w:ascii="Times New Roman" w:hAnsi="Times New Roman"/>
                <w:sz w:val="24"/>
              </w:rPr>
              <w:t>investitore derivano dall</w:t>
            </w:r>
            <w:r w:rsidR="000878EC">
              <w:rPr>
                <w:rFonts w:ascii="Times New Roman" w:hAnsi="Times New Roman"/>
                <w:sz w:val="24"/>
              </w:rPr>
              <w:t>'</w:t>
            </w:r>
            <w:r>
              <w:rPr>
                <w:rFonts w:ascii="Times New Roman" w:hAnsi="Times New Roman"/>
                <w:sz w:val="24"/>
              </w:rPr>
              <w:t>aggregazione delle colonne da 0010 a 0040.</w:t>
            </w:r>
          </w:p>
          <w:p w:rsidR="00E026FB" w:rsidRPr="00661595" w:rsidRDefault="00E026FB" w:rsidP="009B4B8B">
            <w:pPr>
              <w:keepNext/>
              <w:keepLines/>
              <w:suppressAutoHyphens/>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9B4B8B">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0060</w:t>
            </w:r>
          </w:p>
        </w:tc>
        <w:tc>
          <w:tcPr>
            <w:tcW w:w="7436" w:type="dxa"/>
          </w:tcPr>
          <w:p w:rsidR="00E026FB" w:rsidRPr="00661595" w:rsidRDefault="00E026FB" w:rsidP="009B4B8B">
            <w:pPr>
              <w:suppressAutoHyphens/>
              <w:spacing w:before="0" w:after="0"/>
              <w:jc w:val="left"/>
              <w:rPr>
                <w:rFonts w:ascii="Times New Roman" w:hAnsi="Times New Roman"/>
                <w:b/>
                <w:sz w:val="24"/>
                <w:u w:val="single"/>
              </w:rPr>
            </w:pPr>
            <w:r>
              <w:rPr>
                <w:rFonts w:ascii="Times New Roman" w:hAnsi="Times New Roman"/>
                <w:b/>
                <w:sz w:val="24"/>
                <w:u w:val="single"/>
              </w:rPr>
              <w:t xml:space="preserve">(-) RETTIFICHE DI VALORE E ACCANTONAMENTI </w:t>
            </w:r>
          </w:p>
          <w:p w:rsidR="00E026FB" w:rsidRPr="00661595" w:rsidRDefault="00E026FB" w:rsidP="009B4B8B">
            <w:pPr>
              <w:pStyle w:val="ListParagraph"/>
              <w:suppressAutoHyphens/>
              <w:spacing w:before="0" w:after="0"/>
              <w:ind w:left="284" w:hanging="284"/>
              <w:rPr>
                <w:rFonts w:ascii="Times New Roman" w:hAnsi="Times New Roman"/>
                <w:sz w:val="24"/>
                <w:lang w:eastAsia="es-ES_tradnl"/>
              </w:rPr>
            </w:pPr>
          </w:p>
          <w:p w:rsidR="00E026FB" w:rsidRPr="00661595" w:rsidRDefault="00E026FB" w:rsidP="009B4B8B">
            <w:pPr>
              <w:suppressAutoHyphens/>
              <w:autoSpaceDE w:val="0"/>
              <w:autoSpaceDN w:val="0"/>
              <w:adjustRightInd w:val="0"/>
              <w:spacing w:before="0" w:after="0"/>
              <w:rPr>
                <w:rFonts w:ascii="Times New Roman" w:hAnsi="Times New Roman"/>
                <w:sz w:val="24"/>
              </w:rPr>
            </w:pPr>
            <w:r>
              <w:rPr>
                <w:rFonts w:ascii="Times New Roman" w:hAnsi="Times New Roman"/>
                <w:sz w:val="24"/>
              </w:rPr>
              <w:t>Articolo 248 del CRR Le rettifiche di valore e gli accantonamenti da segnalare in questa colonna si riferiscono soltanto alle posizioni verso la cartolarizzazione; non sono considerate le rettifiche di valore delle esposizioni cartolarizzate.</w:t>
            </w:r>
          </w:p>
          <w:p w:rsidR="00E026FB" w:rsidRPr="00661595" w:rsidRDefault="00E026FB" w:rsidP="009B4B8B">
            <w:pPr>
              <w:suppressAutoHyphens/>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9B4B8B">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0070</w:t>
            </w:r>
          </w:p>
        </w:tc>
        <w:tc>
          <w:tcPr>
            <w:tcW w:w="7436" w:type="dxa"/>
          </w:tcPr>
          <w:p w:rsidR="00E026FB" w:rsidRPr="00661595" w:rsidRDefault="00E026FB" w:rsidP="009B4B8B">
            <w:pPr>
              <w:suppressAutoHyphens/>
              <w:spacing w:before="0" w:after="0"/>
              <w:jc w:val="left"/>
              <w:rPr>
                <w:rFonts w:ascii="Times New Roman" w:hAnsi="Times New Roman"/>
                <w:b/>
                <w:sz w:val="24"/>
                <w:u w:val="single"/>
              </w:rPr>
            </w:pPr>
            <w:r>
              <w:rPr>
                <w:rFonts w:ascii="Times New Roman" w:hAnsi="Times New Roman"/>
                <w:b/>
                <w:sz w:val="24"/>
                <w:u w:val="single"/>
              </w:rPr>
              <w:t>ESPOSIZIONE AL NETTO DELLE RETTIFICHE DI VALORE E DEGLI ACCANTONAMENTI</w:t>
            </w:r>
          </w:p>
          <w:p w:rsidR="00E026FB" w:rsidRPr="00661595" w:rsidRDefault="00E026FB" w:rsidP="009B4B8B">
            <w:pPr>
              <w:suppressAutoHyphens/>
              <w:spacing w:before="0" w:after="0"/>
              <w:jc w:val="left"/>
              <w:rPr>
                <w:rFonts w:ascii="Times New Roman" w:hAnsi="Times New Roman"/>
                <w:sz w:val="24"/>
                <w:lang w:eastAsia="es-ES_tradnl"/>
              </w:rPr>
            </w:pPr>
          </w:p>
          <w:p w:rsidR="00E026FB" w:rsidRPr="00661595" w:rsidRDefault="00A16FFF" w:rsidP="009B4B8B">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Questa colonna comprende i valori delle esposizioni delle posizioni verso la cartolarizzazione, calcolate in conformità dell</w:t>
            </w:r>
            <w:r w:rsidR="000878EC">
              <w:rPr>
                <w:rFonts w:ascii="Times New Roman" w:hAnsi="Times New Roman"/>
                <w:sz w:val="24"/>
              </w:rPr>
              <w:t>'</w:t>
            </w:r>
            <w:r>
              <w:rPr>
                <w:rFonts w:ascii="Times New Roman" w:hAnsi="Times New Roman"/>
                <w:sz w:val="24"/>
              </w:rPr>
              <w:t>articolo 248, paragrafi 1 e 2, del CRR, al netto delle rettifiche di valore e degli accantonamenti, senza applicare i fattori di conversione, e al lordo degli eventuali sconti su prezzi d</w:t>
            </w:r>
            <w:r w:rsidR="000878EC">
              <w:rPr>
                <w:rFonts w:ascii="Times New Roman" w:hAnsi="Times New Roman"/>
                <w:sz w:val="24"/>
              </w:rPr>
              <w:t>'</w:t>
            </w:r>
            <w:r>
              <w:rPr>
                <w:rFonts w:ascii="Times New Roman" w:hAnsi="Times New Roman"/>
                <w:sz w:val="24"/>
              </w:rPr>
              <w:t>acquisto non rimborsabili sulle esposizioni cartolarizzate di cui all</w:t>
            </w:r>
            <w:r w:rsidR="000878EC">
              <w:rPr>
                <w:rFonts w:ascii="Times New Roman" w:hAnsi="Times New Roman"/>
                <w:sz w:val="24"/>
              </w:rPr>
              <w:t>'</w:t>
            </w:r>
            <w:r>
              <w:rPr>
                <w:rFonts w:ascii="Times New Roman" w:hAnsi="Times New Roman"/>
                <w:sz w:val="24"/>
              </w:rPr>
              <w:t>articolo 248, paragrafo 1, lettera d), del CRR, e al netto delle rettifiche di valore e degli accantonamenti relativi alla posizione verso la cartolarizzazione.</w:t>
            </w:r>
          </w:p>
          <w:p w:rsidR="00E026FB" w:rsidRPr="00661595" w:rsidRDefault="00E026FB" w:rsidP="009B4B8B">
            <w:pPr>
              <w:suppressAutoHyphens/>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9B4B8B">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0080-0110</w:t>
            </w:r>
          </w:p>
        </w:tc>
        <w:tc>
          <w:tcPr>
            <w:tcW w:w="7436" w:type="dxa"/>
          </w:tcPr>
          <w:p w:rsidR="00E026FB" w:rsidRPr="00661595" w:rsidRDefault="00E026FB" w:rsidP="009B4B8B">
            <w:pPr>
              <w:suppressAutoHyphens/>
              <w:spacing w:before="0" w:after="0"/>
              <w:jc w:val="left"/>
              <w:rPr>
                <w:rFonts w:ascii="Times New Roman" w:hAnsi="Times New Roman"/>
                <w:b/>
                <w:sz w:val="24"/>
                <w:u w:val="single"/>
              </w:rPr>
            </w:pPr>
            <w:r>
              <w:rPr>
                <w:rFonts w:ascii="Times New Roman" w:hAnsi="Times New Roman"/>
                <w:b/>
                <w:sz w:val="24"/>
                <w:u w:val="single"/>
              </w:rPr>
              <w:t>TECNICHE DI ATTENUAZIONE DEL RISCHIO DI CREDITO (CRM) CON EFFETTI DI SOSTITUZIONE SULL</w:t>
            </w:r>
            <w:r w:rsidR="000878EC">
              <w:rPr>
                <w:rFonts w:ascii="Times New Roman" w:hAnsi="Times New Roman"/>
                <w:b/>
                <w:sz w:val="24"/>
                <w:u w:val="single"/>
              </w:rPr>
              <w:t>'</w:t>
            </w:r>
            <w:r>
              <w:rPr>
                <w:rFonts w:ascii="Times New Roman" w:hAnsi="Times New Roman"/>
                <w:b/>
                <w:sz w:val="24"/>
                <w:u w:val="single"/>
              </w:rPr>
              <w:t>ESPOSIZIONE</w:t>
            </w:r>
          </w:p>
          <w:p w:rsidR="00E026FB" w:rsidRPr="00661595" w:rsidRDefault="00E026FB" w:rsidP="009B4B8B">
            <w:pPr>
              <w:suppressAutoHyphens/>
              <w:spacing w:before="0" w:after="0"/>
              <w:jc w:val="left"/>
              <w:rPr>
                <w:rFonts w:ascii="Times New Roman" w:hAnsi="Times New Roman"/>
                <w:sz w:val="24"/>
                <w:lang w:eastAsia="es-ES_tradnl"/>
              </w:rPr>
            </w:pPr>
          </w:p>
          <w:p w:rsidR="00E026FB" w:rsidRPr="00661595" w:rsidRDefault="00A16FFF" w:rsidP="009B4B8B">
            <w:pPr>
              <w:suppressAutoHyphens/>
              <w:spacing w:before="0" w:after="0"/>
              <w:rPr>
                <w:rFonts w:ascii="Times New Roman" w:hAnsi="Times New Roman"/>
                <w:sz w:val="24"/>
              </w:rPr>
            </w:pPr>
            <w:r>
              <w:rPr>
                <w:rFonts w:ascii="Times New Roman" w:hAnsi="Times New Roman"/>
                <w:sz w:val="24"/>
              </w:rPr>
              <w:t>Articolo 4, paragrafo 1, punto 57, del CRR, parte tre, titolo II, capo 4, del CRR e articolo 249 del CRR</w:t>
            </w:r>
          </w:p>
          <w:p w:rsidR="00E026FB" w:rsidRPr="00661595" w:rsidRDefault="00E026FB" w:rsidP="009B4B8B">
            <w:pPr>
              <w:suppressAutoHyphens/>
              <w:spacing w:before="0" w:after="0"/>
              <w:rPr>
                <w:rFonts w:ascii="Times New Roman" w:hAnsi="Times New Roman"/>
                <w:sz w:val="24"/>
                <w:lang w:eastAsia="es-ES_tradnl"/>
              </w:rPr>
            </w:pPr>
          </w:p>
          <w:p w:rsidR="00E026FB" w:rsidRPr="00661595" w:rsidRDefault="007A00D6" w:rsidP="009B4B8B">
            <w:pPr>
              <w:suppressAutoHyphens/>
              <w:spacing w:before="0" w:after="0"/>
              <w:rPr>
                <w:rFonts w:ascii="Times New Roman" w:hAnsi="Times New Roman"/>
                <w:sz w:val="24"/>
              </w:rPr>
            </w:pPr>
            <w:r>
              <w:rPr>
                <w:rFonts w:ascii="Times New Roman" w:hAnsi="Times New Roman"/>
                <w:sz w:val="24"/>
              </w:rPr>
              <w:t>Gli enti forniscono in queste colonne informazioni sulle tecniche di attenuazione del rischio di credito che riducono il rischio di credito di una o più esposizioni mediante sostituzione di esposizioni (come indicato sotto in riferimento agli afflussi e ai deflussi).</w:t>
            </w:r>
          </w:p>
          <w:p w:rsidR="00E026FB" w:rsidRPr="00661595" w:rsidRDefault="00D021AF" w:rsidP="009B4B8B">
            <w:pPr>
              <w:pStyle w:val="InstructionsText"/>
            </w:pPr>
            <w:r>
              <w:t>Se una garanzia reale influisce sul valore dell</w:t>
            </w:r>
            <w:r w:rsidR="000878EC">
              <w:t>'</w:t>
            </w:r>
            <w:r>
              <w:t>esposizione (ad esempio se è utilizzata per le tecniche di attenuazione del rischio di credito con effetti di sostituzione sull</w:t>
            </w:r>
            <w:r w:rsidR="000878EC">
              <w:t>'</w:t>
            </w:r>
            <w:r>
              <w:t>esposizione), il suo importo è limitato al valore dell</w:t>
            </w:r>
            <w:r w:rsidR="000878EC">
              <w:t>'</w:t>
            </w:r>
            <w:r>
              <w:t>esposizione.</w:t>
            </w:r>
          </w:p>
          <w:p w:rsidR="00E026FB" w:rsidRPr="00661595" w:rsidRDefault="00E026FB" w:rsidP="009B4B8B">
            <w:pPr>
              <w:pStyle w:val="InstructionsText"/>
            </w:pPr>
            <w:r>
              <w:t>Gli elementi da segnalare in questa riga sono:</w:t>
            </w:r>
          </w:p>
          <w:p w:rsidR="00E026FB" w:rsidRPr="00661595" w:rsidRDefault="00E026FB" w:rsidP="009B4B8B">
            <w:pPr>
              <w:pStyle w:val="ListParagraph"/>
              <w:numPr>
                <w:ilvl w:val="0"/>
                <w:numId w:val="33"/>
              </w:numPr>
              <w:tabs>
                <w:tab w:val="num" w:pos="360"/>
              </w:tabs>
              <w:suppressAutoHyphens/>
              <w:spacing w:before="0" w:after="0"/>
              <w:rPr>
                <w:rFonts w:ascii="Times New Roman" w:hAnsi="Times New Roman"/>
                <w:sz w:val="24"/>
              </w:rPr>
            </w:pPr>
            <w:r>
              <w:rPr>
                <w:rFonts w:ascii="Times New Roman" w:hAnsi="Times New Roman"/>
                <w:sz w:val="24"/>
              </w:rPr>
              <w:t>garanzie reali, costituite a norma dell</w:t>
            </w:r>
            <w:r w:rsidR="000878EC">
              <w:rPr>
                <w:rFonts w:ascii="Times New Roman" w:hAnsi="Times New Roman"/>
                <w:sz w:val="24"/>
              </w:rPr>
              <w:t>'</w:t>
            </w:r>
            <w:r>
              <w:rPr>
                <w:rFonts w:ascii="Times New Roman" w:hAnsi="Times New Roman"/>
                <w:sz w:val="24"/>
              </w:rPr>
              <w:t>articolo 222 del CRR (metodo semplificato per il trattamento delle garanzie reali finanziarie);</w:t>
            </w:r>
          </w:p>
          <w:p w:rsidR="00E026FB" w:rsidRPr="00661595" w:rsidRDefault="00E026FB" w:rsidP="009B4B8B">
            <w:pPr>
              <w:pStyle w:val="ListParagraph"/>
              <w:numPr>
                <w:ilvl w:val="0"/>
                <w:numId w:val="33"/>
              </w:numPr>
              <w:tabs>
                <w:tab w:val="num" w:pos="360"/>
              </w:tabs>
              <w:suppressAutoHyphens/>
              <w:spacing w:before="0" w:after="0"/>
              <w:rPr>
                <w:rFonts w:ascii="Times New Roman" w:hAnsi="Times New Roman"/>
                <w:sz w:val="24"/>
              </w:rPr>
            </w:pPr>
            <w:r>
              <w:rPr>
                <w:rFonts w:ascii="Times New Roman" w:hAnsi="Times New Roman"/>
                <w:sz w:val="24"/>
              </w:rPr>
              <w:t>la protezione del credito ammissibile di tipo personale.</w:t>
            </w:r>
          </w:p>
          <w:p w:rsidR="00E026FB" w:rsidRPr="00661595" w:rsidRDefault="00E026FB" w:rsidP="009B4B8B">
            <w:pPr>
              <w:suppressAutoHyphens/>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9B4B8B">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7436" w:type="dxa"/>
          </w:tcPr>
          <w:p w:rsidR="00E026FB" w:rsidRPr="00661595" w:rsidRDefault="00E026FB" w:rsidP="009B4B8B">
            <w:pPr>
              <w:suppressAutoHyphens/>
              <w:spacing w:before="0" w:after="0"/>
              <w:jc w:val="left"/>
              <w:rPr>
                <w:rFonts w:ascii="Times New Roman" w:hAnsi="Times New Roman"/>
                <w:b/>
                <w:sz w:val="24"/>
                <w:u w:val="single"/>
              </w:rPr>
            </w:pPr>
            <w:r>
              <w:rPr>
                <w:rFonts w:ascii="Times New Roman" w:hAnsi="Times New Roman"/>
                <w:b/>
                <w:sz w:val="24"/>
                <w:u w:val="single"/>
              </w:rPr>
              <w:t>(-) PROTEZIONE DEL CREDITO DI TIPO PERSONALE: VALORI CORRETTI (G</w:t>
            </w:r>
            <w:r>
              <w:rPr>
                <w:rFonts w:ascii="Times New Roman" w:hAnsi="Times New Roman"/>
                <w:b/>
                <w:sz w:val="24"/>
                <w:u w:val="single"/>
                <w:vertAlign w:val="subscript"/>
              </w:rPr>
              <w:t>A</w:t>
            </w:r>
            <w:r>
              <w:rPr>
                <w:rFonts w:ascii="Times New Roman" w:hAnsi="Times New Roman"/>
                <w:b/>
                <w:sz w:val="24"/>
                <w:u w:val="single"/>
              </w:rPr>
              <w:t xml:space="preserve">) </w:t>
            </w:r>
          </w:p>
          <w:p w:rsidR="00E026FB" w:rsidRPr="00661595" w:rsidRDefault="00E026FB" w:rsidP="009B4B8B">
            <w:pPr>
              <w:suppressAutoHyphens/>
              <w:spacing w:before="0" w:after="0"/>
              <w:jc w:val="left"/>
              <w:rPr>
                <w:rFonts w:ascii="Times New Roman" w:hAnsi="Times New Roman"/>
                <w:b/>
                <w:sz w:val="24"/>
                <w:u w:val="single"/>
                <w:lang w:eastAsia="es-ES_tradnl"/>
              </w:rPr>
            </w:pPr>
          </w:p>
          <w:p w:rsidR="00E026FB" w:rsidRPr="00661595" w:rsidRDefault="00E026FB" w:rsidP="009B4B8B">
            <w:pPr>
              <w:suppressAutoHyphens/>
              <w:autoSpaceDE w:val="0"/>
              <w:autoSpaceDN w:val="0"/>
              <w:adjustRightInd w:val="0"/>
              <w:spacing w:before="0" w:after="0"/>
              <w:rPr>
                <w:rFonts w:ascii="Times New Roman" w:hAnsi="Times New Roman"/>
                <w:sz w:val="24"/>
              </w:rPr>
            </w:pPr>
            <w:r>
              <w:rPr>
                <w:rFonts w:ascii="Times New Roman" w:hAnsi="Times New Roman"/>
                <w:sz w:val="24"/>
              </w:rPr>
              <w:t>Protezione del credito di tipo personale ai sensi dell</w:t>
            </w:r>
            <w:r w:rsidR="000878EC">
              <w:rPr>
                <w:rFonts w:ascii="Times New Roman" w:hAnsi="Times New Roman"/>
                <w:sz w:val="24"/>
              </w:rPr>
              <w:t>'</w:t>
            </w:r>
            <w:r>
              <w:rPr>
                <w:rFonts w:ascii="Times New Roman" w:hAnsi="Times New Roman"/>
                <w:sz w:val="24"/>
              </w:rPr>
              <w:t>articolo 4, paragrafo 1, punto 59, del CRR, e articoli da 234 a 236 del CRR</w:t>
            </w:r>
          </w:p>
          <w:p w:rsidR="00E026FB" w:rsidRPr="00661595" w:rsidRDefault="00E026FB" w:rsidP="009B4B8B">
            <w:pPr>
              <w:suppressAutoHyphens/>
              <w:autoSpaceDE w:val="0"/>
              <w:autoSpaceDN w:val="0"/>
              <w:adjustRightInd w:val="0"/>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9B4B8B">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0090</w:t>
            </w:r>
          </w:p>
        </w:tc>
        <w:tc>
          <w:tcPr>
            <w:tcW w:w="7436" w:type="dxa"/>
          </w:tcPr>
          <w:p w:rsidR="00E026FB" w:rsidRPr="00661595" w:rsidRDefault="00E026FB" w:rsidP="009B4B8B">
            <w:pPr>
              <w:suppressAutoHyphens/>
              <w:spacing w:before="0" w:after="0"/>
              <w:rPr>
                <w:rFonts w:ascii="Times New Roman" w:hAnsi="Times New Roman"/>
                <w:b/>
                <w:sz w:val="24"/>
                <w:u w:val="single"/>
              </w:rPr>
            </w:pPr>
            <w:r>
              <w:rPr>
                <w:rFonts w:ascii="Times New Roman" w:hAnsi="Times New Roman"/>
                <w:b/>
                <w:sz w:val="24"/>
                <w:u w:val="single"/>
              </w:rPr>
              <w:t>(-) PROTEZIONE DEL CREDITO DI TIPO REALE</w:t>
            </w:r>
          </w:p>
          <w:p w:rsidR="00E026FB" w:rsidRPr="00661595" w:rsidRDefault="00E026FB" w:rsidP="009B4B8B">
            <w:pPr>
              <w:suppressAutoHyphens/>
              <w:spacing w:before="0" w:after="0"/>
              <w:rPr>
                <w:rFonts w:ascii="Times New Roman" w:hAnsi="Times New Roman"/>
                <w:sz w:val="24"/>
              </w:rPr>
            </w:pPr>
          </w:p>
          <w:p w:rsidR="00E026FB" w:rsidRPr="00661595" w:rsidRDefault="00E026FB" w:rsidP="009B4B8B">
            <w:pPr>
              <w:suppressAutoHyphens/>
              <w:autoSpaceDE w:val="0"/>
              <w:autoSpaceDN w:val="0"/>
              <w:adjustRightInd w:val="0"/>
              <w:spacing w:before="0" w:after="0"/>
              <w:rPr>
                <w:rFonts w:ascii="Times New Roman" w:hAnsi="Times New Roman"/>
                <w:sz w:val="24"/>
              </w:rPr>
            </w:pPr>
            <w:r>
              <w:rPr>
                <w:rFonts w:ascii="Times New Roman" w:hAnsi="Times New Roman"/>
                <w:sz w:val="24"/>
              </w:rPr>
              <w:t>Protezione del credito di tipo reale ai sensi dell</w:t>
            </w:r>
            <w:r w:rsidR="000878EC">
              <w:rPr>
                <w:rFonts w:ascii="Times New Roman" w:hAnsi="Times New Roman"/>
                <w:sz w:val="24"/>
              </w:rPr>
              <w:t>'</w:t>
            </w:r>
            <w:r w:rsidR="00DE1A1A">
              <w:rPr>
                <w:rFonts w:ascii="Times New Roman" w:hAnsi="Times New Roman"/>
                <w:sz w:val="24"/>
              </w:rPr>
              <w:t>articolo 4, paragrafo 1, punto </w:t>
            </w:r>
            <w:r>
              <w:rPr>
                <w:rFonts w:ascii="Times New Roman" w:hAnsi="Times New Roman"/>
                <w:sz w:val="24"/>
              </w:rPr>
              <w:t>58, del CRR, di cui all</w:t>
            </w:r>
            <w:r w:rsidR="000878EC">
              <w:rPr>
                <w:rFonts w:ascii="Times New Roman" w:hAnsi="Times New Roman"/>
                <w:sz w:val="24"/>
              </w:rPr>
              <w:t>'</w:t>
            </w:r>
            <w:r>
              <w:rPr>
                <w:rFonts w:ascii="Times New Roman" w:hAnsi="Times New Roman"/>
                <w:sz w:val="24"/>
              </w:rPr>
              <w:t>articolo 249, paragrafo 2, primo comma, del CRR e come disciplinato agli articoli 195, 197 e 200 del CRR.</w:t>
            </w:r>
          </w:p>
          <w:p w:rsidR="00E026FB" w:rsidRPr="00661595" w:rsidRDefault="00E026FB" w:rsidP="009B4B8B">
            <w:pPr>
              <w:suppressAutoHyphens/>
              <w:autoSpaceDE w:val="0"/>
              <w:autoSpaceDN w:val="0"/>
              <w:adjustRightInd w:val="0"/>
              <w:spacing w:before="0" w:after="0"/>
              <w:ind w:left="284" w:hanging="284"/>
              <w:rPr>
                <w:rFonts w:ascii="Times New Roman" w:hAnsi="Times New Roman"/>
                <w:sz w:val="24"/>
                <w:lang w:eastAsia="es-ES_tradnl"/>
              </w:rPr>
            </w:pPr>
          </w:p>
          <w:p w:rsidR="00E026FB" w:rsidRPr="00661595" w:rsidRDefault="00E026FB" w:rsidP="009B4B8B">
            <w:pPr>
              <w:suppressAutoHyphens/>
              <w:spacing w:before="0" w:after="0"/>
              <w:rPr>
                <w:rFonts w:ascii="Times New Roman" w:hAnsi="Times New Roman"/>
                <w:sz w:val="24"/>
              </w:rPr>
            </w:pPr>
            <w:r>
              <w:rPr>
                <w:rFonts w:ascii="Times New Roman" w:hAnsi="Times New Roman"/>
                <w:sz w:val="24"/>
              </w:rPr>
              <w:t>Le credit linked note e la compensazione in bilancio di cui agli articoli 218 e 219 del CRR sono trattate come garanzie in contante.</w:t>
            </w:r>
          </w:p>
          <w:p w:rsidR="00E026FB" w:rsidRPr="00661595" w:rsidRDefault="00E026FB" w:rsidP="009B4B8B">
            <w:pPr>
              <w:suppressAutoHyphens/>
              <w:autoSpaceDE w:val="0"/>
              <w:autoSpaceDN w:val="0"/>
              <w:adjustRightInd w:val="0"/>
              <w:spacing w:before="0" w:after="0"/>
              <w:rPr>
                <w:rFonts w:ascii="Times New Roman" w:hAnsi="Times New Roman"/>
                <w:bCs/>
                <w:sz w:val="24"/>
                <w:lang w:eastAsia="nl-BE"/>
              </w:rPr>
            </w:pPr>
          </w:p>
        </w:tc>
      </w:tr>
      <w:tr w:rsidR="00E026FB" w:rsidRPr="00661595" w:rsidTr="00E10B85">
        <w:tc>
          <w:tcPr>
            <w:tcW w:w="1568" w:type="dxa"/>
          </w:tcPr>
          <w:p w:rsidR="00E026FB" w:rsidRPr="00661595" w:rsidRDefault="00E026FB" w:rsidP="009B4B8B">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0100-0110</w:t>
            </w:r>
          </w:p>
        </w:tc>
        <w:tc>
          <w:tcPr>
            <w:tcW w:w="7436" w:type="dxa"/>
          </w:tcPr>
          <w:p w:rsidR="00E026FB" w:rsidRPr="00661595" w:rsidRDefault="00E026FB" w:rsidP="009B4B8B">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SOSTITUZIONE DELL</w:t>
            </w:r>
            <w:r w:rsidR="000878EC">
              <w:rPr>
                <w:rFonts w:ascii="Times New Roman" w:hAnsi="Times New Roman"/>
                <w:b/>
                <w:sz w:val="24"/>
                <w:u w:val="single"/>
              </w:rPr>
              <w:t>'</w:t>
            </w:r>
            <w:r>
              <w:rPr>
                <w:rFonts w:ascii="Times New Roman" w:hAnsi="Times New Roman"/>
                <w:b/>
                <w:sz w:val="24"/>
                <w:u w:val="single"/>
              </w:rPr>
              <w:t>ESPOSIZIONE DOVUTA ALL</w:t>
            </w:r>
            <w:r w:rsidR="000878EC">
              <w:rPr>
                <w:rFonts w:ascii="Times New Roman" w:hAnsi="Times New Roman"/>
                <w:b/>
                <w:sz w:val="24"/>
                <w:u w:val="single"/>
              </w:rPr>
              <w:t>'</w:t>
            </w:r>
            <w:r>
              <w:rPr>
                <w:rFonts w:ascii="Times New Roman" w:hAnsi="Times New Roman"/>
                <w:b/>
                <w:sz w:val="24"/>
                <w:u w:val="single"/>
              </w:rPr>
              <w:t>ATTENUAZIONE DEL RISCHIO DI CREDITO</w:t>
            </w:r>
          </w:p>
          <w:p w:rsidR="00E026FB" w:rsidRPr="00661595" w:rsidRDefault="00E026FB" w:rsidP="009B4B8B">
            <w:pPr>
              <w:suppressAutoHyphens/>
              <w:spacing w:before="0" w:after="0"/>
              <w:rPr>
                <w:rFonts w:ascii="Times New Roman" w:hAnsi="Times New Roman"/>
                <w:b/>
                <w:sz w:val="24"/>
                <w:u w:val="single"/>
              </w:rPr>
            </w:pPr>
          </w:p>
          <w:p w:rsidR="00E026FB" w:rsidRPr="00661595" w:rsidRDefault="00E026FB" w:rsidP="009B4B8B">
            <w:pPr>
              <w:suppressAutoHyphens/>
              <w:autoSpaceDE w:val="0"/>
              <w:autoSpaceDN w:val="0"/>
              <w:adjustRightInd w:val="0"/>
              <w:spacing w:before="0" w:after="0"/>
              <w:rPr>
                <w:rFonts w:ascii="Times New Roman" w:hAnsi="Times New Roman"/>
                <w:sz w:val="24"/>
              </w:rPr>
            </w:pPr>
            <w:r>
              <w:rPr>
                <w:rFonts w:ascii="Times New Roman" w:hAnsi="Times New Roman"/>
                <w:sz w:val="24"/>
              </w:rPr>
              <w:t>Sono segnalati gli afflussi e i deflussi all</w:t>
            </w:r>
            <w:r w:rsidR="000878EC">
              <w:rPr>
                <w:rFonts w:ascii="Times New Roman" w:hAnsi="Times New Roman"/>
                <w:sz w:val="24"/>
              </w:rPr>
              <w:t>'</w:t>
            </w:r>
            <w:r>
              <w:rPr>
                <w:rFonts w:ascii="Times New Roman" w:hAnsi="Times New Roman"/>
                <w:sz w:val="24"/>
              </w:rPr>
              <w:t>interno delle stesse classi di esposizioni e, ove rilevanti, i fattori di ponderazione del rischio o le classi di debitori.</w:t>
            </w:r>
          </w:p>
          <w:p w:rsidR="00E026FB" w:rsidRPr="00661595" w:rsidRDefault="00E026FB" w:rsidP="009B4B8B">
            <w:pPr>
              <w:suppressAutoHyphens/>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9B4B8B">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0100</w:t>
            </w:r>
          </w:p>
        </w:tc>
        <w:tc>
          <w:tcPr>
            <w:tcW w:w="7436" w:type="dxa"/>
          </w:tcPr>
          <w:p w:rsidR="00E026FB" w:rsidRPr="00661595" w:rsidRDefault="00E026FB" w:rsidP="009B4B8B">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DEFLUSSI TOTALI</w:t>
            </w:r>
          </w:p>
          <w:p w:rsidR="00E026FB" w:rsidRPr="00661595" w:rsidRDefault="00E026FB" w:rsidP="009B4B8B">
            <w:pPr>
              <w:suppressAutoHyphens/>
              <w:autoSpaceDE w:val="0"/>
              <w:autoSpaceDN w:val="0"/>
              <w:adjustRightInd w:val="0"/>
              <w:spacing w:before="0" w:after="0"/>
              <w:jc w:val="left"/>
              <w:rPr>
                <w:rFonts w:ascii="Times New Roman" w:hAnsi="Times New Roman"/>
                <w:sz w:val="24"/>
                <w:lang w:eastAsia="es-ES_tradnl"/>
              </w:rPr>
            </w:pPr>
          </w:p>
          <w:p w:rsidR="00E026FB" w:rsidRPr="00661595" w:rsidRDefault="00E026FB" w:rsidP="009B4B8B">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Articolo 222, paragrafo 3, articolo 235, paragrafi 1 e 2, e articolo 236 del CRR </w:t>
            </w:r>
          </w:p>
          <w:p w:rsidR="00E026FB" w:rsidRPr="00661595" w:rsidRDefault="00E026FB" w:rsidP="009B4B8B">
            <w:pPr>
              <w:suppressAutoHyphens/>
              <w:autoSpaceDE w:val="0"/>
              <w:autoSpaceDN w:val="0"/>
              <w:adjustRightInd w:val="0"/>
              <w:spacing w:before="0" w:after="0"/>
              <w:rPr>
                <w:rFonts w:ascii="Times New Roman" w:hAnsi="Times New Roman"/>
                <w:sz w:val="24"/>
                <w:lang w:eastAsia="es-ES_tradnl"/>
              </w:rPr>
            </w:pPr>
          </w:p>
          <w:p w:rsidR="00E026FB" w:rsidRPr="00661595" w:rsidRDefault="00E026FB" w:rsidP="009B4B8B">
            <w:pPr>
              <w:suppressAutoHyphens/>
              <w:autoSpaceDE w:val="0"/>
              <w:autoSpaceDN w:val="0"/>
              <w:adjustRightInd w:val="0"/>
              <w:spacing w:before="0" w:after="0"/>
              <w:rPr>
                <w:rFonts w:ascii="Times New Roman" w:hAnsi="Times New Roman"/>
                <w:sz w:val="24"/>
              </w:rPr>
            </w:pPr>
            <w:r>
              <w:rPr>
                <w:rFonts w:ascii="Times New Roman" w:hAnsi="Times New Roman"/>
                <w:sz w:val="24"/>
              </w:rPr>
              <w:t>I deflussi corrispondono alla parte garantita dell</w:t>
            </w:r>
            <w:r w:rsidR="000878EC">
              <w:rPr>
                <w:rFonts w:ascii="Times New Roman" w:hAnsi="Times New Roman"/>
                <w:sz w:val="24"/>
              </w:rPr>
              <w:t>'"</w:t>
            </w:r>
            <w:r>
              <w:rPr>
                <w:rFonts w:ascii="Times New Roman" w:hAnsi="Times New Roman"/>
                <w:sz w:val="24"/>
              </w:rPr>
              <w:t>esposizione al netto delle rettifiche di valore e degli accantonamenti</w:t>
            </w:r>
            <w:r w:rsidR="000878EC">
              <w:rPr>
                <w:rFonts w:ascii="Times New Roman" w:hAnsi="Times New Roman"/>
                <w:sz w:val="24"/>
              </w:rPr>
              <w:t>"</w:t>
            </w:r>
            <w:r>
              <w:rPr>
                <w:rFonts w:ascii="Times New Roman" w:hAnsi="Times New Roman"/>
                <w:sz w:val="24"/>
              </w:rPr>
              <w:t xml:space="preserve"> che è dedotta dalla classe di esposizioni del debitore e, ove rilevante, dalla relativa ponderazione del rischio o classe di debitori, e successivamente assegnata alla classe di esposizioni del fornitore della protezione e, ove rilevante, alla relativa ponderazione del rischio o classe di debitori. </w:t>
            </w:r>
          </w:p>
          <w:p w:rsidR="00E026FB" w:rsidRPr="00661595" w:rsidRDefault="00E026FB" w:rsidP="009B4B8B">
            <w:pPr>
              <w:suppressAutoHyphens/>
              <w:autoSpaceDE w:val="0"/>
              <w:autoSpaceDN w:val="0"/>
              <w:adjustRightInd w:val="0"/>
              <w:spacing w:before="0" w:after="0"/>
              <w:rPr>
                <w:rFonts w:ascii="Times New Roman" w:hAnsi="Times New Roman"/>
                <w:sz w:val="24"/>
                <w:lang w:eastAsia="es-ES_tradnl"/>
              </w:rPr>
            </w:pPr>
          </w:p>
          <w:p w:rsidR="00E026FB" w:rsidRPr="00661595" w:rsidRDefault="00E026FB" w:rsidP="009B4B8B">
            <w:pPr>
              <w:suppressAutoHyphens/>
              <w:autoSpaceDE w:val="0"/>
              <w:autoSpaceDN w:val="0"/>
              <w:adjustRightInd w:val="0"/>
              <w:spacing w:before="0" w:after="0"/>
              <w:rPr>
                <w:rFonts w:ascii="Times New Roman" w:hAnsi="Times New Roman"/>
                <w:sz w:val="24"/>
              </w:rPr>
            </w:pPr>
            <w:r>
              <w:rPr>
                <w:rFonts w:ascii="Times New Roman" w:hAnsi="Times New Roman"/>
                <w:sz w:val="24"/>
              </w:rPr>
              <w:t>Tale importo è considerato un afflusso nella classe di esposizioni del fornitore della protezione e, ove rilevanti, nelle relative ponderazioni del rischio o classi di debitori.</w:t>
            </w:r>
          </w:p>
          <w:p w:rsidR="00E026FB" w:rsidRPr="00661595" w:rsidRDefault="00E026FB" w:rsidP="009B4B8B">
            <w:pPr>
              <w:suppressAutoHyphens/>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DE1A1A">
            <w:pPr>
              <w:keepNext/>
              <w:keepLines/>
              <w:suppressAutoHyphens/>
              <w:autoSpaceDE w:val="0"/>
              <w:autoSpaceDN w:val="0"/>
              <w:adjustRightInd w:val="0"/>
              <w:spacing w:before="0" w:after="0"/>
              <w:rPr>
                <w:rFonts w:ascii="Times New Roman" w:hAnsi="Times New Roman"/>
                <w:bCs/>
                <w:sz w:val="24"/>
              </w:rPr>
            </w:pPr>
            <w:r>
              <w:rPr>
                <w:rFonts w:ascii="Times New Roman" w:hAnsi="Times New Roman"/>
                <w:bCs/>
                <w:sz w:val="24"/>
              </w:rPr>
              <w:t>0110</w:t>
            </w:r>
          </w:p>
        </w:tc>
        <w:tc>
          <w:tcPr>
            <w:tcW w:w="7436" w:type="dxa"/>
          </w:tcPr>
          <w:p w:rsidR="00E026FB" w:rsidRPr="00661595" w:rsidRDefault="00E026FB" w:rsidP="00DE1A1A">
            <w:pPr>
              <w:keepNext/>
              <w:keepLines/>
              <w:suppressAutoHyphens/>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AFFLUSSI TOTALI</w:t>
            </w:r>
          </w:p>
          <w:p w:rsidR="00E026FB" w:rsidRPr="00661595" w:rsidRDefault="00E026FB" w:rsidP="00DE1A1A">
            <w:pPr>
              <w:keepNext/>
              <w:keepLines/>
              <w:suppressAutoHyphens/>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DE1A1A">
            <w:pPr>
              <w:keepNext/>
              <w:keepLines/>
              <w:suppressAutoHyphens/>
              <w:spacing w:before="0" w:after="0"/>
              <w:rPr>
                <w:rFonts w:ascii="Times New Roman" w:hAnsi="Times New Roman"/>
                <w:sz w:val="24"/>
              </w:rPr>
            </w:pPr>
            <w:r>
              <w:rPr>
                <w:rFonts w:ascii="Times New Roman" w:hAnsi="Times New Roman"/>
                <w:sz w:val="24"/>
              </w:rPr>
              <w:t>In questa colonna sono segnalate come afflussi le posizioni verso la cartolarizzazione che costituiscono titoli di debito e sono utilizzate come garanzie reali finanziarie ammissibili conformemente all</w:t>
            </w:r>
            <w:r w:rsidR="000878EC">
              <w:rPr>
                <w:rFonts w:ascii="Times New Roman" w:hAnsi="Times New Roman"/>
                <w:sz w:val="24"/>
              </w:rPr>
              <w:t>'</w:t>
            </w:r>
            <w:r>
              <w:rPr>
                <w:rFonts w:ascii="Times New Roman" w:hAnsi="Times New Roman"/>
                <w:sz w:val="24"/>
              </w:rPr>
              <w:t>articolo 197, paragrafo 1, del CRR se è utilizzato il metodo semplificato per il trattamento delle garanzie reali finanziarie.</w:t>
            </w:r>
          </w:p>
          <w:p w:rsidR="00E026FB" w:rsidRPr="00661595" w:rsidRDefault="00E026FB" w:rsidP="00DE1A1A">
            <w:pPr>
              <w:keepNext/>
              <w:keepLines/>
              <w:suppressAutoHyphens/>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9B4B8B">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0120</w:t>
            </w:r>
          </w:p>
        </w:tc>
        <w:tc>
          <w:tcPr>
            <w:tcW w:w="7436" w:type="dxa"/>
          </w:tcPr>
          <w:p w:rsidR="00E026FB" w:rsidRPr="00661595" w:rsidRDefault="00E026FB" w:rsidP="009B4B8B">
            <w:pPr>
              <w:suppressAutoHyphens/>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ESPOSIZIONE NETTA DOPO GLI EFFETTI DI SOSTITUZIONE DELL</w:t>
            </w:r>
            <w:r w:rsidR="000878EC">
              <w:rPr>
                <w:rStyle w:val="InstructionsTabelleberschrift"/>
                <w:rFonts w:ascii="Times New Roman" w:hAnsi="Times New Roman"/>
                <w:sz w:val="24"/>
              </w:rPr>
              <w:t>'</w:t>
            </w:r>
            <w:r>
              <w:rPr>
                <w:rStyle w:val="InstructionsTabelleberschrift"/>
                <w:rFonts w:ascii="Times New Roman" w:hAnsi="Times New Roman"/>
                <w:sz w:val="24"/>
              </w:rPr>
              <w:t>ATTENUAZIONE DEL RISCHIO DI CREDITO PRIMA DELL</w:t>
            </w:r>
            <w:r w:rsidR="000878EC">
              <w:rPr>
                <w:rStyle w:val="InstructionsTabelleberschrift"/>
                <w:rFonts w:ascii="Times New Roman" w:hAnsi="Times New Roman"/>
                <w:sz w:val="24"/>
              </w:rPr>
              <w:t>'</w:t>
            </w:r>
            <w:r>
              <w:rPr>
                <w:rStyle w:val="InstructionsTabelleberschrift"/>
                <w:rFonts w:ascii="Times New Roman" w:hAnsi="Times New Roman"/>
                <w:sz w:val="24"/>
              </w:rPr>
              <w:t>APPLICAZIONE DEI FATTORI DI CONVERSIONE</w:t>
            </w:r>
          </w:p>
          <w:p w:rsidR="00E026FB" w:rsidRPr="00661595" w:rsidRDefault="00E026FB" w:rsidP="009B4B8B">
            <w:pPr>
              <w:suppressAutoHyphens/>
              <w:autoSpaceDE w:val="0"/>
              <w:autoSpaceDN w:val="0"/>
              <w:adjustRightInd w:val="0"/>
              <w:spacing w:before="0" w:after="0"/>
              <w:jc w:val="left"/>
              <w:rPr>
                <w:rStyle w:val="FormatvorlageInstructionsTabelleText"/>
                <w:rFonts w:ascii="Times New Roman" w:hAnsi="Times New Roman"/>
                <w:sz w:val="24"/>
              </w:rPr>
            </w:pPr>
          </w:p>
          <w:p w:rsidR="00E026FB" w:rsidRPr="00661595" w:rsidRDefault="00A16FFF" w:rsidP="009B4B8B">
            <w:pPr>
              <w:suppressAutoHyphens/>
              <w:autoSpaceDE w:val="0"/>
              <w:autoSpaceDN w:val="0"/>
              <w:adjustRightInd w:val="0"/>
              <w:spacing w:before="0" w:after="0"/>
              <w:jc w:val="left"/>
              <w:rPr>
                <w:rStyle w:val="FormatvorlageInstructionsTabelleText"/>
                <w:rFonts w:ascii="Times New Roman" w:hAnsi="Times New Roman"/>
                <w:sz w:val="24"/>
              </w:rPr>
            </w:pPr>
            <w:r>
              <w:rPr>
                <w:rStyle w:val="FormatvorlageInstructionsTabelleText"/>
                <w:rFonts w:ascii="Times New Roman" w:hAnsi="Times New Roman"/>
                <w:sz w:val="24"/>
              </w:rPr>
              <w:t xml:space="preserve">Questa colonna include le esposizioni assegnate alla ponderazione del rischio e alla classe di esposizioni corrispondenti dopo aver tenuto conto dei deflussi e degli afflussi dovuti a </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tecniche di attenuazione del rischio di credito (CRM) con effetti di sostituzione sull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esposizione</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w:t>
            </w:r>
          </w:p>
          <w:p w:rsidR="00E026FB" w:rsidRPr="00661595" w:rsidRDefault="00E026FB" w:rsidP="009B4B8B">
            <w:pPr>
              <w:suppressAutoHyphens/>
              <w:autoSpaceDE w:val="0"/>
              <w:autoSpaceDN w:val="0"/>
              <w:adjustRightInd w:val="0"/>
              <w:spacing w:before="0" w:after="0"/>
              <w:jc w:val="left"/>
              <w:rPr>
                <w:rStyle w:val="InstructionsTabelleberschrift"/>
                <w:rFonts w:ascii="Times New Roman" w:hAnsi="Times New Roman"/>
                <w:sz w:val="24"/>
              </w:rPr>
            </w:pPr>
          </w:p>
        </w:tc>
      </w:tr>
      <w:tr w:rsidR="00E026FB" w:rsidRPr="00661595" w:rsidTr="00E10B85">
        <w:tc>
          <w:tcPr>
            <w:tcW w:w="1568" w:type="dxa"/>
          </w:tcPr>
          <w:p w:rsidR="00E026FB" w:rsidRPr="00661595" w:rsidRDefault="00E026FB" w:rsidP="009B4B8B">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0130</w:t>
            </w:r>
          </w:p>
        </w:tc>
        <w:tc>
          <w:tcPr>
            <w:tcW w:w="7436" w:type="dxa"/>
          </w:tcPr>
          <w:p w:rsidR="00E026FB" w:rsidRPr="00661595" w:rsidRDefault="00E026FB" w:rsidP="009B4B8B">
            <w:pPr>
              <w:suppressAutoHyphens/>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TECNICHE DI ATTENUAZIONE DEL RISCHIO DI CREDITO CHE INFLUISCONO SULL</w:t>
            </w:r>
            <w:r w:rsidR="000878EC">
              <w:rPr>
                <w:rStyle w:val="InstructionsTabelleberschrift"/>
                <w:rFonts w:ascii="Times New Roman" w:hAnsi="Times New Roman"/>
                <w:sz w:val="24"/>
              </w:rPr>
              <w:t>'</w:t>
            </w:r>
            <w:r>
              <w:rPr>
                <w:rStyle w:val="InstructionsTabelleberschrift"/>
                <w:rFonts w:ascii="Times New Roman" w:hAnsi="Times New Roman"/>
                <w:sz w:val="24"/>
              </w:rPr>
              <w:t>IMPORTO DELL</w:t>
            </w:r>
            <w:r w:rsidR="000878EC">
              <w:rPr>
                <w:rStyle w:val="InstructionsTabelleberschrift"/>
                <w:rFonts w:ascii="Times New Roman" w:hAnsi="Times New Roman"/>
                <w:sz w:val="24"/>
              </w:rPr>
              <w:t>'</w:t>
            </w:r>
            <w:r>
              <w:rPr>
                <w:rStyle w:val="InstructionsTabelleberschrift"/>
                <w:rFonts w:ascii="Times New Roman" w:hAnsi="Times New Roman"/>
                <w:sz w:val="24"/>
              </w:rPr>
              <w:t>ESPOSIZIONE: VALORE CORRETTO IN BASE AL METODO INTEGRALE PER IL TRATTAMENTO DELLE GARANZIE REALI FINANZIARIE PER LA PROTEZIONE DEL CREDITO DI TIPO REALE (CVAM)</w:t>
            </w:r>
          </w:p>
          <w:p w:rsidR="00E026FB" w:rsidRPr="00661595" w:rsidRDefault="00E026FB" w:rsidP="009B4B8B">
            <w:pPr>
              <w:suppressAutoHyphens/>
              <w:autoSpaceDE w:val="0"/>
              <w:autoSpaceDN w:val="0"/>
              <w:adjustRightInd w:val="0"/>
              <w:spacing w:before="0" w:after="0"/>
              <w:jc w:val="left"/>
              <w:rPr>
                <w:rStyle w:val="FormatvorlageInstructionsTabelleText"/>
                <w:rFonts w:ascii="Times New Roman" w:hAnsi="Times New Roman"/>
                <w:sz w:val="24"/>
              </w:rPr>
            </w:pPr>
          </w:p>
          <w:p w:rsidR="001E0C80" w:rsidRPr="00661595" w:rsidRDefault="00E026FB" w:rsidP="009B4B8B">
            <w:pPr>
              <w:pStyle w:val="InstructionsText"/>
            </w:pPr>
            <w:r>
              <w:t xml:space="preserve">Articoli da 223 a 228 del CRR </w:t>
            </w:r>
          </w:p>
          <w:p w:rsidR="00E026FB" w:rsidRPr="00661595" w:rsidRDefault="00A16FFF" w:rsidP="009B4B8B">
            <w:pPr>
              <w:pStyle w:val="InstructionsText"/>
            </w:pPr>
            <w:r>
              <w:t>L</w:t>
            </w:r>
            <w:r w:rsidR="000878EC">
              <w:t>'</w:t>
            </w:r>
            <w:r>
              <w:t>importo segnalato comprende anche le credit linked note (articolo 218 del CRR).</w:t>
            </w:r>
          </w:p>
          <w:p w:rsidR="00E026FB" w:rsidRPr="00661595" w:rsidRDefault="00E026FB" w:rsidP="009B4B8B">
            <w:pPr>
              <w:suppressAutoHyphens/>
              <w:autoSpaceDE w:val="0"/>
              <w:autoSpaceDN w:val="0"/>
              <w:adjustRightInd w:val="0"/>
              <w:spacing w:before="0" w:after="0"/>
              <w:jc w:val="left"/>
              <w:rPr>
                <w:rStyle w:val="InstructionsTabelleberschrift"/>
                <w:rFonts w:ascii="Times New Roman" w:hAnsi="Times New Roman"/>
                <w:sz w:val="24"/>
              </w:rPr>
            </w:pPr>
          </w:p>
        </w:tc>
      </w:tr>
      <w:tr w:rsidR="00E026FB" w:rsidRPr="00661595" w:rsidTr="00E10B85">
        <w:tc>
          <w:tcPr>
            <w:tcW w:w="1568" w:type="dxa"/>
          </w:tcPr>
          <w:p w:rsidR="00E026FB" w:rsidRPr="00661595" w:rsidRDefault="00E026FB" w:rsidP="009B4B8B">
            <w:pPr>
              <w:suppressAutoHyphens/>
              <w:autoSpaceDE w:val="0"/>
              <w:autoSpaceDN w:val="0"/>
              <w:adjustRightInd w:val="0"/>
              <w:spacing w:before="0" w:after="0"/>
              <w:rPr>
                <w:rFonts w:ascii="Times New Roman" w:hAnsi="Times New Roman"/>
                <w:bCs/>
                <w:sz w:val="24"/>
              </w:rPr>
            </w:pPr>
            <w:r>
              <w:rPr>
                <w:rFonts w:ascii="Times New Roman" w:hAnsi="Times New Roman"/>
                <w:sz w:val="24"/>
              </w:rPr>
              <w:t>0140</w:t>
            </w:r>
          </w:p>
        </w:tc>
        <w:tc>
          <w:tcPr>
            <w:tcW w:w="7436" w:type="dxa"/>
          </w:tcPr>
          <w:p w:rsidR="00E026FB" w:rsidRPr="00661595" w:rsidRDefault="00E026FB" w:rsidP="009B4B8B">
            <w:pPr>
              <w:suppressAutoHyphens/>
              <w:spacing w:before="0" w:after="0"/>
              <w:rPr>
                <w:rFonts w:ascii="Times New Roman" w:hAnsi="Times New Roman"/>
                <w:b/>
                <w:sz w:val="24"/>
                <w:u w:val="single"/>
              </w:rPr>
            </w:pPr>
            <w:r>
              <w:rPr>
                <w:rFonts w:ascii="Times New Roman" w:hAnsi="Times New Roman"/>
                <w:b/>
                <w:sz w:val="24"/>
                <w:u w:val="single"/>
              </w:rPr>
              <w:t>VALORE DELL</w:t>
            </w:r>
            <w:r w:rsidR="000878EC">
              <w:rPr>
                <w:rFonts w:ascii="Times New Roman" w:hAnsi="Times New Roman"/>
                <w:b/>
                <w:sz w:val="24"/>
                <w:u w:val="single"/>
              </w:rPr>
              <w:t>'</w:t>
            </w:r>
            <w:r>
              <w:rPr>
                <w:rFonts w:ascii="Times New Roman" w:hAnsi="Times New Roman"/>
                <w:b/>
                <w:sz w:val="24"/>
                <w:u w:val="single"/>
              </w:rPr>
              <w:t>ESPOSIZIONE CORRETTO INTEGRALMENTE (E*)</w:t>
            </w:r>
          </w:p>
          <w:p w:rsidR="00E026FB" w:rsidRPr="00661595" w:rsidRDefault="00E026FB" w:rsidP="009B4B8B">
            <w:pPr>
              <w:pStyle w:val="Heading1"/>
              <w:suppressAutoHyphens/>
              <w:rPr>
                <w:rFonts w:ascii="Times New Roman" w:eastAsia="Times New Roman" w:hAnsi="Times New Roman"/>
                <w:sz w:val="24"/>
                <w:szCs w:val="24"/>
                <w:lang w:eastAsia="es-ES_tradnl"/>
              </w:rPr>
            </w:pPr>
          </w:p>
          <w:p w:rsidR="00E026FB" w:rsidRPr="00661595" w:rsidRDefault="00D021AF" w:rsidP="009B4B8B">
            <w:pPr>
              <w:suppressAutoHyphens/>
              <w:autoSpaceDE w:val="0"/>
              <w:autoSpaceDN w:val="0"/>
              <w:adjustRightInd w:val="0"/>
              <w:spacing w:before="0" w:after="0"/>
              <w:rPr>
                <w:rFonts w:ascii="Times New Roman" w:hAnsi="Times New Roman"/>
                <w:sz w:val="24"/>
              </w:rPr>
            </w:pPr>
            <w:r>
              <w:rPr>
                <w:rFonts w:ascii="Times New Roman" w:hAnsi="Times New Roman"/>
                <w:sz w:val="24"/>
              </w:rPr>
              <w:t>Valore dell</w:t>
            </w:r>
            <w:r w:rsidR="000878EC">
              <w:rPr>
                <w:rFonts w:ascii="Times New Roman" w:hAnsi="Times New Roman"/>
                <w:sz w:val="24"/>
              </w:rPr>
              <w:t>'</w:t>
            </w:r>
            <w:r>
              <w:rPr>
                <w:rFonts w:ascii="Times New Roman" w:hAnsi="Times New Roman"/>
                <w:sz w:val="24"/>
              </w:rPr>
              <w:t>esposizione delle posizioni verso la cartolarizzazione calcolato conformemente all</w:t>
            </w:r>
            <w:r w:rsidR="000878EC">
              <w:rPr>
                <w:rFonts w:ascii="Times New Roman" w:hAnsi="Times New Roman"/>
                <w:sz w:val="24"/>
              </w:rPr>
              <w:t>'</w:t>
            </w:r>
            <w:r>
              <w:rPr>
                <w:rFonts w:ascii="Times New Roman" w:hAnsi="Times New Roman"/>
                <w:sz w:val="24"/>
              </w:rPr>
              <w:t>articolo 248 del CRR, ma senza applicare i fattori di conversione di cui all</w:t>
            </w:r>
            <w:r w:rsidR="000878EC">
              <w:rPr>
                <w:rFonts w:ascii="Times New Roman" w:hAnsi="Times New Roman"/>
                <w:sz w:val="24"/>
              </w:rPr>
              <w:t>'</w:t>
            </w:r>
            <w:r>
              <w:rPr>
                <w:rFonts w:ascii="Times New Roman" w:hAnsi="Times New Roman"/>
                <w:sz w:val="24"/>
              </w:rPr>
              <w:t xml:space="preserve">articolo 248, paragrafo 1, lettera b), del CRR. </w:t>
            </w:r>
          </w:p>
          <w:p w:rsidR="00E026FB" w:rsidRPr="00661595" w:rsidRDefault="00E026FB" w:rsidP="009B4B8B">
            <w:pPr>
              <w:suppressAutoHyphens/>
              <w:autoSpaceDE w:val="0"/>
              <w:autoSpaceDN w:val="0"/>
              <w:adjustRightInd w:val="0"/>
              <w:spacing w:before="0" w:after="0"/>
              <w:jc w:val="left"/>
              <w:rPr>
                <w:rFonts w:ascii="Times New Roman" w:hAnsi="Times New Roman"/>
                <w:sz w:val="24"/>
                <w:lang w:eastAsia="es-ES_tradnl"/>
              </w:rPr>
            </w:pPr>
          </w:p>
        </w:tc>
      </w:tr>
      <w:tr w:rsidR="00E026FB" w:rsidRPr="00661595" w:rsidTr="00E10B85">
        <w:tc>
          <w:tcPr>
            <w:tcW w:w="1568" w:type="dxa"/>
          </w:tcPr>
          <w:p w:rsidR="00E026FB" w:rsidRPr="00661595" w:rsidRDefault="00E026FB" w:rsidP="009B4B8B">
            <w:pPr>
              <w:suppressAutoHyphens/>
              <w:autoSpaceDE w:val="0"/>
              <w:autoSpaceDN w:val="0"/>
              <w:adjustRightInd w:val="0"/>
              <w:spacing w:before="0" w:after="0"/>
              <w:rPr>
                <w:rFonts w:ascii="Times New Roman" w:hAnsi="Times New Roman"/>
                <w:sz w:val="24"/>
              </w:rPr>
            </w:pPr>
            <w:r>
              <w:rPr>
                <w:rFonts w:ascii="Times New Roman" w:hAnsi="Times New Roman"/>
                <w:sz w:val="24"/>
              </w:rPr>
              <w:t>0150</w:t>
            </w:r>
          </w:p>
        </w:tc>
        <w:tc>
          <w:tcPr>
            <w:tcW w:w="7436" w:type="dxa"/>
          </w:tcPr>
          <w:p w:rsidR="00E026FB" w:rsidRPr="00661595" w:rsidRDefault="00E026FB" w:rsidP="009B4B8B">
            <w:pPr>
              <w:suppressAutoHyphens/>
              <w:spacing w:before="0" w:after="0"/>
              <w:rPr>
                <w:rFonts w:ascii="Times New Roman" w:hAnsi="Times New Roman"/>
                <w:b/>
                <w:sz w:val="24"/>
                <w:u w:val="single"/>
              </w:rPr>
            </w:pPr>
            <w:r>
              <w:rPr>
                <w:rFonts w:ascii="Times New Roman" w:hAnsi="Times New Roman"/>
                <w:b/>
                <w:sz w:val="24"/>
                <w:u w:val="single"/>
              </w:rPr>
              <w:t>DI CUI: CON UN FATTORE DI CONVERSIONE DEL CREDITO (CCF) DELLO 0 %</w:t>
            </w:r>
          </w:p>
          <w:p w:rsidR="00E026FB" w:rsidRPr="00661595" w:rsidRDefault="00E026FB" w:rsidP="009B4B8B">
            <w:pPr>
              <w:suppressAutoHyphens/>
              <w:spacing w:before="0" w:after="0"/>
              <w:rPr>
                <w:rFonts w:ascii="Times New Roman" w:hAnsi="Times New Roman"/>
                <w:b/>
                <w:sz w:val="24"/>
                <w:u w:val="single"/>
                <w:lang w:eastAsia="es-ES_tradnl"/>
              </w:rPr>
            </w:pPr>
          </w:p>
          <w:p w:rsidR="00705025" w:rsidRPr="00661595" w:rsidRDefault="00705025" w:rsidP="009B4B8B">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Articolo 248, paragrafo 1, lettera b), del CRR </w:t>
            </w:r>
          </w:p>
          <w:p w:rsidR="00705025" w:rsidRPr="00661595" w:rsidRDefault="00705025" w:rsidP="009B4B8B">
            <w:pPr>
              <w:suppressAutoHyphens/>
              <w:autoSpaceDE w:val="0"/>
              <w:autoSpaceDN w:val="0"/>
              <w:adjustRightInd w:val="0"/>
              <w:spacing w:before="0" w:after="0"/>
              <w:rPr>
                <w:rFonts w:ascii="Times New Roman" w:hAnsi="Times New Roman"/>
                <w:sz w:val="24"/>
                <w:lang w:eastAsia="es-ES_tradnl"/>
              </w:rPr>
            </w:pPr>
          </w:p>
          <w:p w:rsidR="00E026FB" w:rsidRPr="00661595" w:rsidRDefault="00E026FB" w:rsidP="009B4B8B">
            <w:pPr>
              <w:suppressAutoHyphens/>
              <w:autoSpaceDE w:val="0"/>
              <w:autoSpaceDN w:val="0"/>
              <w:adjustRightInd w:val="0"/>
              <w:spacing w:before="0" w:after="0"/>
              <w:rPr>
                <w:rFonts w:ascii="Times New Roman" w:hAnsi="Times New Roman"/>
                <w:sz w:val="24"/>
              </w:rPr>
            </w:pPr>
            <w:r>
              <w:rPr>
                <w:rFonts w:ascii="Times New Roman" w:hAnsi="Times New Roman"/>
                <w:sz w:val="24"/>
              </w:rPr>
              <w:t>Ai fini di questa colonna il fattore di conversione è definito all</w:t>
            </w:r>
            <w:r w:rsidR="000878EC">
              <w:rPr>
                <w:rFonts w:ascii="Times New Roman" w:hAnsi="Times New Roman"/>
                <w:sz w:val="24"/>
              </w:rPr>
              <w:t>'</w:t>
            </w:r>
            <w:r>
              <w:rPr>
                <w:rFonts w:ascii="Times New Roman" w:hAnsi="Times New Roman"/>
                <w:sz w:val="24"/>
              </w:rPr>
              <w:t>articolo 4, paragrafo 1, punto 56, del CRR.</w:t>
            </w:r>
          </w:p>
          <w:p w:rsidR="00E026FB" w:rsidRPr="00661595" w:rsidRDefault="00E026FB" w:rsidP="009B4B8B">
            <w:pPr>
              <w:suppressAutoHyphens/>
              <w:autoSpaceDE w:val="0"/>
              <w:autoSpaceDN w:val="0"/>
              <w:adjustRightInd w:val="0"/>
              <w:spacing w:before="0" w:after="0"/>
              <w:jc w:val="left"/>
              <w:rPr>
                <w:rFonts w:ascii="Times New Roman" w:hAnsi="Times New Roman"/>
                <w:sz w:val="24"/>
                <w:lang w:eastAsia="es-ES_tradnl"/>
              </w:rPr>
            </w:pPr>
          </w:p>
          <w:p w:rsidR="00E026FB" w:rsidRPr="00661595" w:rsidRDefault="00E026FB" w:rsidP="009B4B8B">
            <w:pPr>
              <w:suppressAutoHyphens/>
              <w:autoSpaceDE w:val="0"/>
              <w:autoSpaceDN w:val="0"/>
              <w:adjustRightInd w:val="0"/>
              <w:spacing w:before="0" w:after="0"/>
              <w:rPr>
                <w:rFonts w:ascii="Times New Roman" w:hAnsi="Times New Roman"/>
                <w:sz w:val="24"/>
              </w:rPr>
            </w:pPr>
            <w:r>
              <w:rPr>
                <w:rFonts w:ascii="Times New Roman" w:hAnsi="Times New Roman"/>
                <w:sz w:val="24"/>
              </w:rPr>
              <w:t>Ai fini della segnalazione, i valori dell</w:t>
            </w:r>
            <w:r w:rsidR="000878EC">
              <w:rPr>
                <w:rFonts w:ascii="Times New Roman" w:hAnsi="Times New Roman"/>
                <w:sz w:val="24"/>
              </w:rPr>
              <w:t>'</w:t>
            </w:r>
            <w:r>
              <w:rPr>
                <w:rFonts w:ascii="Times New Roman" w:hAnsi="Times New Roman"/>
                <w:sz w:val="24"/>
              </w:rPr>
              <w:t>esposizione corretti integralmente (E*) sono segnalati per il fattore di conversione 0 %.</w:t>
            </w:r>
          </w:p>
          <w:p w:rsidR="00E026FB" w:rsidRPr="00661595" w:rsidRDefault="00E026FB" w:rsidP="009B4B8B">
            <w:pPr>
              <w:suppressAutoHyphens/>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DE1A1A">
            <w:pPr>
              <w:keepNext/>
              <w:keepLines/>
              <w:suppressAutoHyphens/>
              <w:autoSpaceDE w:val="0"/>
              <w:autoSpaceDN w:val="0"/>
              <w:adjustRightInd w:val="0"/>
              <w:spacing w:before="0" w:after="0"/>
              <w:rPr>
                <w:rFonts w:ascii="Times New Roman" w:hAnsi="Times New Roman"/>
                <w:sz w:val="24"/>
              </w:rPr>
            </w:pPr>
            <w:r>
              <w:rPr>
                <w:rFonts w:ascii="Times New Roman" w:hAnsi="Times New Roman"/>
                <w:sz w:val="24"/>
              </w:rPr>
              <w:t>0160</w:t>
            </w:r>
          </w:p>
        </w:tc>
        <w:tc>
          <w:tcPr>
            <w:tcW w:w="7436" w:type="dxa"/>
          </w:tcPr>
          <w:p w:rsidR="00E026FB" w:rsidRPr="00661595" w:rsidRDefault="00E026FB" w:rsidP="00DE1A1A">
            <w:pPr>
              <w:keepNext/>
              <w:keepLines/>
              <w:suppressAutoHyphens/>
              <w:spacing w:before="0" w:after="0"/>
              <w:jc w:val="left"/>
              <w:rPr>
                <w:rFonts w:ascii="Times New Roman" w:hAnsi="Times New Roman"/>
                <w:b/>
                <w:sz w:val="24"/>
                <w:u w:val="single"/>
              </w:rPr>
            </w:pPr>
            <w:r>
              <w:rPr>
                <w:rFonts w:ascii="Times New Roman" w:hAnsi="Times New Roman"/>
                <w:b/>
                <w:sz w:val="24"/>
                <w:u w:val="single"/>
              </w:rPr>
              <w:t>(−) SCONTI SU PREZZI D</w:t>
            </w:r>
            <w:r w:rsidR="000878EC">
              <w:rPr>
                <w:rFonts w:ascii="Times New Roman" w:hAnsi="Times New Roman"/>
                <w:b/>
                <w:sz w:val="24"/>
                <w:u w:val="single"/>
              </w:rPr>
              <w:t>'</w:t>
            </w:r>
            <w:r>
              <w:rPr>
                <w:rFonts w:ascii="Times New Roman" w:hAnsi="Times New Roman"/>
                <w:b/>
                <w:sz w:val="24"/>
                <w:u w:val="single"/>
              </w:rPr>
              <w:t>ACQUISTO NON RIMBORSABILI</w:t>
            </w:r>
          </w:p>
          <w:p w:rsidR="00E026FB" w:rsidRPr="00661595" w:rsidRDefault="00E026FB" w:rsidP="00DE1A1A">
            <w:pPr>
              <w:keepNext/>
              <w:keepLines/>
              <w:suppressAutoHyphens/>
              <w:spacing w:before="0" w:after="0"/>
              <w:jc w:val="left"/>
              <w:rPr>
                <w:rFonts w:ascii="Times New Roman" w:hAnsi="Times New Roman"/>
                <w:b/>
                <w:sz w:val="24"/>
                <w:u w:val="single"/>
              </w:rPr>
            </w:pPr>
          </w:p>
          <w:p w:rsidR="00E026FB" w:rsidRPr="00661595" w:rsidRDefault="00BB22D4" w:rsidP="00DE1A1A">
            <w:pPr>
              <w:keepNext/>
              <w:keepLines/>
              <w:suppressAutoHyphens/>
              <w:spacing w:before="0" w:after="0"/>
              <w:jc w:val="left"/>
              <w:rPr>
                <w:rFonts w:ascii="Times New Roman" w:hAnsi="Times New Roman"/>
                <w:sz w:val="24"/>
              </w:rPr>
            </w:pPr>
            <w:r>
              <w:rPr>
                <w:rFonts w:ascii="Times New Roman" w:hAnsi="Times New Roman"/>
                <w:sz w:val="24"/>
              </w:rPr>
              <w:t>Conformemente all</w:t>
            </w:r>
            <w:r w:rsidR="000878EC">
              <w:rPr>
                <w:rFonts w:ascii="Times New Roman" w:hAnsi="Times New Roman"/>
                <w:sz w:val="24"/>
              </w:rPr>
              <w:t>'</w:t>
            </w:r>
            <w:r>
              <w:rPr>
                <w:rFonts w:ascii="Times New Roman" w:hAnsi="Times New Roman"/>
                <w:sz w:val="24"/>
              </w:rPr>
              <w:t>articolo 248, paragrafo 1, lettera d), del CRR, un ente cedente può dedurre dal valore dell</w:t>
            </w:r>
            <w:r w:rsidR="000878EC">
              <w:rPr>
                <w:rFonts w:ascii="Times New Roman" w:hAnsi="Times New Roman"/>
                <w:sz w:val="24"/>
              </w:rPr>
              <w:t>'</w:t>
            </w:r>
            <w:r>
              <w:rPr>
                <w:rFonts w:ascii="Times New Roman" w:hAnsi="Times New Roman"/>
                <w:sz w:val="24"/>
              </w:rPr>
              <w:t>esposizione di una posizione verso la cartolarizzazione cui è attribuito un fattore di ponderazione del rischio del 1 250 % eventuali sconti sul prezzo di acquisto non rimborsabili connessi a tali esposizioni sottostanti nella misura in cui tali sconti abbiano determinato la riduzione dei fondi propri.</w:t>
            </w:r>
          </w:p>
          <w:p w:rsidR="00E026FB" w:rsidRPr="00661595" w:rsidRDefault="00E026FB" w:rsidP="00DE1A1A">
            <w:pPr>
              <w:keepNext/>
              <w:keepLines/>
              <w:suppressAutoHyphens/>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9B4B8B">
            <w:pPr>
              <w:suppressAutoHyphens/>
              <w:autoSpaceDE w:val="0"/>
              <w:autoSpaceDN w:val="0"/>
              <w:adjustRightInd w:val="0"/>
              <w:spacing w:before="0" w:after="0"/>
              <w:rPr>
                <w:rFonts w:ascii="Times New Roman" w:hAnsi="Times New Roman"/>
                <w:sz w:val="24"/>
              </w:rPr>
            </w:pPr>
            <w:r>
              <w:rPr>
                <w:rFonts w:ascii="Times New Roman" w:hAnsi="Times New Roman"/>
                <w:sz w:val="24"/>
              </w:rPr>
              <w:t>0170</w:t>
            </w:r>
          </w:p>
        </w:tc>
        <w:tc>
          <w:tcPr>
            <w:tcW w:w="7436" w:type="dxa"/>
          </w:tcPr>
          <w:p w:rsidR="00E026FB" w:rsidRPr="00661595" w:rsidRDefault="00E026FB" w:rsidP="009B4B8B">
            <w:pPr>
              <w:suppressAutoHyphens/>
              <w:spacing w:before="0" w:after="0"/>
              <w:jc w:val="left"/>
              <w:rPr>
                <w:rFonts w:ascii="Times New Roman" w:hAnsi="Times New Roman"/>
                <w:b/>
                <w:sz w:val="24"/>
                <w:u w:val="single"/>
              </w:rPr>
            </w:pPr>
            <w:r>
              <w:rPr>
                <w:rFonts w:ascii="Times New Roman" w:hAnsi="Times New Roman"/>
                <w:b/>
                <w:sz w:val="24"/>
                <w:u w:val="single"/>
              </w:rPr>
              <w:t>(−) RETTIFICHE DI VALORE SU CREDITI SPECIFICHE PER ESPOSIZIONI SOTTOSTANTI</w:t>
            </w:r>
          </w:p>
          <w:p w:rsidR="00E026FB" w:rsidRPr="00661595" w:rsidRDefault="00E026FB" w:rsidP="009B4B8B">
            <w:pPr>
              <w:suppressAutoHyphens/>
              <w:spacing w:before="0" w:after="0"/>
              <w:jc w:val="left"/>
              <w:rPr>
                <w:rFonts w:ascii="Times New Roman" w:hAnsi="Times New Roman"/>
                <w:b/>
                <w:sz w:val="24"/>
                <w:u w:val="single"/>
              </w:rPr>
            </w:pPr>
          </w:p>
          <w:p w:rsidR="00E026FB" w:rsidRPr="00661595" w:rsidRDefault="00BB22D4" w:rsidP="009B4B8B">
            <w:pPr>
              <w:suppressAutoHyphens/>
              <w:spacing w:before="0" w:after="0"/>
              <w:jc w:val="left"/>
              <w:rPr>
                <w:rFonts w:ascii="Times New Roman" w:hAnsi="Times New Roman"/>
                <w:sz w:val="24"/>
              </w:rPr>
            </w:pPr>
            <w:r>
              <w:rPr>
                <w:rFonts w:ascii="Times New Roman" w:hAnsi="Times New Roman"/>
                <w:sz w:val="24"/>
              </w:rPr>
              <w:t>Conformemente all</w:t>
            </w:r>
            <w:r w:rsidR="000878EC">
              <w:rPr>
                <w:rFonts w:ascii="Times New Roman" w:hAnsi="Times New Roman"/>
                <w:sz w:val="24"/>
              </w:rPr>
              <w:t>'</w:t>
            </w:r>
            <w:r>
              <w:rPr>
                <w:rFonts w:ascii="Times New Roman" w:hAnsi="Times New Roman"/>
                <w:sz w:val="24"/>
              </w:rPr>
              <w:t>articolo 248, paragrafo 1, lettera d), del CRR, un ente cedente può dedurre dal valore dell</w:t>
            </w:r>
            <w:r w:rsidR="000878EC">
              <w:rPr>
                <w:rFonts w:ascii="Times New Roman" w:hAnsi="Times New Roman"/>
                <w:sz w:val="24"/>
              </w:rPr>
              <w:t>'</w:t>
            </w:r>
            <w:r>
              <w:rPr>
                <w:rFonts w:ascii="Times New Roman" w:hAnsi="Times New Roman"/>
                <w:sz w:val="24"/>
              </w:rPr>
              <w:t>esposizione della posizione verso la cartolarizzazione a cui è attribuito un fattore di ponderazione del rischio del 1 250 % o che è dedotta dal capitale primario di classe 1 l</w:t>
            </w:r>
            <w:r w:rsidR="000878EC">
              <w:rPr>
                <w:rFonts w:ascii="Times New Roman" w:hAnsi="Times New Roman"/>
                <w:sz w:val="24"/>
              </w:rPr>
              <w:t>'</w:t>
            </w:r>
            <w:r>
              <w:rPr>
                <w:rFonts w:ascii="Times New Roman" w:hAnsi="Times New Roman"/>
                <w:sz w:val="24"/>
              </w:rPr>
              <w:t>importo delle rettifiche di valore su crediti specifiche delle esposizioni sottostanti determinato conformemente all</w:t>
            </w:r>
            <w:r w:rsidR="000878EC">
              <w:rPr>
                <w:rFonts w:ascii="Times New Roman" w:hAnsi="Times New Roman"/>
                <w:sz w:val="24"/>
              </w:rPr>
              <w:t>'</w:t>
            </w:r>
            <w:r>
              <w:rPr>
                <w:rFonts w:ascii="Times New Roman" w:hAnsi="Times New Roman"/>
                <w:sz w:val="24"/>
              </w:rPr>
              <w:t xml:space="preserve">articolo 110 del CRR. </w:t>
            </w:r>
          </w:p>
          <w:p w:rsidR="00E026FB" w:rsidRPr="00661595" w:rsidRDefault="00E026FB" w:rsidP="009B4B8B">
            <w:pPr>
              <w:suppressAutoHyphens/>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9B4B8B">
            <w:pPr>
              <w:suppressAutoHyphens/>
              <w:autoSpaceDE w:val="0"/>
              <w:autoSpaceDN w:val="0"/>
              <w:adjustRightInd w:val="0"/>
              <w:spacing w:before="0" w:after="0"/>
              <w:rPr>
                <w:rFonts w:ascii="Times New Roman" w:hAnsi="Times New Roman"/>
                <w:sz w:val="24"/>
              </w:rPr>
            </w:pPr>
            <w:r>
              <w:rPr>
                <w:rFonts w:ascii="Times New Roman" w:hAnsi="Times New Roman"/>
                <w:sz w:val="24"/>
              </w:rPr>
              <w:t>0180</w:t>
            </w:r>
          </w:p>
        </w:tc>
        <w:tc>
          <w:tcPr>
            <w:tcW w:w="7436" w:type="dxa"/>
          </w:tcPr>
          <w:p w:rsidR="00E026FB" w:rsidRPr="00661595" w:rsidRDefault="00E026FB" w:rsidP="009B4B8B">
            <w:pPr>
              <w:suppressAutoHyphens/>
              <w:spacing w:before="0" w:after="0"/>
              <w:jc w:val="left"/>
              <w:rPr>
                <w:rFonts w:ascii="Times New Roman" w:hAnsi="Times New Roman"/>
                <w:b/>
                <w:sz w:val="24"/>
                <w:u w:val="single"/>
              </w:rPr>
            </w:pPr>
            <w:r>
              <w:rPr>
                <w:rFonts w:ascii="Times New Roman" w:hAnsi="Times New Roman"/>
                <w:b/>
                <w:sz w:val="24"/>
                <w:u w:val="single"/>
              </w:rPr>
              <w:t>VALORE DELL</w:t>
            </w:r>
            <w:r w:rsidR="000878EC">
              <w:rPr>
                <w:rFonts w:ascii="Times New Roman" w:hAnsi="Times New Roman"/>
                <w:b/>
                <w:sz w:val="24"/>
                <w:u w:val="single"/>
              </w:rPr>
              <w:t>'</w:t>
            </w:r>
            <w:r>
              <w:rPr>
                <w:rFonts w:ascii="Times New Roman" w:hAnsi="Times New Roman"/>
                <w:b/>
                <w:sz w:val="24"/>
                <w:u w:val="single"/>
              </w:rPr>
              <w:t>ESPOSIZIONE</w:t>
            </w:r>
          </w:p>
          <w:p w:rsidR="00E026FB" w:rsidRPr="00661595" w:rsidRDefault="00E026FB" w:rsidP="009B4B8B">
            <w:pPr>
              <w:suppressAutoHyphens/>
              <w:spacing w:before="0" w:after="0"/>
              <w:jc w:val="left"/>
              <w:rPr>
                <w:rFonts w:ascii="Times New Roman" w:hAnsi="Times New Roman"/>
                <w:b/>
                <w:sz w:val="24"/>
                <w:u w:val="single"/>
                <w:lang w:eastAsia="es-ES_tradnl"/>
              </w:rPr>
            </w:pPr>
          </w:p>
          <w:p w:rsidR="00E026FB" w:rsidRPr="00661595" w:rsidRDefault="00D021AF" w:rsidP="009B4B8B">
            <w:pPr>
              <w:suppressAutoHyphens/>
              <w:autoSpaceDE w:val="0"/>
              <w:autoSpaceDN w:val="0"/>
              <w:adjustRightInd w:val="0"/>
              <w:spacing w:before="0" w:after="0"/>
              <w:rPr>
                <w:rFonts w:ascii="Times New Roman" w:hAnsi="Times New Roman"/>
                <w:sz w:val="24"/>
              </w:rPr>
            </w:pPr>
            <w:r>
              <w:rPr>
                <w:rFonts w:ascii="Times New Roman" w:hAnsi="Times New Roman"/>
                <w:sz w:val="24"/>
              </w:rPr>
              <w:t>Valore dell</w:t>
            </w:r>
            <w:r w:rsidR="000878EC">
              <w:rPr>
                <w:rFonts w:ascii="Times New Roman" w:hAnsi="Times New Roman"/>
                <w:sz w:val="24"/>
              </w:rPr>
              <w:t>'</w:t>
            </w:r>
            <w:r>
              <w:rPr>
                <w:rFonts w:ascii="Times New Roman" w:hAnsi="Times New Roman"/>
                <w:sz w:val="24"/>
              </w:rPr>
              <w:t>esposizione delle posizioni verso la cartolarizzazione calcolato conformemente all</w:t>
            </w:r>
            <w:r w:rsidR="000878EC">
              <w:rPr>
                <w:rFonts w:ascii="Times New Roman" w:hAnsi="Times New Roman"/>
                <w:sz w:val="24"/>
              </w:rPr>
              <w:t>'</w:t>
            </w:r>
            <w:r>
              <w:rPr>
                <w:rFonts w:ascii="Times New Roman" w:hAnsi="Times New Roman"/>
                <w:sz w:val="24"/>
              </w:rPr>
              <w:t>articolo 248 del CRR</w:t>
            </w:r>
          </w:p>
          <w:p w:rsidR="00E026FB" w:rsidRPr="00661595" w:rsidRDefault="00E026FB" w:rsidP="009B4B8B">
            <w:pPr>
              <w:suppressAutoHyphens/>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9B4B8B">
            <w:pPr>
              <w:suppressAutoHyphens/>
              <w:autoSpaceDE w:val="0"/>
              <w:autoSpaceDN w:val="0"/>
              <w:adjustRightInd w:val="0"/>
              <w:spacing w:before="0" w:after="0"/>
              <w:rPr>
                <w:rFonts w:ascii="Times New Roman" w:hAnsi="Times New Roman"/>
                <w:bCs/>
                <w:sz w:val="24"/>
              </w:rPr>
            </w:pPr>
            <w:r>
              <w:rPr>
                <w:rFonts w:ascii="Times New Roman" w:hAnsi="Times New Roman"/>
                <w:sz w:val="24"/>
              </w:rPr>
              <w:t>0190</w:t>
            </w:r>
          </w:p>
        </w:tc>
        <w:tc>
          <w:tcPr>
            <w:tcW w:w="7436" w:type="dxa"/>
          </w:tcPr>
          <w:p w:rsidR="00E026FB" w:rsidRPr="00661595" w:rsidRDefault="00E026FB" w:rsidP="009B4B8B">
            <w:pPr>
              <w:suppressAutoHyphens/>
              <w:spacing w:before="0" w:after="0"/>
              <w:jc w:val="left"/>
              <w:rPr>
                <w:rFonts w:ascii="Times New Roman" w:hAnsi="Times New Roman"/>
                <w:b/>
                <w:sz w:val="24"/>
                <w:u w:val="single"/>
              </w:rPr>
            </w:pPr>
            <w:r>
              <w:rPr>
                <w:rFonts w:ascii="Times New Roman" w:hAnsi="Times New Roman"/>
                <w:b/>
                <w:sz w:val="24"/>
                <w:u w:val="single"/>
              </w:rPr>
              <w:t>(-) VALORE DELL</w:t>
            </w:r>
            <w:r w:rsidR="000878EC">
              <w:rPr>
                <w:rFonts w:ascii="Times New Roman" w:hAnsi="Times New Roman"/>
                <w:b/>
                <w:sz w:val="24"/>
                <w:u w:val="single"/>
              </w:rPr>
              <w:t>'</w:t>
            </w:r>
            <w:r>
              <w:rPr>
                <w:rFonts w:ascii="Times New Roman" w:hAnsi="Times New Roman"/>
                <w:b/>
                <w:sz w:val="24"/>
                <w:u w:val="single"/>
              </w:rPr>
              <w:t>ESPOSIZIONE DEDOTTO DAI FONDI PROPRI</w:t>
            </w:r>
          </w:p>
          <w:p w:rsidR="00E026FB" w:rsidRPr="00661595" w:rsidRDefault="00E026FB" w:rsidP="009B4B8B">
            <w:pPr>
              <w:suppressAutoHyphens/>
              <w:spacing w:before="0" w:after="0"/>
              <w:jc w:val="left"/>
              <w:rPr>
                <w:rFonts w:ascii="Times New Roman" w:hAnsi="Times New Roman"/>
                <w:sz w:val="24"/>
              </w:rPr>
            </w:pPr>
          </w:p>
          <w:p w:rsidR="00E026FB" w:rsidRPr="00661595" w:rsidRDefault="00BB22D4" w:rsidP="009B4B8B">
            <w:pPr>
              <w:suppressAutoHyphens/>
              <w:spacing w:before="0" w:after="0"/>
              <w:rPr>
                <w:rFonts w:ascii="Times New Roman" w:hAnsi="Times New Roman"/>
                <w:sz w:val="24"/>
              </w:rPr>
            </w:pPr>
            <w:r>
              <w:rPr>
                <w:rFonts w:ascii="Times New Roman" w:hAnsi="Times New Roman"/>
                <w:sz w:val="24"/>
              </w:rPr>
              <w:t>Conformemente all</w:t>
            </w:r>
            <w:r w:rsidR="000878EC">
              <w:rPr>
                <w:rFonts w:ascii="Times New Roman" w:hAnsi="Times New Roman"/>
                <w:sz w:val="24"/>
              </w:rPr>
              <w:t>'</w:t>
            </w:r>
            <w:r>
              <w:rPr>
                <w:rFonts w:ascii="Times New Roman" w:hAnsi="Times New Roman"/>
                <w:sz w:val="24"/>
              </w:rPr>
              <w:t xml:space="preserve">articolo 244, paragrafo 1, </w:t>
            </w:r>
            <w:r>
              <w:rPr>
                <w:rStyle w:val="FormatvorlageInstructionsTabelleText"/>
                <w:rFonts w:ascii="Times New Roman" w:hAnsi="Times New Roman"/>
                <w:sz w:val="24"/>
              </w:rPr>
              <w:t>lettera b)</w:t>
            </w:r>
            <w:r>
              <w:rPr>
                <w:rFonts w:ascii="Times New Roman" w:hAnsi="Times New Roman"/>
                <w:sz w:val="24"/>
              </w:rPr>
              <w:t>, all</w:t>
            </w:r>
            <w:r w:rsidR="000878EC">
              <w:rPr>
                <w:rFonts w:ascii="Times New Roman" w:hAnsi="Times New Roman"/>
                <w:sz w:val="24"/>
              </w:rPr>
              <w:t>'</w:t>
            </w:r>
            <w:r>
              <w:rPr>
                <w:rFonts w:ascii="Times New Roman" w:hAnsi="Times New Roman"/>
                <w:sz w:val="24"/>
              </w:rPr>
              <w:t xml:space="preserve">articolo </w:t>
            </w:r>
            <w:r>
              <w:rPr>
                <w:rStyle w:val="FormatvorlageInstructionsTabelleText"/>
                <w:rFonts w:ascii="Times New Roman" w:hAnsi="Times New Roman"/>
                <w:sz w:val="24"/>
              </w:rPr>
              <w:t>245, paragrafo 1, lettera b)</w:t>
            </w:r>
            <w:r>
              <w:rPr>
                <w:rFonts w:ascii="Times New Roman" w:hAnsi="Times New Roman"/>
                <w:sz w:val="24"/>
              </w:rPr>
              <w:t>, e all</w:t>
            </w:r>
            <w:r w:rsidR="000878EC">
              <w:rPr>
                <w:rFonts w:ascii="Times New Roman" w:hAnsi="Times New Roman"/>
                <w:sz w:val="24"/>
              </w:rPr>
              <w:t>'</w:t>
            </w:r>
            <w:r>
              <w:rPr>
                <w:rFonts w:ascii="Times New Roman" w:hAnsi="Times New Roman"/>
                <w:sz w:val="24"/>
              </w:rPr>
              <w:t>articolo 253, paragrafo 1, del CRR, nel caso di una posizione verso la cartolarizzazione alla quale si applica un fattore di ponderazione del rischio del 1 250 %, gli enti possono dedurre dai fondi propri il valore dell</w:t>
            </w:r>
            <w:r w:rsidR="000878EC">
              <w:rPr>
                <w:rFonts w:ascii="Times New Roman" w:hAnsi="Times New Roman"/>
                <w:sz w:val="24"/>
              </w:rPr>
              <w:t>'</w:t>
            </w:r>
            <w:r>
              <w:rPr>
                <w:rFonts w:ascii="Times New Roman" w:hAnsi="Times New Roman"/>
                <w:sz w:val="24"/>
              </w:rPr>
              <w:t>esposizione della posizione, in alternativa alla sua inclusione nel calcolo degli importi delle esposizioni ponderati per il rischio.</w:t>
            </w:r>
          </w:p>
          <w:p w:rsidR="00E026FB" w:rsidRPr="00661595" w:rsidRDefault="00E026FB" w:rsidP="009B4B8B">
            <w:pPr>
              <w:suppressAutoHyphens/>
              <w:autoSpaceDE w:val="0"/>
              <w:autoSpaceDN w:val="0"/>
              <w:adjustRightInd w:val="0"/>
              <w:spacing w:before="0" w:after="0"/>
              <w:ind w:left="284" w:hanging="284"/>
              <w:jc w:val="left"/>
              <w:rPr>
                <w:rFonts w:ascii="Times New Roman" w:hAnsi="Times New Roman"/>
                <w:sz w:val="24"/>
                <w:lang w:eastAsia="es-ES_tradnl"/>
              </w:rPr>
            </w:pPr>
          </w:p>
        </w:tc>
      </w:tr>
      <w:tr w:rsidR="00E026FB" w:rsidRPr="00661595" w:rsidTr="00E10B85">
        <w:tc>
          <w:tcPr>
            <w:tcW w:w="1568" w:type="dxa"/>
          </w:tcPr>
          <w:p w:rsidR="00E026FB" w:rsidRPr="00661595" w:rsidRDefault="00E026FB" w:rsidP="009B4B8B">
            <w:pPr>
              <w:suppressAutoHyphens/>
              <w:autoSpaceDE w:val="0"/>
              <w:autoSpaceDN w:val="0"/>
              <w:adjustRightInd w:val="0"/>
              <w:spacing w:before="0" w:after="0"/>
              <w:rPr>
                <w:rFonts w:ascii="Times New Roman" w:hAnsi="Times New Roman"/>
                <w:bCs/>
                <w:sz w:val="24"/>
              </w:rPr>
            </w:pPr>
            <w:r>
              <w:rPr>
                <w:rFonts w:ascii="Times New Roman" w:hAnsi="Times New Roman"/>
                <w:sz w:val="24"/>
              </w:rPr>
              <w:t>0200</w:t>
            </w:r>
          </w:p>
        </w:tc>
        <w:tc>
          <w:tcPr>
            <w:tcW w:w="7436" w:type="dxa"/>
          </w:tcPr>
          <w:p w:rsidR="00E026FB" w:rsidRPr="00661595" w:rsidRDefault="00E026FB" w:rsidP="009B4B8B">
            <w:pPr>
              <w:suppressAutoHyphens/>
              <w:spacing w:before="0" w:after="0"/>
              <w:jc w:val="left"/>
              <w:rPr>
                <w:rFonts w:ascii="Times New Roman" w:hAnsi="Times New Roman"/>
                <w:b/>
                <w:sz w:val="24"/>
                <w:u w:val="single"/>
              </w:rPr>
            </w:pPr>
            <w:r>
              <w:rPr>
                <w:rFonts w:ascii="Times New Roman" w:hAnsi="Times New Roman"/>
                <w:b/>
                <w:sz w:val="24"/>
                <w:u w:val="single"/>
              </w:rPr>
              <w:t>VALORE DELL</w:t>
            </w:r>
            <w:r w:rsidR="000878EC">
              <w:rPr>
                <w:rFonts w:ascii="Times New Roman" w:hAnsi="Times New Roman"/>
                <w:b/>
                <w:sz w:val="24"/>
                <w:u w:val="single"/>
              </w:rPr>
              <w:t>'</w:t>
            </w:r>
            <w:r>
              <w:rPr>
                <w:rFonts w:ascii="Times New Roman" w:hAnsi="Times New Roman"/>
                <w:b/>
                <w:sz w:val="24"/>
                <w:u w:val="single"/>
              </w:rPr>
              <w:t>ESPOSIZIONE SOGGETTO A FATTORI DI PONDERAZIONE DEL RISCHIO</w:t>
            </w:r>
          </w:p>
          <w:p w:rsidR="00E026FB" w:rsidRPr="00661595" w:rsidRDefault="00E026FB" w:rsidP="009B4B8B">
            <w:pPr>
              <w:suppressAutoHyphens/>
              <w:spacing w:before="0" w:after="0"/>
              <w:jc w:val="left"/>
              <w:rPr>
                <w:rFonts w:ascii="Times New Roman" w:hAnsi="Times New Roman"/>
                <w:b/>
                <w:sz w:val="24"/>
                <w:u w:val="single"/>
              </w:rPr>
            </w:pPr>
          </w:p>
          <w:p w:rsidR="00E026FB" w:rsidRPr="00661595" w:rsidRDefault="00E026FB" w:rsidP="009B4B8B">
            <w:pPr>
              <w:suppressAutoHyphens/>
              <w:spacing w:before="0" w:after="0"/>
              <w:rPr>
                <w:rFonts w:ascii="Times New Roman" w:hAnsi="Times New Roman"/>
                <w:sz w:val="24"/>
              </w:rPr>
            </w:pPr>
            <w:r>
              <w:rPr>
                <w:rFonts w:ascii="Times New Roman" w:hAnsi="Times New Roman"/>
                <w:sz w:val="24"/>
              </w:rPr>
              <w:t>Valore dell</w:t>
            </w:r>
            <w:r w:rsidR="000878EC">
              <w:rPr>
                <w:rFonts w:ascii="Times New Roman" w:hAnsi="Times New Roman"/>
                <w:sz w:val="24"/>
              </w:rPr>
              <w:t>'</w:t>
            </w:r>
            <w:r>
              <w:rPr>
                <w:rFonts w:ascii="Times New Roman" w:hAnsi="Times New Roman"/>
                <w:sz w:val="24"/>
              </w:rPr>
              <w:t>esposizione meno il valore dell</w:t>
            </w:r>
            <w:r w:rsidR="000878EC">
              <w:rPr>
                <w:rFonts w:ascii="Times New Roman" w:hAnsi="Times New Roman"/>
                <w:sz w:val="24"/>
              </w:rPr>
              <w:t>'</w:t>
            </w:r>
            <w:r>
              <w:rPr>
                <w:rFonts w:ascii="Times New Roman" w:hAnsi="Times New Roman"/>
                <w:sz w:val="24"/>
              </w:rPr>
              <w:t>esposizione dedotto dai fondi propri.</w:t>
            </w:r>
          </w:p>
          <w:p w:rsidR="00E026FB" w:rsidRPr="00661595" w:rsidRDefault="00E026FB" w:rsidP="009B4B8B">
            <w:pPr>
              <w:pStyle w:val="Heading1"/>
              <w:suppressAutoHyphens/>
              <w:rPr>
                <w:rFonts w:ascii="Times New Roman" w:eastAsia="Times New Roman" w:hAnsi="Times New Roman"/>
                <w:sz w:val="24"/>
                <w:szCs w:val="24"/>
                <w:lang w:eastAsia="es-ES_tradnl"/>
              </w:rPr>
            </w:pPr>
          </w:p>
        </w:tc>
      </w:tr>
      <w:tr w:rsidR="00E026FB" w:rsidRPr="00661595" w:rsidTr="00E10B85">
        <w:tc>
          <w:tcPr>
            <w:tcW w:w="1568" w:type="dxa"/>
          </w:tcPr>
          <w:p w:rsidR="00E026FB" w:rsidRPr="00661595" w:rsidRDefault="00E026FB" w:rsidP="009B4B8B">
            <w:pPr>
              <w:suppressAutoHyphens/>
              <w:autoSpaceDE w:val="0"/>
              <w:autoSpaceDN w:val="0"/>
              <w:adjustRightInd w:val="0"/>
              <w:spacing w:before="0" w:after="0"/>
              <w:rPr>
                <w:rFonts w:ascii="Times New Roman" w:hAnsi="Times New Roman"/>
                <w:sz w:val="24"/>
              </w:rPr>
            </w:pPr>
            <w:r>
              <w:rPr>
                <w:rFonts w:ascii="Times New Roman" w:hAnsi="Times New Roman"/>
                <w:sz w:val="24"/>
              </w:rPr>
              <w:t>0210</w:t>
            </w:r>
          </w:p>
        </w:tc>
        <w:tc>
          <w:tcPr>
            <w:tcW w:w="7436" w:type="dxa"/>
          </w:tcPr>
          <w:p w:rsidR="00E026FB" w:rsidRPr="00661595" w:rsidRDefault="00E026FB" w:rsidP="009B4B8B">
            <w:pPr>
              <w:suppressAutoHyphens/>
              <w:spacing w:before="0" w:after="0"/>
              <w:jc w:val="left"/>
              <w:rPr>
                <w:rFonts w:ascii="Times New Roman" w:hAnsi="Times New Roman"/>
                <w:b/>
                <w:sz w:val="24"/>
                <w:u w:val="single"/>
              </w:rPr>
            </w:pPr>
            <w:r>
              <w:rPr>
                <w:rFonts w:ascii="Times New Roman" w:hAnsi="Times New Roman"/>
                <w:b/>
                <w:sz w:val="24"/>
                <w:u w:val="single"/>
              </w:rPr>
              <w:t>SEC-IRBA</w:t>
            </w:r>
          </w:p>
          <w:p w:rsidR="00E026FB" w:rsidRPr="00661595" w:rsidRDefault="00E026FB" w:rsidP="009B4B8B">
            <w:pPr>
              <w:suppressAutoHyphens/>
              <w:spacing w:before="0" w:after="0"/>
              <w:jc w:val="left"/>
              <w:rPr>
                <w:rFonts w:ascii="Times New Roman" w:hAnsi="Times New Roman"/>
                <w:b/>
                <w:sz w:val="24"/>
                <w:u w:val="single"/>
              </w:rPr>
            </w:pPr>
          </w:p>
          <w:p w:rsidR="00E026FB" w:rsidRPr="00661595" w:rsidRDefault="001E0C80" w:rsidP="009B4B8B">
            <w:pPr>
              <w:suppressAutoHyphens/>
              <w:spacing w:before="0" w:after="0"/>
              <w:jc w:val="left"/>
              <w:rPr>
                <w:rFonts w:ascii="Times New Roman" w:hAnsi="Times New Roman"/>
                <w:sz w:val="24"/>
              </w:rPr>
            </w:pPr>
            <w:r>
              <w:rPr>
                <w:rFonts w:ascii="Times New Roman" w:hAnsi="Times New Roman"/>
                <w:sz w:val="24"/>
              </w:rPr>
              <w:t>Articolo 254, paragrafo 1, lettera a), del CRR</w:t>
            </w:r>
          </w:p>
          <w:p w:rsidR="00E026FB" w:rsidRPr="00661595" w:rsidRDefault="00E026FB" w:rsidP="009B4B8B">
            <w:pPr>
              <w:suppressAutoHyphens/>
              <w:spacing w:before="0" w:after="0"/>
              <w:jc w:val="left"/>
              <w:rPr>
                <w:rFonts w:ascii="Times New Roman" w:hAnsi="Times New Roman"/>
                <w:sz w:val="24"/>
              </w:rPr>
            </w:pPr>
          </w:p>
        </w:tc>
      </w:tr>
      <w:tr w:rsidR="00E026FB" w:rsidRPr="00661595" w:rsidTr="00E10B85">
        <w:tc>
          <w:tcPr>
            <w:tcW w:w="1568" w:type="dxa"/>
          </w:tcPr>
          <w:p w:rsidR="00E026FB" w:rsidRPr="00661595" w:rsidRDefault="00E026FB" w:rsidP="009B4B8B">
            <w:pPr>
              <w:suppressAutoHyphens/>
              <w:autoSpaceDE w:val="0"/>
              <w:autoSpaceDN w:val="0"/>
              <w:adjustRightInd w:val="0"/>
              <w:spacing w:before="0" w:after="0"/>
              <w:rPr>
                <w:rFonts w:ascii="Times New Roman" w:hAnsi="Times New Roman"/>
                <w:sz w:val="24"/>
              </w:rPr>
            </w:pPr>
            <w:r>
              <w:rPr>
                <w:rFonts w:ascii="Times New Roman" w:hAnsi="Times New Roman"/>
                <w:sz w:val="24"/>
              </w:rPr>
              <w:t>0220-0260</w:t>
            </w:r>
          </w:p>
        </w:tc>
        <w:tc>
          <w:tcPr>
            <w:tcW w:w="7436" w:type="dxa"/>
          </w:tcPr>
          <w:p w:rsidR="00E026FB" w:rsidRPr="00661595" w:rsidRDefault="00E026FB" w:rsidP="009B4B8B">
            <w:pPr>
              <w:suppressAutoHyphens/>
              <w:spacing w:before="0" w:after="0"/>
              <w:jc w:val="left"/>
              <w:rPr>
                <w:rFonts w:ascii="Times New Roman" w:hAnsi="Times New Roman"/>
                <w:b/>
                <w:sz w:val="24"/>
                <w:u w:val="single"/>
              </w:rPr>
            </w:pPr>
            <w:r>
              <w:rPr>
                <w:rFonts w:ascii="Times New Roman" w:hAnsi="Times New Roman"/>
                <w:b/>
                <w:sz w:val="24"/>
                <w:u w:val="single"/>
              </w:rPr>
              <w:t>RIPARTIZIONE PER FASCIA DI RW</w:t>
            </w:r>
          </w:p>
          <w:p w:rsidR="00E026FB" w:rsidRPr="00661595" w:rsidRDefault="00E026FB" w:rsidP="009B4B8B">
            <w:pPr>
              <w:suppressAutoHyphens/>
              <w:spacing w:before="0" w:after="0"/>
              <w:jc w:val="left"/>
              <w:rPr>
                <w:rFonts w:ascii="Times New Roman" w:hAnsi="Times New Roman"/>
                <w:sz w:val="24"/>
              </w:rPr>
            </w:pPr>
          </w:p>
          <w:p w:rsidR="00E026FB" w:rsidRPr="00661595" w:rsidRDefault="00E026FB" w:rsidP="009B4B8B">
            <w:pPr>
              <w:suppressAutoHyphens/>
              <w:spacing w:before="0" w:after="0"/>
              <w:jc w:val="left"/>
              <w:rPr>
                <w:rFonts w:ascii="Times New Roman" w:hAnsi="Times New Roman"/>
                <w:sz w:val="24"/>
              </w:rPr>
            </w:pPr>
            <w:r>
              <w:rPr>
                <w:rFonts w:ascii="Times New Roman" w:hAnsi="Times New Roman"/>
                <w:sz w:val="24"/>
              </w:rPr>
              <w:t>Esposizioni cui è applicato il SEC-IRBA ripartite per fasce di ponderazione del rischio.</w:t>
            </w:r>
          </w:p>
          <w:p w:rsidR="00E026FB" w:rsidRPr="00661595" w:rsidRDefault="00E026FB" w:rsidP="009B4B8B">
            <w:pPr>
              <w:suppressAutoHyphens/>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9B4B8B">
            <w:pPr>
              <w:suppressAutoHyphens/>
              <w:autoSpaceDE w:val="0"/>
              <w:autoSpaceDN w:val="0"/>
              <w:adjustRightInd w:val="0"/>
              <w:spacing w:before="0" w:after="0"/>
              <w:rPr>
                <w:rFonts w:ascii="Times New Roman" w:hAnsi="Times New Roman"/>
                <w:sz w:val="24"/>
              </w:rPr>
            </w:pPr>
            <w:r>
              <w:rPr>
                <w:rFonts w:ascii="Times New Roman" w:hAnsi="Times New Roman"/>
                <w:sz w:val="24"/>
              </w:rPr>
              <w:t>0270</w:t>
            </w:r>
          </w:p>
        </w:tc>
        <w:tc>
          <w:tcPr>
            <w:tcW w:w="7436" w:type="dxa"/>
          </w:tcPr>
          <w:p w:rsidR="00E026FB" w:rsidRPr="00661595" w:rsidRDefault="00E026FB" w:rsidP="009B4B8B">
            <w:pPr>
              <w:suppressAutoHyphens/>
              <w:spacing w:before="0" w:after="0"/>
              <w:jc w:val="left"/>
              <w:rPr>
                <w:rFonts w:ascii="Times New Roman" w:hAnsi="Times New Roman"/>
                <w:b/>
                <w:sz w:val="24"/>
                <w:u w:val="single"/>
              </w:rPr>
            </w:pPr>
            <w:r>
              <w:rPr>
                <w:rFonts w:ascii="Times New Roman" w:hAnsi="Times New Roman"/>
                <w:b/>
                <w:sz w:val="24"/>
                <w:u w:val="single"/>
              </w:rPr>
              <w:t>DI CUI: CALCOLATE A NORMA DELL</w:t>
            </w:r>
            <w:r w:rsidR="000878EC">
              <w:rPr>
                <w:rFonts w:ascii="Times New Roman" w:hAnsi="Times New Roman"/>
                <w:b/>
                <w:sz w:val="24"/>
                <w:u w:val="single"/>
              </w:rPr>
              <w:t>'</w:t>
            </w:r>
            <w:r>
              <w:rPr>
                <w:rFonts w:ascii="Times New Roman" w:hAnsi="Times New Roman"/>
                <w:b/>
                <w:sz w:val="24"/>
                <w:u w:val="single"/>
              </w:rPr>
              <w:t xml:space="preserve">ARTICOLO 255, PARAGRAFO 4 (CREDITI COMMERCIALI ACQUISTATI) </w:t>
            </w:r>
          </w:p>
          <w:p w:rsidR="00E026FB" w:rsidRPr="00661595" w:rsidRDefault="00E026FB" w:rsidP="009B4B8B">
            <w:pPr>
              <w:suppressAutoHyphens/>
              <w:spacing w:before="0" w:after="0"/>
              <w:jc w:val="left"/>
              <w:rPr>
                <w:rFonts w:ascii="Times New Roman" w:hAnsi="Times New Roman"/>
                <w:sz w:val="24"/>
              </w:rPr>
            </w:pPr>
          </w:p>
          <w:p w:rsidR="001E0C80" w:rsidRPr="00661595" w:rsidRDefault="00E026FB" w:rsidP="009B4B8B">
            <w:pPr>
              <w:suppressAutoHyphens/>
              <w:spacing w:before="0" w:after="0"/>
              <w:jc w:val="left"/>
              <w:rPr>
                <w:rFonts w:ascii="Times New Roman" w:hAnsi="Times New Roman"/>
                <w:sz w:val="24"/>
              </w:rPr>
            </w:pPr>
            <w:r>
              <w:rPr>
                <w:rFonts w:ascii="Times New Roman" w:hAnsi="Times New Roman"/>
                <w:sz w:val="24"/>
              </w:rPr>
              <w:t>Articolo 255, paragrafo 4, del CRR</w:t>
            </w:r>
          </w:p>
          <w:p w:rsidR="001E0C80" w:rsidRPr="00661595" w:rsidRDefault="00E026FB" w:rsidP="009B4B8B">
            <w:pPr>
              <w:suppressAutoHyphens/>
              <w:spacing w:before="0" w:after="0"/>
              <w:jc w:val="left"/>
              <w:rPr>
                <w:rFonts w:ascii="Times New Roman" w:hAnsi="Times New Roman"/>
                <w:sz w:val="24"/>
              </w:rPr>
            </w:pPr>
            <w:r>
              <w:rPr>
                <w:rFonts w:ascii="Times New Roman" w:hAnsi="Times New Roman"/>
                <w:sz w:val="24"/>
              </w:rPr>
              <w:t xml:space="preserve"> </w:t>
            </w:r>
          </w:p>
          <w:p w:rsidR="00E026FB" w:rsidRPr="00661595" w:rsidRDefault="00E026FB" w:rsidP="009B4B8B">
            <w:pPr>
              <w:suppressAutoHyphens/>
              <w:spacing w:before="0" w:after="0"/>
              <w:jc w:val="left"/>
              <w:rPr>
                <w:rFonts w:ascii="Times New Roman" w:hAnsi="Times New Roman"/>
                <w:sz w:val="24"/>
              </w:rPr>
            </w:pPr>
            <w:r>
              <w:rPr>
                <w:rFonts w:ascii="Times New Roman" w:hAnsi="Times New Roman"/>
                <w:sz w:val="24"/>
              </w:rPr>
              <w:t>Ai fini di questa colonna le esposizioni al dettaglio sono trattate come crediti al dettaglio acquistati e le esposizioni verso imprese come crediti verso imprese acquistati.</w:t>
            </w:r>
          </w:p>
          <w:p w:rsidR="00E026FB" w:rsidRPr="00661595" w:rsidRDefault="00E026FB" w:rsidP="009B4B8B">
            <w:pPr>
              <w:suppressAutoHyphens/>
              <w:spacing w:before="0" w:after="0"/>
              <w:jc w:val="left"/>
              <w:rPr>
                <w:rFonts w:ascii="Times New Roman" w:hAnsi="Times New Roman"/>
                <w:sz w:val="24"/>
              </w:rPr>
            </w:pPr>
          </w:p>
        </w:tc>
      </w:tr>
      <w:tr w:rsidR="00E026FB" w:rsidRPr="009B627A" w:rsidTr="00E10B85">
        <w:tc>
          <w:tcPr>
            <w:tcW w:w="1568" w:type="dxa"/>
          </w:tcPr>
          <w:p w:rsidR="00E026FB" w:rsidRPr="00661595" w:rsidRDefault="00E026FB" w:rsidP="009B4B8B">
            <w:pPr>
              <w:suppressAutoHyphens/>
              <w:autoSpaceDE w:val="0"/>
              <w:autoSpaceDN w:val="0"/>
              <w:adjustRightInd w:val="0"/>
              <w:spacing w:before="0" w:after="0"/>
              <w:rPr>
                <w:rFonts w:ascii="Times New Roman" w:hAnsi="Times New Roman"/>
                <w:sz w:val="24"/>
              </w:rPr>
            </w:pPr>
            <w:r>
              <w:rPr>
                <w:rFonts w:ascii="Times New Roman" w:hAnsi="Times New Roman"/>
                <w:sz w:val="24"/>
              </w:rPr>
              <w:t>0280</w:t>
            </w:r>
          </w:p>
        </w:tc>
        <w:tc>
          <w:tcPr>
            <w:tcW w:w="7436" w:type="dxa"/>
          </w:tcPr>
          <w:p w:rsidR="00E026FB" w:rsidRPr="00661595" w:rsidRDefault="00E026FB" w:rsidP="009B4B8B">
            <w:pPr>
              <w:suppressAutoHyphens/>
              <w:spacing w:before="0" w:after="0"/>
              <w:jc w:val="left"/>
              <w:rPr>
                <w:rFonts w:ascii="Times New Roman" w:hAnsi="Times New Roman"/>
                <w:b/>
                <w:sz w:val="24"/>
                <w:u w:val="single"/>
              </w:rPr>
            </w:pPr>
            <w:r>
              <w:rPr>
                <w:rFonts w:ascii="Times New Roman" w:hAnsi="Times New Roman"/>
                <w:b/>
                <w:sz w:val="24"/>
                <w:u w:val="single"/>
              </w:rPr>
              <w:t>SEC-SA</w:t>
            </w:r>
          </w:p>
          <w:p w:rsidR="00E026FB" w:rsidRPr="00061618" w:rsidRDefault="00E026FB" w:rsidP="009B4B8B">
            <w:pPr>
              <w:suppressAutoHyphens/>
              <w:spacing w:before="0" w:after="0"/>
              <w:jc w:val="left"/>
              <w:rPr>
                <w:rFonts w:ascii="Times New Roman" w:hAnsi="Times New Roman"/>
                <w:b/>
                <w:sz w:val="24"/>
                <w:u w:val="single"/>
              </w:rPr>
            </w:pPr>
          </w:p>
          <w:p w:rsidR="00E026FB" w:rsidRPr="00661595" w:rsidRDefault="001E0C80" w:rsidP="009B4B8B">
            <w:pPr>
              <w:suppressAutoHyphens/>
              <w:spacing w:before="0" w:after="0"/>
              <w:jc w:val="left"/>
              <w:rPr>
                <w:rFonts w:ascii="Times New Roman" w:hAnsi="Times New Roman"/>
                <w:b/>
                <w:sz w:val="24"/>
                <w:u w:val="single"/>
              </w:rPr>
            </w:pPr>
            <w:r>
              <w:rPr>
                <w:rFonts w:ascii="Times New Roman" w:hAnsi="Times New Roman"/>
                <w:sz w:val="24"/>
              </w:rPr>
              <w:t>Articolo 254, paragrafo 1, lettera b), del CRR</w:t>
            </w:r>
          </w:p>
          <w:p w:rsidR="00E026FB" w:rsidRPr="00061618" w:rsidRDefault="00E026FB" w:rsidP="009B4B8B">
            <w:pPr>
              <w:suppressAutoHyphens/>
              <w:spacing w:before="0" w:after="0"/>
              <w:jc w:val="left"/>
              <w:rPr>
                <w:rFonts w:ascii="Times New Roman" w:hAnsi="Times New Roman"/>
                <w:sz w:val="24"/>
              </w:rPr>
            </w:pPr>
          </w:p>
        </w:tc>
      </w:tr>
      <w:tr w:rsidR="00E026FB" w:rsidRPr="00661595" w:rsidTr="00E10B85">
        <w:tc>
          <w:tcPr>
            <w:tcW w:w="1568" w:type="dxa"/>
          </w:tcPr>
          <w:p w:rsidR="00E026FB" w:rsidRPr="00661595" w:rsidRDefault="00E026FB" w:rsidP="009B4B8B">
            <w:pPr>
              <w:suppressAutoHyphens/>
              <w:autoSpaceDE w:val="0"/>
              <w:autoSpaceDN w:val="0"/>
              <w:adjustRightInd w:val="0"/>
              <w:spacing w:before="0" w:after="0"/>
              <w:rPr>
                <w:rFonts w:ascii="Times New Roman" w:hAnsi="Times New Roman"/>
                <w:sz w:val="24"/>
              </w:rPr>
            </w:pPr>
            <w:r>
              <w:rPr>
                <w:rFonts w:ascii="Times New Roman" w:hAnsi="Times New Roman"/>
                <w:sz w:val="24"/>
              </w:rPr>
              <w:t>0290-0340</w:t>
            </w:r>
          </w:p>
        </w:tc>
        <w:tc>
          <w:tcPr>
            <w:tcW w:w="7436" w:type="dxa"/>
          </w:tcPr>
          <w:p w:rsidR="00E026FB" w:rsidRPr="00661595" w:rsidRDefault="00E026FB" w:rsidP="009B4B8B">
            <w:pPr>
              <w:suppressAutoHyphens/>
              <w:spacing w:before="0" w:after="0"/>
              <w:jc w:val="left"/>
              <w:rPr>
                <w:rFonts w:ascii="Times New Roman" w:hAnsi="Times New Roman"/>
                <w:b/>
                <w:sz w:val="24"/>
                <w:u w:val="single"/>
              </w:rPr>
            </w:pPr>
            <w:r>
              <w:rPr>
                <w:rFonts w:ascii="Times New Roman" w:hAnsi="Times New Roman"/>
                <w:b/>
                <w:sz w:val="24"/>
                <w:u w:val="single"/>
              </w:rPr>
              <w:t>RIPARTIZIONE PER FASCIA DI RW</w:t>
            </w:r>
          </w:p>
          <w:p w:rsidR="00E026FB" w:rsidRPr="00661595" w:rsidRDefault="00E026FB" w:rsidP="009B4B8B">
            <w:pPr>
              <w:suppressAutoHyphens/>
              <w:spacing w:before="0" w:after="0"/>
              <w:jc w:val="left"/>
              <w:rPr>
                <w:rFonts w:ascii="Times New Roman" w:hAnsi="Times New Roman"/>
                <w:sz w:val="24"/>
              </w:rPr>
            </w:pPr>
          </w:p>
          <w:p w:rsidR="00E026FB" w:rsidRPr="00661595" w:rsidRDefault="00E026FB" w:rsidP="009B4B8B">
            <w:pPr>
              <w:suppressAutoHyphens/>
              <w:spacing w:before="0" w:after="0"/>
              <w:jc w:val="left"/>
              <w:rPr>
                <w:rFonts w:ascii="Times New Roman" w:hAnsi="Times New Roman"/>
                <w:sz w:val="24"/>
              </w:rPr>
            </w:pPr>
            <w:r>
              <w:rPr>
                <w:rFonts w:ascii="Times New Roman" w:hAnsi="Times New Roman"/>
                <w:sz w:val="24"/>
              </w:rPr>
              <w:t>Esposizioni cui è applicato il SEC-SA ripartite per fasce di ponderazione del rischio.</w:t>
            </w:r>
          </w:p>
          <w:p w:rsidR="00E026FB" w:rsidRPr="00661595" w:rsidRDefault="00E026FB" w:rsidP="009B4B8B">
            <w:pPr>
              <w:suppressAutoHyphens/>
              <w:spacing w:before="0" w:after="0"/>
              <w:jc w:val="left"/>
              <w:rPr>
                <w:rFonts w:ascii="Times New Roman" w:hAnsi="Times New Roman"/>
                <w:sz w:val="24"/>
                <w:u w:val="single"/>
              </w:rPr>
            </w:pPr>
          </w:p>
          <w:p w:rsidR="00E026FB" w:rsidRPr="00661595" w:rsidRDefault="00E026FB" w:rsidP="009B4B8B">
            <w:pPr>
              <w:suppressAutoHyphens/>
              <w:spacing w:before="0" w:after="0"/>
              <w:jc w:val="left"/>
              <w:rPr>
                <w:rFonts w:ascii="Times New Roman" w:hAnsi="Times New Roman"/>
                <w:sz w:val="24"/>
              </w:rPr>
            </w:pPr>
            <w:r>
              <w:rPr>
                <w:rFonts w:ascii="Times New Roman" w:hAnsi="Times New Roman"/>
                <w:sz w:val="24"/>
              </w:rPr>
              <w:t>Per RW = 1 250 % (W ignoto), l</w:t>
            </w:r>
            <w:r w:rsidR="000878EC">
              <w:rPr>
                <w:rFonts w:ascii="Times New Roman" w:hAnsi="Times New Roman"/>
                <w:sz w:val="24"/>
              </w:rPr>
              <w:t>'</w:t>
            </w:r>
            <w:r>
              <w:rPr>
                <w:rFonts w:ascii="Times New Roman" w:hAnsi="Times New Roman"/>
                <w:sz w:val="24"/>
              </w:rPr>
              <w:t>articolo 261, paragrafo 2, lettera b), quarto comma, del CRR prevede che la posizione nella cartolarizzazione sia ponderata per il 1 250 % laddove l</w:t>
            </w:r>
            <w:r w:rsidR="000878EC">
              <w:rPr>
                <w:rFonts w:ascii="Times New Roman" w:hAnsi="Times New Roman"/>
                <w:sz w:val="24"/>
              </w:rPr>
              <w:t>'</w:t>
            </w:r>
            <w:r>
              <w:rPr>
                <w:rFonts w:ascii="Times New Roman" w:hAnsi="Times New Roman"/>
                <w:sz w:val="24"/>
              </w:rPr>
              <w:t>ente non conosca lo status di morosità per più del 5 % delle esposizioni sottostanti nel portafoglio.</w:t>
            </w:r>
          </w:p>
          <w:p w:rsidR="00E026FB" w:rsidRPr="00661595" w:rsidRDefault="00E026FB" w:rsidP="009B4B8B">
            <w:pPr>
              <w:suppressAutoHyphens/>
              <w:spacing w:before="0" w:after="0"/>
              <w:jc w:val="left"/>
              <w:rPr>
                <w:rFonts w:ascii="Times New Roman" w:hAnsi="Times New Roman"/>
                <w:sz w:val="24"/>
                <w:u w:val="single"/>
              </w:rPr>
            </w:pPr>
          </w:p>
        </w:tc>
      </w:tr>
      <w:tr w:rsidR="00E026FB" w:rsidRPr="00661595" w:rsidTr="00E10B85">
        <w:tc>
          <w:tcPr>
            <w:tcW w:w="1568" w:type="dxa"/>
          </w:tcPr>
          <w:p w:rsidR="00E026FB" w:rsidRPr="00661595" w:rsidDel="002122FF" w:rsidRDefault="00E026FB" w:rsidP="009B4B8B">
            <w:pPr>
              <w:suppressAutoHyphens/>
              <w:autoSpaceDE w:val="0"/>
              <w:autoSpaceDN w:val="0"/>
              <w:adjustRightInd w:val="0"/>
              <w:spacing w:before="0" w:after="0"/>
              <w:rPr>
                <w:rFonts w:ascii="Times New Roman" w:hAnsi="Times New Roman"/>
                <w:sz w:val="24"/>
              </w:rPr>
            </w:pPr>
            <w:r>
              <w:rPr>
                <w:rFonts w:ascii="Times New Roman" w:hAnsi="Times New Roman"/>
                <w:sz w:val="24"/>
              </w:rPr>
              <w:t>0350</w:t>
            </w:r>
          </w:p>
        </w:tc>
        <w:tc>
          <w:tcPr>
            <w:tcW w:w="7436" w:type="dxa"/>
          </w:tcPr>
          <w:p w:rsidR="00E026FB" w:rsidRPr="00661595" w:rsidRDefault="00E026FB" w:rsidP="009B4B8B">
            <w:pPr>
              <w:suppressAutoHyphens/>
              <w:spacing w:before="0" w:after="0"/>
              <w:rPr>
                <w:rFonts w:ascii="Times New Roman" w:hAnsi="Times New Roman"/>
                <w:b/>
                <w:sz w:val="24"/>
                <w:u w:val="single"/>
              </w:rPr>
            </w:pPr>
            <w:r>
              <w:rPr>
                <w:rFonts w:ascii="Times New Roman" w:hAnsi="Times New Roman"/>
                <w:b/>
                <w:sz w:val="24"/>
                <w:u w:val="single"/>
              </w:rPr>
              <w:t>SEC-ERBA</w:t>
            </w:r>
          </w:p>
          <w:p w:rsidR="00E026FB" w:rsidRPr="00661595" w:rsidRDefault="00E026FB" w:rsidP="009B4B8B">
            <w:pPr>
              <w:suppressAutoHyphens/>
              <w:spacing w:before="0" w:after="0"/>
              <w:rPr>
                <w:rFonts w:ascii="Times New Roman" w:hAnsi="Times New Roman"/>
                <w:sz w:val="24"/>
              </w:rPr>
            </w:pPr>
          </w:p>
          <w:p w:rsidR="00E026FB" w:rsidRPr="00661595" w:rsidRDefault="001E0C80" w:rsidP="009B4B8B">
            <w:pPr>
              <w:suppressAutoHyphens/>
              <w:spacing w:before="0" w:after="0"/>
              <w:jc w:val="left"/>
              <w:rPr>
                <w:rFonts w:ascii="Times New Roman" w:hAnsi="Times New Roman"/>
                <w:sz w:val="24"/>
              </w:rPr>
            </w:pPr>
            <w:r>
              <w:rPr>
                <w:rFonts w:ascii="Times New Roman" w:hAnsi="Times New Roman"/>
                <w:sz w:val="24"/>
              </w:rPr>
              <w:t xml:space="preserve">Articolo 254, paragrafo 1, lettera c), del CRR </w:t>
            </w:r>
          </w:p>
          <w:p w:rsidR="00E026FB" w:rsidRPr="00661595" w:rsidRDefault="00E026FB" w:rsidP="009B4B8B">
            <w:pPr>
              <w:suppressAutoHyphens/>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9B4B8B">
            <w:pPr>
              <w:suppressAutoHyphens/>
              <w:autoSpaceDE w:val="0"/>
              <w:autoSpaceDN w:val="0"/>
              <w:adjustRightInd w:val="0"/>
              <w:spacing w:before="0" w:after="0"/>
              <w:rPr>
                <w:rFonts w:ascii="Times New Roman" w:hAnsi="Times New Roman"/>
                <w:bCs/>
                <w:sz w:val="24"/>
              </w:rPr>
            </w:pPr>
            <w:r>
              <w:rPr>
                <w:rFonts w:ascii="Times New Roman" w:hAnsi="Times New Roman"/>
                <w:sz w:val="24"/>
              </w:rPr>
              <w:t>0360-0570</w:t>
            </w:r>
          </w:p>
        </w:tc>
        <w:tc>
          <w:tcPr>
            <w:tcW w:w="7436" w:type="dxa"/>
          </w:tcPr>
          <w:p w:rsidR="00E026FB" w:rsidRPr="00661595" w:rsidRDefault="00E026FB" w:rsidP="009B4B8B">
            <w:pPr>
              <w:suppressAutoHyphens/>
              <w:spacing w:before="0" w:after="0"/>
              <w:rPr>
                <w:rFonts w:ascii="Times New Roman" w:hAnsi="Times New Roman"/>
                <w:b/>
                <w:sz w:val="24"/>
                <w:u w:val="single"/>
              </w:rPr>
            </w:pPr>
            <w:r>
              <w:rPr>
                <w:rFonts w:ascii="Times New Roman" w:hAnsi="Times New Roman"/>
                <w:b/>
                <w:sz w:val="24"/>
                <w:u w:val="single"/>
              </w:rPr>
              <w:t>RIPARTIZIONE PER CLASSE DI MERITO DI CREDITO (CLASSI DI MERITO DI CREDITO A BREVE/LUNGO TERMINE)</w:t>
            </w:r>
          </w:p>
          <w:p w:rsidR="00E026FB" w:rsidRPr="00661595" w:rsidRDefault="00E026FB" w:rsidP="009B4B8B">
            <w:pPr>
              <w:suppressAutoHyphens/>
              <w:spacing w:before="0" w:after="0"/>
              <w:rPr>
                <w:rFonts w:ascii="Times New Roman" w:hAnsi="Times New Roman"/>
                <w:sz w:val="24"/>
              </w:rPr>
            </w:pPr>
          </w:p>
          <w:p w:rsidR="00E026FB" w:rsidRPr="00661595" w:rsidRDefault="00E026FB" w:rsidP="009B4B8B">
            <w:pPr>
              <w:suppressAutoHyphens/>
              <w:spacing w:before="0" w:after="0"/>
              <w:rPr>
                <w:rFonts w:ascii="Times New Roman" w:hAnsi="Times New Roman"/>
                <w:sz w:val="24"/>
              </w:rPr>
            </w:pPr>
            <w:r>
              <w:rPr>
                <w:rFonts w:ascii="Times New Roman" w:hAnsi="Times New Roman"/>
                <w:sz w:val="24"/>
              </w:rPr>
              <w:t>Articolo 263 del CRR</w:t>
            </w:r>
          </w:p>
          <w:p w:rsidR="00E026FB" w:rsidRPr="00661595" w:rsidRDefault="00E026FB" w:rsidP="009B4B8B">
            <w:pPr>
              <w:suppressAutoHyphens/>
              <w:spacing w:before="0" w:after="0"/>
              <w:rPr>
                <w:rFonts w:ascii="Times New Roman" w:hAnsi="Times New Roman"/>
                <w:sz w:val="24"/>
              </w:rPr>
            </w:pPr>
          </w:p>
          <w:p w:rsidR="00E026FB" w:rsidRPr="00661595" w:rsidRDefault="00E026FB" w:rsidP="009B4B8B">
            <w:pPr>
              <w:suppressAutoHyphens/>
              <w:spacing w:before="0" w:after="0"/>
              <w:rPr>
                <w:rFonts w:ascii="Times New Roman" w:hAnsi="Times New Roman"/>
                <w:sz w:val="24"/>
              </w:rPr>
            </w:pPr>
            <w:r>
              <w:rPr>
                <w:rFonts w:ascii="Times New Roman" w:hAnsi="Times New Roman"/>
                <w:sz w:val="24"/>
              </w:rPr>
              <w:t>Le posizioni verso la cartolarizzazione cui è applicato il SEC-ERBA con un rating desunto di cui all</w:t>
            </w:r>
            <w:r w:rsidR="000878EC">
              <w:rPr>
                <w:rFonts w:ascii="Times New Roman" w:hAnsi="Times New Roman"/>
                <w:sz w:val="24"/>
              </w:rPr>
              <w:t>'</w:t>
            </w:r>
            <w:r>
              <w:rPr>
                <w:rFonts w:ascii="Times New Roman" w:hAnsi="Times New Roman"/>
                <w:sz w:val="24"/>
              </w:rPr>
              <w:t>articolo 254, paragrafo 2, del CRR sono segnalate come posizioni provviste di rating.</w:t>
            </w:r>
          </w:p>
          <w:p w:rsidR="00E026FB" w:rsidRPr="00661595" w:rsidRDefault="00E026FB" w:rsidP="009B4B8B">
            <w:pPr>
              <w:suppressAutoHyphens/>
              <w:spacing w:before="0" w:after="0"/>
              <w:rPr>
                <w:rFonts w:ascii="Times New Roman" w:hAnsi="Times New Roman"/>
                <w:sz w:val="24"/>
              </w:rPr>
            </w:pPr>
          </w:p>
          <w:p w:rsidR="00E026FB" w:rsidRPr="00661595" w:rsidRDefault="00E026FB" w:rsidP="009B4B8B">
            <w:pPr>
              <w:suppressAutoHyphens/>
              <w:autoSpaceDE w:val="0"/>
              <w:autoSpaceDN w:val="0"/>
              <w:adjustRightInd w:val="0"/>
              <w:spacing w:before="0" w:after="0"/>
              <w:rPr>
                <w:rFonts w:ascii="Times New Roman" w:hAnsi="Times New Roman"/>
                <w:sz w:val="24"/>
              </w:rPr>
            </w:pPr>
            <w:r>
              <w:rPr>
                <w:rFonts w:ascii="Times New Roman" w:hAnsi="Times New Roman"/>
                <w:sz w:val="24"/>
              </w:rPr>
              <w:t>I valori delle esposizioni soggetti a ponderazione del rischio sono ripartiti in funzione del termine breve o lungo e delle classi di merito di credito come previsto alle tabelle 1 e 2 dell</w:t>
            </w:r>
            <w:r w:rsidR="000878EC">
              <w:rPr>
                <w:rFonts w:ascii="Times New Roman" w:hAnsi="Times New Roman"/>
                <w:sz w:val="24"/>
              </w:rPr>
              <w:t>'</w:t>
            </w:r>
            <w:r>
              <w:rPr>
                <w:rFonts w:ascii="Times New Roman" w:hAnsi="Times New Roman"/>
                <w:sz w:val="24"/>
              </w:rPr>
              <w:t>articolo 263 e a</w:t>
            </w:r>
            <w:r w:rsidR="00DE1A1A">
              <w:rPr>
                <w:rFonts w:ascii="Times New Roman" w:hAnsi="Times New Roman"/>
                <w:sz w:val="24"/>
              </w:rPr>
              <w:t>lle tabelle 3 e 4 dell</w:t>
            </w:r>
            <w:r w:rsidR="000878EC">
              <w:rPr>
                <w:rFonts w:ascii="Times New Roman" w:hAnsi="Times New Roman"/>
                <w:sz w:val="24"/>
              </w:rPr>
              <w:t>'</w:t>
            </w:r>
            <w:r w:rsidR="00DE1A1A">
              <w:rPr>
                <w:rFonts w:ascii="Times New Roman" w:hAnsi="Times New Roman"/>
                <w:sz w:val="24"/>
              </w:rPr>
              <w:t>articolo </w:t>
            </w:r>
            <w:r>
              <w:rPr>
                <w:rFonts w:ascii="Times New Roman" w:hAnsi="Times New Roman"/>
                <w:sz w:val="24"/>
              </w:rPr>
              <w:t xml:space="preserve">264 del CRR. </w:t>
            </w:r>
          </w:p>
          <w:p w:rsidR="00E026FB" w:rsidRPr="00661595" w:rsidRDefault="00E026FB" w:rsidP="009B4B8B">
            <w:pPr>
              <w:pStyle w:val="Heading1"/>
              <w:suppressAutoHyphens/>
              <w:rPr>
                <w:rFonts w:ascii="Times New Roman" w:eastAsia="Times New Roman" w:hAnsi="Times New Roman"/>
                <w:sz w:val="24"/>
                <w:szCs w:val="24"/>
                <w:lang w:eastAsia="es-ES_tradnl"/>
              </w:rPr>
            </w:pPr>
          </w:p>
        </w:tc>
      </w:tr>
      <w:tr w:rsidR="00E026FB" w:rsidRPr="00661595" w:rsidTr="00E10B85">
        <w:tc>
          <w:tcPr>
            <w:tcW w:w="1568" w:type="dxa"/>
          </w:tcPr>
          <w:p w:rsidR="00E026FB" w:rsidRPr="00661595" w:rsidRDefault="00E026FB" w:rsidP="009B4B8B">
            <w:pPr>
              <w:suppressAutoHyphens/>
              <w:autoSpaceDE w:val="0"/>
              <w:autoSpaceDN w:val="0"/>
              <w:adjustRightInd w:val="0"/>
              <w:spacing w:before="0" w:after="0"/>
              <w:rPr>
                <w:rFonts w:ascii="Times New Roman" w:hAnsi="Times New Roman"/>
                <w:sz w:val="24"/>
              </w:rPr>
            </w:pPr>
            <w:r>
              <w:rPr>
                <w:rFonts w:ascii="Times New Roman" w:hAnsi="Times New Roman"/>
                <w:sz w:val="24"/>
              </w:rPr>
              <w:t>0580-0630</w:t>
            </w:r>
          </w:p>
        </w:tc>
        <w:tc>
          <w:tcPr>
            <w:tcW w:w="7436" w:type="dxa"/>
          </w:tcPr>
          <w:p w:rsidR="00E026FB" w:rsidRPr="00661595" w:rsidRDefault="00E026FB" w:rsidP="009B4B8B">
            <w:pPr>
              <w:suppressAutoHyphens/>
              <w:spacing w:before="0" w:after="0"/>
              <w:rPr>
                <w:rFonts w:ascii="Times New Roman" w:hAnsi="Times New Roman"/>
                <w:b/>
                <w:sz w:val="24"/>
                <w:u w:val="single"/>
              </w:rPr>
            </w:pPr>
            <w:r>
              <w:rPr>
                <w:rFonts w:ascii="Times New Roman" w:hAnsi="Times New Roman"/>
                <w:b/>
                <w:sz w:val="24"/>
                <w:u w:val="single"/>
              </w:rPr>
              <w:t>RIPARTIZIONE PER MOTIVO DI APPLICAZIONE DEL SEC-ERBA</w:t>
            </w:r>
          </w:p>
          <w:p w:rsidR="00E026FB" w:rsidRPr="00661595" w:rsidRDefault="00E026FB" w:rsidP="009B4B8B">
            <w:pPr>
              <w:suppressAutoHyphens/>
              <w:spacing w:before="0" w:after="0"/>
              <w:rPr>
                <w:rFonts w:ascii="Times New Roman" w:hAnsi="Times New Roman"/>
                <w:b/>
                <w:sz w:val="24"/>
                <w:u w:val="single"/>
              </w:rPr>
            </w:pPr>
          </w:p>
          <w:p w:rsidR="00E026FB" w:rsidRPr="00661595" w:rsidRDefault="00E026FB" w:rsidP="009B4B8B">
            <w:pPr>
              <w:suppressAutoHyphens/>
              <w:spacing w:before="0" w:after="0"/>
              <w:rPr>
                <w:rFonts w:ascii="Times New Roman" w:hAnsi="Times New Roman"/>
                <w:sz w:val="24"/>
              </w:rPr>
            </w:pPr>
            <w:r>
              <w:rPr>
                <w:rFonts w:ascii="Times New Roman" w:hAnsi="Times New Roman"/>
                <w:sz w:val="24"/>
              </w:rPr>
              <w:t>Per ciascuna posizione verso la cartolarizzazione gli enti considerano una delle opzioni seguenti nelle colonne 0580-0620.</w:t>
            </w:r>
          </w:p>
          <w:p w:rsidR="00E026FB" w:rsidRPr="00661595" w:rsidRDefault="00E026FB" w:rsidP="009B4B8B">
            <w:pPr>
              <w:suppressAutoHyphens/>
              <w:spacing w:before="0" w:after="0"/>
              <w:rPr>
                <w:rFonts w:ascii="Times New Roman" w:hAnsi="Times New Roman"/>
                <w:sz w:val="24"/>
                <w:u w:val="single"/>
              </w:rPr>
            </w:pPr>
          </w:p>
        </w:tc>
      </w:tr>
      <w:tr w:rsidR="00E026FB" w:rsidRPr="00661595" w:rsidTr="00E10B85">
        <w:tc>
          <w:tcPr>
            <w:tcW w:w="1568" w:type="dxa"/>
          </w:tcPr>
          <w:p w:rsidR="00E026FB" w:rsidRPr="00661595" w:rsidRDefault="00E026FB" w:rsidP="00DE1A1A">
            <w:pPr>
              <w:keepNext/>
              <w:keepLines/>
              <w:suppressAutoHyphens/>
              <w:autoSpaceDE w:val="0"/>
              <w:autoSpaceDN w:val="0"/>
              <w:adjustRightInd w:val="0"/>
              <w:spacing w:before="0" w:after="0"/>
              <w:rPr>
                <w:rFonts w:ascii="Times New Roman" w:hAnsi="Times New Roman"/>
                <w:sz w:val="24"/>
              </w:rPr>
            </w:pPr>
            <w:r>
              <w:rPr>
                <w:rFonts w:ascii="Times New Roman" w:hAnsi="Times New Roman"/>
                <w:sz w:val="24"/>
              </w:rPr>
              <w:t>0580</w:t>
            </w:r>
          </w:p>
        </w:tc>
        <w:tc>
          <w:tcPr>
            <w:tcW w:w="7436" w:type="dxa"/>
          </w:tcPr>
          <w:p w:rsidR="00E026FB" w:rsidRPr="00661595" w:rsidRDefault="00E026FB" w:rsidP="00DE1A1A">
            <w:pPr>
              <w:keepNext/>
              <w:keepLines/>
              <w:suppressAutoHyphens/>
              <w:spacing w:before="0" w:after="0"/>
              <w:rPr>
                <w:rFonts w:ascii="Times New Roman" w:hAnsi="Times New Roman"/>
                <w:b/>
                <w:sz w:val="24"/>
                <w:u w:val="single"/>
              </w:rPr>
            </w:pPr>
            <w:r>
              <w:rPr>
                <w:rFonts w:ascii="Times New Roman" w:hAnsi="Times New Roman"/>
                <w:b/>
                <w:sz w:val="24"/>
                <w:u w:val="single"/>
              </w:rPr>
              <w:t>PRESTITI PER VEICOLI, LEASING AUTO E STRUMENTALI</w:t>
            </w:r>
          </w:p>
          <w:p w:rsidR="00E026FB" w:rsidRPr="00661595" w:rsidRDefault="00E026FB" w:rsidP="00DE1A1A">
            <w:pPr>
              <w:keepNext/>
              <w:keepLines/>
              <w:suppressAutoHyphens/>
              <w:spacing w:before="0" w:after="0"/>
              <w:rPr>
                <w:rFonts w:ascii="Times New Roman" w:hAnsi="Times New Roman"/>
                <w:b/>
                <w:sz w:val="24"/>
                <w:u w:val="single"/>
              </w:rPr>
            </w:pPr>
          </w:p>
          <w:p w:rsidR="001E0C80" w:rsidRPr="00661595" w:rsidRDefault="001E0C80" w:rsidP="00DE1A1A">
            <w:pPr>
              <w:keepNext/>
              <w:keepLines/>
              <w:suppressAutoHyphens/>
              <w:spacing w:before="0" w:after="0"/>
              <w:rPr>
                <w:rFonts w:ascii="Times New Roman" w:hAnsi="Times New Roman"/>
                <w:sz w:val="24"/>
              </w:rPr>
            </w:pPr>
            <w:r>
              <w:rPr>
                <w:rFonts w:ascii="Times New Roman" w:hAnsi="Times New Roman"/>
                <w:sz w:val="24"/>
              </w:rPr>
              <w:t xml:space="preserve">Articolo 254, paragrafo 2, lettera c), del CRR </w:t>
            </w:r>
          </w:p>
          <w:p w:rsidR="001E0C80" w:rsidRPr="00661595" w:rsidRDefault="001E0C80" w:rsidP="00DE1A1A">
            <w:pPr>
              <w:keepNext/>
              <w:keepLines/>
              <w:suppressAutoHyphens/>
              <w:spacing w:before="0" w:after="0"/>
              <w:rPr>
                <w:rFonts w:ascii="Times New Roman" w:hAnsi="Times New Roman"/>
                <w:sz w:val="24"/>
              </w:rPr>
            </w:pPr>
          </w:p>
          <w:p w:rsidR="00E026FB" w:rsidRPr="00661595" w:rsidRDefault="00FC5515" w:rsidP="00DE1A1A">
            <w:pPr>
              <w:keepNext/>
              <w:keepLines/>
              <w:suppressAutoHyphens/>
              <w:spacing w:before="0" w:after="0"/>
              <w:rPr>
                <w:rFonts w:ascii="Times New Roman" w:hAnsi="Times New Roman"/>
                <w:b/>
                <w:sz w:val="24"/>
                <w:u w:val="single"/>
              </w:rPr>
            </w:pPr>
            <w:r>
              <w:rPr>
                <w:rFonts w:ascii="Times New Roman" w:hAnsi="Times New Roman"/>
                <w:sz w:val="24"/>
              </w:rPr>
              <w:t>Tutti i prestiti per veicoli, leasing auto e strumentali sono segnalati in questa colonna, anche se rientrano nell</w:t>
            </w:r>
            <w:r w:rsidR="000878EC">
              <w:rPr>
                <w:rFonts w:ascii="Times New Roman" w:hAnsi="Times New Roman"/>
                <w:sz w:val="24"/>
              </w:rPr>
              <w:t>'</w:t>
            </w:r>
            <w:r>
              <w:rPr>
                <w:rFonts w:ascii="Times New Roman" w:hAnsi="Times New Roman"/>
                <w:sz w:val="24"/>
              </w:rPr>
              <w:t>ambito di applicazione dell</w:t>
            </w:r>
            <w:r w:rsidR="000878EC">
              <w:rPr>
                <w:rFonts w:ascii="Times New Roman" w:hAnsi="Times New Roman"/>
                <w:sz w:val="24"/>
              </w:rPr>
              <w:t>'</w:t>
            </w:r>
            <w:r>
              <w:rPr>
                <w:rFonts w:ascii="Times New Roman" w:hAnsi="Times New Roman"/>
                <w:sz w:val="24"/>
              </w:rPr>
              <w:t>articolo 254, paragrafo 2, lettera a) o b), del CRR.</w:t>
            </w:r>
          </w:p>
        </w:tc>
      </w:tr>
      <w:tr w:rsidR="00E026FB" w:rsidRPr="00661595" w:rsidTr="00E10B85">
        <w:tc>
          <w:tcPr>
            <w:tcW w:w="1568" w:type="dxa"/>
          </w:tcPr>
          <w:p w:rsidR="00E026FB" w:rsidRPr="00661595" w:rsidRDefault="00E026FB" w:rsidP="009B4B8B">
            <w:pPr>
              <w:suppressAutoHyphens/>
              <w:autoSpaceDE w:val="0"/>
              <w:autoSpaceDN w:val="0"/>
              <w:adjustRightInd w:val="0"/>
              <w:spacing w:before="0" w:after="0"/>
              <w:rPr>
                <w:rFonts w:ascii="Times New Roman" w:hAnsi="Times New Roman"/>
                <w:sz w:val="24"/>
              </w:rPr>
            </w:pPr>
            <w:r>
              <w:rPr>
                <w:rFonts w:ascii="Times New Roman" w:hAnsi="Times New Roman"/>
                <w:sz w:val="24"/>
              </w:rPr>
              <w:t>0590</w:t>
            </w:r>
          </w:p>
        </w:tc>
        <w:tc>
          <w:tcPr>
            <w:tcW w:w="7436" w:type="dxa"/>
          </w:tcPr>
          <w:p w:rsidR="00E026FB" w:rsidRPr="00661595" w:rsidRDefault="00E026FB" w:rsidP="009B4B8B">
            <w:pPr>
              <w:suppressAutoHyphens/>
              <w:spacing w:before="0" w:after="0"/>
              <w:rPr>
                <w:rFonts w:ascii="Times New Roman" w:hAnsi="Times New Roman"/>
                <w:b/>
                <w:sz w:val="24"/>
                <w:u w:val="single"/>
              </w:rPr>
            </w:pPr>
            <w:r>
              <w:rPr>
                <w:rFonts w:ascii="Times New Roman" w:hAnsi="Times New Roman"/>
                <w:b/>
                <w:sz w:val="24"/>
                <w:u w:val="single"/>
              </w:rPr>
              <w:t>OPZIONE SEC-ERBA</w:t>
            </w:r>
          </w:p>
          <w:p w:rsidR="00E026FB" w:rsidRPr="00061618" w:rsidRDefault="00E026FB" w:rsidP="009B4B8B">
            <w:pPr>
              <w:suppressAutoHyphens/>
              <w:spacing w:before="0" w:after="0"/>
              <w:rPr>
                <w:rFonts w:ascii="Times New Roman" w:hAnsi="Times New Roman"/>
                <w:b/>
                <w:sz w:val="24"/>
                <w:u w:val="single"/>
              </w:rPr>
            </w:pPr>
          </w:p>
          <w:p w:rsidR="00E026FB" w:rsidRPr="00661595" w:rsidRDefault="00E026FB" w:rsidP="009B4B8B">
            <w:pPr>
              <w:suppressAutoHyphens/>
              <w:spacing w:before="0" w:after="0"/>
              <w:rPr>
                <w:rFonts w:ascii="Times New Roman" w:hAnsi="Times New Roman"/>
                <w:sz w:val="24"/>
              </w:rPr>
            </w:pPr>
            <w:r>
              <w:rPr>
                <w:rFonts w:ascii="Times New Roman" w:hAnsi="Times New Roman"/>
                <w:sz w:val="24"/>
              </w:rPr>
              <w:t>Articolo 254, paragrafo 3, del CRR</w:t>
            </w:r>
          </w:p>
          <w:p w:rsidR="00E026FB" w:rsidRPr="00061618" w:rsidRDefault="00E026FB" w:rsidP="009B4B8B">
            <w:pPr>
              <w:suppressAutoHyphens/>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9B4B8B">
            <w:pPr>
              <w:suppressAutoHyphens/>
              <w:autoSpaceDE w:val="0"/>
              <w:autoSpaceDN w:val="0"/>
              <w:adjustRightInd w:val="0"/>
              <w:spacing w:before="0" w:after="0"/>
              <w:rPr>
                <w:rFonts w:ascii="Times New Roman" w:hAnsi="Times New Roman"/>
                <w:sz w:val="24"/>
              </w:rPr>
            </w:pPr>
            <w:r>
              <w:rPr>
                <w:rFonts w:ascii="Times New Roman" w:hAnsi="Times New Roman"/>
                <w:sz w:val="24"/>
              </w:rPr>
              <w:t>0600</w:t>
            </w:r>
          </w:p>
        </w:tc>
        <w:tc>
          <w:tcPr>
            <w:tcW w:w="7436" w:type="dxa"/>
          </w:tcPr>
          <w:p w:rsidR="00E026FB" w:rsidRPr="00661595" w:rsidRDefault="00E026FB" w:rsidP="009B4B8B">
            <w:pPr>
              <w:suppressAutoHyphens/>
              <w:spacing w:before="0" w:after="0"/>
              <w:rPr>
                <w:rFonts w:ascii="Times New Roman" w:hAnsi="Times New Roman"/>
                <w:b/>
                <w:bCs/>
                <w:sz w:val="24"/>
                <w:u w:val="single"/>
              </w:rPr>
            </w:pPr>
            <w:r>
              <w:rPr>
                <w:rFonts w:ascii="Times New Roman" w:hAnsi="Times New Roman"/>
                <w:b/>
                <w:bCs/>
                <w:sz w:val="24"/>
                <w:u w:val="single"/>
              </w:rPr>
              <w:t>POSIZIONI SOGGETTE ALL</w:t>
            </w:r>
            <w:r w:rsidR="000878EC">
              <w:rPr>
                <w:rFonts w:ascii="Times New Roman" w:hAnsi="Times New Roman"/>
                <w:b/>
                <w:bCs/>
                <w:sz w:val="24"/>
                <w:u w:val="single"/>
              </w:rPr>
              <w:t>'</w:t>
            </w:r>
            <w:r>
              <w:rPr>
                <w:rFonts w:ascii="Times New Roman" w:hAnsi="Times New Roman"/>
                <w:b/>
                <w:bCs/>
                <w:sz w:val="24"/>
                <w:u w:val="single"/>
              </w:rPr>
              <w:t>ARTICOLO 254, PARAGRAFO 2, LETTERA a), DEL CRR</w:t>
            </w:r>
          </w:p>
          <w:p w:rsidR="00E026FB" w:rsidRPr="00661595" w:rsidRDefault="00E026FB" w:rsidP="009B4B8B">
            <w:pPr>
              <w:suppressAutoHyphens/>
              <w:spacing w:before="0" w:after="0"/>
              <w:rPr>
                <w:rFonts w:ascii="Times New Roman" w:hAnsi="Times New Roman"/>
                <w:b/>
                <w:bCs/>
                <w:sz w:val="24"/>
                <w:u w:val="single"/>
              </w:rPr>
            </w:pPr>
          </w:p>
          <w:p w:rsidR="00E026FB" w:rsidRPr="00661595" w:rsidRDefault="001E0C80" w:rsidP="009B4B8B">
            <w:pPr>
              <w:suppressAutoHyphens/>
              <w:spacing w:before="0" w:after="0"/>
              <w:rPr>
                <w:rFonts w:ascii="Times New Roman" w:hAnsi="Times New Roman"/>
                <w:sz w:val="24"/>
              </w:rPr>
            </w:pPr>
            <w:r>
              <w:rPr>
                <w:rFonts w:ascii="Times New Roman" w:hAnsi="Times New Roman"/>
                <w:sz w:val="24"/>
              </w:rPr>
              <w:t>Articolo 254, paragrafo 2, lettera a), del CRR</w:t>
            </w:r>
          </w:p>
          <w:p w:rsidR="00E026FB" w:rsidRPr="00661595" w:rsidRDefault="00E026FB" w:rsidP="009B4B8B">
            <w:pPr>
              <w:suppressAutoHyphens/>
              <w:spacing w:before="0" w:after="0"/>
              <w:rPr>
                <w:rFonts w:ascii="Times New Roman" w:hAnsi="Times New Roman"/>
                <w:sz w:val="24"/>
              </w:rPr>
            </w:pPr>
          </w:p>
        </w:tc>
      </w:tr>
      <w:tr w:rsidR="00E026FB" w:rsidRPr="00661595" w:rsidTr="00E10B85">
        <w:tc>
          <w:tcPr>
            <w:tcW w:w="1568" w:type="dxa"/>
          </w:tcPr>
          <w:p w:rsidR="00E026FB" w:rsidRPr="00661595" w:rsidRDefault="00E026FB" w:rsidP="009B4B8B">
            <w:pPr>
              <w:suppressAutoHyphens/>
              <w:autoSpaceDE w:val="0"/>
              <w:autoSpaceDN w:val="0"/>
              <w:adjustRightInd w:val="0"/>
              <w:spacing w:before="0" w:after="0"/>
              <w:rPr>
                <w:rFonts w:ascii="Times New Roman" w:hAnsi="Times New Roman"/>
                <w:sz w:val="24"/>
              </w:rPr>
            </w:pPr>
            <w:r>
              <w:rPr>
                <w:rFonts w:ascii="Times New Roman" w:hAnsi="Times New Roman"/>
                <w:sz w:val="24"/>
              </w:rPr>
              <w:t>0610</w:t>
            </w:r>
          </w:p>
        </w:tc>
        <w:tc>
          <w:tcPr>
            <w:tcW w:w="7436" w:type="dxa"/>
          </w:tcPr>
          <w:p w:rsidR="00E026FB" w:rsidRPr="00661595" w:rsidRDefault="00E026FB" w:rsidP="009B4B8B">
            <w:pPr>
              <w:suppressAutoHyphens/>
              <w:spacing w:before="0" w:after="0"/>
              <w:rPr>
                <w:rFonts w:ascii="Times New Roman" w:hAnsi="Times New Roman"/>
                <w:b/>
                <w:sz w:val="24"/>
                <w:u w:val="single"/>
              </w:rPr>
            </w:pPr>
            <w:r>
              <w:rPr>
                <w:rFonts w:ascii="Times New Roman" w:hAnsi="Times New Roman"/>
                <w:b/>
                <w:sz w:val="24"/>
                <w:u w:val="single"/>
              </w:rPr>
              <w:t>POSIZIONI SOGGETTE ALL</w:t>
            </w:r>
            <w:r w:rsidR="000878EC">
              <w:rPr>
                <w:rFonts w:ascii="Times New Roman" w:hAnsi="Times New Roman"/>
                <w:b/>
                <w:sz w:val="24"/>
                <w:u w:val="single"/>
              </w:rPr>
              <w:t>'</w:t>
            </w:r>
            <w:r>
              <w:rPr>
                <w:rFonts w:ascii="Times New Roman" w:hAnsi="Times New Roman"/>
                <w:b/>
                <w:sz w:val="24"/>
                <w:u w:val="single"/>
              </w:rPr>
              <w:t xml:space="preserve">ARTICOLO 254, PARAGRAFO 2, LETTERA b), DEL CRR </w:t>
            </w:r>
          </w:p>
          <w:p w:rsidR="00E026FB" w:rsidRPr="00661595" w:rsidRDefault="00E026FB" w:rsidP="009B4B8B">
            <w:pPr>
              <w:suppressAutoHyphens/>
              <w:spacing w:before="0" w:after="0"/>
              <w:rPr>
                <w:rFonts w:ascii="Times New Roman" w:hAnsi="Times New Roman"/>
                <w:b/>
                <w:sz w:val="24"/>
                <w:u w:val="single"/>
              </w:rPr>
            </w:pPr>
          </w:p>
          <w:p w:rsidR="00E026FB" w:rsidRPr="00661595" w:rsidRDefault="001E0C80" w:rsidP="009B4B8B">
            <w:pPr>
              <w:suppressAutoHyphens/>
              <w:spacing w:before="0" w:after="0"/>
              <w:rPr>
                <w:rFonts w:ascii="Times New Roman" w:hAnsi="Times New Roman"/>
                <w:sz w:val="24"/>
              </w:rPr>
            </w:pPr>
            <w:r>
              <w:rPr>
                <w:rFonts w:ascii="Times New Roman" w:hAnsi="Times New Roman"/>
                <w:sz w:val="24"/>
              </w:rPr>
              <w:t>Articolo 254, paragrafo 2, lettera b), del CRR</w:t>
            </w:r>
          </w:p>
          <w:p w:rsidR="00E026FB" w:rsidRPr="00661595" w:rsidRDefault="00E026FB" w:rsidP="009B4B8B">
            <w:pPr>
              <w:suppressAutoHyphens/>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9B4B8B">
            <w:pPr>
              <w:suppressAutoHyphens/>
              <w:autoSpaceDE w:val="0"/>
              <w:autoSpaceDN w:val="0"/>
              <w:adjustRightInd w:val="0"/>
              <w:spacing w:before="0" w:after="0"/>
              <w:rPr>
                <w:rFonts w:ascii="Times New Roman" w:hAnsi="Times New Roman"/>
                <w:sz w:val="24"/>
              </w:rPr>
            </w:pPr>
            <w:r>
              <w:rPr>
                <w:rFonts w:ascii="Times New Roman" w:hAnsi="Times New Roman"/>
                <w:sz w:val="24"/>
              </w:rPr>
              <w:t>0620</w:t>
            </w:r>
          </w:p>
        </w:tc>
        <w:tc>
          <w:tcPr>
            <w:tcW w:w="7436" w:type="dxa"/>
          </w:tcPr>
          <w:p w:rsidR="00962BBD" w:rsidRPr="00661595" w:rsidRDefault="00E026FB" w:rsidP="009B4B8B">
            <w:pPr>
              <w:suppressAutoHyphens/>
              <w:spacing w:before="0" w:after="0"/>
              <w:rPr>
                <w:rFonts w:ascii="Times New Roman" w:hAnsi="Times New Roman"/>
                <w:b/>
                <w:bCs/>
                <w:sz w:val="24"/>
                <w:u w:val="single"/>
              </w:rPr>
            </w:pPr>
            <w:r>
              <w:rPr>
                <w:rFonts w:ascii="Times New Roman" w:hAnsi="Times New Roman"/>
                <w:b/>
                <w:bCs/>
                <w:sz w:val="24"/>
                <w:u w:val="single"/>
              </w:rPr>
              <w:t>POSIZIONI SOGGETTE ALL</w:t>
            </w:r>
            <w:r w:rsidR="000878EC">
              <w:rPr>
                <w:rFonts w:ascii="Times New Roman" w:hAnsi="Times New Roman"/>
                <w:b/>
                <w:bCs/>
                <w:sz w:val="24"/>
                <w:u w:val="single"/>
              </w:rPr>
              <w:t>'</w:t>
            </w:r>
            <w:r>
              <w:rPr>
                <w:rFonts w:ascii="Times New Roman" w:hAnsi="Times New Roman"/>
                <w:b/>
                <w:bCs/>
                <w:sz w:val="24"/>
                <w:u w:val="single"/>
              </w:rPr>
              <w:t>ARTICOLO 254, PARAGRAFO 4, O ALL</w:t>
            </w:r>
            <w:r w:rsidR="000878EC">
              <w:rPr>
                <w:rFonts w:ascii="Times New Roman" w:hAnsi="Times New Roman"/>
                <w:b/>
                <w:bCs/>
                <w:sz w:val="24"/>
                <w:u w:val="single"/>
              </w:rPr>
              <w:t>'</w:t>
            </w:r>
            <w:r>
              <w:rPr>
                <w:rFonts w:ascii="Times New Roman" w:hAnsi="Times New Roman"/>
                <w:b/>
                <w:bCs/>
                <w:sz w:val="24"/>
                <w:u w:val="single"/>
              </w:rPr>
              <w:t>ARTICOLO 258, PARAGRAFO 2, DEL CRR</w:t>
            </w:r>
          </w:p>
          <w:p w:rsidR="00962BBD" w:rsidRPr="00661595" w:rsidRDefault="00962BBD" w:rsidP="009B4B8B">
            <w:pPr>
              <w:suppressAutoHyphens/>
              <w:spacing w:before="0" w:after="0"/>
              <w:rPr>
                <w:rFonts w:ascii="Times New Roman" w:hAnsi="Times New Roman"/>
                <w:sz w:val="24"/>
              </w:rPr>
            </w:pPr>
          </w:p>
          <w:p w:rsidR="00E026FB" w:rsidRPr="00661595" w:rsidRDefault="00E026FB" w:rsidP="009B4B8B">
            <w:pPr>
              <w:suppressAutoHyphens/>
              <w:spacing w:before="0" w:after="0"/>
              <w:rPr>
                <w:rFonts w:ascii="Times New Roman" w:hAnsi="Times New Roman"/>
                <w:sz w:val="24"/>
              </w:rPr>
            </w:pPr>
            <w:r>
              <w:rPr>
                <w:rFonts w:ascii="Times New Roman" w:hAnsi="Times New Roman"/>
                <w:sz w:val="24"/>
              </w:rPr>
              <w:t>Le posizioni verso la cartolarizzazione soggette al SEC-ERBA, quando l</w:t>
            </w:r>
            <w:r w:rsidR="000878EC">
              <w:rPr>
                <w:rFonts w:ascii="Times New Roman" w:hAnsi="Times New Roman"/>
                <w:sz w:val="24"/>
              </w:rPr>
              <w:t>'</w:t>
            </w:r>
            <w:r>
              <w:rPr>
                <w:rFonts w:ascii="Times New Roman" w:hAnsi="Times New Roman"/>
                <w:sz w:val="24"/>
              </w:rPr>
              <w:t>applicazione del SEC-IRBA o del SEC-SA è stata esclusa dalle autorità competenti a norma dell</w:t>
            </w:r>
            <w:r w:rsidR="000878EC">
              <w:rPr>
                <w:rFonts w:ascii="Times New Roman" w:hAnsi="Times New Roman"/>
                <w:sz w:val="24"/>
              </w:rPr>
              <w:t>'</w:t>
            </w:r>
            <w:r>
              <w:rPr>
                <w:rFonts w:ascii="Times New Roman" w:hAnsi="Times New Roman"/>
                <w:sz w:val="24"/>
              </w:rPr>
              <w:t>articolo 254, paragrafo 4, o dell</w:t>
            </w:r>
            <w:r w:rsidR="000878EC">
              <w:rPr>
                <w:rFonts w:ascii="Times New Roman" w:hAnsi="Times New Roman"/>
                <w:sz w:val="24"/>
              </w:rPr>
              <w:t>'</w:t>
            </w:r>
            <w:r>
              <w:rPr>
                <w:rFonts w:ascii="Times New Roman" w:hAnsi="Times New Roman"/>
                <w:sz w:val="24"/>
              </w:rPr>
              <w:t>articolo 258, paragrafo 2, del CRR</w:t>
            </w:r>
          </w:p>
          <w:p w:rsidR="00E026FB" w:rsidRPr="00661595" w:rsidRDefault="00E026FB" w:rsidP="009B4B8B">
            <w:pPr>
              <w:suppressAutoHyphens/>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9B4B8B">
            <w:pPr>
              <w:suppressAutoHyphens/>
              <w:autoSpaceDE w:val="0"/>
              <w:autoSpaceDN w:val="0"/>
              <w:adjustRightInd w:val="0"/>
              <w:spacing w:before="0" w:after="0"/>
              <w:rPr>
                <w:rFonts w:ascii="Times New Roman" w:hAnsi="Times New Roman"/>
                <w:sz w:val="24"/>
              </w:rPr>
            </w:pPr>
            <w:r>
              <w:rPr>
                <w:rFonts w:ascii="Times New Roman" w:hAnsi="Times New Roman"/>
                <w:sz w:val="24"/>
              </w:rPr>
              <w:t>0630</w:t>
            </w:r>
          </w:p>
        </w:tc>
        <w:tc>
          <w:tcPr>
            <w:tcW w:w="7436" w:type="dxa"/>
          </w:tcPr>
          <w:p w:rsidR="00E026FB" w:rsidRPr="00661595" w:rsidRDefault="00E026FB" w:rsidP="009B4B8B">
            <w:pPr>
              <w:suppressAutoHyphens/>
              <w:spacing w:before="0" w:after="0"/>
              <w:rPr>
                <w:rFonts w:ascii="Times New Roman" w:hAnsi="Times New Roman"/>
                <w:b/>
                <w:sz w:val="24"/>
                <w:u w:val="single"/>
              </w:rPr>
            </w:pPr>
            <w:r>
              <w:rPr>
                <w:rFonts w:ascii="Times New Roman" w:hAnsi="Times New Roman"/>
                <w:b/>
                <w:sz w:val="24"/>
                <w:u w:val="single"/>
              </w:rPr>
              <w:t xml:space="preserve">IN BASE ALLA GERARCHIA DEI METODI </w:t>
            </w:r>
          </w:p>
          <w:p w:rsidR="00E026FB" w:rsidRPr="00661595" w:rsidRDefault="00E026FB" w:rsidP="009B4B8B">
            <w:pPr>
              <w:suppressAutoHyphens/>
              <w:spacing w:before="0" w:after="0"/>
              <w:rPr>
                <w:rFonts w:ascii="Times New Roman" w:hAnsi="Times New Roman"/>
                <w:b/>
                <w:sz w:val="24"/>
                <w:u w:val="single"/>
              </w:rPr>
            </w:pPr>
          </w:p>
          <w:p w:rsidR="00E026FB" w:rsidRPr="00661595" w:rsidRDefault="00E026FB" w:rsidP="009B4B8B">
            <w:pPr>
              <w:suppressAutoHyphens/>
              <w:spacing w:before="0" w:after="0"/>
              <w:rPr>
                <w:rFonts w:ascii="Times New Roman" w:hAnsi="Times New Roman"/>
                <w:sz w:val="24"/>
              </w:rPr>
            </w:pPr>
            <w:r>
              <w:rPr>
                <w:rFonts w:ascii="Times New Roman" w:hAnsi="Times New Roman"/>
                <w:sz w:val="24"/>
              </w:rPr>
              <w:t>Posizioni verso la cartolarizzazione cui è applicato il SEC-ERBA secondo la gerarchia dei metodi di cui all</w:t>
            </w:r>
            <w:r w:rsidR="000878EC">
              <w:rPr>
                <w:rFonts w:ascii="Times New Roman" w:hAnsi="Times New Roman"/>
                <w:sz w:val="24"/>
              </w:rPr>
              <w:t>'</w:t>
            </w:r>
            <w:r>
              <w:rPr>
                <w:rFonts w:ascii="Times New Roman" w:hAnsi="Times New Roman"/>
                <w:sz w:val="24"/>
              </w:rPr>
              <w:t>articolo 254, paragrafo 1, del CRR</w:t>
            </w:r>
          </w:p>
          <w:p w:rsidR="00E026FB" w:rsidRPr="00661595" w:rsidRDefault="00E026FB" w:rsidP="009B4B8B">
            <w:pPr>
              <w:suppressAutoHyphens/>
              <w:spacing w:before="0" w:after="0"/>
              <w:rPr>
                <w:rFonts w:ascii="Times New Roman" w:hAnsi="Times New Roman"/>
                <w:b/>
                <w:sz w:val="24"/>
                <w:u w:val="single"/>
              </w:rPr>
            </w:pPr>
          </w:p>
        </w:tc>
      </w:tr>
      <w:tr w:rsidR="00E026FB" w:rsidRPr="00661595" w:rsidTr="00E10B85">
        <w:tc>
          <w:tcPr>
            <w:tcW w:w="1568" w:type="dxa"/>
          </w:tcPr>
          <w:p w:rsidR="00E026FB" w:rsidRPr="00661595" w:rsidRDefault="00E026FB" w:rsidP="009B4B8B">
            <w:pPr>
              <w:suppressAutoHyphens/>
              <w:autoSpaceDE w:val="0"/>
              <w:autoSpaceDN w:val="0"/>
              <w:adjustRightInd w:val="0"/>
              <w:spacing w:before="0" w:after="0"/>
              <w:rPr>
                <w:rFonts w:ascii="Times New Roman" w:hAnsi="Times New Roman"/>
                <w:bCs/>
                <w:sz w:val="24"/>
              </w:rPr>
            </w:pPr>
            <w:r>
              <w:rPr>
                <w:rFonts w:ascii="Times New Roman" w:hAnsi="Times New Roman"/>
                <w:sz w:val="24"/>
              </w:rPr>
              <w:t>0640</w:t>
            </w:r>
          </w:p>
        </w:tc>
        <w:tc>
          <w:tcPr>
            <w:tcW w:w="7436" w:type="dxa"/>
          </w:tcPr>
          <w:p w:rsidR="00E026FB" w:rsidRPr="00661595" w:rsidRDefault="00E026FB" w:rsidP="009B4B8B">
            <w:pPr>
              <w:suppressAutoHyphens/>
              <w:spacing w:before="0" w:after="0"/>
              <w:jc w:val="left"/>
              <w:rPr>
                <w:rFonts w:ascii="Times New Roman" w:hAnsi="Times New Roman"/>
                <w:b/>
                <w:sz w:val="24"/>
                <w:u w:val="single"/>
              </w:rPr>
            </w:pPr>
            <w:r>
              <w:rPr>
                <w:rFonts w:ascii="Times New Roman" w:hAnsi="Times New Roman"/>
                <w:b/>
                <w:sz w:val="24"/>
                <w:u w:val="single"/>
              </w:rPr>
              <w:t>METODO DELLA VALUTAZIONE INTERNA</w:t>
            </w:r>
          </w:p>
          <w:p w:rsidR="00E026FB" w:rsidRPr="00661595" w:rsidRDefault="00E026FB" w:rsidP="009B4B8B">
            <w:pPr>
              <w:suppressAutoHyphens/>
              <w:spacing w:before="0" w:after="0"/>
              <w:jc w:val="left"/>
              <w:rPr>
                <w:rFonts w:ascii="Times New Roman" w:hAnsi="Times New Roman"/>
                <w:sz w:val="24"/>
              </w:rPr>
            </w:pPr>
          </w:p>
          <w:p w:rsidR="00E026FB" w:rsidRPr="00661595" w:rsidRDefault="008F2C6B" w:rsidP="009B4B8B">
            <w:pPr>
              <w:suppressAutoHyphens/>
              <w:spacing w:before="0" w:after="0"/>
              <w:rPr>
                <w:rFonts w:ascii="Times New Roman" w:hAnsi="Times New Roman"/>
                <w:sz w:val="24"/>
              </w:rPr>
            </w:pPr>
            <w:r>
              <w:rPr>
                <w:rFonts w:ascii="Times New Roman" w:hAnsi="Times New Roman"/>
                <w:sz w:val="24"/>
              </w:rPr>
              <w:t>Articolo 254, paragrafo 5, del CRR riguardante l</w:t>
            </w:r>
            <w:r w:rsidR="000878EC">
              <w:rPr>
                <w:rFonts w:ascii="Times New Roman" w:hAnsi="Times New Roman"/>
                <w:sz w:val="24"/>
              </w:rPr>
              <w:t>'</w:t>
            </w:r>
            <w:r>
              <w:rPr>
                <w:rFonts w:ascii="Times New Roman" w:hAnsi="Times New Roman"/>
                <w:sz w:val="24"/>
              </w:rPr>
              <w:t>applicazione del metodo della valutazione interna (IAA) per le posizioni in programmi ABCP.</w:t>
            </w:r>
          </w:p>
          <w:p w:rsidR="00E026FB" w:rsidRPr="00661595" w:rsidRDefault="00E026FB" w:rsidP="009B4B8B">
            <w:pPr>
              <w:suppressAutoHyphens/>
              <w:spacing w:before="0" w:after="0"/>
              <w:jc w:val="left"/>
              <w:rPr>
                <w:rFonts w:ascii="Times New Roman" w:hAnsi="Times New Roman"/>
                <w:sz w:val="24"/>
              </w:rPr>
            </w:pPr>
          </w:p>
        </w:tc>
      </w:tr>
      <w:tr w:rsidR="00E026FB" w:rsidRPr="00661595" w:rsidTr="00E10B85">
        <w:tc>
          <w:tcPr>
            <w:tcW w:w="1568" w:type="dxa"/>
          </w:tcPr>
          <w:p w:rsidR="00E026FB" w:rsidRPr="00661595" w:rsidDel="002122FF" w:rsidRDefault="00E026FB" w:rsidP="009B4B8B">
            <w:pPr>
              <w:suppressAutoHyphens/>
              <w:autoSpaceDE w:val="0"/>
              <w:autoSpaceDN w:val="0"/>
              <w:adjustRightInd w:val="0"/>
              <w:spacing w:before="0" w:after="0"/>
              <w:rPr>
                <w:rFonts w:ascii="Times New Roman" w:hAnsi="Times New Roman"/>
                <w:sz w:val="24"/>
              </w:rPr>
            </w:pPr>
            <w:r>
              <w:rPr>
                <w:rFonts w:ascii="Times New Roman" w:hAnsi="Times New Roman"/>
                <w:sz w:val="24"/>
              </w:rPr>
              <w:t>0650-0690</w:t>
            </w:r>
          </w:p>
        </w:tc>
        <w:tc>
          <w:tcPr>
            <w:tcW w:w="7436" w:type="dxa"/>
          </w:tcPr>
          <w:p w:rsidR="00E026FB" w:rsidRPr="00661595" w:rsidRDefault="00E026FB" w:rsidP="009B4B8B">
            <w:pPr>
              <w:suppressAutoHyphens/>
              <w:spacing w:before="0" w:after="0"/>
              <w:jc w:val="left"/>
              <w:rPr>
                <w:rFonts w:ascii="Times New Roman" w:hAnsi="Times New Roman"/>
                <w:b/>
                <w:sz w:val="24"/>
                <w:u w:val="single"/>
              </w:rPr>
            </w:pPr>
            <w:r>
              <w:rPr>
                <w:rFonts w:ascii="Times New Roman" w:hAnsi="Times New Roman"/>
                <w:b/>
                <w:sz w:val="24"/>
                <w:u w:val="single"/>
              </w:rPr>
              <w:t>RIPARTIZIONE PER FASCIA DI RW</w:t>
            </w:r>
          </w:p>
          <w:p w:rsidR="00E026FB" w:rsidRPr="00661595" w:rsidRDefault="00E026FB" w:rsidP="009B4B8B">
            <w:pPr>
              <w:suppressAutoHyphens/>
              <w:spacing w:before="0" w:after="0"/>
              <w:jc w:val="left"/>
              <w:rPr>
                <w:rFonts w:ascii="Times New Roman" w:hAnsi="Times New Roman"/>
                <w:sz w:val="24"/>
              </w:rPr>
            </w:pPr>
          </w:p>
          <w:p w:rsidR="00E026FB" w:rsidRPr="00661595" w:rsidRDefault="00E026FB" w:rsidP="009B4B8B">
            <w:pPr>
              <w:suppressAutoHyphens/>
              <w:spacing w:before="0" w:after="0"/>
              <w:jc w:val="left"/>
              <w:rPr>
                <w:rFonts w:ascii="Times New Roman" w:hAnsi="Times New Roman"/>
                <w:sz w:val="24"/>
              </w:rPr>
            </w:pPr>
            <w:r>
              <w:rPr>
                <w:rFonts w:ascii="Times New Roman" w:hAnsi="Times New Roman"/>
                <w:sz w:val="24"/>
              </w:rPr>
              <w:t>Esposizioni cui è applicato il metodo della valutazione interna ripartite per fasce di ponderazione del rischio</w:t>
            </w:r>
          </w:p>
          <w:p w:rsidR="00E026FB" w:rsidRPr="00661595" w:rsidRDefault="00E026FB" w:rsidP="009B4B8B">
            <w:pPr>
              <w:suppressAutoHyphens/>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9B4B8B">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0700</w:t>
            </w:r>
          </w:p>
        </w:tc>
        <w:tc>
          <w:tcPr>
            <w:tcW w:w="7436" w:type="dxa"/>
          </w:tcPr>
          <w:p w:rsidR="00E026FB" w:rsidRPr="00661595" w:rsidRDefault="00E026FB" w:rsidP="009B4B8B">
            <w:pPr>
              <w:suppressAutoHyphens/>
              <w:spacing w:before="0" w:after="0"/>
              <w:jc w:val="left"/>
              <w:rPr>
                <w:rFonts w:ascii="Times New Roman" w:hAnsi="Times New Roman"/>
                <w:b/>
                <w:sz w:val="24"/>
                <w:u w:val="single"/>
              </w:rPr>
            </w:pPr>
            <w:r>
              <w:rPr>
                <w:rFonts w:ascii="Times New Roman" w:hAnsi="Times New Roman"/>
                <w:b/>
                <w:sz w:val="24"/>
                <w:u w:val="single"/>
              </w:rPr>
              <w:t>ALTRO (RW = 1 250 %)</w:t>
            </w:r>
          </w:p>
          <w:p w:rsidR="00E026FB" w:rsidRPr="00661595" w:rsidRDefault="00E026FB" w:rsidP="009B4B8B">
            <w:pPr>
              <w:suppressAutoHyphens/>
              <w:spacing w:before="0" w:after="0"/>
              <w:jc w:val="left"/>
              <w:rPr>
                <w:rFonts w:ascii="Times New Roman" w:hAnsi="Times New Roman"/>
                <w:b/>
                <w:sz w:val="24"/>
                <w:u w:val="single"/>
              </w:rPr>
            </w:pPr>
          </w:p>
          <w:p w:rsidR="00E026FB" w:rsidRPr="00661595" w:rsidRDefault="00D021AF" w:rsidP="009B4B8B">
            <w:pPr>
              <w:suppressAutoHyphens/>
              <w:spacing w:before="0" w:after="0"/>
              <w:jc w:val="left"/>
              <w:rPr>
                <w:rFonts w:ascii="Times New Roman" w:hAnsi="Times New Roman"/>
                <w:sz w:val="24"/>
              </w:rPr>
            </w:pPr>
            <w:r>
              <w:rPr>
                <w:rFonts w:ascii="Times New Roman" w:hAnsi="Times New Roman"/>
                <w:sz w:val="24"/>
              </w:rPr>
              <w:t>Se non viene applicato nessuno dei metodi precedenti, alle posizioni verso la cartolarizzazione è attribuito un fattore di ponderazione del rischio del 1 250 % conformemente all</w:t>
            </w:r>
            <w:r w:rsidR="000878EC">
              <w:rPr>
                <w:rFonts w:ascii="Times New Roman" w:hAnsi="Times New Roman"/>
                <w:sz w:val="24"/>
              </w:rPr>
              <w:t>'</w:t>
            </w:r>
            <w:r>
              <w:rPr>
                <w:rFonts w:ascii="Times New Roman" w:hAnsi="Times New Roman"/>
                <w:sz w:val="24"/>
              </w:rPr>
              <w:t>articolo 254, paragrafo 7, del CRR.</w:t>
            </w:r>
          </w:p>
          <w:p w:rsidR="00E026FB" w:rsidRPr="00661595" w:rsidRDefault="00E026FB" w:rsidP="009B4B8B">
            <w:pPr>
              <w:suppressAutoHyphens/>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9B4B8B">
            <w:pPr>
              <w:suppressAutoHyphens/>
              <w:autoSpaceDE w:val="0"/>
              <w:autoSpaceDN w:val="0"/>
              <w:adjustRightInd w:val="0"/>
              <w:spacing w:before="0" w:after="0"/>
              <w:rPr>
                <w:rFonts w:ascii="Times New Roman" w:hAnsi="Times New Roman"/>
                <w:bCs/>
                <w:sz w:val="24"/>
              </w:rPr>
            </w:pPr>
            <w:r>
              <w:rPr>
                <w:rFonts w:ascii="Times New Roman" w:hAnsi="Times New Roman"/>
                <w:sz w:val="24"/>
              </w:rPr>
              <w:t>0710-0860</w:t>
            </w:r>
          </w:p>
        </w:tc>
        <w:tc>
          <w:tcPr>
            <w:tcW w:w="7436" w:type="dxa"/>
          </w:tcPr>
          <w:p w:rsidR="00E026FB" w:rsidRPr="00661595" w:rsidRDefault="00E026FB" w:rsidP="009B4B8B">
            <w:pPr>
              <w:suppressAutoHyphens/>
              <w:spacing w:before="0" w:after="0"/>
              <w:jc w:val="left"/>
              <w:rPr>
                <w:rFonts w:ascii="Times New Roman" w:hAnsi="Times New Roman"/>
                <w:b/>
                <w:sz w:val="24"/>
                <w:u w:val="single"/>
              </w:rPr>
            </w:pPr>
            <w:r>
              <w:rPr>
                <w:rFonts w:ascii="Times New Roman" w:hAnsi="Times New Roman"/>
                <w:b/>
                <w:sz w:val="24"/>
                <w:u w:val="single"/>
              </w:rPr>
              <w:t>IMPORTO DELL</w:t>
            </w:r>
            <w:r w:rsidR="000878EC">
              <w:rPr>
                <w:rFonts w:ascii="Times New Roman" w:hAnsi="Times New Roman"/>
                <w:b/>
                <w:sz w:val="24"/>
                <w:u w:val="single"/>
              </w:rPr>
              <w:t>'</w:t>
            </w:r>
            <w:r>
              <w:rPr>
                <w:rFonts w:ascii="Times New Roman" w:hAnsi="Times New Roman"/>
                <w:b/>
                <w:sz w:val="24"/>
                <w:u w:val="single"/>
              </w:rPr>
              <w:t>ESPOSIZIONE PONDERATO PER IL RISCHIO</w:t>
            </w:r>
          </w:p>
          <w:p w:rsidR="00E026FB" w:rsidRPr="00661595" w:rsidRDefault="00E026FB" w:rsidP="009B4B8B">
            <w:pPr>
              <w:suppressAutoHyphens/>
              <w:spacing w:before="0" w:after="0"/>
              <w:jc w:val="left"/>
              <w:rPr>
                <w:rFonts w:ascii="Times New Roman" w:hAnsi="Times New Roman"/>
                <w:sz w:val="24"/>
              </w:rPr>
            </w:pPr>
          </w:p>
          <w:p w:rsidR="00E026FB" w:rsidRPr="00661595" w:rsidRDefault="00E026FB" w:rsidP="009B4B8B">
            <w:pPr>
              <w:suppressAutoHyphens/>
              <w:spacing w:before="0" w:after="0"/>
              <w:rPr>
                <w:rFonts w:ascii="Times New Roman" w:hAnsi="Times New Roman"/>
                <w:sz w:val="24"/>
              </w:rPr>
            </w:pPr>
            <w:r>
              <w:rPr>
                <w:rFonts w:ascii="Times New Roman" w:hAnsi="Times New Roman"/>
                <w:sz w:val="24"/>
              </w:rPr>
              <w:t>Importo totale dell</w:t>
            </w:r>
            <w:r w:rsidR="000878EC">
              <w:rPr>
                <w:rFonts w:ascii="Times New Roman" w:hAnsi="Times New Roman"/>
                <w:sz w:val="24"/>
              </w:rPr>
              <w:t>'</w:t>
            </w:r>
            <w:r>
              <w:rPr>
                <w:rFonts w:ascii="Times New Roman" w:hAnsi="Times New Roman"/>
                <w:sz w:val="24"/>
              </w:rPr>
              <w:t>esposizione ponderato per il rischio calcolato conformemente alla parte tre, titolo II, capo 5, sezione 3, del CRR, prima delle rettifiche dovute a disallineamenti di durata o violazioni delle disposizioni in materia di due diligence, escluso qualsiasi importo dell</w:t>
            </w:r>
            <w:r w:rsidR="000878EC">
              <w:rPr>
                <w:rFonts w:ascii="Times New Roman" w:hAnsi="Times New Roman"/>
                <w:sz w:val="24"/>
              </w:rPr>
              <w:t>'</w:t>
            </w:r>
            <w:r>
              <w:rPr>
                <w:rFonts w:ascii="Times New Roman" w:hAnsi="Times New Roman"/>
                <w:sz w:val="24"/>
              </w:rPr>
              <w:t xml:space="preserve">esposizione ponderato per il rischio riguardante esposizioni riassegnate a un altro modello mediante deflussi. </w:t>
            </w:r>
          </w:p>
          <w:p w:rsidR="00E026FB" w:rsidRPr="00661595" w:rsidRDefault="00E026FB" w:rsidP="009B4B8B">
            <w:pPr>
              <w:suppressAutoHyphens/>
              <w:spacing w:before="0" w:after="0"/>
              <w:rPr>
                <w:rFonts w:ascii="Times New Roman" w:hAnsi="Times New Roman"/>
                <w:sz w:val="24"/>
              </w:rPr>
            </w:pPr>
          </w:p>
        </w:tc>
      </w:tr>
      <w:tr w:rsidR="00E026FB" w:rsidRPr="00661595" w:rsidTr="00E10B85">
        <w:tc>
          <w:tcPr>
            <w:tcW w:w="1568" w:type="dxa"/>
          </w:tcPr>
          <w:p w:rsidR="00E026FB" w:rsidRPr="00661595" w:rsidRDefault="00E026FB" w:rsidP="009B4B8B">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0840</w:t>
            </w:r>
          </w:p>
        </w:tc>
        <w:tc>
          <w:tcPr>
            <w:tcW w:w="7436" w:type="dxa"/>
          </w:tcPr>
          <w:p w:rsidR="00E026FB" w:rsidRPr="00661595" w:rsidRDefault="00E026FB" w:rsidP="009B4B8B">
            <w:pPr>
              <w:suppressAutoHyphens/>
              <w:spacing w:before="0" w:after="0"/>
              <w:jc w:val="left"/>
              <w:rPr>
                <w:rFonts w:ascii="Times New Roman" w:hAnsi="Times New Roman"/>
                <w:b/>
                <w:sz w:val="24"/>
                <w:u w:val="single"/>
              </w:rPr>
            </w:pPr>
            <w:r>
              <w:rPr>
                <w:rFonts w:ascii="Times New Roman" w:hAnsi="Times New Roman"/>
                <w:b/>
                <w:sz w:val="24"/>
                <w:u w:val="single"/>
              </w:rPr>
              <w:t>IAA: FATTORE DI PONDERAZIONE DEL RISCHIO MEDIO (%)</w:t>
            </w:r>
          </w:p>
          <w:p w:rsidR="00E026FB" w:rsidRPr="00661595" w:rsidRDefault="00E026FB" w:rsidP="009B4B8B">
            <w:pPr>
              <w:suppressAutoHyphens/>
              <w:spacing w:before="0" w:after="0"/>
              <w:rPr>
                <w:rFonts w:ascii="Times New Roman" w:hAnsi="Times New Roman"/>
                <w:sz w:val="24"/>
              </w:rPr>
            </w:pPr>
          </w:p>
          <w:p w:rsidR="00E026FB" w:rsidRPr="00661595" w:rsidRDefault="00E026FB" w:rsidP="009B4B8B">
            <w:pPr>
              <w:suppressAutoHyphens/>
              <w:spacing w:before="0" w:after="0"/>
              <w:jc w:val="left"/>
              <w:rPr>
                <w:rFonts w:ascii="Times New Roman" w:hAnsi="Times New Roman"/>
                <w:sz w:val="24"/>
              </w:rPr>
            </w:pPr>
            <w:r>
              <w:rPr>
                <w:rFonts w:ascii="Times New Roman" w:hAnsi="Times New Roman"/>
                <w:sz w:val="24"/>
              </w:rPr>
              <w:t>In questa colonna deve essere indicata la media ponderata per l</w:t>
            </w:r>
            <w:r w:rsidR="000878EC">
              <w:rPr>
                <w:rFonts w:ascii="Times New Roman" w:hAnsi="Times New Roman"/>
                <w:sz w:val="24"/>
              </w:rPr>
              <w:t>'</w:t>
            </w:r>
            <w:r>
              <w:rPr>
                <w:rFonts w:ascii="Times New Roman" w:hAnsi="Times New Roman"/>
                <w:sz w:val="24"/>
              </w:rPr>
              <w:t>esposizione dei fattori di ponderazione del rischio delle posizioni verso la cartolarizzazione.</w:t>
            </w:r>
          </w:p>
          <w:p w:rsidR="00E026FB" w:rsidRPr="00661595" w:rsidRDefault="00E026FB" w:rsidP="009B4B8B">
            <w:pPr>
              <w:suppressAutoHyphens/>
              <w:spacing w:before="0" w:after="0"/>
              <w:jc w:val="left"/>
              <w:rPr>
                <w:rFonts w:ascii="Times New Roman" w:hAnsi="Times New Roman"/>
                <w:sz w:val="24"/>
              </w:rPr>
            </w:pPr>
          </w:p>
        </w:tc>
      </w:tr>
      <w:tr w:rsidR="00E026FB" w:rsidRPr="00661595" w:rsidTr="00E10B85">
        <w:tc>
          <w:tcPr>
            <w:tcW w:w="1568" w:type="dxa"/>
          </w:tcPr>
          <w:p w:rsidR="00E026FB" w:rsidRPr="00661595" w:rsidRDefault="00E026FB" w:rsidP="009B4B8B">
            <w:pPr>
              <w:suppressAutoHyphens/>
              <w:autoSpaceDE w:val="0"/>
              <w:autoSpaceDN w:val="0"/>
              <w:adjustRightInd w:val="0"/>
              <w:spacing w:before="0" w:after="0"/>
              <w:rPr>
                <w:rFonts w:ascii="Times New Roman" w:hAnsi="Times New Roman"/>
                <w:bCs/>
                <w:sz w:val="24"/>
              </w:rPr>
            </w:pPr>
            <w:r>
              <w:rPr>
                <w:rFonts w:ascii="Times New Roman" w:hAnsi="Times New Roman"/>
                <w:sz w:val="24"/>
              </w:rPr>
              <w:t>0860</w:t>
            </w:r>
          </w:p>
        </w:tc>
        <w:tc>
          <w:tcPr>
            <w:tcW w:w="7436" w:type="dxa"/>
          </w:tcPr>
          <w:p w:rsidR="00E026FB" w:rsidRPr="00661595" w:rsidRDefault="00E026FB" w:rsidP="009B4B8B">
            <w:pPr>
              <w:suppressAutoHyphens/>
              <w:spacing w:before="0" w:after="0"/>
              <w:rPr>
                <w:rFonts w:ascii="Times New Roman" w:hAnsi="Times New Roman"/>
                <w:b/>
                <w:sz w:val="24"/>
                <w:u w:val="single"/>
              </w:rPr>
            </w:pPr>
            <w:r>
              <w:rPr>
                <w:rFonts w:ascii="Times New Roman" w:hAnsi="Times New Roman"/>
                <w:b/>
                <w:sz w:val="24"/>
                <w:u w:val="single"/>
              </w:rPr>
              <w:t>IMPORTO DELL</w:t>
            </w:r>
            <w:r w:rsidR="000878EC">
              <w:rPr>
                <w:rFonts w:ascii="Times New Roman" w:hAnsi="Times New Roman"/>
                <w:b/>
                <w:sz w:val="24"/>
                <w:u w:val="single"/>
              </w:rPr>
              <w:t>'</w:t>
            </w:r>
            <w:r>
              <w:rPr>
                <w:rFonts w:ascii="Times New Roman" w:hAnsi="Times New Roman"/>
                <w:b/>
                <w:sz w:val="24"/>
                <w:u w:val="single"/>
              </w:rPr>
              <w:t>ESPOSIZIONE PONDERATO PER IL RISCHIO, DI CUI: CARTOLARIZZAZIONI SINTETICHE</w:t>
            </w:r>
          </w:p>
          <w:p w:rsidR="00E026FB" w:rsidRPr="00661595" w:rsidRDefault="00E026FB" w:rsidP="009B4B8B">
            <w:pPr>
              <w:suppressAutoHyphens/>
              <w:spacing w:before="0" w:after="0"/>
              <w:jc w:val="left"/>
              <w:rPr>
                <w:rFonts w:ascii="Times New Roman" w:hAnsi="Times New Roman"/>
                <w:sz w:val="24"/>
              </w:rPr>
            </w:pPr>
          </w:p>
          <w:p w:rsidR="00E026FB" w:rsidRPr="00661595" w:rsidRDefault="00E026FB" w:rsidP="009B4B8B">
            <w:pPr>
              <w:suppressAutoHyphens/>
              <w:spacing w:before="0" w:after="0"/>
              <w:rPr>
                <w:rFonts w:ascii="Times New Roman" w:hAnsi="Times New Roman"/>
                <w:sz w:val="24"/>
              </w:rPr>
            </w:pPr>
            <w:r>
              <w:rPr>
                <w:rFonts w:ascii="Times New Roman" w:hAnsi="Times New Roman"/>
                <w:sz w:val="24"/>
              </w:rPr>
              <w:t>Per le cartolarizzazioni sintetiche con disallineamenti di durata, l</w:t>
            </w:r>
            <w:r w:rsidR="000878EC">
              <w:rPr>
                <w:rFonts w:ascii="Times New Roman" w:hAnsi="Times New Roman"/>
                <w:sz w:val="24"/>
              </w:rPr>
              <w:t>'</w:t>
            </w:r>
            <w:r>
              <w:rPr>
                <w:rFonts w:ascii="Times New Roman" w:hAnsi="Times New Roman"/>
                <w:sz w:val="24"/>
              </w:rPr>
              <w:t>importo da segnalare in questa colonna non tiene conto dei disallineamenti di durata.</w:t>
            </w:r>
          </w:p>
          <w:p w:rsidR="00E026FB" w:rsidRPr="00661595" w:rsidRDefault="00E026FB" w:rsidP="009B4B8B">
            <w:pPr>
              <w:suppressAutoHyphens/>
              <w:spacing w:before="0" w:after="0"/>
              <w:jc w:val="left"/>
              <w:rPr>
                <w:rFonts w:ascii="Times New Roman" w:hAnsi="Times New Roman"/>
                <w:sz w:val="24"/>
              </w:rPr>
            </w:pPr>
          </w:p>
        </w:tc>
      </w:tr>
      <w:tr w:rsidR="00E026FB" w:rsidRPr="00661595" w:rsidTr="00E10B85">
        <w:tc>
          <w:tcPr>
            <w:tcW w:w="1568" w:type="dxa"/>
          </w:tcPr>
          <w:p w:rsidR="00E026FB" w:rsidRPr="00661595" w:rsidRDefault="00E026FB" w:rsidP="009B4B8B">
            <w:pPr>
              <w:suppressAutoHyphens/>
              <w:autoSpaceDE w:val="0"/>
              <w:autoSpaceDN w:val="0"/>
              <w:adjustRightInd w:val="0"/>
              <w:spacing w:before="0" w:after="0"/>
              <w:rPr>
                <w:rFonts w:ascii="Times New Roman" w:hAnsi="Times New Roman"/>
                <w:sz w:val="24"/>
              </w:rPr>
            </w:pPr>
            <w:r>
              <w:rPr>
                <w:rFonts w:ascii="Times New Roman" w:hAnsi="Times New Roman"/>
                <w:sz w:val="24"/>
              </w:rPr>
              <w:t>0870</w:t>
            </w:r>
          </w:p>
        </w:tc>
        <w:tc>
          <w:tcPr>
            <w:tcW w:w="7436" w:type="dxa"/>
          </w:tcPr>
          <w:p w:rsidR="00E026FB" w:rsidRPr="00661595" w:rsidRDefault="00E026FB" w:rsidP="009B4B8B">
            <w:pPr>
              <w:suppressAutoHyphens/>
              <w:spacing w:before="0" w:after="0"/>
              <w:jc w:val="left"/>
              <w:rPr>
                <w:rFonts w:ascii="Times New Roman" w:hAnsi="Times New Roman"/>
                <w:b/>
                <w:sz w:val="24"/>
                <w:u w:val="single"/>
              </w:rPr>
            </w:pPr>
            <w:r>
              <w:rPr>
                <w:rFonts w:ascii="Times New Roman" w:hAnsi="Times New Roman"/>
                <w:b/>
                <w:sz w:val="24"/>
                <w:u w:val="single"/>
              </w:rPr>
              <w:t>RETTIFICA DELL</w:t>
            </w:r>
            <w:r w:rsidR="000878EC">
              <w:rPr>
                <w:rFonts w:ascii="Times New Roman" w:hAnsi="Times New Roman"/>
                <w:b/>
                <w:sz w:val="24"/>
                <w:u w:val="single"/>
              </w:rPr>
              <w:t>'</w:t>
            </w:r>
            <w:r>
              <w:rPr>
                <w:rFonts w:ascii="Times New Roman" w:hAnsi="Times New Roman"/>
                <w:b/>
                <w:sz w:val="24"/>
                <w:u w:val="single"/>
              </w:rPr>
              <w:t>IMPORTO DELLE ESPOSIZIONI PONDERATO PER IL RISCHIO DOVUTA A DISALLINEAMENTI DI DURATA</w:t>
            </w:r>
          </w:p>
          <w:p w:rsidR="00E026FB" w:rsidRPr="00661595" w:rsidRDefault="00E026FB" w:rsidP="009B4B8B">
            <w:pPr>
              <w:suppressAutoHyphens/>
              <w:spacing w:before="0" w:after="0"/>
              <w:jc w:val="left"/>
              <w:rPr>
                <w:rFonts w:ascii="Times New Roman" w:hAnsi="Times New Roman"/>
                <w:b/>
                <w:sz w:val="24"/>
                <w:u w:val="single"/>
                <w:lang w:eastAsia="es-ES_tradnl"/>
              </w:rPr>
            </w:pPr>
          </w:p>
          <w:p w:rsidR="00E026FB" w:rsidRPr="00661595" w:rsidRDefault="008F2C6B" w:rsidP="009B4B8B">
            <w:pPr>
              <w:suppressAutoHyphens/>
              <w:spacing w:before="0" w:after="0"/>
              <w:rPr>
                <w:rFonts w:ascii="Times New Roman" w:hAnsi="Times New Roman"/>
                <w:sz w:val="24"/>
              </w:rPr>
            </w:pPr>
            <w:r>
              <w:rPr>
                <w:rFonts w:ascii="Times New Roman" w:hAnsi="Times New Roman"/>
                <w:sz w:val="24"/>
              </w:rPr>
              <w:t>Per i disallineamenti di durata nelle cartolarizzazioni sintetiche è incluso RW*-RW(SP), calcolato a norma dell</w:t>
            </w:r>
            <w:r w:rsidR="000878EC">
              <w:rPr>
                <w:rFonts w:ascii="Times New Roman" w:hAnsi="Times New Roman"/>
                <w:sz w:val="24"/>
              </w:rPr>
              <w:t>'</w:t>
            </w:r>
            <w:r>
              <w:rPr>
                <w:rFonts w:ascii="Times New Roman" w:hAnsi="Times New Roman"/>
                <w:sz w:val="24"/>
              </w:rPr>
              <w:t>articolo 252 del CRR, tranne per i segmenti con una ponderazione del rischio del 1 250 %, dove l</w:t>
            </w:r>
            <w:r w:rsidR="000878EC">
              <w:rPr>
                <w:rFonts w:ascii="Times New Roman" w:hAnsi="Times New Roman"/>
                <w:sz w:val="24"/>
              </w:rPr>
              <w:t>'</w:t>
            </w:r>
            <w:r>
              <w:rPr>
                <w:rFonts w:ascii="Times New Roman" w:hAnsi="Times New Roman"/>
                <w:sz w:val="24"/>
              </w:rPr>
              <w:t>importo da segnalare è zero. L</w:t>
            </w:r>
            <w:r w:rsidR="000878EC">
              <w:rPr>
                <w:rFonts w:ascii="Times New Roman" w:hAnsi="Times New Roman"/>
                <w:sz w:val="24"/>
              </w:rPr>
              <w:t>'</w:t>
            </w:r>
            <w:r>
              <w:rPr>
                <w:rFonts w:ascii="Times New Roman" w:hAnsi="Times New Roman"/>
                <w:sz w:val="24"/>
              </w:rPr>
              <w:t>importo RW(SP) comprende non solo gli importi delle esposizioni ponderati per il rischio indicati nella colonna 0650 ma anche gli importi ponderati per il rischio delle esposizioni riassegnate a altri modelli mediante deflussi.</w:t>
            </w:r>
          </w:p>
          <w:p w:rsidR="00E026FB" w:rsidRPr="00661595" w:rsidRDefault="00E026FB" w:rsidP="009B4B8B">
            <w:pPr>
              <w:suppressAutoHyphens/>
              <w:spacing w:before="0" w:after="0"/>
              <w:rPr>
                <w:rFonts w:ascii="Times New Roman" w:hAnsi="Times New Roman"/>
                <w:sz w:val="24"/>
                <w:lang w:eastAsia="es-ES_tradnl"/>
              </w:rPr>
            </w:pPr>
          </w:p>
        </w:tc>
      </w:tr>
      <w:tr w:rsidR="00E026FB" w:rsidRPr="00661595" w:rsidTr="00E10B85">
        <w:tc>
          <w:tcPr>
            <w:tcW w:w="1568" w:type="dxa"/>
          </w:tcPr>
          <w:p w:rsidR="00E026FB" w:rsidRPr="00661595" w:rsidDel="002122FF" w:rsidRDefault="00E026FB" w:rsidP="009B4B8B">
            <w:pPr>
              <w:suppressAutoHyphens/>
              <w:autoSpaceDE w:val="0"/>
              <w:autoSpaceDN w:val="0"/>
              <w:adjustRightInd w:val="0"/>
              <w:spacing w:before="0" w:after="0"/>
              <w:rPr>
                <w:rFonts w:ascii="Times New Roman" w:hAnsi="Times New Roman"/>
                <w:sz w:val="24"/>
              </w:rPr>
            </w:pPr>
            <w:r>
              <w:rPr>
                <w:rFonts w:ascii="Times New Roman" w:hAnsi="Times New Roman"/>
                <w:sz w:val="24"/>
              </w:rPr>
              <w:t>0880</w:t>
            </w:r>
          </w:p>
        </w:tc>
        <w:tc>
          <w:tcPr>
            <w:tcW w:w="7436" w:type="dxa"/>
          </w:tcPr>
          <w:p w:rsidR="00E026FB" w:rsidRPr="00661595" w:rsidRDefault="00E026FB" w:rsidP="009B4B8B">
            <w:pPr>
              <w:suppressAutoHyphens/>
              <w:spacing w:before="0" w:after="0"/>
              <w:jc w:val="left"/>
              <w:rPr>
                <w:rFonts w:ascii="Times New Roman" w:hAnsi="Times New Roman"/>
                <w:b/>
                <w:sz w:val="24"/>
                <w:u w:val="single"/>
              </w:rPr>
            </w:pPr>
            <w:r>
              <w:rPr>
                <w:rFonts w:ascii="Times New Roman" w:hAnsi="Times New Roman"/>
                <w:b/>
                <w:sz w:val="24"/>
                <w:u w:val="single"/>
              </w:rPr>
              <w:t>EFFETTO GENERALE (RETTIFICA) DOVUTO ALLA VIOLAZIONE DEL CAPO 2 DEL REGOLAMENTO (UE) 2017/2402</w:t>
            </w:r>
            <w:r>
              <w:rPr>
                <w:rStyle w:val="FootnoteReference"/>
                <w:rFonts w:ascii="Times New Roman" w:hAnsi="Times New Roman"/>
                <w:sz w:val="24"/>
                <w:szCs w:val="24"/>
                <w:vertAlign w:val="superscript"/>
                <w:lang w:eastAsia="es-ES_tradnl"/>
              </w:rPr>
              <w:footnoteReference w:id="11"/>
            </w:r>
          </w:p>
          <w:p w:rsidR="00E026FB" w:rsidRPr="00661595" w:rsidRDefault="00E026FB" w:rsidP="009B4B8B">
            <w:pPr>
              <w:suppressAutoHyphens/>
              <w:spacing w:before="0" w:after="0"/>
              <w:jc w:val="left"/>
              <w:rPr>
                <w:rFonts w:ascii="Times New Roman" w:hAnsi="Times New Roman"/>
                <w:sz w:val="24"/>
                <w:lang w:eastAsia="es-ES_tradnl"/>
              </w:rPr>
            </w:pPr>
          </w:p>
          <w:p w:rsidR="00E026FB" w:rsidRPr="00661595" w:rsidRDefault="00BB22D4" w:rsidP="009B4B8B">
            <w:pPr>
              <w:suppressAutoHyphens/>
              <w:spacing w:before="0" w:after="0"/>
              <w:jc w:val="left"/>
              <w:rPr>
                <w:rFonts w:ascii="Times New Roman" w:eastAsia="Arial" w:hAnsi="Times New Roman"/>
                <w:sz w:val="24"/>
              </w:rPr>
            </w:pPr>
            <w:r>
              <w:rPr>
                <w:rFonts w:ascii="Times New Roman" w:hAnsi="Times New Roman"/>
                <w:sz w:val="24"/>
              </w:rPr>
              <w:t>Conformemente all</w:t>
            </w:r>
            <w:r w:rsidR="000878EC">
              <w:rPr>
                <w:rFonts w:ascii="Times New Roman" w:hAnsi="Times New Roman"/>
                <w:sz w:val="24"/>
              </w:rPr>
              <w:t>'</w:t>
            </w:r>
            <w:r>
              <w:rPr>
                <w:rFonts w:ascii="Times New Roman" w:hAnsi="Times New Roman"/>
                <w:sz w:val="24"/>
              </w:rPr>
              <w:t>articolo 270 bis del CRR, se l</w:t>
            </w:r>
            <w:r w:rsidR="000878EC">
              <w:rPr>
                <w:rFonts w:ascii="Times New Roman" w:hAnsi="Times New Roman"/>
                <w:sz w:val="24"/>
              </w:rPr>
              <w:t>'</w:t>
            </w:r>
            <w:r>
              <w:rPr>
                <w:rFonts w:ascii="Times New Roman" w:hAnsi="Times New Roman"/>
                <w:sz w:val="24"/>
              </w:rPr>
              <w:t xml:space="preserve">ente non rispetta determinati requisiti, le autorità competenti impongono un fattore aggiuntivo di ponderazione del rischio proporzionato non inferiore al 250 % del fattore di ponderazione del rischio (limitato al 1 250 %) che si applicherebbe alle pertinenti posizioni verso la cartolarizzazione a norma della parte tre, titolo II, capo 5, sezione 3, del CRR. </w:t>
            </w:r>
          </w:p>
          <w:p w:rsidR="00E026FB" w:rsidRPr="00661595" w:rsidRDefault="00E026FB" w:rsidP="009B4B8B">
            <w:pPr>
              <w:suppressAutoHyphens/>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DE1A1A">
            <w:pPr>
              <w:keepNext/>
              <w:keepLines/>
              <w:suppressAutoHyphens/>
              <w:autoSpaceDE w:val="0"/>
              <w:autoSpaceDN w:val="0"/>
              <w:adjustRightInd w:val="0"/>
              <w:spacing w:before="0" w:after="0"/>
              <w:rPr>
                <w:rFonts w:ascii="Times New Roman" w:hAnsi="Times New Roman"/>
                <w:sz w:val="24"/>
              </w:rPr>
            </w:pPr>
            <w:r>
              <w:rPr>
                <w:rFonts w:ascii="Times New Roman" w:hAnsi="Times New Roman"/>
                <w:sz w:val="24"/>
              </w:rPr>
              <w:t>0890</w:t>
            </w:r>
          </w:p>
        </w:tc>
        <w:tc>
          <w:tcPr>
            <w:tcW w:w="7436" w:type="dxa"/>
          </w:tcPr>
          <w:p w:rsidR="00E026FB" w:rsidRPr="00661595" w:rsidRDefault="00E026FB" w:rsidP="00DE1A1A">
            <w:pPr>
              <w:keepNext/>
              <w:keepLines/>
              <w:suppressAutoHyphens/>
              <w:spacing w:before="0" w:after="0"/>
              <w:jc w:val="left"/>
              <w:rPr>
                <w:rFonts w:ascii="Times New Roman" w:hAnsi="Times New Roman"/>
                <w:b/>
                <w:sz w:val="24"/>
                <w:u w:val="single"/>
              </w:rPr>
            </w:pPr>
            <w:r>
              <w:rPr>
                <w:rFonts w:ascii="Times New Roman" w:hAnsi="Times New Roman"/>
                <w:b/>
                <w:sz w:val="24"/>
                <w:u w:val="single"/>
              </w:rPr>
              <w:t>PRIMA DELL</w:t>
            </w:r>
            <w:r w:rsidR="000878EC">
              <w:rPr>
                <w:rFonts w:ascii="Times New Roman" w:hAnsi="Times New Roman"/>
                <w:b/>
                <w:sz w:val="24"/>
                <w:u w:val="single"/>
              </w:rPr>
              <w:t>'</w:t>
            </w:r>
            <w:r>
              <w:rPr>
                <w:rFonts w:ascii="Times New Roman" w:hAnsi="Times New Roman"/>
                <w:b/>
                <w:sz w:val="24"/>
                <w:u w:val="single"/>
              </w:rPr>
              <w:t>APPLICAZIONE DEL MASSIMALE</w:t>
            </w:r>
          </w:p>
          <w:p w:rsidR="00E026FB" w:rsidRPr="00661595" w:rsidRDefault="00E026FB" w:rsidP="00DE1A1A">
            <w:pPr>
              <w:keepNext/>
              <w:keepLines/>
              <w:suppressAutoHyphens/>
              <w:spacing w:before="0" w:after="0"/>
              <w:jc w:val="left"/>
              <w:rPr>
                <w:rFonts w:ascii="Times New Roman" w:hAnsi="Times New Roman"/>
                <w:b/>
                <w:sz w:val="24"/>
                <w:u w:val="single"/>
                <w:lang w:eastAsia="es-ES_tradnl"/>
              </w:rPr>
            </w:pPr>
          </w:p>
          <w:p w:rsidR="00E026FB" w:rsidRPr="00661595" w:rsidRDefault="00E026FB" w:rsidP="00DE1A1A">
            <w:pPr>
              <w:keepNext/>
              <w:keepLines/>
              <w:suppressAutoHyphens/>
              <w:spacing w:before="0" w:after="0"/>
              <w:jc w:val="left"/>
              <w:rPr>
                <w:rFonts w:ascii="Times New Roman" w:eastAsia="Arial" w:hAnsi="Times New Roman"/>
                <w:sz w:val="24"/>
              </w:rPr>
            </w:pPr>
            <w:r>
              <w:rPr>
                <w:rFonts w:ascii="Times New Roman" w:hAnsi="Times New Roman"/>
                <w:sz w:val="24"/>
              </w:rPr>
              <w:t>Importo totale dell</w:t>
            </w:r>
            <w:r w:rsidR="000878EC">
              <w:rPr>
                <w:rFonts w:ascii="Times New Roman" w:hAnsi="Times New Roman"/>
                <w:sz w:val="24"/>
              </w:rPr>
              <w:t>'</w:t>
            </w:r>
            <w:r>
              <w:rPr>
                <w:rFonts w:ascii="Times New Roman" w:hAnsi="Times New Roman"/>
                <w:sz w:val="24"/>
              </w:rPr>
              <w:t>esposizione ponderato per il rischio calcolato conformemente alla parte tre, titolo II, capo 5, sezione 3, del CRR, prima dell</w:t>
            </w:r>
            <w:r w:rsidR="000878EC">
              <w:rPr>
                <w:rFonts w:ascii="Times New Roman" w:hAnsi="Times New Roman"/>
                <w:sz w:val="24"/>
              </w:rPr>
              <w:t>'</w:t>
            </w:r>
            <w:r>
              <w:rPr>
                <w:rFonts w:ascii="Times New Roman" w:hAnsi="Times New Roman"/>
                <w:sz w:val="24"/>
              </w:rPr>
              <w:t xml:space="preserve">applicazione dei limiti di cui agli articoli 267 e 268 del CRR. </w:t>
            </w:r>
          </w:p>
          <w:p w:rsidR="00E026FB" w:rsidRPr="00661595" w:rsidRDefault="00E026FB" w:rsidP="00DE1A1A">
            <w:pPr>
              <w:keepNext/>
              <w:keepLines/>
              <w:suppressAutoHyphens/>
              <w:spacing w:before="0" w:after="0"/>
              <w:jc w:val="left"/>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9B4B8B">
            <w:pPr>
              <w:suppressAutoHyphens/>
              <w:autoSpaceDE w:val="0"/>
              <w:autoSpaceDN w:val="0"/>
              <w:adjustRightInd w:val="0"/>
              <w:spacing w:before="0" w:after="0"/>
              <w:rPr>
                <w:rFonts w:ascii="Times New Roman" w:hAnsi="Times New Roman"/>
                <w:sz w:val="24"/>
              </w:rPr>
            </w:pPr>
            <w:r>
              <w:rPr>
                <w:rFonts w:ascii="Times New Roman" w:hAnsi="Times New Roman"/>
                <w:sz w:val="24"/>
              </w:rPr>
              <w:t>0900</w:t>
            </w:r>
          </w:p>
        </w:tc>
        <w:tc>
          <w:tcPr>
            <w:tcW w:w="7436" w:type="dxa"/>
          </w:tcPr>
          <w:p w:rsidR="00E026FB" w:rsidRPr="00661595" w:rsidRDefault="00E026FB" w:rsidP="009B4B8B">
            <w:pPr>
              <w:suppressAutoHyphens/>
              <w:spacing w:before="0" w:after="0"/>
              <w:jc w:val="left"/>
              <w:rPr>
                <w:rFonts w:ascii="Times New Roman" w:hAnsi="Times New Roman"/>
                <w:b/>
                <w:sz w:val="24"/>
                <w:u w:val="single"/>
              </w:rPr>
            </w:pPr>
            <w:r>
              <w:rPr>
                <w:rFonts w:ascii="Times New Roman" w:hAnsi="Times New Roman"/>
                <w:b/>
                <w:sz w:val="24"/>
                <w:u w:val="single"/>
              </w:rPr>
              <w:t>(−) RIDUZIONE DOVUTA AL MASSIMALE DI PONDERAZIONE DEL RISCHIO</w:t>
            </w:r>
          </w:p>
          <w:p w:rsidR="00E026FB" w:rsidRPr="00661595" w:rsidRDefault="00E026FB" w:rsidP="009B4B8B">
            <w:pPr>
              <w:suppressAutoHyphens/>
              <w:spacing w:before="0" w:after="0"/>
              <w:jc w:val="left"/>
              <w:rPr>
                <w:rFonts w:ascii="Times New Roman" w:hAnsi="Times New Roman"/>
                <w:b/>
                <w:sz w:val="24"/>
                <w:u w:val="single"/>
              </w:rPr>
            </w:pPr>
          </w:p>
          <w:p w:rsidR="00E026FB" w:rsidRPr="00661595" w:rsidRDefault="00BB22D4" w:rsidP="009B4B8B">
            <w:pPr>
              <w:suppressAutoHyphens/>
              <w:spacing w:before="0" w:after="0"/>
              <w:jc w:val="left"/>
              <w:rPr>
                <w:rFonts w:ascii="Times New Roman" w:hAnsi="Times New Roman"/>
                <w:sz w:val="24"/>
              </w:rPr>
            </w:pPr>
            <w:r>
              <w:rPr>
                <w:rFonts w:ascii="Times New Roman" w:hAnsi="Times New Roman"/>
                <w:sz w:val="24"/>
              </w:rPr>
              <w:t>Conformemente all</w:t>
            </w:r>
            <w:r w:rsidR="000878EC">
              <w:rPr>
                <w:rFonts w:ascii="Times New Roman" w:hAnsi="Times New Roman"/>
                <w:sz w:val="24"/>
              </w:rPr>
              <w:t>'</w:t>
            </w:r>
            <w:r>
              <w:rPr>
                <w:rFonts w:ascii="Times New Roman" w:hAnsi="Times New Roman"/>
                <w:sz w:val="24"/>
              </w:rPr>
              <w:t>articolo 267 del CRR l</w:t>
            </w:r>
            <w:r w:rsidR="000878EC">
              <w:rPr>
                <w:rFonts w:ascii="Times New Roman" w:hAnsi="Times New Roman"/>
                <w:sz w:val="24"/>
              </w:rPr>
              <w:t>'</w:t>
            </w:r>
            <w:r>
              <w:rPr>
                <w:rFonts w:ascii="Times New Roman" w:hAnsi="Times New Roman"/>
                <w:sz w:val="24"/>
              </w:rPr>
              <w:t>ente che conosce in ogni momento la composizione delle esposizioni sottostanti può assegnare alla posizione verso la cartolarizzazione senior un fattore massimo di ponderazione del rischio pari al fattore di ponderazione del rischio medio ponderato per l</w:t>
            </w:r>
            <w:r w:rsidR="000878EC">
              <w:rPr>
                <w:rFonts w:ascii="Times New Roman" w:hAnsi="Times New Roman"/>
                <w:sz w:val="24"/>
              </w:rPr>
              <w:t>'</w:t>
            </w:r>
            <w:r>
              <w:rPr>
                <w:rFonts w:ascii="Times New Roman" w:hAnsi="Times New Roman"/>
                <w:sz w:val="24"/>
              </w:rPr>
              <w:t>esposizione che si applicherebbe alle esposizioni sottostanti se queste ultime non fossero state cartolarizzate.</w:t>
            </w:r>
          </w:p>
          <w:p w:rsidR="00E026FB" w:rsidRPr="00661595" w:rsidRDefault="00E026FB" w:rsidP="009B4B8B">
            <w:pPr>
              <w:suppressAutoHyphens/>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9B4B8B">
            <w:pPr>
              <w:suppressAutoHyphens/>
              <w:autoSpaceDE w:val="0"/>
              <w:autoSpaceDN w:val="0"/>
              <w:adjustRightInd w:val="0"/>
              <w:spacing w:before="0" w:after="0"/>
              <w:rPr>
                <w:rFonts w:ascii="Times New Roman" w:hAnsi="Times New Roman"/>
                <w:sz w:val="24"/>
              </w:rPr>
            </w:pPr>
            <w:r>
              <w:rPr>
                <w:rFonts w:ascii="Times New Roman" w:hAnsi="Times New Roman"/>
                <w:sz w:val="24"/>
              </w:rPr>
              <w:t>0910</w:t>
            </w:r>
          </w:p>
        </w:tc>
        <w:tc>
          <w:tcPr>
            <w:tcW w:w="7436" w:type="dxa"/>
          </w:tcPr>
          <w:p w:rsidR="00E026FB" w:rsidRPr="00661595" w:rsidRDefault="00E026FB" w:rsidP="009B4B8B">
            <w:pPr>
              <w:suppressAutoHyphens/>
              <w:spacing w:before="0" w:after="0"/>
              <w:jc w:val="left"/>
              <w:rPr>
                <w:rFonts w:ascii="Times New Roman" w:hAnsi="Times New Roman"/>
                <w:b/>
                <w:sz w:val="24"/>
                <w:u w:val="single"/>
              </w:rPr>
            </w:pPr>
            <w:r>
              <w:rPr>
                <w:rFonts w:ascii="Times New Roman" w:hAnsi="Times New Roman"/>
                <w:b/>
                <w:sz w:val="24"/>
                <w:u w:val="single"/>
              </w:rPr>
              <w:t>(−) RIDUZIONE DOVUTA AL MASSIMALE GENERALE</w:t>
            </w:r>
          </w:p>
          <w:p w:rsidR="00E026FB" w:rsidRPr="00661595" w:rsidRDefault="00E026FB" w:rsidP="009B4B8B">
            <w:pPr>
              <w:suppressAutoHyphens/>
              <w:spacing w:before="0" w:after="0"/>
              <w:jc w:val="left"/>
              <w:rPr>
                <w:rFonts w:ascii="Times New Roman" w:hAnsi="Times New Roman"/>
                <w:b/>
                <w:sz w:val="24"/>
                <w:u w:val="single"/>
              </w:rPr>
            </w:pPr>
          </w:p>
          <w:p w:rsidR="00E026FB" w:rsidRPr="00661595" w:rsidRDefault="00BB22D4" w:rsidP="009B4B8B">
            <w:pPr>
              <w:suppressAutoHyphens/>
              <w:spacing w:before="0" w:after="0"/>
              <w:jc w:val="left"/>
              <w:rPr>
                <w:rFonts w:ascii="Times New Roman" w:hAnsi="Times New Roman"/>
                <w:sz w:val="24"/>
              </w:rPr>
            </w:pPr>
            <w:r>
              <w:rPr>
                <w:rFonts w:ascii="Times New Roman" w:hAnsi="Times New Roman"/>
                <w:sz w:val="24"/>
              </w:rPr>
              <w:t>Conformemente all</w:t>
            </w:r>
            <w:r w:rsidR="000878EC">
              <w:rPr>
                <w:rFonts w:ascii="Times New Roman" w:hAnsi="Times New Roman"/>
                <w:sz w:val="24"/>
              </w:rPr>
              <w:t>'</w:t>
            </w:r>
            <w:r>
              <w:rPr>
                <w:rFonts w:ascii="Times New Roman" w:hAnsi="Times New Roman"/>
                <w:sz w:val="24"/>
              </w:rPr>
              <w:t>articolo 268 del CRR gli enti cedenti, gli enti promotori o altri enti che usano il SEC-IRBA oppure gli enti cedenti o gli enti promotori che usano il SEC-SA o il SEC-ERBA possono applicare un requisito patrimoniale massimo per la posizione verso la cartolarizzazione che detengono pari ai requisiti patrimoniali che sarebbero calcolati conformemente alla parte tre, titolo II, capo 2 o 3, in relazione alle esposizioni sottostanti se queste ultime non fossero state cartolarizzate.</w:t>
            </w:r>
          </w:p>
          <w:p w:rsidR="00E026FB" w:rsidRPr="00661595" w:rsidRDefault="00E026FB" w:rsidP="009B4B8B">
            <w:pPr>
              <w:suppressAutoHyphens/>
              <w:spacing w:before="0" w:after="0"/>
              <w:jc w:val="left"/>
              <w:rPr>
                <w:rFonts w:ascii="Times New Roman" w:hAnsi="Times New Roman"/>
                <w:b/>
                <w:sz w:val="24"/>
                <w:u w:val="single"/>
              </w:rPr>
            </w:pPr>
          </w:p>
        </w:tc>
      </w:tr>
      <w:tr w:rsidR="00E026FB" w:rsidRPr="00661595" w:rsidTr="00E10B85">
        <w:tc>
          <w:tcPr>
            <w:tcW w:w="1568" w:type="dxa"/>
          </w:tcPr>
          <w:p w:rsidR="00E026FB" w:rsidRPr="00661595" w:rsidRDefault="00E026FB" w:rsidP="009B4B8B">
            <w:pPr>
              <w:suppressAutoHyphens/>
              <w:autoSpaceDE w:val="0"/>
              <w:autoSpaceDN w:val="0"/>
              <w:adjustRightInd w:val="0"/>
              <w:spacing w:before="0" w:after="0"/>
              <w:rPr>
                <w:rFonts w:ascii="Times New Roman" w:hAnsi="Times New Roman"/>
                <w:sz w:val="24"/>
              </w:rPr>
            </w:pPr>
            <w:r>
              <w:rPr>
                <w:rFonts w:ascii="Times New Roman" w:hAnsi="Times New Roman"/>
                <w:sz w:val="24"/>
              </w:rPr>
              <w:t>0920</w:t>
            </w:r>
          </w:p>
        </w:tc>
        <w:tc>
          <w:tcPr>
            <w:tcW w:w="7436" w:type="dxa"/>
          </w:tcPr>
          <w:p w:rsidR="00E026FB" w:rsidRPr="00661595" w:rsidRDefault="00E026FB" w:rsidP="009B4B8B">
            <w:pPr>
              <w:suppressAutoHyphens/>
              <w:spacing w:before="0" w:after="0"/>
              <w:jc w:val="left"/>
              <w:rPr>
                <w:rFonts w:ascii="Times New Roman" w:hAnsi="Times New Roman"/>
                <w:b/>
                <w:sz w:val="24"/>
                <w:u w:val="single"/>
              </w:rPr>
            </w:pPr>
            <w:r>
              <w:rPr>
                <w:rFonts w:ascii="Times New Roman" w:hAnsi="Times New Roman"/>
                <w:b/>
                <w:sz w:val="24"/>
                <w:u w:val="single"/>
              </w:rPr>
              <w:t>IMPORTO COMPLESSIVO DELL</w:t>
            </w:r>
            <w:r w:rsidR="000878EC">
              <w:rPr>
                <w:rFonts w:ascii="Times New Roman" w:hAnsi="Times New Roman"/>
                <w:b/>
                <w:sz w:val="24"/>
                <w:u w:val="single"/>
              </w:rPr>
              <w:t>'</w:t>
            </w:r>
            <w:r>
              <w:rPr>
                <w:rFonts w:ascii="Times New Roman" w:hAnsi="Times New Roman"/>
                <w:b/>
                <w:sz w:val="24"/>
                <w:u w:val="single"/>
              </w:rPr>
              <w:t>ESPOSIZIONE PONDERATO PER IL RISCHIO</w:t>
            </w:r>
          </w:p>
          <w:p w:rsidR="00E026FB" w:rsidRPr="00661595" w:rsidRDefault="00E026FB" w:rsidP="009B4B8B">
            <w:pPr>
              <w:suppressAutoHyphens/>
              <w:spacing w:before="0" w:after="0"/>
              <w:jc w:val="left"/>
              <w:rPr>
                <w:rFonts w:ascii="Times New Roman" w:hAnsi="Times New Roman"/>
                <w:b/>
                <w:sz w:val="24"/>
                <w:u w:val="single"/>
              </w:rPr>
            </w:pPr>
          </w:p>
          <w:p w:rsidR="00E026FB" w:rsidRPr="00661595" w:rsidRDefault="00E026FB" w:rsidP="009B4B8B">
            <w:pPr>
              <w:suppressAutoHyphens/>
              <w:spacing w:before="0" w:after="0"/>
              <w:jc w:val="left"/>
              <w:rPr>
                <w:rFonts w:ascii="Times New Roman" w:hAnsi="Times New Roman"/>
                <w:b/>
                <w:sz w:val="24"/>
                <w:u w:val="single"/>
              </w:rPr>
            </w:pPr>
            <w:r>
              <w:rPr>
                <w:rFonts w:ascii="Times New Roman" w:hAnsi="Times New Roman"/>
                <w:sz w:val="24"/>
              </w:rPr>
              <w:t>Importo totale dell</w:t>
            </w:r>
            <w:r w:rsidR="000878EC">
              <w:rPr>
                <w:rFonts w:ascii="Times New Roman" w:hAnsi="Times New Roman"/>
                <w:sz w:val="24"/>
              </w:rPr>
              <w:t>'</w:t>
            </w:r>
            <w:r>
              <w:rPr>
                <w:rFonts w:ascii="Times New Roman" w:hAnsi="Times New Roman"/>
                <w:sz w:val="24"/>
              </w:rPr>
              <w:t>esposizione ponderato per il rischio calcolato conformemente alla parte tre, titolo II, capo 5, sezione 3, del CRR, considerando la ponderazione del rischio to</w:t>
            </w:r>
            <w:r w:rsidR="00BD77E8">
              <w:rPr>
                <w:rFonts w:ascii="Times New Roman" w:hAnsi="Times New Roman"/>
                <w:sz w:val="24"/>
              </w:rPr>
              <w:t>tale come indicato all</w:t>
            </w:r>
            <w:r w:rsidR="000878EC">
              <w:rPr>
                <w:rFonts w:ascii="Times New Roman" w:hAnsi="Times New Roman"/>
                <w:sz w:val="24"/>
              </w:rPr>
              <w:t>'</w:t>
            </w:r>
            <w:r w:rsidR="00BD77E8">
              <w:rPr>
                <w:rFonts w:ascii="Times New Roman" w:hAnsi="Times New Roman"/>
                <w:sz w:val="24"/>
              </w:rPr>
              <w:t>articolo </w:t>
            </w:r>
            <w:r>
              <w:rPr>
                <w:rFonts w:ascii="Times New Roman" w:hAnsi="Times New Roman"/>
                <w:sz w:val="24"/>
              </w:rPr>
              <w:t>247, paragrafo 6, del CRR.</w:t>
            </w:r>
          </w:p>
          <w:p w:rsidR="00E026FB" w:rsidRPr="00661595" w:rsidRDefault="00E026FB" w:rsidP="009B4B8B">
            <w:pPr>
              <w:suppressAutoHyphens/>
              <w:spacing w:before="0" w:after="0"/>
              <w:jc w:val="left"/>
              <w:rPr>
                <w:rFonts w:ascii="Times New Roman" w:hAnsi="Times New Roman"/>
                <w:b/>
                <w:sz w:val="24"/>
                <w:u w:val="single"/>
                <w:lang w:eastAsia="es-ES_tradnl"/>
              </w:rPr>
            </w:pPr>
          </w:p>
        </w:tc>
      </w:tr>
      <w:tr w:rsidR="00E026FB" w:rsidRPr="00661595" w:rsidTr="00E10B85">
        <w:tc>
          <w:tcPr>
            <w:tcW w:w="1568" w:type="dxa"/>
          </w:tcPr>
          <w:p w:rsidR="00E026FB" w:rsidRPr="00661595" w:rsidRDefault="00E026FB" w:rsidP="009B4B8B">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0930</w:t>
            </w:r>
          </w:p>
        </w:tc>
        <w:tc>
          <w:tcPr>
            <w:tcW w:w="7436" w:type="dxa"/>
          </w:tcPr>
          <w:p w:rsidR="00E026FB" w:rsidRPr="00661595" w:rsidRDefault="00E026FB" w:rsidP="009B4B8B">
            <w:pPr>
              <w:suppressAutoHyphens/>
              <w:spacing w:before="0" w:after="0"/>
              <w:jc w:val="left"/>
              <w:rPr>
                <w:rFonts w:ascii="Times New Roman" w:hAnsi="Times New Roman"/>
                <w:b/>
                <w:sz w:val="24"/>
                <w:u w:val="single"/>
              </w:rPr>
            </w:pPr>
            <w:r>
              <w:rPr>
                <w:rFonts w:ascii="Times New Roman" w:hAnsi="Times New Roman"/>
                <w:b/>
                <w:sz w:val="24"/>
                <w:u w:val="single"/>
              </w:rPr>
              <w:t>VOCE PER MEMORIA: IMPORTO DELLE ESPOSIZIONI PONDERATO PER IL RISCHIO CORRISPONDENTE AI DEFLUSSI DALLE CARTOLARIZZAZIONI VERSO ALTRE CLASSI DI ESPOSIZIONI</w:t>
            </w:r>
          </w:p>
          <w:p w:rsidR="00E026FB" w:rsidRPr="00661595" w:rsidRDefault="00E026FB" w:rsidP="009B4B8B">
            <w:pPr>
              <w:suppressAutoHyphens/>
              <w:spacing w:before="0" w:after="0"/>
              <w:jc w:val="left"/>
              <w:rPr>
                <w:rFonts w:ascii="Times New Roman" w:hAnsi="Times New Roman"/>
                <w:sz w:val="24"/>
              </w:rPr>
            </w:pPr>
          </w:p>
          <w:p w:rsidR="00E026FB" w:rsidRPr="00661595" w:rsidRDefault="00E026FB" w:rsidP="009B4B8B">
            <w:pPr>
              <w:suppressAutoHyphens/>
              <w:spacing w:before="0" w:after="0"/>
              <w:rPr>
                <w:rFonts w:ascii="Times New Roman" w:hAnsi="Times New Roman"/>
                <w:sz w:val="24"/>
              </w:rPr>
            </w:pPr>
            <w:r>
              <w:rPr>
                <w:rFonts w:ascii="Times New Roman" w:hAnsi="Times New Roman"/>
                <w:sz w:val="24"/>
              </w:rPr>
              <w:t>Importo delle esposizioni ponderato per il rischio derivante dalle esposizioni riassegnate al fornitore degli strumenti di attenuazione del rischio e pertanto computate nel modello corrispondente, che sono prese in considerazione nel calcolo del massimale delle posizioni verso la cartolarizzazione.</w:t>
            </w:r>
          </w:p>
          <w:p w:rsidR="00E026FB" w:rsidRPr="00661595" w:rsidRDefault="00E026FB" w:rsidP="009B4B8B">
            <w:pPr>
              <w:suppressAutoHyphens/>
              <w:spacing w:before="0" w:after="0"/>
              <w:jc w:val="left"/>
              <w:rPr>
                <w:rFonts w:ascii="Times New Roman" w:hAnsi="Times New Roman"/>
                <w:sz w:val="24"/>
              </w:rPr>
            </w:pPr>
          </w:p>
        </w:tc>
      </w:tr>
    </w:tbl>
    <w:p w:rsidR="00E026FB" w:rsidRPr="00661595" w:rsidRDefault="00E026FB" w:rsidP="00E026FB">
      <w:pPr>
        <w:spacing w:before="0" w:after="0"/>
        <w:rPr>
          <w:rFonts w:ascii="Times New Roman" w:hAnsi="Times New Roman"/>
          <w:sz w:val="24"/>
        </w:rPr>
      </w:pPr>
    </w:p>
    <w:p w:rsidR="00E026FB" w:rsidRPr="00661595" w:rsidRDefault="00E026FB" w:rsidP="00E026FB">
      <w:pPr>
        <w:spacing w:before="0" w:after="0"/>
        <w:rPr>
          <w:rFonts w:ascii="Times New Roman" w:hAnsi="Times New Roman"/>
          <w:sz w:val="24"/>
        </w:rPr>
      </w:pPr>
    </w:p>
    <w:p w:rsidR="00E026FB" w:rsidRPr="00661595" w:rsidRDefault="00A971CA" w:rsidP="00BD77E8">
      <w:pPr>
        <w:pStyle w:val="InstructionsText2"/>
        <w:numPr>
          <w:ilvl w:val="0"/>
          <w:numId w:val="0"/>
        </w:numPr>
        <w:ind w:left="1680" w:hanging="480"/>
      </w:pPr>
      <w:r>
        <w:fldChar w:fldCharType="begin"/>
      </w:r>
      <w:r>
        <w:instrText xml:space="preserve"> seq paragraphs </w:instrText>
      </w:r>
      <w:r>
        <w:fldChar w:fldCharType="separate"/>
      </w:r>
      <w:r w:rsidR="00D11E4C">
        <w:rPr>
          <w:noProof/>
        </w:rPr>
        <w:t>109</w:t>
      </w:r>
      <w:r>
        <w:rPr>
          <w:noProof/>
        </w:rPr>
        <w:fldChar w:fldCharType="end"/>
      </w:r>
      <w:r w:rsidR="00BD77E8">
        <w:t>.</w:t>
      </w:r>
      <w:r w:rsidR="00BD77E8">
        <w:tab/>
      </w:r>
      <w:r w:rsidR="00D11E4C">
        <w:t>Il modello è suddiviso in tre grandi blocchi di righe contenenti dati riguardanti le esposizioni create/promosse/mantenute o acquistate da cedenti, investitori e promotori. Per ciascuna di esse le informazioni sono ripartite per elementi in bilancio e fuori bilancio e derivati, nonché in base all</w:t>
      </w:r>
      <w:r w:rsidR="000878EC">
        <w:t>'</w:t>
      </w:r>
      <w:r w:rsidR="00D11E4C">
        <w:t>essere o meno soggette al trattamento differenziato ai fini patrimoniali.</w:t>
      </w:r>
    </w:p>
    <w:p w:rsidR="00E026FB" w:rsidRPr="00661595" w:rsidRDefault="00A971CA" w:rsidP="00BD77E8">
      <w:pPr>
        <w:pStyle w:val="InstructionsText2"/>
        <w:numPr>
          <w:ilvl w:val="0"/>
          <w:numId w:val="0"/>
        </w:numPr>
        <w:ind w:left="1680" w:hanging="480"/>
      </w:pPr>
      <w:r>
        <w:fldChar w:fldCharType="begin"/>
      </w:r>
      <w:r>
        <w:instrText xml:space="preserve"> seq paragraphs </w:instrText>
      </w:r>
      <w:r>
        <w:fldChar w:fldCharType="separate"/>
      </w:r>
      <w:r w:rsidR="00D11E4C">
        <w:rPr>
          <w:noProof/>
        </w:rPr>
        <w:t>110</w:t>
      </w:r>
      <w:r>
        <w:rPr>
          <w:noProof/>
        </w:rPr>
        <w:fldChar w:fldCharType="end"/>
      </w:r>
      <w:r w:rsidR="00D11E4C">
        <w:t>. Le posizioni trattate secondo il SEC-ERBA e le posizioni prive di rating (esposizioni alla data di riferimento per le segnalazioni) sono ripartite in base alle classi di merito di credito applicate all</w:t>
      </w:r>
      <w:r w:rsidR="000878EC">
        <w:t>'</w:t>
      </w:r>
      <w:r w:rsidR="00D11E4C">
        <w:t>avvio (ultimo blocco di righe). Questa informazione è segnalata dai cedenti, dai promotori e dagli investitori.</w:t>
      </w:r>
    </w:p>
    <w:p w:rsidR="00E026FB" w:rsidRPr="00661595" w:rsidRDefault="00E026FB" w:rsidP="00E026FB">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E026FB" w:rsidRPr="00661595" w:rsidTr="00E10B85">
        <w:tc>
          <w:tcPr>
            <w:tcW w:w="9145" w:type="dxa"/>
            <w:gridSpan w:val="2"/>
            <w:shd w:val="clear" w:color="auto" w:fill="CCCCCC"/>
          </w:tcPr>
          <w:p w:rsidR="00E026FB" w:rsidRPr="00661595" w:rsidRDefault="00E026FB" w:rsidP="00BD77E8">
            <w:pPr>
              <w:suppressAutoHyphens/>
              <w:autoSpaceDE w:val="0"/>
              <w:autoSpaceDN w:val="0"/>
              <w:adjustRightInd w:val="0"/>
              <w:spacing w:before="0" w:after="0"/>
              <w:rPr>
                <w:rFonts w:ascii="Times New Roman" w:hAnsi="Times New Roman"/>
                <w:bCs/>
                <w:sz w:val="24"/>
                <w:lang w:eastAsia="nl-BE"/>
              </w:rPr>
            </w:pPr>
          </w:p>
          <w:p w:rsidR="00E026FB" w:rsidRPr="00661595" w:rsidRDefault="00E026FB" w:rsidP="00BD77E8">
            <w:pPr>
              <w:suppressAutoHyphens/>
              <w:autoSpaceDE w:val="0"/>
              <w:autoSpaceDN w:val="0"/>
              <w:adjustRightInd w:val="0"/>
              <w:spacing w:before="0" w:after="0"/>
              <w:rPr>
                <w:rFonts w:ascii="Times New Roman" w:hAnsi="Times New Roman"/>
                <w:b/>
                <w:bCs/>
                <w:sz w:val="24"/>
              </w:rPr>
            </w:pPr>
            <w:r>
              <w:rPr>
                <w:rFonts w:ascii="Times New Roman" w:hAnsi="Times New Roman"/>
                <w:b/>
                <w:bCs/>
                <w:sz w:val="24"/>
              </w:rPr>
              <w:t>Righe</w:t>
            </w:r>
          </w:p>
          <w:p w:rsidR="00E026FB" w:rsidRPr="00661595" w:rsidRDefault="00E026FB" w:rsidP="00BD77E8">
            <w:pPr>
              <w:suppressAutoHyphens/>
              <w:autoSpaceDE w:val="0"/>
              <w:autoSpaceDN w:val="0"/>
              <w:adjustRightInd w:val="0"/>
              <w:spacing w:before="0" w:after="0"/>
              <w:rPr>
                <w:rFonts w:ascii="Times New Roman" w:hAnsi="Times New Roman"/>
                <w:bCs/>
                <w:sz w:val="24"/>
                <w:lang w:eastAsia="nl-BE"/>
              </w:rPr>
            </w:pPr>
          </w:p>
        </w:tc>
      </w:tr>
      <w:tr w:rsidR="00E026FB" w:rsidRPr="00661595" w:rsidTr="00E10B85">
        <w:tc>
          <w:tcPr>
            <w:tcW w:w="1256" w:type="dxa"/>
          </w:tcPr>
          <w:p w:rsidR="00E026FB" w:rsidRPr="00661595" w:rsidRDefault="00E026FB" w:rsidP="00BD77E8">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0010</w:t>
            </w:r>
          </w:p>
        </w:tc>
        <w:tc>
          <w:tcPr>
            <w:tcW w:w="7889" w:type="dxa"/>
          </w:tcPr>
          <w:p w:rsidR="00E026FB" w:rsidRPr="00661595" w:rsidRDefault="00E026FB" w:rsidP="00BD77E8">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ESPOSIZIONI TOTALI </w:t>
            </w:r>
          </w:p>
          <w:p w:rsidR="00E026FB" w:rsidRPr="00661595" w:rsidRDefault="00E026FB" w:rsidP="00BD77E8">
            <w:pPr>
              <w:suppressAutoHyphens/>
              <w:autoSpaceDE w:val="0"/>
              <w:autoSpaceDN w:val="0"/>
              <w:adjustRightInd w:val="0"/>
              <w:spacing w:before="0" w:after="0"/>
              <w:jc w:val="left"/>
              <w:rPr>
                <w:rFonts w:ascii="Times New Roman" w:hAnsi="Times New Roman"/>
                <w:sz w:val="24"/>
                <w:lang w:eastAsia="es-ES_tradnl"/>
              </w:rPr>
            </w:pPr>
          </w:p>
          <w:p w:rsidR="00E026FB" w:rsidRPr="00661595" w:rsidRDefault="00E026FB" w:rsidP="00BD77E8">
            <w:pPr>
              <w:suppressAutoHyphens/>
              <w:autoSpaceDE w:val="0"/>
              <w:autoSpaceDN w:val="0"/>
              <w:adjustRightInd w:val="0"/>
              <w:spacing w:before="0" w:after="0"/>
              <w:rPr>
                <w:rFonts w:ascii="Times New Roman" w:hAnsi="Times New Roman"/>
                <w:sz w:val="24"/>
              </w:rPr>
            </w:pPr>
            <w:r>
              <w:rPr>
                <w:rFonts w:ascii="Times New Roman" w:hAnsi="Times New Roman"/>
                <w:sz w:val="24"/>
              </w:rPr>
              <w:t>Le esposizioni totali fanno riferimento all</w:t>
            </w:r>
            <w:r w:rsidR="000878EC">
              <w:rPr>
                <w:rFonts w:ascii="Times New Roman" w:hAnsi="Times New Roman"/>
                <w:sz w:val="24"/>
              </w:rPr>
              <w:t>'</w:t>
            </w:r>
            <w:r>
              <w:rPr>
                <w:rFonts w:ascii="Times New Roman" w:hAnsi="Times New Roman"/>
                <w:sz w:val="24"/>
              </w:rPr>
              <w:t>importo complessivo delle cartolarizzazioni e delle ricartolarizzazioni in essere. Questa riga riassume tutte le informazioni segnalate dai cedenti, dai promotori e dagli investitori nelle righe successive.</w:t>
            </w:r>
          </w:p>
          <w:p w:rsidR="00E026FB" w:rsidRPr="00661595" w:rsidRDefault="00E026FB" w:rsidP="00BD77E8">
            <w:pPr>
              <w:suppressAutoHyphens/>
              <w:autoSpaceDE w:val="0"/>
              <w:autoSpaceDN w:val="0"/>
              <w:adjustRightInd w:val="0"/>
              <w:spacing w:before="0" w:after="0"/>
              <w:rPr>
                <w:rFonts w:ascii="Times New Roman" w:hAnsi="Times New Roman"/>
                <w:b/>
                <w:bCs/>
                <w:sz w:val="24"/>
                <w:u w:val="single"/>
                <w:lang w:eastAsia="nl-BE"/>
              </w:rPr>
            </w:pPr>
          </w:p>
        </w:tc>
      </w:tr>
      <w:tr w:rsidR="00E026FB" w:rsidRPr="00661595" w:rsidTr="00E10B85">
        <w:tc>
          <w:tcPr>
            <w:tcW w:w="1256" w:type="dxa"/>
          </w:tcPr>
          <w:p w:rsidR="00E026FB" w:rsidRPr="00661595" w:rsidRDefault="00E026FB" w:rsidP="00BD77E8">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0020</w:t>
            </w:r>
          </w:p>
        </w:tc>
        <w:tc>
          <w:tcPr>
            <w:tcW w:w="7889" w:type="dxa"/>
          </w:tcPr>
          <w:p w:rsidR="00E026FB" w:rsidRPr="00661595" w:rsidRDefault="00E026FB" w:rsidP="00BD77E8">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POSIZIONI VERSO LA CARTOLARIZZAZIONE</w:t>
            </w:r>
          </w:p>
          <w:p w:rsidR="00E026FB" w:rsidRPr="00661595" w:rsidRDefault="00E026FB" w:rsidP="00BD77E8">
            <w:pPr>
              <w:suppressAutoHyphens/>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BD77E8">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Importo totale delle posizioni verso la cartolarizzazione in essere ai sensi dell</w:t>
            </w:r>
            <w:r w:rsidR="000878EC">
              <w:rPr>
                <w:rFonts w:ascii="Times New Roman" w:hAnsi="Times New Roman"/>
                <w:sz w:val="24"/>
              </w:rPr>
              <w:t>'</w:t>
            </w:r>
            <w:r>
              <w:rPr>
                <w:rFonts w:ascii="Times New Roman" w:hAnsi="Times New Roman"/>
                <w:sz w:val="24"/>
              </w:rPr>
              <w:t>articolo 4, paragrafo 1, punto 62, del CRR, che non sono ricartolarizzazioni ai sensi dell</w:t>
            </w:r>
            <w:r w:rsidR="000878EC">
              <w:rPr>
                <w:rFonts w:ascii="Times New Roman" w:hAnsi="Times New Roman"/>
                <w:sz w:val="24"/>
              </w:rPr>
              <w:t>'</w:t>
            </w:r>
            <w:r>
              <w:rPr>
                <w:rFonts w:ascii="Times New Roman" w:hAnsi="Times New Roman"/>
                <w:sz w:val="24"/>
              </w:rPr>
              <w:t>articolo 4, paragrafo 1, punto 63, del CRR.</w:t>
            </w:r>
          </w:p>
          <w:p w:rsidR="00E026FB" w:rsidRPr="00661595" w:rsidDel="002866DB" w:rsidRDefault="00E026FB" w:rsidP="00BD77E8">
            <w:pPr>
              <w:suppressAutoHyphens/>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BD77E8">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0030</w:t>
            </w:r>
          </w:p>
        </w:tc>
        <w:tc>
          <w:tcPr>
            <w:tcW w:w="7889" w:type="dxa"/>
          </w:tcPr>
          <w:p w:rsidR="00E026FB" w:rsidRPr="00661595" w:rsidRDefault="00E026FB" w:rsidP="00BD77E8">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AMMISSIBILI AL TRATTAMENTO DIFFERENZIATO AI FINI PATRIMONIALI</w:t>
            </w:r>
          </w:p>
          <w:p w:rsidR="00E026FB" w:rsidRPr="00661595" w:rsidRDefault="00E026FB" w:rsidP="00BD77E8">
            <w:pPr>
              <w:suppressAutoHyphens/>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BD77E8">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Importo totale delle posizioni verso la cartolarizzazione che soddisfano i criteri di cui all</w:t>
            </w:r>
            <w:r w:rsidR="000878EC">
              <w:rPr>
                <w:rFonts w:ascii="Times New Roman" w:hAnsi="Times New Roman"/>
                <w:sz w:val="24"/>
              </w:rPr>
              <w:t>'</w:t>
            </w:r>
            <w:r>
              <w:rPr>
                <w:rFonts w:ascii="Times New Roman" w:hAnsi="Times New Roman"/>
                <w:sz w:val="24"/>
              </w:rPr>
              <w:t>articolo 243 o 270 del CRR e possono pertanto essere soggette al trattamento differenziato ai fini patrimoniali.</w:t>
            </w:r>
          </w:p>
          <w:p w:rsidR="00E026FB" w:rsidRPr="00661595" w:rsidDel="002866DB" w:rsidRDefault="00E026FB" w:rsidP="00BD77E8">
            <w:pPr>
              <w:suppressAutoHyphens/>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BD77E8">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0040</w:t>
            </w:r>
          </w:p>
        </w:tc>
        <w:tc>
          <w:tcPr>
            <w:tcW w:w="7889" w:type="dxa"/>
          </w:tcPr>
          <w:p w:rsidR="00E026FB" w:rsidRPr="00661595" w:rsidRDefault="00E026FB" w:rsidP="00BD77E8">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ESPOSIZIONI STS </w:t>
            </w:r>
          </w:p>
          <w:p w:rsidR="00E026FB" w:rsidRPr="00661595" w:rsidRDefault="00E026FB" w:rsidP="00BD77E8">
            <w:pPr>
              <w:suppressAutoHyphens/>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BD77E8">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Importo totale delle posizioni verso la cartolarizzazione STS che soddisfano i requisiti di cui all</w:t>
            </w:r>
            <w:r w:rsidR="000878EC">
              <w:rPr>
                <w:rFonts w:ascii="Times New Roman" w:hAnsi="Times New Roman"/>
                <w:sz w:val="24"/>
              </w:rPr>
              <w:t>'</w:t>
            </w:r>
            <w:r>
              <w:rPr>
                <w:rFonts w:ascii="Times New Roman" w:hAnsi="Times New Roman"/>
                <w:sz w:val="24"/>
              </w:rPr>
              <w:t>articolo 243 del CRR.</w:t>
            </w:r>
          </w:p>
          <w:p w:rsidR="00E026FB" w:rsidRPr="00661595" w:rsidDel="002866DB" w:rsidRDefault="00E026FB" w:rsidP="00BD77E8">
            <w:pPr>
              <w:suppressAutoHyphens/>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BD77E8">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0050</w:t>
            </w:r>
          </w:p>
        </w:tc>
        <w:tc>
          <w:tcPr>
            <w:tcW w:w="7889" w:type="dxa"/>
          </w:tcPr>
          <w:p w:rsidR="00E026FB" w:rsidRPr="00661595" w:rsidRDefault="00E026FB" w:rsidP="00BD77E8">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POSIZIONE SENIOR VERSO LE CARTOLARIZZAZIONI DELLE PMI </w:t>
            </w:r>
          </w:p>
          <w:p w:rsidR="00E026FB" w:rsidRPr="00661595" w:rsidRDefault="00E026FB" w:rsidP="00BD77E8">
            <w:pPr>
              <w:suppressAutoHyphens/>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BD77E8">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Importo totale delle posizioni senior verso le cartolarizzazioni delle PMI che soddisfano le condizioni di cui all</w:t>
            </w:r>
            <w:r w:rsidR="000878EC">
              <w:rPr>
                <w:rFonts w:ascii="Times New Roman" w:hAnsi="Times New Roman"/>
                <w:sz w:val="24"/>
              </w:rPr>
              <w:t>'</w:t>
            </w:r>
            <w:r>
              <w:rPr>
                <w:rFonts w:ascii="Times New Roman" w:hAnsi="Times New Roman"/>
                <w:sz w:val="24"/>
              </w:rPr>
              <w:t>articolo 270 del CRR.</w:t>
            </w:r>
          </w:p>
          <w:p w:rsidR="00E026FB" w:rsidRPr="00661595" w:rsidDel="002866DB" w:rsidRDefault="00E026FB" w:rsidP="00BD77E8">
            <w:pPr>
              <w:suppressAutoHyphens/>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BD77E8">
            <w:pPr>
              <w:keepNext/>
              <w:keepLines/>
              <w:suppressAutoHyphens/>
              <w:autoSpaceDE w:val="0"/>
              <w:autoSpaceDN w:val="0"/>
              <w:adjustRightInd w:val="0"/>
              <w:spacing w:before="0" w:after="0"/>
              <w:rPr>
                <w:rFonts w:ascii="Times New Roman" w:hAnsi="Times New Roman"/>
                <w:bCs/>
                <w:sz w:val="24"/>
              </w:rPr>
            </w:pPr>
            <w:r>
              <w:rPr>
                <w:rFonts w:ascii="Times New Roman" w:hAnsi="Times New Roman"/>
                <w:bCs/>
                <w:sz w:val="24"/>
              </w:rPr>
              <w:t>0060, 0120, 0170, 0240, 0290, 0360 e 0410</w:t>
            </w:r>
          </w:p>
        </w:tc>
        <w:tc>
          <w:tcPr>
            <w:tcW w:w="7889" w:type="dxa"/>
          </w:tcPr>
          <w:p w:rsidR="00E026FB" w:rsidRPr="00661595" w:rsidRDefault="00E026FB" w:rsidP="00BD77E8">
            <w:pPr>
              <w:keepNext/>
              <w:keepLines/>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NON AMMISSIBILI AL TRATTAMENTO DIFFERENZIATO AI FINI PATRIMONIALI</w:t>
            </w:r>
          </w:p>
          <w:p w:rsidR="00E026FB" w:rsidRPr="00661595" w:rsidRDefault="00E026FB" w:rsidP="00BD77E8">
            <w:pPr>
              <w:keepNext/>
              <w:keepLines/>
              <w:suppressAutoHyphens/>
              <w:autoSpaceDE w:val="0"/>
              <w:autoSpaceDN w:val="0"/>
              <w:adjustRightInd w:val="0"/>
              <w:spacing w:before="0" w:after="0"/>
              <w:jc w:val="left"/>
              <w:rPr>
                <w:rFonts w:ascii="Times New Roman" w:hAnsi="Times New Roman"/>
                <w:b/>
                <w:sz w:val="24"/>
                <w:u w:val="single"/>
                <w:lang w:eastAsia="es-ES_tradnl"/>
              </w:rPr>
            </w:pPr>
          </w:p>
          <w:p w:rsidR="00192744" w:rsidRPr="00661595" w:rsidRDefault="002409C1" w:rsidP="00BD77E8">
            <w:pPr>
              <w:keepNext/>
              <w:keepLines/>
              <w:suppressAutoHyphens/>
              <w:autoSpaceDE w:val="0"/>
              <w:autoSpaceDN w:val="0"/>
              <w:adjustRightInd w:val="0"/>
              <w:spacing w:before="0" w:after="0"/>
              <w:jc w:val="left"/>
              <w:rPr>
                <w:rFonts w:ascii="Times New Roman" w:hAnsi="Times New Roman"/>
                <w:sz w:val="24"/>
              </w:rPr>
            </w:pPr>
            <w:r>
              <w:rPr>
                <w:rFonts w:ascii="Times New Roman" w:hAnsi="Times New Roman"/>
                <w:sz w:val="24"/>
              </w:rPr>
              <w:t>Articolo 254, paragrafi 1, 4, 5 e 6, e articoli 259, 261, 263, 265, 266 e 269 del CRR</w:t>
            </w:r>
          </w:p>
          <w:p w:rsidR="00192744" w:rsidRPr="00661595" w:rsidRDefault="00192744" w:rsidP="00BD77E8">
            <w:pPr>
              <w:keepNext/>
              <w:keepLines/>
              <w:suppressAutoHyphens/>
              <w:autoSpaceDE w:val="0"/>
              <w:autoSpaceDN w:val="0"/>
              <w:adjustRightInd w:val="0"/>
              <w:spacing w:before="0" w:after="0"/>
              <w:jc w:val="left"/>
              <w:rPr>
                <w:rFonts w:ascii="Times New Roman" w:hAnsi="Times New Roman"/>
                <w:sz w:val="24"/>
                <w:lang w:eastAsia="es-ES_tradnl"/>
              </w:rPr>
            </w:pPr>
          </w:p>
          <w:p w:rsidR="00E026FB" w:rsidRPr="00661595" w:rsidRDefault="00E026FB" w:rsidP="00BD77E8">
            <w:pPr>
              <w:keepNext/>
              <w:keepLines/>
              <w:suppressAutoHyphens/>
              <w:autoSpaceDE w:val="0"/>
              <w:autoSpaceDN w:val="0"/>
              <w:adjustRightInd w:val="0"/>
              <w:spacing w:before="0" w:after="0"/>
              <w:jc w:val="left"/>
              <w:rPr>
                <w:rFonts w:ascii="Times New Roman" w:hAnsi="Times New Roman"/>
                <w:sz w:val="24"/>
              </w:rPr>
            </w:pPr>
            <w:r>
              <w:rPr>
                <w:rFonts w:ascii="Times New Roman" w:hAnsi="Times New Roman"/>
                <w:sz w:val="24"/>
              </w:rPr>
              <w:t>Importo totale delle posizioni verso la cartolarizzazione che non sono ammesse al trattamento differenziato ai fini patrimoniali.</w:t>
            </w:r>
          </w:p>
          <w:p w:rsidR="00E026FB" w:rsidRPr="00661595" w:rsidRDefault="00E026FB" w:rsidP="00BD77E8">
            <w:pPr>
              <w:keepNext/>
              <w:keepLines/>
              <w:suppressAutoHyphens/>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BD77E8">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0070, 0190, 0310 e 0430</w:t>
            </w:r>
          </w:p>
        </w:tc>
        <w:tc>
          <w:tcPr>
            <w:tcW w:w="7889" w:type="dxa"/>
          </w:tcPr>
          <w:p w:rsidR="00E026FB" w:rsidRPr="00661595" w:rsidRDefault="00E026FB" w:rsidP="00BD77E8">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POSIZIONI VERSO LA RICARTOLARIZZAZIONE</w:t>
            </w:r>
          </w:p>
          <w:p w:rsidR="00E026FB" w:rsidRPr="00661595" w:rsidRDefault="00E026FB" w:rsidP="00BD77E8">
            <w:pPr>
              <w:suppressAutoHyphens/>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BD77E8">
            <w:pPr>
              <w:suppressAutoHyphens/>
              <w:autoSpaceDE w:val="0"/>
              <w:autoSpaceDN w:val="0"/>
              <w:adjustRightInd w:val="0"/>
              <w:spacing w:before="0" w:after="0"/>
              <w:rPr>
                <w:rFonts w:ascii="Times New Roman" w:hAnsi="Times New Roman"/>
                <w:sz w:val="24"/>
              </w:rPr>
            </w:pPr>
            <w:r>
              <w:rPr>
                <w:rFonts w:ascii="Times New Roman" w:hAnsi="Times New Roman"/>
                <w:sz w:val="24"/>
              </w:rPr>
              <w:t>Importo totale delle posizioni verso la ricartolarizzazione in essere ai sensi dell</w:t>
            </w:r>
            <w:r w:rsidR="000878EC">
              <w:rPr>
                <w:rFonts w:ascii="Times New Roman" w:hAnsi="Times New Roman"/>
                <w:sz w:val="24"/>
              </w:rPr>
              <w:t>'</w:t>
            </w:r>
            <w:r>
              <w:rPr>
                <w:rFonts w:ascii="Times New Roman" w:hAnsi="Times New Roman"/>
                <w:sz w:val="24"/>
              </w:rPr>
              <w:t>articolo 4, paragrafo 1, punto 64, del CRR.</w:t>
            </w:r>
          </w:p>
          <w:p w:rsidR="00E026FB" w:rsidRPr="00661595" w:rsidRDefault="00E026FB" w:rsidP="00BD77E8">
            <w:pPr>
              <w:suppressAutoHyphens/>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BD77E8">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7889" w:type="dxa"/>
          </w:tcPr>
          <w:p w:rsidR="00E026FB" w:rsidRPr="00661595" w:rsidRDefault="00E026FB" w:rsidP="00BD77E8">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CEDENTE: ESPOSIZIONI TOTALI </w:t>
            </w:r>
          </w:p>
          <w:p w:rsidR="00E026FB" w:rsidRPr="00661595" w:rsidRDefault="00E026FB" w:rsidP="00BD77E8">
            <w:pPr>
              <w:suppressAutoHyphens/>
              <w:autoSpaceDE w:val="0"/>
              <w:autoSpaceDN w:val="0"/>
              <w:adjustRightInd w:val="0"/>
              <w:spacing w:before="0" w:after="0"/>
              <w:jc w:val="left"/>
              <w:rPr>
                <w:rFonts w:ascii="Times New Roman" w:hAnsi="Times New Roman"/>
                <w:sz w:val="24"/>
                <w:lang w:eastAsia="es-ES_tradnl"/>
              </w:rPr>
            </w:pPr>
          </w:p>
          <w:p w:rsidR="00E026FB" w:rsidRPr="00661595" w:rsidRDefault="00E026FB" w:rsidP="00BD77E8">
            <w:pPr>
              <w:suppressAutoHyphens/>
              <w:autoSpaceDE w:val="0"/>
              <w:autoSpaceDN w:val="0"/>
              <w:adjustRightInd w:val="0"/>
              <w:spacing w:before="0" w:after="0"/>
              <w:rPr>
                <w:rFonts w:ascii="Times New Roman" w:hAnsi="Times New Roman"/>
                <w:sz w:val="24"/>
              </w:rPr>
            </w:pPr>
            <w:r>
              <w:rPr>
                <w:rFonts w:ascii="Times New Roman" w:hAnsi="Times New Roman"/>
                <w:sz w:val="24"/>
              </w:rPr>
              <w:t>Questa riga riassume le informazioni riguardanti gli elementi in bilancio, gli elementi fuori bilancio e i derivati delle posizioni verso la cartolarizzazione e la ricartolarizzazione nelle quali l</w:t>
            </w:r>
            <w:r w:rsidR="000878EC">
              <w:rPr>
                <w:rFonts w:ascii="Times New Roman" w:hAnsi="Times New Roman"/>
                <w:sz w:val="24"/>
              </w:rPr>
              <w:t>'</w:t>
            </w:r>
            <w:r>
              <w:rPr>
                <w:rFonts w:ascii="Times New Roman" w:hAnsi="Times New Roman"/>
                <w:sz w:val="24"/>
              </w:rPr>
              <w:t>ente ha il ruolo di cedente ai sensi dell</w:t>
            </w:r>
            <w:r w:rsidR="000878EC">
              <w:rPr>
                <w:rFonts w:ascii="Times New Roman" w:hAnsi="Times New Roman"/>
                <w:sz w:val="24"/>
              </w:rPr>
              <w:t>'</w:t>
            </w:r>
            <w:r>
              <w:rPr>
                <w:rFonts w:ascii="Times New Roman" w:hAnsi="Times New Roman"/>
                <w:sz w:val="24"/>
              </w:rPr>
              <w:t>articolo 4, paragrafo 1, punto 13, del CRR.</w:t>
            </w:r>
          </w:p>
          <w:p w:rsidR="00E026FB" w:rsidRPr="00661595" w:rsidRDefault="00E026FB" w:rsidP="00BD77E8">
            <w:pPr>
              <w:suppressAutoHyphens/>
              <w:autoSpaceDE w:val="0"/>
              <w:autoSpaceDN w:val="0"/>
              <w:adjustRightInd w:val="0"/>
              <w:spacing w:before="0" w:after="0"/>
              <w:rPr>
                <w:rFonts w:ascii="Times New Roman" w:hAnsi="Times New Roman"/>
                <w:b/>
                <w:sz w:val="24"/>
                <w:u w:val="single"/>
              </w:rPr>
            </w:pPr>
            <w:r>
              <w:rPr>
                <w:rFonts w:ascii="Times New Roman" w:hAnsi="Times New Roman"/>
                <w:b/>
                <w:sz w:val="24"/>
                <w:u w:val="single"/>
              </w:rPr>
              <w:t xml:space="preserve"> </w:t>
            </w:r>
          </w:p>
        </w:tc>
      </w:tr>
      <w:tr w:rsidR="00E026FB" w:rsidRPr="00661595" w:rsidTr="00E10B85">
        <w:tc>
          <w:tcPr>
            <w:tcW w:w="1256" w:type="dxa"/>
          </w:tcPr>
          <w:p w:rsidR="00E026FB" w:rsidRPr="00661595" w:rsidRDefault="00E026FB" w:rsidP="00BD77E8">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0090-0130, 0210-0250 e 0330-0370</w:t>
            </w:r>
          </w:p>
        </w:tc>
        <w:tc>
          <w:tcPr>
            <w:tcW w:w="7889" w:type="dxa"/>
          </w:tcPr>
          <w:p w:rsidR="00E026FB" w:rsidRPr="00661595" w:rsidRDefault="00E026FB" w:rsidP="00BD77E8">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POSIZIONI VERSO LA CARTOLARIZZAZIONE: ELEMENTI IN BILANCIO </w:t>
            </w:r>
          </w:p>
          <w:p w:rsidR="00E026FB" w:rsidRPr="00661595" w:rsidRDefault="00E026FB" w:rsidP="00BD77E8">
            <w:pPr>
              <w:suppressAutoHyphens/>
              <w:autoSpaceDE w:val="0"/>
              <w:autoSpaceDN w:val="0"/>
              <w:adjustRightInd w:val="0"/>
              <w:spacing w:before="0" w:after="0"/>
              <w:jc w:val="left"/>
              <w:rPr>
                <w:rFonts w:ascii="Times New Roman" w:hAnsi="Times New Roman"/>
                <w:sz w:val="24"/>
                <w:lang w:eastAsia="es-ES_tradnl"/>
              </w:rPr>
            </w:pPr>
          </w:p>
          <w:p w:rsidR="00E026FB" w:rsidRPr="00661595" w:rsidRDefault="00BB22D4" w:rsidP="00BD77E8">
            <w:pPr>
              <w:suppressAutoHyphens/>
              <w:autoSpaceDE w:val="0"/>
              <w:autoSpaceDN w:val="0"/>
              <w:adjustRightInd w:val="0"/>
              <w:spacing w:before="0" w:after="0"/>
              <w:rPr>
                <w:rFonts w:ascii="Times New Roman" w:hAnsi="Times New Roman"/>
                <w:sz w:val="24"/>
              </w:rPr>
            </w:pPr>
            <w:r>
              <w:rPr>
                <w:rFonts w:ascii="Times New Roman" w:hAnsi="Times New Roman"/>
                <w:sz w:val="24"/>
              </w:rPr>
              <w:t>In conformità dell</w:t>
            </w:r>
            <w:r w:rsidR="000878EC">
              <w:rPr>
                <w:rFonts w:ascii="Times New Roman" w:hAnsi="Times New Roman"/>
                <w:sz w:val="24"/>
              </w:rPr>
              <w:t>'</w:t>
            </w:r>
            <w:r>
              <w:rPr>
                <w:rFonts w:ascii="Times New Roman" w:hAnsi="Times New Roman"/>
                <w:sz w:val="24"/>
              </w:rPr>
              <w:t>articolo 248, paragrafo 1, lettera a), del CRR, il valore dell</w:t>
            </w:r>
            <w:r w:rsidR="000878EC">
              <w:rPr>
                <w:rFonts w:ascii="Times New Roman" w:hAnsi="Times New Roman"/>
                <w:sz w:val="24"/>
              </w:rPr>
              <w:t>'</w:t>
            </w:r>
            <w:r>
              <w:rPr>
                <w:rFonts w:ascii="Times New Roman" w:hAnsi="Times New Roman"/>
                <w:sz w:val="24"/>
              </w:rPr>
              <w:t>esposizione di una posizione verso la cartolarizzazione iscritta a bilancio è pari al valore contabile rimanente dopo l</w:t>
            </w:r>
            <w:r w:rsidR="000878EC">
              <w:rPr>
                <w:rFonts w:ascii="Times New Roman" w:hAnsi="Times New Roman"/>
                <w:sz w:val="24"/>
              </w:rPr>
              <w:t>'</w:t>
            </w:r>
            <w:r>
              <w:rPr>
                <w:rFonts w:ascii="Times New Roman" w:hAnsi="Times New Roman"/>
                <w:sz w:val="24"/>
              </w:rPr>
              <w:t>applicazione di eventuali rettifiche di valore su crediti pertinenti specifiche alla posizione verso la cartolarizzazione in conformità dell</w:t>
            </w:r>
            <w:r w:rsidR="000878EC">
              <w:rPr>
                <w:rFonts w:ascii="Times New Roman" w:hAnsi="Times New Roman"/>
                <w:sz w:val="24"/>
              </w:rPr>
              <w:t>'</w:t>
            </w:r>
            <w:r>
              <w:rPr>
                <w:rFonts w:ascii="Times New Roman" w:hAnsi="Times New Roman"/>
                <w:sz w:val="24"/>
              </w:rPr>
              <w:t>articolo 110 del CRR.</w:t>
            </w:r>
          </w:p>
          <w:p w:rsidR="00E026FB" w:rsidRPr="00661595" w:rsidRDefault="00E026FB" w:rsidP="00BD77E8">
            <w:pPr>
              <w:suppressAutoHyphens/>
              <w:autoSpaceDE w:val="0"/>
              <w:autoSpaceDN w:val="0"/>
              <w:adjustRightInd w:val="0"/>
              <w:spacing w:before="0" w:after="0"/>
              <w:rPr>
                <w:rFonts w:ascii="Times New Roman" w:hAnsi="Times New Roman"/>
                <w:sz w:val="24"/>
              </w:rPr>
            </w:pPr>
            <w:r>
              <w:rPr>
                <w:rFonts w:ascii="Times New Roman" w:hAnsi="Times New Roman"/>
                <w:sz w:val="24"/>
              </w:rPr>
              <w:t>Gli elementi in bilancio sono ripartiti in funzione delle informazioni relative all</w:t>
            </w:r>
            <w:r w:rsidR="000878EC">
              <w:rPr>
                <w:rFonts w:ascii="Times New Roman" w:hAnsi="Times New Roman"/>
                <w:sz w:val="24"/>
              </w:rPr>
              <w:t>'</w:t>
            </w:r>
            <w:r>
              <w:rPr>
                <w:rFonts w:ascii="Times New Roman" w:hAnsi="Times New Roman"/>
                <w:sz w:val="24"/>
              </w:rPr>
              <w:t>applicazione del trattamento differenziato ai fini patrimoniali di cui all</w:t>
            </w:r>
            <w:r w:rsidR="000878EC">
              <w:rPr>
                <w:rFonts w:ascii="Times New Roman" w:hAnsi="Times New Roman"/>
                <w:sz w:val="24"/>
              </w:rPr>
              <w:t>'</w:t>
            </w:r>
            <w:r>
              <w:rPr>
                <w:rFonts w:ascii="Times New Roman" w:hAnsi="Times New Roman"/>
                <w:sz w:val="24"/>
              </w:rPr>
              <w:t>articolo 243 del CRR nelle righe 0100 e 0120 e sull</w:t>
            </w:r>
            <w:r w:rsidR="000878EC">
              <w:rPr>
                <w:rFonts w:ascii="Times New Roman" w:hAnsi="Times New Roman"/>
                <w:sz w:val="24"/>
              </w:rPr>
              <w:t>'</w:t>
            </w:r>
            <w:r>
              <w:rPr>
                <w:rFonts w:ascii="Times New Roman" w:hAnsi="Times New Roman"/>
                <w:sz w:val="24"/>
              </w:rPr>
              <w:t>importo totale delle posizioni verso la cartolarizzazione senior ai sensi dell</w:t>
            </w:r>
            <w:r w:rsidR="000878EC">
              <w:rPr>
                <w:rFonts w:ascii="Times New Roman" w:hAnsi="Times New Roman"/>
                <w:sz w:val="24"/>
              </w:rPr>
              <w:t>'</w:t>
            </w:r>
            <w:r>
              <w:rPr>
                <w:rFonts w:ascii="Times New Roman" w:hAnsi="Times New Roman"/>
                <w:sz w:val="24"/>
              </w:rPr>
              <w:t>articolo 242, punto 6, del CRR nelle righe 0110 e 0130.</w:t>
            </w:r>
          </w:p>
          <w:p w:rsidR="00E026FB" w:rsidRPr="00661595" w:rsidRDefault="00E026FB" w:rsidP="00BD77E8">
            <w:pPr>
              <w:suppressAutoHyphens/>
              <w:autoSpaceDE w:val="0"/>
              <w:autoSpaceDN w:val="0"/>
              <w:adjustRightInd w:val="0"/>
              <w:spacing w:before="0" w:after="0"/>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BD77E8">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0100, 0220 e 0340</w:t>
            </w:r>
          </w:p>
        </w:tc>
        <w:tc>
          <w:tcPr>
            <w:tcW w:w="7889" w:type="dxa"/>
          </w:tcPr>
          <w:p w:rsidR="00E026FB" w:rsidRPr="00661595" w:rsidRDefault="00E026FB" w:rsidP="00BD77E8">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AMMISSIBILI AL TRATTAMENTO DIFFERENZIATO AI FINI PATRIMONIALI</w:t>
            </w:r>
          </w:p>
          <w:p w:rsidR="00E026FB" w:rsidRPr="00661595" w:rsidRDefault="00E026FB" w:rsidP="00BD77E8">
            <w:pPr>
              <w:suppressAutoHyphens/>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BD77E8">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Importo totale delle posizioni verso la cartolarizzazione che soddisfano i criteri di cui all</w:t>
            </w:r>
            <w:r w:rsidR="000878EC">
              <w:rPr>
                <w:rFonts w:ascii="Times New Roman" w:hAnsi="Times New Roman"/>
                <w:sz w:val="24"/>
              </w:rPr>
              <w:t>'</w:t>
            </w:r>
            <w:r>
              <w:rPr>
                <w:rFonts w:ascii="Times New Roman" w:hAnsi="Times New Roman"/>
                <w:sz w:val="24"/>
              </w:rPr>
              <w:t>articolo 243 del CRR e possono pertanto essere soggette al trattamento differenziato ai fini patrimoniali.</w:t>
            </w:r>
          </w:p>
          <w:p w:rsidR="00E026FB" w:rsidRPr="00661595" w:rsidRDefault="00E026FB" w:rsidP="00BD77E8">
            <w:pPr>
              <w:suppressAutoHyphens/>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BD77E8">
            <w:pPr>
              <w:keepNext/>
              <w:keepLines/>
              <w:suppressAutoHyphens/>
              <w:autoSpaceDE w:val="0"/>
              <w:autoSpaceDN w:val="0"/>
              <w:adjustRightInd w:val="0"/>
              <w:spacing w:before="0" w:after="0"/>
              <w:rPr>
                <w:rFonts w:ascii="Times New Roman" w:hAnsi="Times New Roman"/>
                <w:bCs/>
                <w:sz w:val="24"/>
              </w:rPr>
            </w:pPr>
            <w:r>
              <w:rPr>
                <w:rFonts w:ascii="Times New Roman" w:hAnsi="Times New Roman"/>
                <w:bCs/>
                <w:sz w:val="24"/>
              </w:rPr>
              <w:t>0110, 0130, 0160, 0180, 0230, 0250, 0280, 0300, 0350, 0370, 400 e 420</w:t>
            </w:r>
          </w:p>
        </w:tc>
        <w:tc>
          <w:tcPr>
            <w:tcW w:w="7889" w:type="dxa"/>
          </w:tcPr>
          <w:p w:rsidR="00E026FB" w:rsidRPr="00661595" w:rsidRDefault="00E026FB" w:rsidP="00BD77E8">
            <w:pPr>
              <w:keepNext/>
              <w:keepLines/>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DI CUI: ESPOSIZIONI DI PRIMO RANGO (SENIOR)</w:t>
            </w:r>
          </w:p>
          <w:p w:rsidR="00E026FB" w:rsidRPr="00661595" w:rsidRDefault="00E026FB" w:rsidP="00BD77E8">
            <w:pPr>
              <w:keepNext/>
              <w:keepLines/>
              <w:suppressAutoHyphens/>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BD77E8">
            <w:pPr>
              <w:keepNext/>
              <w:keepLines/>
              <w:suppressAutoHyphens/>
              <w:autoSpaceDE w:val="0"/>
              <w:autoSpaceDN w:val="0"/>
              <w:adjustRightInd w:val="0"/>
              <w:spacing w:before="0" w:after="0"/>
              <w:jc w:val="left"/>
              <w:rPr>
                <w:rFonts w:ascii="Times New Roman" w:hAnsi="Times New Roman"/>
                <w:sz w:val="24"/>
              </w:rPr>
            </w:pPr>
            <w:r>
              <w:rPr>
                <w:rFonts w:ascii="Times New Roman" w:hAnsi="Times New Roman"/>
                <w:sz w:val="24"/>
              </w:rPr>
              <w:t>Importo totale delle posizioni verso la cartolarizzazione senior ai sensi dell</w:t>
            </w:r>
            <w:r w:rsidR="000878EC">
              <w:rPr>
                <w:rFonts w:ascii="Times New Roman" w:hAnsi="Times New Roman"/>
                <w:sz w:val="24"/>
              </w:rPr>
              <w:t>'</w:t>
            </w:r>
            <w:r>
              <w:rPr>
                <w:rFonts w:ascii="Times New Roman" w:hAnsi="Times New Roman"/>
                <w:sz w:val="24"/>
              </w:rPr>
              <w:t>articolo 242, punto 6, del CRR.</w:t>
            </w:r>
          </w:p>
          <w:p w:rsidR="00E026FB" w:rsidRPr="00661595" w:rsidRDefault="00E026FB" w:rsidP="00BD77E8">
            <w:pPr>
              <w:keepNext/>
              <w:keepLines/>
              <w:suppressAutoHyphens/>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BD77E8">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0140-0180, 0260-0300 e 0380-0420</w:t>
            </w:r>
          </w:p>
        </w:tc>
        <w:tc>
          <w:tcPr>
            <w:tcW w:w="7889" w:type="dxa"/>
          </w:tcPr>
          <w:p w:rsidR="00E026FB" w:rsidRPr="00661595" w:rsidRDefault="00E026FB" w:rsidP="00BD77E8">
            <w:pPr>
              <w:suppressAutoHyphens/>
              <w:spacing w:before="0" w:after="0"/>
              <w:rPr>
                <w:rFonts w:ascii="Times New Roman" w:hAnsi="Times New Roman"/>
                <w:b/>
                <w:sz w:val="24"/>
                <w:u w:val="single"/>
              </w:rPr>
            </w:pPr>
            <w:r>
              <w:rPr>
                <w:rFonts w:ascii="Times New Roman" w:hAnsi="Times New Roman"/>
                <w:b/>
                <w:sz w:val="24"/>
                <w:u w:val="single"/>
              </w:rPr>
              <w:t>POSIZIONI VERSO LA CARTOLARIZZAZIONE: ELEMENTI FUORI BILANCIO E DERIVATI</w:t>
            </w:r>
          </w:p>
          <w:p w:rsidR="00E026FB" w:rsidRPr="00661595" w:rsidRDefault="00E026FB" w:rsidP="00BD77E8">
            <w:pPr>
              <w:suppressAutoHyphens/>
              <w:autoSpaceDE w:val="0"/>
              <w:autoSpaceDN w:val="0"/>
              <w:adjustRightInd w:val="0"/>
              <w:spacing w:before="0" w:after="0"/>
              <w:jc w:val="left"/>
              <w:rPr>
                <w:rFonts w:ascii="Times New Roman" w:hAnsi="Times New Roman"/>
                <w:sz w:val="24"/>
                <w:lang w:eastAsia="es-ES_tradnl"/>
              </w:rPr>
            </w:pPr>
          </w:p>
          <w:p w:rsidR="00E026FB" w:rsidRPr="00661595" w:rsidRDefault="00E026FB" w:rsidP="00BD77E8">
            <w:pPr>
              <w:suppressAutoHyphens/>
              <w:autoSpaceDE w:val="0"/>
              <w:autoSpaceDN w:val="0"/>
              <w:adjustRightInd w:val="0"/>
              <w:spacing w:before="0" w:after="0"/>
              <w:rPr>
                <w:rFonts w:ascii="Times New Roman" w:hAnsi="Times New Roman"/>
                <w:i/>
                <w:sz w:val="24"/>
              </w:rPr>
            </w:pPr>
            <w:r>
              <w:rPr>
                <w:rFonts w:ascii="Times New Roman" w:hAnsi="Times New Roman"/>
                <w:sz w:val="24"/>
              </w:rPr>
              <w:t>Queste righe contengono informazioni sulle posizioni verso la cartolarizzazione relative a elementi fuori bilancio e derivati soggette a un fattore di conversione nell</w:t>
            </w:r>
            <w:r w:rsidR="000878EC">
              <w:rPr>
                <w:rFonts w:ascii="Times New Roman" w:hAnsi="Times New Roman"/>
                <w:sz w:val="24"/>
              </w:rPr>
              <w:t>'</w:t>
            </w:r>
            <w:r>
              <w:rPr>
                <w:rFonts w:ascii="Times New Roman" w:hAnsi="Times New Roman"/>
                <w:sz w:val="24"/>
              </w:rPr>
              <w:t>ambito del quadro in materia di cartolarizzazione. Ove non diversamente specificato, il valore dell</w:t>
            </w:r>
            <w:r w:rsidR="000878EC">
              <w:rPr>
                <w:rFonts w:ascii="Times New Roman" w:hAnsi="Times New Roman"/>
                <w:sz w:val="24"/>
              </w:rPr>
              <w:t>'</w:t>
            </w:r>
            <w:r>
              <w:rPr>
                <w:rFonts w:ascii="Times New Roman" w:hAnsi="Times New Roman"/>
                <w:sz w:val="24"/>
              </w:rPr>
              <w:t>esposizione di una posizione verso la cartolarizzazione fuori bilancio è pari al suo valore nominale meno qualsiasi rettifica di valore su crediti specifica di tale posizione, moltiplicato per un fattore di conversione del 100 %.</w:t>
            </w:r>
          </w:p>
          <w:p w:rsidR="00E026FB" w:rsidRPr="00661595" w:rsidRDefault="00E026FB" w:rsidP="00BD77E8">
            <w:pPr>
              <w:suppressAutoHyphens/>
              <w:autoSpaceDE w:val="0"/>
              <w:autoSpaceDN w:val="0"/>
              <w:adjustRightInd w:val="0"/>
              <w:spacing w:before="0" w:after="0"/>
              <w:rPr>
                <w:rFonts w:ascii="Times New Roman" w:hAnsi="Times New Roman"/>
                <w:i/>
                <w:sz w:val="24"/>
              </w:rPr>
            </w:pPr>
          </w:p>
          <w:p w:rsidR="00E026FB" w:rsidRPr="00661595" w:rsidRDefault="00E026FB" w:rsidP="00BD77E8">
            <w:pPr>
              <w:suppressAutoHyphens/>
              <w:autoSpaceDE w:val="0"/>
              <w:autoSpaceDN w:val="0"/>
              <w:adjustRightInd w:val="0"/>
              <w:spacing w:before="0" w:after="0"/>
              <w:rPr>
                <w:rFonts w:ascii="Times New Roman" w:hAnsi="Times New Roman"/>
                <w:sz w:val="24"/>
              </w:rPr>
            </w:pPr>
            <w:r>
              <w:rPr>
                <w:rFonts w:ascii="Times New Roman" w:hAnsi="Times New Roman"/>
                <w:sz w:val="24"/>
              </w:rPr>
              <w:t>Le posizioni verso la cartolarizzazione fuori bilancio risultanti da uno degli strumenti derivati elencati nell</w:t>
            </w:r>
            <w:r w:rsidR="000878EC">
              <w:rPr>
                <w:rFonts w:ascii="Times New Roman" w:hAnsi="Times New Roman"/>
                <w:sz w:val="24"/>
              </w:rPr>
              <w:t>'</w:t>
            </w:r>
            <w:r>
              <w:rPr>
                <w:rFonts w:ascii="Times New Roman" w:hAnsi="Times New Roman"/>
                <w:sz w:val="24"/>
              </w:rPr>
              <w:t>allegato II del CRR sono determinate conformemente alla parte tre, titolo II, capo 6, del CRR. Il valore dell</w:t>
            </w:r>
            <w:r w:rsidR="000878EC">
              <w:rPr>
                <w:rFonts w:ascii="Times New Roman" w:hAnsi="Times New Roman"/>
                <w:sz w:val="24"/>
              </w:rPr>
              <w:t>'</w:t>
            </w:r>
            <w:r>
              <w:rPr>
                <w:rFonts w:ascii="Times New Roman" w:hAnsi="Times New Roman"/>
                <w:sz w:val="24"/>
              </w:rPr>
              <w:t>esposizione per il rischio di controparte di uno degli strumenti derivati elencati nell</w:t>
            </w:r>
            <w:r w:rsidR="000878EC">
              <w:rPr>
                <w:rFonts w:ascii="Times New Roman" w:hAnsi="Times New Roman"/>
                <w:sz w:val="24"/>
              </w:rPr>
              <w:t>'</w:t>
            </w:r>
            <w:r>
              <w:rPr>
                <w:rFonts w:ascii="Times New Roman" w:hAnsi="Times New Roman"/>
                <w:sz w:val="24"/>
              </w:rPr>
              <w:t xml:space="preserve">allegato II del CRR è determinato conformemente alla parte tre, titolo II, capo 6, del CRR. </w:t>
            </w:r>
          </w:p>
          <w:p w:rsidR="00E026FB" w:rsidRPr="00661595" w:rsidRDefault="00E026FB" w:rsidP="00BD77E8">
            <w:pPr>
              <w:suppressAutoHyphens/>
              <w:autoSpaceDE w:val="0"/>
              <w:autoSpaceDN w:val="0"/>
              <w:adjustRightInd w:val="0"/>
              <w:spacing w:before="0" w:after="0"/>
              <w:rPr>
                <w:rFonts w:ascii="Times New Roman" w:hAnsi="Times New Roman"/>
                <w:sz w:val="24"/>
              </w:rPr>
            </w:pPr>
          </w:p>
          <w:p w:rsidR="00E026FB" w:rsidRPr="00661595" w:rsidRDefault="00E026FB" w:rsidP="00BD77E8">
            <w:pPr>
              <w:suppressAutoHyphens/>
              <w:autoSpaceDE w:val="0"/>
              <w:autoSpaceDN w:val="0"/>
              <w:adjustRightInd w:val="0"/>
              <w:spacing w:before="0" w:after="0"/>
              <w:rPr>
                <w:rFonts w:ascii="Times New Roman" w:hAnsi="Times New Roman"/>
                <w:sz w:val="24"/>
              </w:rPr>
            </w:pPr>
            <w:r>
              <w:rPr>
                <w:rFonts w:ascii="Times New Roman" w:hAnsi="Times New Roman"/>
                <w:sz w:val="24"/>
              </w:rPr>
              <w:t>Per le linee di liquidità, le linee di credito e gli anticipi per cassa del gestore gli enti segnalano l</w:t>
            </w:r>
            <w:r w:rsidR="000878EC">
              <w:rPr>
                <w:rFonts w:ascii="Times New Roman" w:hAnsi="Times New Roman"/>
                <w:sz w:val="24"/>
              </w:rPr>
              <w:t>'</w:t>
            </w:r>
            <w:r>
              <w:rPr>
                <w:rFonts w:ascii="Times New Roman" w:hAnsi="Times New Roman"/>
                <w:sz w:val="24"/>
              </w:rPr>
              <w:t>importo non utilizzato.</w:t>
            </w:r>
          </w:p>
          <w:p w:rsidR="00E026FB" w:rsidRPr="00661595" w:rsidRDefault="00E026FB" w:rsidP="00BD77E8">
            <w:pPr>
              <w:suppressAutoHyphens/>
              <w:autoSpaceDE w:val="0"/>
              <w:autoSpaceDN w:val="0"/>
              <w:adjustRightInd w:val="0"/>
              <w:spacing w:before="0" w:after="0"/>
              <w:rPr>
                <w:rFonts w:ascii="Times New Roman" w:hAnsi="Times New Roman"/>
                <w:sz w:val="24"/>
              </w:rPr>
            </w:pPr>
          </w:p>
          <w:p w:rsidR="00E026FB" w:rsidRPr="00661595" w:rsidRDefault="00E026FB" w:rsidP="00BD77E8">
            <w:pPr>
              <w:suppressAutoHyphens/>
              <w:autoSpaceDE w:val="0"/>
              <w:autoSpaceDN w:val="0"/>
              <w:adjustRightInd w:val="0"/>
              <w:spacing w:before="0" w:after="0"/>
              <w:rPr>
                <w:rFonts w:ascii="Times New Roman" w:hAnsi="Times New Roman"/>
                <w:sz w:val="24"/>
              </w:rPr>
            </w:pPr>
            <w:r>
              <w:rPr>
                <w:rFonts w:ascii="Times New Roman" w:hAnsi="Times New Roman"/>
                <w:sz w:val="24"/>
              </w:rPr>
              <w:t>Per gli swap su tassi d</w:t>
            </w:r>
            <w:r w:rsidR="000878EC">
              <w:rPr>
                <w:rFonts w:ascii="Times New Roman" w:hAnsi="Times New Roman"/>
                <w:sz w:val="24"/>
              </w:rPr>
              <w:t>'</w:t>
            </w:r>
            <w:r>
              <w:rPr>
                <w:rFonts w:ascii="Times New Roman" w:hAnsi="Times New Roman"/>
                <w:sz w:val="24"/>
              </w:rPr>
              <w:t>interesse e su valute è indicato il valore dell</w:t>
            </w:r>
            <w:r w:rsidR="000878EC">
              <w:rPr>
                <w:rFonts w:ascii="Times New Roman" w:hAnsi="Times New Roman"/>
                <w:sz w:val="24"/>
              </w:rPr>
              <w:t>'</w:t>
            </w:r>
            <w:r>
              <w:rPr>
                <w:rFonts w:ascii="Times New Roman" w:hAnsi="Times New Roman"/>
                <w:sz w:val="24"/>
              </w:rPr>
              <w:t>esposizione (calcolato conformemente all</w:t>
            </w:r>
            <w:r w:rsidR="000878EC">
              <w:rPr>
                <w:rFonts w:ascii="Times New Roman" w:hAnsi="Times New Roman"/>
                <w:sz w:val="24"/>
              </w:rPr>
              <w:t>'</w:t>
            </w:r>
            <w:r>
              <w:rPr>
                <w:rFonts w:ascii="Times New Roman" w:hAnsi="Times New Roman"/>
                <w:sz w:val="24"/>
              </w:rPr>
              <w:t>articolo 248, paragrafo 1, del CRR).</w:t>
            </w:r>
          </w:p>
          <w:p w:rsidR="00E026FB" w:rsidRPr="00661595" w:rsidRDefault="00E026FB" w:rsidP="00BD77E8">
            <w:pPr>
              <w:suppressAutoHyphens/>
              <w:autoSpaceDE w:val="0"/>
              <w:autoSpaceDN w:val="0"/>
              <w:adjustRightInd w:val="0"/>
              <w:spacing w:before="0" w:after="0"/>
              <w:rPr>
                <w:rFonts w:ascii="Times New Roman" w:hAnsi="Times New Roman"/>
                <w:sz w:val="24"/>
              </w:rPr>
            </w:pPr>
          </w:p>
          <w:p w:rsidR="00E026FB" w:rsidRPr="00661595" w:rsidRDefault="00E026FB" w:rsidP="00BD77E8">
            <w:pPr>
              <w:suppressAutoHyphens/>
              <w:autoSpaceDE w:val="0"/>
              <w:autoSpaceDN w:val="0"/>
              <w:adjustRightInd w:val="0"/>
              <w:spacing w:before="0" w:after="0"/>
              <w:rPr>
                <w:rFonts w:ascii="Times New Roman" w:hAnsi="Times New Roman"/>
                <w:sz w:val="24"/>
              </w:rPr>
            </w:pPr>
            <w:r>
              <w:rPr>
                <w:rFonts w:ascii="Times New Roman" w:hAnsi="Times New Roman"/>
                <w:sz w:val="24"/>
              </w:rPr>
              <w:t>Gli elementi fuori bilancio e i derivati sono ripartiti in funzione delle informazioni relative all</w:t>
            </w:r>
            <w:r w:rsidR="000878EC">
              <w:rPr>
                <w:rFonts w:ascii="Times New Roman" w:hAnsi="Times New Roman"/>
                <w:sz w:val="24"/>
              </w:rPr>
              <w:t>'</w:t>
            </w:r>
            <w:r>
              <w:rPr>
                <w:rFonts w:ascii="Times New Roman" w:hAnsi="Times New Roman"/>
                <w:sz w:val="24"/>
              </w:rPr>
              <w:t>applicazione del trattamento differenziato ai fini patrimoniali di cui all</w:t>
            </w:r>
            <w:r w:rsidR="000878EC">
              <w:rPr>
                <w:rFonts w:ascii="Times New Roman" w:hAnsi="Times New Roman"/>
                <w:sz w:val="24"/>
              </w:rPr>
              <w:t>'</w:t>
            </w:r>
            <w:r>
              <w:rPr>
                <w:rFonts w:ascii="Times New Roman" w:hAnsi="Times New Roman"/>
                <w:sz w:val="24"/>
              </w:rPr>
              <w:t>articolo 270 del CRR nelle righe 0150 e 0170 e sull</w:t>
            </w:r>
            <w:r w:rsidR="000878EC">
              <w:rPr>
                <w:rFonts w:ascii="Times New Roman" w:hAnsi="Times New Roman"/>
                <w:sz w:val="24"/>
              </w:rPr>
              <w:t>'</w:t>
            </w:r>
            <w:r>
              <w:rPr>
                <w:rFonts w:ascii="Times New Roman" w:hAnsi="Times New Roman"/>
                <w:sz w:val="24"/>
              </w:rPr>
              <w:t>importo totale delle posizioni verso la cartolarizzazione senior ai sensi dell</w:t>
            </w:r>
            <w:r w:rsidR="000878EC">
              <w:rPr>
                <w:rFonts w:ascii="Times New Roman" w:hAnsi="Times New Roman"/>
                <w:sz w:val="24"/>
              </w:rPr>
              <w:t>'</w:t>
            </w:r>
            <w:r>
              <w:rPr>
                <w:rFonts w:ascii="Times New Roman" w:hAnsi="Times New Roman"/>
                <w:sz w:val="24"/>
              </w:rPr>
              <w:t>articolo 242, punto 6, del CRR nelle righe 0160 e 0180. Si applicano gli stessi riferimenti giuridici previsti per le righe da 0100 a 0130.</w:t>
            </w:r>
          </w:p>
          <w:p w:rsidR="00E026FB" w:rsidRPr="00661595" w:rsidRDefault="00E026FB" w:rsidP="00BD77E8">
            <w:pPr>
              <w:suppressAutoHyphens/>
              <w:autoSpaceDE w:val="0"/>
              <w:autoSpaceDN w:val="0"/>
              <w:adjustRightInd w:val="0"/>
              <w:spacing w:before="0" w:after="0"/>
              <w:rPr>
                <w:rFonts w:ascii="Times New Roman" w:hAnsi="Times New Roman"/>
                <w:bCs/>
                <w:sz w:val="24"/>
                <w:lang w:eastAsia="nl-BE"/>
              </w:rPr>
            </w:pPr>
          </w:p>
        </w:tc>
      </w:tr>
      <w:tr w:rsidR="00E026FB" w:rsidRPr="00661595" w:rsidTr="00E10B85">
        <w:tc>
          <w:tcPr>
            <w:tcW w:w="1256" w:type="dxa"/>
          </w:tcPr>
          <w:p w:rsidR="00E026FB" w:rsidRPr="00661595" w:rsidRDefault="00E026FB" w:rsidP="00BD77E8">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0150, 0270 e 0390</w:t>
            </w:r>
          </w:p>
        </w:tc>
        <w:tc>
          <w:tcPr>
            <w:tcW w:w="7889" w:type="dxa"/>
          </w:tcPr>
          <w:p w:rsidR="00E026FB" w:rsidRPr="00661595" w:rsidRDefault="00E026FB" w:rsidP="00BD77E8">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AMMISSIBILI AL TRATTAMENTO DIFFERENZIATO AI FINI PATRIMONIALI</w:t>
            </w:r>
          </w:p>
          <w:p w:rsidR="00E026FB" w:rsidRPr="00661595" w:rsidRDefault="00E026FB" w:rsidP="00BD77E8">
            <w:pPr>
              <w:suppressAutoHyphens/>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BD77E8">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Importo totale delle posizioni verso la cartolarizzazione che soddisfano i criteri di cui all</w:t>
            </w:r>
            <w:r w:rsidR="000878EC">
              <w:rPr>
                <w:rFonts w:ascii="Times New Roman" w:hAnsi="Times New Roman"/>
                <w:sz w:val="24"/>
              </w:rPr>
              <w:t>'</w:t>
            </w:r>
            <w:r>
              <w:rPr>
                <w:rFonts w:ascii="Times New Roman" w:hAnsi="Times New Roman"/>
                <w:sz w:val="24"/>
              </w:rPr>
              <w:t>articolo 243 o 270 del CRR e possono pertanto essere soggette al trattamento differenziato ai fini patrimoniali.</w:t>
            </w:r>
          </w:p>
          <w:p w:rsidR="00E026FB" w:rsidRPr="00661595" w:rsidRDefault="00E026FB" w:rsidP="00BD77E8">
            <w:pPr>
              <w:suppressAutoHyphens/>
              <w:spacing w:before="0" w:after="0"/>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BD77E8">
            <w:pPr>
              <w:keepNext/>
              <w:keepLines/>
              <w:suppressAutoHyphens/>
              <w:autoSpaceDE w:val="0"/>
              <w:autoSpaceDN w:val="0"/>
              <w:adjustRightInd w:val="0"/>
              <w:spacing w:before="0" w:after="0"/>
              <w:rPr>
                <w:rFonts w:ascii="Times New Roman" w:hAnsi="Times New Roman"/>
                <w:bCs/>
                <w:sz w:val="24"/>
              </w:rPr>
            </w:pPr>
            <w:r>
              <w:rPr>
                <w:rFonts w:ascii="Times New Roman" w:hAnsi="Times New Roman"/>
                <w:bCs/>
                <w:sz w:val="24"/>
              </w:rPr>
              <w:t>0200</w:t>
            </w:r>
          </w:p>
        </w:tc>
        <w:tc>
          <w:tcPr>
            <w:tcW w:w="7889" w:type="dxa"/>
          </w:tcPr>
          <w:p w:rsidR="00E026FB" w:rsidRPr="00661595" w:rsidRDefault="00E026FB" w:rsidP="00BD77E8">
            <w:pPr>
              <w:keepNext/>
              <w:keepLines/>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INVESTITORE: ESPOSIZIONI TOTALI </w:t>
            </w:r>
          </w:p>
          <w:p w:rsidR="00E026FB" w:rsidRPr="00661595" w:rsidRDefault="00E026FB" w:rsidP="00BD77E8">
            <w:pPr>
              <w:keepNext/>
              <w:keepLines/>
              <w:suppressAutoHyphens/>
              <w:autoSpaceDE w:val="0"/>
              <w:autoSpaceDN w:val="0"/>
              <w:adjustRightInd w:val="0"/>
              <w:spacing w:before="0" w:after="0"/>
              <w:jc w:val="left"/>
              <w:rPr>
                <w:rFonts w:ascii="Times New Roman" w:hAnsi="Times New Roman"/>
                <w:sz w:val="24"/>
                <w:lang w:eastAsia="es-ES_tradnl"/>
              </w:rPr>
            </w:pPr>
          </w:p>
          <w:p w:rsidR="00E026FB" w:rsidRPr="00661595" w:rsidRDefault="00E026FB" w:rsidP="00BD77E8">
            <w:pPr>
              <w:keepNext/>
              <w:keepLines/>
              <w:suppressAutoHyphens/>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Questa riga riassume le informazioni riguardanti gli elementi in bilancio e gli elementi fuori bilancio e i derivati delle posizioni verso la cartolarizzazione</w:t>
            </w:r>
            <w:r>
              <w:rPr>
                <w:rFonts w:ascii="Times New Roman" w:hAnsi="Times New Roman"/>
                <w:sz w:val="24"/>
              </w:rPr>
              <w:t xml:space="preserve"> e la ricartolarizzazione </w:t>
            </w:r>
            <w:r>
              <w:rPr>
                <w:rStyle w:val="FormatvorlageInstructionsTabelleText"/>
                <w:rFonts w:ascii="Times New Roman" w:hAnsi="Times New Roman"/>
                <w:sz w:val="24"/>
              </w:rPr>
              <w:t>nelle quali l</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ente ha il ruolo di investitore</w:t>
            </w:r>
            <w:r>
              <w:rPr>
                <w:rFonts w:ascii="Times New Roman" w:hAnsi="Times New Roman"/>
                <w:sz w:val="24"/>
              </w:rPr>
              <w:t>.</w:t>
            </w:r>
            <w:r>
              <w:rPr>
                <w:rStyle w:val="FormatvorlageInstructionsTabelleText"/>
                <w:rFonts w:ascii="Times New Roman" w:hAnsi="Times New Roman"/>
                <w:sz w:val="24"/>
              </w:rPr>
              <w:t xml:space="preserve"> </w:t>
            </w:r>
          </w:p>
          <w:p w:rsidR="00E026FB" w:rsidRPr="00661595" w:rsidRDefault="00E026FB" w:rsidP="00BD77E8">
            <w:pPr>
              <w:keepNext/>
              <w:keepLines/>
              <w:suppressAutoHyphens/>
              <w:autoSpaceDE w:val="0"/>
              <w:autoSpaceDN w:val="0"/>
              <w:adjustRightInd w:val="0"/>
              <w:spacing w:before="0" w:after="0"/>
              <w:rPr>
                <w:rStyle w:val="FormatvorlageInstructionsTabelleText"/>
                <w:rFonts w:ascii="Times New Roman" w:hAnsi="Times New Roman"/>
                <w:sz w:val="24"/>
              </w:rPr>
            </w:pPr>
          </w:p>
          <w:p w:rsidR="00E026FB" w:rsidRPr="00661595" w:rsidRDefault="00E20FAC" w:rsidP="00BD77E8">
            <w:pPr>
              <w:keepNext/>
              <w:keepLines/>
              <w:suppressAutoHyphens/>
              <w:autoSpaceDE w:val="0"/>
              <w:autoSpaceDN w:val="0"/>
              <w:adjustRightInd w:val="0"/>
              <w:spacing w:before="0" w:after="0"/>
              <w:rPr>
                <w:rStyle w:val="FormatvorlageInstructionsTabelleText"/>
                <w:rFonts w:ascii="Times New Roman" w:hAnsi="Times New Roman"/>
                <w:sz w:val="24"/>
              </w:rPr>
            </w:pPr>
            <w:r>
              <w:rPr>
                <w:rStyle w:val="FormatvorlageInstructionsTabelleText"/>
                <w:rFonts w:ascii="Times New Roman" w:hAnsi="Times New Roman"/>
                <w:sz w:val="24"/>
              </w:rPr>
              <w:t xml:space="preserve">Ai fini di questo modello, per </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investitore</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 xml:space="preserve"> s</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intende un ente che detiene una posizione verso la cartolarizzazione in un</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operazione di cartolarizzazione nella quale non è né il cedente né il promotore.</w:t>
            </w:r>
          </w:p>
          <w:p w:rsidR="00E026FB" w:rsidRPr="00661595" w:rsidRDefault="00E026FB" w:rsidP="00BD77E8">
            <w:pPr>
              <w:keepNext/>
              <w:keepLines/>
              <w:suppressAutoHyphens/>
              <w:autoSpaceDE w:val="0"/>
              <w:autoSpaceDN w:val="0"/>
              <w:adjustRightInd w:val="0"/>
              <w:spacing w:before="0" w:after="0"/>
              <w:jc w:val="left"/>
              <w:rPr>
                <w:rFonts w:ascii="Times New Roman" w:hAnsi="Times New Roman"/>
                <w:b/>
                <w:sz w:val="24"/>
                <w:u w:val="single"/>
                <w:lang w:eastAsia="es-ES_tradnl"/>
              </w:rPr>
            </w:pPr>
          </w:p>
        </w:tc>
      </w:tr>
      <w:tr w:rsidR="00E026FB" w:rsidRPr="00661595" w:rsidTr="00E10B85">
        <w:tc>
          <w:tcPr>
            <w:tcW w:w="1256" w:type="dxa"/>
          </w:tcPr>
          <w:p w:rsidR="00E026FB" w:rsidRPr="00661595" w:rsidRDefault="00E026FB" w:rsidP="00BD77E8">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0320</w:t>
            </w:r>
          </w:p>
        </w:tc>
        <w:tc>
          <w:tcPr>
            <w:tcW w:w="7889" w:type="dxa"/>
          </w:tcPr>
          <w:p w:rsidR="00E026FB" w:rsidRPr="00661595" w:rsidRDefault="00E026FB" w:rsidP="00BD77E8">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PROMOTORE: ESPOSIZIONI TOTALI </w:t>
            </w:r>
          </w:p>
          <w:p w:rsidR="00E026FB" w:rsidRPr="00661595" w:rsidRDefault="00E026FB" w:rsidP="00BD77E8">
            <w:pPr>
              <w:suppressAutoHyphens/>
              <w:autoSpaceDE w:val="0"/>
              <w:autoSpaceDN w:val="0"/>
              <w:adjustRightInd w:val="0"/>
              <w:spacing w:before="0" w:after="0"/>
              <w:jc w:val="left"/>
              <w:rPr>
                <w:rFonts w:ascii="Times New Roman" w:hAnsi="Times New Roman"/>
                <w:sz w:val="24"/>
                <w:lang w:eastAsia="es-ES_tradnl"/>
              </w:rPr>
            </w:pPr>
          </w:p>
          <w:p w:rsidR="00E026FB" w:rsidRPr="00661595" w:rsidRDefault="00E026FB" w:rsidP="00BD77E8">
            <w:pPr>
              <w:suppressAutoHyphens/>
              <w:autoSpaceDE w:val="0"/>
              <w:autoSpaceDN w:val="0"/>
              <w:adjustRightInd w:val="0"/>
              <w:spacing w:before="0" w:after="0"/>
              <w:rPr>
                <w:rFonts w:ascii="Times New Roman" w:hAnsi="Times New Roman"/>
                <w:sz w:val="24"/>
              </w:rPr>
            </w:pPr>
            <w:r>
              <w:rPr>
                <w:rFonts w:ascii="Times New Roman" w:hAnsi="Times New Roman"/>
                <w:sz w:val="24"/>
              </w:rPr>
              <w:t>Questa riga riassume le informazioni riguardanti gli elementi in bilancio, gli elementi fuori bilancio e i derivati delle posizioni verso la cartolarizzazione e la ricartolarizzazione nelle quali l</w:t>
            </w:r>
            <w:r w:rsidR="000878EC">
              <w:rPr>
                <w:rFonts w:ascii="Times New Roman" w:hAnsi="Times New Roman"/>
                <w:sz w:val="24"/>
              </w:rPr>
              <w:t>'</w:t>
            </w:r>
            <w:r>
              <w:rPr>
                <w:rFonts w:ascii="Times New Roman" w:hAnsi="Times New Roman"/>
                <w:sz w:val="24"/>
              </w:rPr>
              <w:t>ente ha il ruolo di p</w:t>
            </w:r>
            <w:r w:rsidR="00BD77E8">
              <w:rPr>
                <w:rFonts w:ascii="Times New Roman" w:hAnsi="Times New Roman"/>
                <w:sz w:val="24"/>
              </w:rPr>
              <w:t>romotore ai sensi dell</w:t>
            </w:r>
            <w:r w:rsidR="000878EC">
              <w:rPr>
                <w:rFonts w:ascii="Times New Roman" w:hAnsi="Times New Roman"/>
                <w:sz w:val="24"/>
              </w:rPr>
              <w:t>'</w:t>
            </w:r>
            <w:r w:rsidR="00BD77E8">
              <w:rPr>
                <w:rFonts w:ascii="Times New Roman" w:hAnsi="Times New Roman"/>
                <w:sz w:val="24"/>
              </w:rPr>
              <w:t>articolo </w:t>
            </w:r>
            <w:r>
              <w:rPr>
                <w:rFonts w:ascii="Times New Roman" w:hAnsi="Times New Roman"/>
                <w:sz w:val="24"/>
              </w:rPr>
              <w:t>4, paragrafo 1, punto 14, del CRR. Se cartolarizza anche attività proprie, il promotore inserisce nelle righe dedicate al cedente le informazioni relative alle proprie attività cartolarizzate.</w:t>
            </w:r>
          </w:p>
          <w:p w:rsidR="00E026FB" w:rsidRPr="00661595" w:rsidRDefault="00E026FB" w:rsidP="00BD77E8">
            <w:pPr>
              <w:suppressAutoHyphens/>
              <w:autoSpaceDE w:val="0"/>
              <w:autoSpaceDN w:val="0"/>
              <w:adjustRightInd w:val="0"/>
              <w:spacing w:before="0" w:after="0"/>
              <w:rPr>
                <w:rFonts w:ascii="Times New Roman" w:hAnsi="Times New Roman"/>
                <w:sz w:val="24"/>
                <w:lang w:eastAsia="es-ES_tradnl"/>
              </w:rPr>
            </w:pPr>
          </w:p>
        </w:tc>
      </w:tr>
      <w:tr w:rsidR="00E026FB" w:rsidRPr="00661595" w:rsidTr="00E10B85">
        <w:tc>
          <w:tcPr>
            <w:tcW w:w="1256" w:type="dxa"/>
          </w:tcPr>
          <w:p w:rsidR="00E026FB" w:rsidRPr="00661595" w:rsidRDefault="00E026FB" w:rsidP="00BD77E8">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0440-0670</w:t>
            </w:r>
          </w:p>
        </w:tc>
        <w:tc>
          <w:tcPr>
            <w:tcW w:w="7889" w:type="dxa"/>
          </w:tcPr>
          <w:p w:rsidR="00E026FB" w:rsidRPr="00661595" w:rsidRDefault="00E026FB" w:rsidP="00BD77E8">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RIPARTIZIONE DELLE POSIZIONI IN ESSERE PER CLASSE DI MERITO DI CREDITO (CQS) ALL</w:t>
            </w:r>
            <w:r w:rsidR="000878EC">
              <w:rPr>
                <w:rFonts w:ascii="Times New Roman" w:hAnsi="Times New Roman"/>
                <w:b/>
                <w:sz w:val="24"/>
                <w:u w:val="single"/>
              </w:rPr>
              <w:t>'</w:t>
            </w:r>
            <w:r>
              <w:rPr>
                <w:rFonts w:ascii="Times New Roman" w:hAnsi="Times New Roman"/>
                <w:b/>
                <w:sz w:val="24"/>
                <w:u w:val="single"/>
              </w:rPr>
              <w:t>AVVIO</w:t>
            </w:r>
          </w:p>
          <w:p w:rsidR="00E026FB" w:rsidRPr="00661595" w:rsidRDefault="00E026FB" w:rsidP="00BD77E8">
            <w:pPr>
              <w:suppressAutoHyphens/>
              <w:autoSpaceDE w:val="0"/>
              <w:autoSpaceDN w:val="0"/>
              <w:adjustRightInd w:val="0"/>
              <w:spacing w:before="0" w:after="0"/>
              <w:jc w:val="left"/>
              <w:rPr>
                <w:rFonts w:ascii="Times New Roman" w:hAnsi="Times New Roman"/>
                <w:b/>
                <w:sz w:val="24"/>
                <w:u w:val="single"/>
                <w:lang w:eastAsia="es-ES_tradnl"/>
              </w:rPr>
            </w:pPr>
          </w:p>
          <w:p w:rsidR="00E026FB" w:rsidRPr="00661595" w:rsidRDefault="00E026FB" w:rsidP="00BD77E8">
            <w:pPr>
              <w:suppressAutoHyphens/>
              <w:autoSpaceDE w:val="0"/>
              <w:autoSpaceDN w:val="0"/>
              <w:adjustRightInd w:val="0"/>
              <w:spacing w:before="0" w:after="0"/>
              <w:rPr>
                <w:rFonts w:ascii="Times New Roman" w:hAnsi="Times New Roman"/>
                <w:sz w:val="24"/>
              </w:rPr>
            </w:pPr>
            <w:r>
              <w:rPr>
                <w:rFonts w:ascii="Times New Roman" w:hAnsi="Times New Roman"/>
                <w:sz w:val="24"/>
              </w:rPr>
              <w:t>Queste righe contengono informazioni sulle posizioni in essere (alla data di riferimento per le segnalazioni) per le quali è stata determinata la classe di merito di credito (come indicato nelle tabelle 1 e 2 dell</w:t>
            </w:r>
            <w:r w:rsidR="000878EC">
              <w:rPr>
                <w:rFonts w:ascii="Times New Roman" w:hAnsi="Times New Roman"/>
                <w:sz w:val="24"/>
              </w:rPr>
              <w:t>'</w:t>
            </w:r>
            <w:r>
              <w:rPr>
                <w:rFonts w:ascii="Times New Roman" w:hAnsi="Times New Roman"/>
                <w:sz w:val="24"/>
              </w:rPr>
              <w:t>articolo 263 e nelle tabelle 3 e 4 dell</w:t>
            </w:r>
            <w:r w:rsidR="000878EC">
              <w:rPr>
                <w:rFonts w:ascii="Times New Roman" w:hAnsi="Times New Roman"/>
                <w:sz w:val="24"/>
              </w:rPr>
              <w:t>'</w:t>
            </w:r>
            <w:r>
              <w:rPr>
                <w:rFonts w:ascii="Times New Roman" w:hAnsi="Times New Roman"/>
                <w:sz w:val="24"/>
              </w:rPr>
              <w:t>articolo 264 del CRR) alla data di creazione (avvio). Per le posizioni verso la cartolarizzazione trattate secondo l</w:t>
            </w:r>
            <w:r w:rsidR="000878EC">
              <w:rPr>
                <w:rFonts w:ascii="Times New Roman" w:hAnsi="Times New Roman"/>
                <w:sz w:val="24"/>
              </w:rPr>
              <w:t>'</w:t>
            </w:r>
            <w:r>
              <w:rPr>
                <w:rFonts w:ascii="Times New Roman" w:hAnsi="Times New Roman"/>
                <w:sz w:val="24"/>
              </w:rPr>
              <w:t>IAA, la CQS è quella corrispondente alla prima assegnazione del rating IAA. In mancanza di questa informazione sono segnalati i dati disponibili equivalenti alle classi di merito di credito di più antica data.</w:t>
            </w:r>
          </w:p>
          <w:p w:rsidR="00E026FB" w:rsidRPr="00661595" w:rsidRDefault="00E026FB" w:rsidP="00BD77E8">
            <w:pPr>
              <w:suppressAutoHyphens/>
              <w:autoSpaceDE w:val="0"/>
              <w:autoSpaceDN w:val="0"/>
              <w:adjustRightInd w:val="0"/>
              <w:spacing w:before="0" w:after="0"/>
              <w:jc w:val="left"/>
              <w:rPr>
                <w:rFonts w:ascii="Times New Roman" w:hAnsi="Times New Roman"/>
                <w:sz w:val="24"/>
                <w:lang w:eastAsia="es-ES_tradnl"/>
              </w:rPr>
            </w:pPr>
          </w:p>
          <w:p w:rsidR="00E026FB" w:rsidRPr="00661595" w:rsidRDefault="00E026FB" w:rsidP="00BD77E8">
            <w:pPr>
              <w:suppressAutoHyphens/>
              <w:autoSpaceDE w:val="0"/>
              <w:autoSpaceDN w:val="0"/>
              <w:adjustRightInd w:val="0"/>
              <w:spacing w:before="0" w:after="0"/>
              <w:rPr>
                <w:rFonts w:ascii="Times New Roman" w:hAnsi="Times New Roman"/>
                <w:sz w:val="24"/>
              </w:rPr>
            </w:pPr>
            <w:r>
              <w:rPr>
                <w:rFonts w:ascii="Times New Roman" w:hAnsi="Times New Roman"/>
                <w:sz w:val="24"/>
              </w:rPr>
              <w:t>Queste righe devono essere compilate soltanto per le colonne 0180-0210, 0280, 0350-0640, 0700-0720, 0740, 0760-0830 e 0850.</w:t>
            </w:r>
          </w:p>
          <w:p w:rsidR="00E026FB" w:rsidRPr="00661595" w:rsidRDefault="00E026FB" w:rsidP="00BD77E8">
            <w:pPr>
              <w:suppressAutoHyphens/>
              <w:autoSpaceDE w:val="0"/>
              <w:autoSpaceDN w:val="0"/>
              <w:adjustRightInd w:val="0"/>
              <w:spacing w:before="0" w:after="0"/>
              <w:jc w:val="left"/>
              <w:rPr>
                <w:rFonts w:ascii="Times New Roman" w:hAnsi="Times New Roman"/>
                <w:b/>
                <w:sz w:val="24"/>
                <w:u w:val="single"/>
                <w:lang w:eastAsia="es-ES_tradnl"/>
              </w:rPr>
            </w:pPr>
          </w:p>
        </w:tc>
      </w:tr>
    </w:tbl>
    <w:p w:rsidR="00E026FB" w:rsidRPr="00661595" w:rsidRDefault="00E026FB" w:rsidP="00612780">
      <w:pPr>
        <w:autoSpaceDE w:val="0"/>
        <w:autoSpaceDN w:val="0"/>
        <w:adjustRightInd w:val="0"/>
        <w:spacing w:before="0" w:after="0"/>
        <w:jc w:val="left"/>
        <w:rPr>
          <w:rFonts w:ascii="Times New Roman" w:hAnsi="Times New Roman"/>
          <w:sz w:val="24"/>
          <w:lang w:eastAsia="es-ES_tradnl"/>
        </w:rPr>
      </w:pPr>
    </w:p>
    <w:p w:rsidR="00612780" w:rsidRPr="00661595" w:rsidRDefault="00125707" w:rsidP="0023700C">
      <w:pPr>
        <w:pStyle w:val="Instructionsberschrift2"/>
        <w:numPr>
          <w:ilvl w:val="0"/>
          <w:numId w:val="0"/>
        </w:numPr>
        <w:ind w:left="357" w:hanging="357"/>
        <w:rPr>
          <w:rFonts w:ascii="Times New Roman" w:hAnsi="Times New Roman" w:cs="Times New Roman"/>
          <w:sz w:val="24"/>
        </w:rPr>
      </w:pPr>
      <w:bookmarkStart w:id="411" w:name="_Toc239157390"/>
      <w:bookmarkStart w:id="412" w:name="_Toc310415046"/>
      <w:bookmarkStart w:id="413" w:name="_Toc360188381"/>
      <w:bookmarkStart w:id="414" w:name="_Toc473560932"/>
      <w:bookmarkStart w:id="415" w:name="_Toc58915789"/>
      <w:r>
        <w:rPr>
          <w:rFonts w:ascii="Times New Roman" w:hAnsi="Times New Roman"/>
          <w:sz w:val="24"/>
          <w:u w:val="none"/>
        </w:rPr>
        <w:t>3.8</w:t>
      </w:r>
      <w:r w:rsidRPr="00BD77E8">
        <w:rPr>
          <w:u w:val="none"/>
        </w:rPr>
        <w:tab/>
      </w:r>
      <w:bookmarkEnd w:id="411"/>
      <w:r>
        <w:rPr>
          <w:rFonts w:ascii="Times New Roman" w:hAnsi="Times New Roman"/>
          <w:sz w:val="24"/>
        </w:rPr>
        <w:t>Informazioni dettagliate sulle cartolarizzazioni</w:t>
      </w:r>
      <w:bookmarkEnd w:id="412"/>
      <w:bookmarkEnd w:id="413"/>
      <w:r>
        <w:t xml:space="preserve"> </w:t>
      </w:r>
      <w:r>
        <w:rPr>
          <w:rFonts w:ascii="Times New Roman" w:hAnsi="Times New Roman"/>
          <w:sz w:val="24"/>
        </w:rPr>
        <w:t>(SEC DETAILS)</w:t>
      </w:r>
      <w:bookmarkEnd w:id="414"/>
      <w:bookmarkEnd w:id="415"/>
    </w:p>
    <w:p w:rsidR="00612780" w:rsidRPr="00661595" w:rsidRDefault="00A2220F" w:rsidP="0023700C">
      <w:pPr>
        <w:pStyle w:val="Instructionsberschrift2"/>
        <w:numPr>
          <w:ilvl w:val="0"/>
          <w:numId w:val="0"/>
        </w:numPr>
        <w:ind w:left="357" w:hanging="357"/>
        <w:rPr>
          <w:rFonts w:ascii="Times New Roman" w:hAnsi="Times New Roman" w:cs="Times New Roman"/>
          <w:sz w:val="24"/>
          <w:u w:val="none"/>
        </w:rPr>
      </w:pPr>
      <w:bookmarkStart w:id="416" w:name="_Toc310415047"/>
      <w:bookmarkStart w:id="417" w:name="_Toc360188382"/>
      <w:bookmarkStart w:id="418" w:name="_Toc473560933"/>
      <w:bookmarkStart w:id="419" w:name="_Toc58915790"/>
      <w:r>
        <w:rPr>
          <w:rFonts w:ascii="Times New Roman" w:hAnsi="Times New Roman"/>
          <w:sz w:val="24"/>
          <w:u w:val="none"/>
        </w:rPr>
        <w:t>3.8.1</w:t>
      </w:r>
      <w:r w:rsidRPr="00BD77E8">
        <w:rPr>
          <w:u w:val="none"/>
        </w:rPr>
        <w:tab/>
      </w:r>
      <w:r>
        <w:rPr>
          <w:rFonts w:ascii="Times New Roman" w:hAnsi="Times New Roman"/>
          <w:sz w:val="24"/>
          <w:u w:val="none"/>
        </w:rPr>
        <w:t>Ambito di applicazione del modello SEC DETAILS</w:t>
      </w:r>
      <w:bookmarkEnd w:id="416"/>
      <w:bookmarkEnd w:id="417"/>
      <w:bookmarkEnd w:id="418"/>
      <w:bookmarkEnd w:id="419"/>
    </w:p>
    <w:bookmarkStart w:id="420" w:name="_Toc310415048"/>
    <w:bookmarkStart w:id="421" w:name="_Toc360188383"/>
    <w:bookmarkStart w:id="422" w:name="_Toc473560934"/>
    <w:p w:rsidR="00062A1F" w:rsidRPr="00661595" w:rsidRDefault="00771068" w:rsidP="00BD77E8">
      <w:pPr>
        <w:pStyle w:val="InstructionsText2"/>
        <w:numPr>
          <w:ilvl w:val="0"/>
          <w:numId w:val="0"/>
        </w:numPr>
        <w:ind w:left="1680" w:hanging="480"/>
      </w:pPr>
      <w:r>
        <w:fldChar w:fldCharType="begin"/>
      </w:r>
      <w:r>
        <w:instrText xml:space="preserve"> seq paragraphs </w:instrText>
      </w:r>
      <w:r>
        <w:fldChar w:fldCharType="separate"/>
      </w:r>
      <w:r>
        <w:t>111</w:t>
      </w:r>
      <w:r>
        <w:fldChar w:fldCharType="end"/>
      </w:r>
      <w:r w:rsidR="00BD77E8">
        <w:t>.</w:t>
      </w:r>
      <w:r w:rsidR="00BD77E8">
        <w:tab/>
      </w:r>
      <w:r>
        <w:t>Questi modelli contengono informazioni suddivise per singola operazione (a differenza delle informazioni aggregate segnalate nei modelli CR SEC, MKR SA SEC, MKR SA CTP, CA1 e CA2) riguardanti tutte le cartolarizzazioni alle quali l</w:t>
      </w:r>
      <w:r w:rsidR="000878EC">
        <w:t>'</w:t>
      </w:r>
      <w:r>
        <w:t xml:space="preserve">ente segnalante partecipa. Sono indicate le caratteristiche principali di ciascuna cartolarizzazione, quali la natura del portafoglio sottostante e i requisiti di fondi propri. </w:t>
      </w:r>
    </w:p>
    <w:p w:rsidR="00062A1F" w:rsidRPr="00661595" w:rsidRDefault="00A971CA" w:rsidP="00D17DDA">
      <w:pPr>
        <w:pStyle w:val="InstructionsText2"/>
        <w:keepNext/>
        <w:keepLines/>
        <w:numPr>
          <w:ilvl w:val="0"/>
          <w:numId w:val="0"/>
        </w:numPr>
        <w:ind w:left="1680" w:hanging="480"/>
      </w:pPr>
      <w:r>
        <w:fldChar w:fldCharType="begin"/>
      </w:r>
      <w:r>
        <w:instrText xml:space="preserve"> seq paragraphs </w:instrText>
      </w:r>
      <w:r>
        <w:fldChar w:fldCharType="separate"/>
      </w:r>
      <w:r w:rsidR="00D11E4C">
        <w:rPr>
          <w:noProof/>
        </w:rPr>
        <w:t>112</w:t>
      </w:r>
      <w:r>
        <w:rPr>
          <w:noProof/>
        </w:rPr>
        <w:fldChar w:fldCharType="end"/>
      </w:r>
      <w:r w:rsidR="00D11E4C">
        <w:t>.</w:t>
      </w:r>
      <w:r w:rsidR="00D11E4C">
        <w:tab/>
        <w:t xml:space="preserve"> Questi modelli devono essere compilati per:</w:t>
      </w:r>
    </w:p>
    <w:p w:rsidR="002409C1" w:rsidRPr="00661595" w:rsidRDefault="00062A1F" w:rsidP="00D17DDA">
      <w:pPr>
        <w:pStyle w:val="InstructionsText2"/>
        <w:keepNext/>
        <w:keepLines/>
        <w:numPr>
          <w:ilvl w:val="0"/>
          <w:numId w:val="0"/>
        </w:numPr>
        <w:ind w:left="1680" w:hanging="480"/>
      </w:pPr>
      <w:r>
        <w:t>a.</w:t>
      </w:r>
      <w:r>
        <w:tab/>
        <w:t>le cartolarizzazioni create/promosse dall</w:t>
      </w:r>
      <w:r w:rsidR="000878EC">
        <w:t>'</w:t>
      </w:r>
      <w:r>
        <w:t>ente segnalante, anche qualora esso non detenga alcuna posizione nella cartolarizzazione. Laddove l</w:t>
      </w:r>
      <w:r w:rsidR="000878EC">
        <w:t>'</w:t>
      </w:r>
      <w:r>
        <w:t>ente detenga almeno una posizione nella cartolarizzazione, a prescindere dal fatto che vi sia o non vi sia stato un trasferimento significativo del rischio, l</w:t>
      </w:r>
      <w:r w:rsidR="000878EC">
        <w:t>'</w:t>
      </w:r>
      <w:r>
        <w:t>ente segnala informazioni riguardanti tutte le posizioni da esso detenute (nel portafoglio bancario oppure nel portafoglio di negoziazione). Le posizioni detenute comprendono le posizioni mantenute a norma dell</w:t>
      </w:r>
      <w:r w:rsidR="000878EC">
        <w:t>'</w:t>
      </w:r>
      <w:r>
        <w:t>articolo 6 del regolamento (UE) 2017/2402 e, in caso di applicazione dell</w:t>
      </w:r>
      <w:r w:rsidR="000878EC">
        <w:t>'</w:t>
      </w:r>
      <w:r>
        <w:t>articolo 43, paragrafo 6, di detto regolamento, dell</w:t>
      </w:r>
      <w:r w:rsidR="000878EC">
        <w:t>'</w:t>
      </w:r>
      <w:r>
        <w:t>articolo 405 del CRR nella versione applicabile il 31 dicembre 2018;</w:t>
      </w:r>
    </w:p>
    <w:p w:rsidR="00062A1F" w:rsidRPr="00661595" w:rsidRDefault="00062A1F" w:rsidP="00BD77E8">
      <w:pPr>
        <w:pStyle w:val="InstructionsText2"/>
        <w:numPr>
          <w:ilvl w:val="0"/>
          <w:numId w:val="0"/>
        </w:numPr>
        <w:ind w:left="1680" w:hanging="480"/>
      </w:pPr>
      <w:r>
        <w:t>b.</w:t>
      </w:r>
      <w:r>
        <w:tab/>
        <w:t>le cartolarizzazioni il cui sottostante finale è costituito da passività finanziarie emesse originariamente dall</w:t>
      </w:r>
      <w:r w:rsidR="000878EC">
        <w:t>'</w:t>
      </w:r>
      <w:r>
        <w:t>ente segnalante e acquisite (parzialmente) da un veicolo per la cartolarizzazione. Tale sottostante potrebbe includere obbligazioni garantite o altre passività ed è identificato come tale nella colonna 0160;</w:t>
      </w:r>
    </w:p>
    <w:p w:rsidR="00062A1F" w:rsidRPr="00661595" w:rsidRDefault="002409C1" w:rsidP="00BD77E8">
      <w:pPr>
        <w:pStyle w:val="InstructionsText2"/>
        <w:numPr>
          <w:ilvl w:val="0"/>
          <w:numId w:val="0"/>
        </w:numPr>
        <w:ind w:left="1680" w:hanging="480"/>
      </w:pPr>
      <w:r>
        <w:t>c.</w:t>
      </w:r>
      <w:r>
        <w:tab/>
        <w:t>le posizioni detenute nelle cartolarizzazioni quando l</w:t>
      </w:r>
      <w:r w:rsidR="000878EC">
        <w:t>'</w:t>
      </w:r>
      <w:r>
        <w:t>ente segnalante non è né il cedente né il promotore (ossia è investitore e prestatore originario).</w:t>
      </w:r>
    </w:p>
    <w:p w:rsidR="00062A1F" w:rsidRPr="00661595" w:rsidRDefault="00A971CA" w:rsidP="00BD77E8">
      <w:pPr>
        <w:pStyle w:val="InstructionsText2"/>
        <w:numPr>
          <w:ilvl w:val="0"/>
          <w:numId w:val="0"/>
        </w:numPr>
        <w:ind w:left="1680" w:hanging="480"/>
      </w:pPr>
      <w:r>
        <w:fldChar w:fldCharType="begin"/>
      </w:r>
      <w:r>
        <w:instrText xml:space="preserve"> seq paragraphs </w:instrText>
      </w:r>
      <w:r>
        <w:fldChar w:fldCharType="separate"/>
      </w:r>
      <w:r w:rsidR="00D11E4C">
        <w:rPr>
          <w:noProof/>
        </w:rPr>
        <w:t>113</w:t>
      </w:r>
      <w:r>
        <w:rPr>
          <w:noProof/>
        </w:rPr>
        <w:fldChar w:fldCharType="end"/>
      </w:r>
      <w:r w:rsidR="00D11E4C">
        <w:t>.</w:t>
      </w:r>
      <w:r w:rsidR="00D11E4C">
        <w:tab/>
        <w:t xml:space="preserve"> Questi modelli devono essere compilati dai gruppi consolidati e dagli enti autonomi</w:t>
      </w:r>
      <w:r w:rsidR="00D11E4C" w:rsidRPr="00D17DDA">
        <w:rPr>
          <w:vertAlign w:val="superscript"/>
        </w:rPr>
        <w:footnoteReference w:id="12"/>
      </w:r>
      <w:r w:rsidR="00D11E4C">
        <w:t xml:space="preserve"> situati nello stesso paese in cui sono soggetti ai requisiti di fondi propri. Nel caso di cartolarizzazioni che coinvolgono più di un soggetto del medesimo gruppo consolidato, è segnalata la ripartizione dettagliata per singolo soggetto. </w:t>
      </w:r>
    </w:p>
    <w:p w:rsidR="00062A1F" w:rsidRPr="00661595" w:rsidRDefault="00A971CA" w:rsidP="00BD77E8">
      <w:pPr>
        <w:pStyle w:val="InstructionsText2"/>
        <w:numPr>
          <w:ilvl w:val="0"/>
          <w:numId w:val="0"/>
        </w:numPr>
        <w:ind w:left="1680" w:hanging="480"/>
      </w:pPr>
      <w:r>
        <w:fldChar w:fldCharType="begin"/>
      </w:r>
      <w:r>
        <w:instrText xml:space="preserve"> seq paragraphs </w:instrText>
      </w:r>
      <w:r>
        <w:fldChar w:fldCharType="separate"/>
      </w:r>
      <w:r w:rsidR="00D11E4C">
        <w:rPr>
          <w:noProof/>
        </w:rPr>
        <w:t>114</w:t>
      </w:r>
      <w:r>
        <w:rPr>
          <w:noProof/>
        </w:rPr>
        <w:fldChar w:fldCharType="end"/>
      </w:r>
      <w:r w:rsidR="00D11E4C">
        <w:t>.</w:t>
      </w:r>
      <w:r w:rsidR="00D11E4C">
        <w:tab/>
        <w:t xml:space="preserve"> In considerazione dell</w:t>
      </w:r>
      <w:r w:rsidR="000878EC">
        <w:t>'</w:t>
      </w:r>
      <w:r w:rsidR="00D11E4C">
        <w:t>articolo 5 del regolamento (UE) 2017/2402, secondo il quale gli enti che investono in posizioni verso la cartolarizzazione devono acquisire molte informazioni sulle posizioni stesse per adempiere agli obblighi di due diligence, l</w:t>
      </w:r>
      <w:r w:rsidR="000878EC">
        <w:t>'</w:t>
      </w:r>
      <w:r w:rsidR="00D11E4C">
        <w:t>ambito di segnalazione del modello si applica agli investitori in misura ridotta. Essi compilano</w:t>
      </w:r>
      <w:r w:rsidR="002305FC">
        <w:t xml:space="preserve"> in particolare le colonne 0010</w:t>
      </w:r>
      <w:r w:rsidR="002305FC">
        <w:noBreakHyphen/>
      </w:r>
      <w:r w:rsidR="00D11E4C">
        <w:t>0040; 0070-0110; 0160; 0190; 0290-0300; 0310-0470.</w:t>
      </w:r>
    </w:p>
    <w:p w:rsidR="00062A1F" w:rsidRPr="00661595" w:rsidRDefault="00A971CA" w:rsidP="00BD77E8">
      <w:pPr>
        <w:pStyle w:val="InstructionsText2"/>
        <w:numPr>
          <w:ilvl w:val="0"/>
          <w:numId w:val="0"/>
        </w:numPr>
        <w:ind w:left="1680" w:hanging="480"/>
      </w:pPr>
      <w:r>
        <w:fldChar w:fldCharType="begin"/>
      </w:r>
      <w:r>
        <w:instrText xml:space="preserve"> seq paragraphs </w:instrText>
      </w:r>
      <w:r>
        <w:fldChar w:fldCharType="separate"/>
      </w:r>
      <w:r w:rsidR="00D11E4C">
        <w:rPr>
          <w:noProof/>
        </w:rPr>
        <w:t>115</w:t>
      </w:r>
      <w:r>
        <w:rPr>
          <w:noProof/>
        </w:rPr>
        <w:fldChar w:fldCharType="end"/>
      </w:r>
      <w:r w:rsidR="00D11E4C">
        <w:t>.</w:t>
      </w:r>
      <w:r w:rsidR="00D11E4C">
        <w:tab/>
        <w:t xml:space="preserve"> Gli enti che hanno il ruolo di prestatori originari (e che non hanno anche il ruolo di cedente o promotore nella medesima cartolarizzazione) devono in linea di massima compilare il modello nella stessa misura degli investitori.</w:t>
      </w:r>
    </w:p>
    <w:p w:rsidR="00062A1F" w:rsidRPr="00661595" w:rsidRDefault="00A2220F" w:rsidP="003B3533">
      <w:pPr>
        <w:pStyle w:val="Instructionsberschrift2"/>
        <w:numPr>
          <w:ilvl w:val="0"/>
          <w:numId w:val="0"/>
        </w:numPr>
        <w:ind w:left="357" w:hanging="357"/>
        <w:rPr>
          <w:rFonts w:ascii="Times New Roman" w:hAnsi="Times New Roman" w:cs="Times New Roman"/>
          <w:sz w:val="24"/>
          <w:u w:val="none"/>
        </w:rPr>
      </w:pPr>
      <w:bookmarkStart w:id="423" w:name="_Toc522019892"/>
      <w:bookmarkStart w:id="424" w:name="_Toc58915791"/>
      <w:r>
        <w:rPr>
          <w:rFonts w:ascii="Times New Roman" w:hAnsi="Times New Roman"/>
          <w:sz w:val="24"/>
          <w:u w:val="none"/>
        </w:rPr>
        <w:t>3.8.2 Ripartizione del modello SEC DETAILS</w:t>
      </w:r>
      <w:bookmarkEnd w:id="423"/>
      <w:bookmarkEnd w:id="424"/>
    </w:p>
    <w:p w:rsidR="00062A1F" w:rsidRPr="00661595" w:rsidRDefault="00A971CA" w:rsidP="002305FC">
      <w:pPr>
        <w:pStyle w:val="InstructionsText2"/>
        <w:numPr>
          <w:ilvl w:val="0"/>
          <w:numId w:val="0"/>
        </w:numPr>
        <w:ind w:left="1680" w:hanging="480"/>
      </w:pPr>
      <w:r>
        <w:fldChar w:fldCharType="begin"/>
      </w:r>
      <w:r>
        <w:instrText xml:space="preserve"> seq paragraphs </w:instrText>
      </w:r>
      <w:r>
        <w:fldChar w:fldCharType="separate"/>
      </w:r>
      <w:r w:rsidR="00D11E4C">
        <w:rPr>
          <w:noProof/>
        </w:rPr>
        <w:t>116</w:t>
      </w:r>
      <w:r>
        <w:rPr>
          <w:noProof/>
        </w:rPr>
        <w:fldChar w:fldCharType="end"/>
      </w:r>
      <w:r w:rsidR="002305FC">
        <w:t>.</w:t>
      </w:r>
      <w:r w:rsidR="002305FC">
        <w:tab/>
      </w:r>
      <w:r w:rsidR="00D11E4C">
        <w:t xml:space="preserve">Il SEC DETAILS consta di due modelli. Il SEC DETAILS fornisce una panoramica generale delle cartolarizzazioni e il SEC DETAILS 2 fornisce una ripartizione delle stesse cartolarizzazioni in funzione del metodo applicato. </w:t>
      </w:r>
    </w:p>
    <w:p w:rsidR="00062A1F" w:rsidRPr="00661595" w:rsidRDefault="00A971CA" w:rsidP="002305FC">
      <w:pPr>
        <w:pStyle w:val="InstructionsText2"/>
        <w:numPr>
          <w:ilvl w:val="0"/>
          <w:numId w:val="0"/>
        </w:numPr>
        <w:ind w:left="1680" w:hanging="480"/>
      </w:pPr>
      <w:r>
        <w:fldChar w:fldCharType="begin"/>
      </w:r>
      <w:r>
        <w:instrText xml:space="preserve"> seq paragraphs </w:instrText>
      </w:r>
      <w:r>
        <w:fldChar w:fldCharType="separate"/>
      </w:r>
      <w:r w:rsidR="00D11E4C">
        <w:rPr>
          <w:noProof/>
        </w:rPr>
        <w:t>117</w:t>
      </w:r>
      <w:r>
        <w:rPr>
          <w:noProof/>
        </w:rPr>
        <w:fldChar w:fldCharType="end"/>
      </w:r>
      <w:r w:rsidR="002305FC">
        <w:t>.</w:t>
      </w:r>
      <w:r w:rsidR="002305FC">
        <w:tab/>
      </w:r>
      <w:r w:rsidR="00D11E4C">
        <w:t>Le posizioni verso la cartolarizzazione nel portafoglio di negoziazione sono segnalate solo nelle colonne 0005-0020, 0420, 0430, 0431, 0432, 0440 e 0450</w:t>
      </w:r>
      <w:r w:rsidR="002305FC">
        <w:noBreakHyphen/>
      </w:r>
      <w:r w:rsidR="00D11E4C">
        <w:t>0470. Per le colonne 0420, 0430 e 0440 gli enti tengono conto dell</w:t>
      </w:r>
      <w:r w:rsidR="000878EC">
        <w:t>'</w:t>
      </w:r>
      <w:r w:rsidR="00D11E4C">
        <w:t xml:space="preserve">RW corrispondente al requisito di fondi propri della posizione netta. </w:t>
      </w:r>
    </w:p>
    <w:p w:rsidR="00612780" w:rsidRPr="00661595" w:rsidRDefault="00A2220F">
      <w:pPr>
        <w:pStyle w:val="Instructionsberschrift2"/>
        <w:numPr>
          <w:ilvl w:val="0"/>
          <w:numId w:val="0"/>
        </w:numPr>
        <w:ind w:left="357" w:hanging="357"/>
        <w:rPr>
          <w:rFonts w:ascii="Times New Roman" w:hAnsi="Times New Roman" w:cs="Times New Roman"/>
          <w:sz w:val="24"/>
          <w:u w:val="none"/>
        </w:rPr>
      </w:pPr>
      <w:bookmarkStart w:id="425" w:name="_Toc58915792"/>
      <w:r>
        <w:rPr>
          <w:rFonts w:ascii="Times New Roman" w:hAnsi="Times New Roman"/>
          <w:sz w:val="24"/>
          <w:u w:val="none"/>
        </w:rPr>
        <w:t>3.8.3 C 14.00 – Informazioni dettagliate sulle cartolarizzazioni (SEC DETAILS)</w:t>
      </w:r>
      <w:bookmarkEnd w:id="420"/>
      <w:bookmarkEnd w:id="421"/>
      <w:bookmarkEnd w:id="422"/>
      <w:bookmarkEnd w:id="425"/>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C55547" w:rsidRPr="00661595" w:rsidTr="00E10B85">
        <w:tc>
          <w:tcPr>
            <w:tcW w:w="9004" w:type="dxa"/>
            <w:gridSpan w:val="2"/>
            <w:shd w:val="clear" w:color="auto" w:fill="CCCCCC"/>
          </w:tcPr>
          <w:p w:rsidR="00C55547" w:rsidRPr="00661595" w:rsidRDefault="00C55547" w:rsidP="00E9572B">
            <w:pPr>
              <w:suppressAutoHyphens/>
              <w:autoSpaceDE w:val="0"/>
              <w:autoSpaceDN w:val="0"/>
              <w:adjustRightInd w:val="0"/>
              <w:spacing w:before="0" w:after="0"/>
              <w:rPr>
                <w:rFonts w:ascii="Times New Roman" w:hAnsi="Times New Roman"/>
                <w:bCs/>
                <w:sz w:val="24"/>
                <w:lang w:eastAsia="nl-BE"/>
              </w:rPr>
            </w:pPr>
          </w:p>
          <w:p w:rsidR="00C55547" w:rsidRPr="00661595" w:rsidRDefault="00C55547" w:rsidP="00E9572B">
            <w:pPr>
              <w:suppressAutoHyphens/>
              <w:autoSpaceDE w:val="0"/>
              <w:autoSpaceDN w:val="0"/>
              <w:adjustRightInd w:val="0"/>
              <w:spacing w:before="0" w:after="0"/>
              <w:rPr>
                <w:rFonts w:ascii="Times New Roman" w:hAnsi="Times New Roman"/>
                <w:b/>
                <w:bCs/>
                <w:sz w:val="24"/>
              </w:rPr>
            </w:pPr>
            <w:r>
              <w:rPr>
                <w:rFonts w:ascii="Times New Roman" w:hAnsi="Times New Roman"/>
                <w:b/>
                <w:sz w:val="24"/>
              </w:rPr>
              <w:t>Colonne</w:t>
            </w:r>
          </w:p>
          <w:p w:rsidR="00C55547" w:rsidRPr="00661595" w:rsidRDefault="00C55547" w:rsidP="00E9572B">
            <w:pPr>
              <w:suppressAutoHyphens/>
              <w:autoSpaceDE w:val="0"/>
              <w:autoSpaceDN w:val="0"/>
              <w:adjustRightInd w:val="0"/>
              <w:spacing w:before="0" w:after="0"/>
              <w:rPr>
                <w:rFonts w:ascii="Times New Roman" w:hAnsi="Times New Roman"/>
                <w:bCs/>
                <w:sz w:val="24"/>
                <w:lang w:eastAsia="nl-BE"/>
              </w:rPr>
            </w:pPr>
          </w:p>
        </w:tc>
      </w:tr>
      <w:tr w:rsidR="00C55547" w:rsidRPr="00661595" w:rsidTr="00E10B85">
        <w:tc>
          <w:tcPr>
            <w:tcW w:w="1101" w:type="dxa"/>
          </w:tcPr>
          <w:p w:rsidR="00C55547" w:rsidRPr="00661595" w:rsidRDefault="00C55547" w:rsidP="00E9572B">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0010</w:t>
            </w:r>
          </w:p>
        </w:tc>
        <w:tc>
          <w:tcPr>
            <w:tcW w:w="7903" w:type="dxa"/>
          </w:tcPr>
          <w:p w:rsidR="00C55547" w:rsidRPr="00661595" w:rsidRDefault="00C55547" w:rsidP="00E9572B">
            <w:pPr>
              <w:suppressAutoHyphens/>
              <w:spacing w:before="0" w:after="0"/>
              <w:jc w:val="left"/>
              <w:rPr>
                <w:rFonts w:ascii="Times New Roman" w:hAnsi="Times New Roman"/>
                <w:b/>
                <w:sz w:val="24"/>
                <w:u w:val="single"/>
              </w:rPr>
            </w:pPr>
            <w:r>
              <w:rPr>
                <w:rFonts w:ascii="Times New Roman" w:hAnsi="Times New Roman"/>
                <w:b/>
                <w:sz w:val="24"/>
                <w:u w:val="single"/>
              </w:rPr>
              <w:t>CODICE INTERNO</w:t>
            </w:r>
          </w:p>
          <w:p w:rsidR="00C55547" w:rsidRPr="00661595" w:rsidRDefault="00C55547" w:rsidP="00E9572B">
            <w:pPr>
              <w:suppressAutoHyphens/>
              <w:spacing w:before="0" w:after="0"/>
              <w:jc w:val="left"/>
              <w:rPr>
                <w:rFonts w:ascii="Times New Roman" w:hAnsi="Times New Roman"/>
                <w:sz w:val="24"/>
              </w:rPr>
            </w:pPr>
          </w:p>
          <w:p w:rsidR="006C5A49" w:rsidRDefault="00D956C2"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Codice interno (alfanumerico) utilizzato dall</w:t>
            </w:r>
            <w:r w:rsidR="000878EC">
              <w:rPr>
                <w:rFonts w:ascii="Times New Roman" w:hAnsi="Times New Roman"/>
                <w:sz w:val="24"/>
              </w:rPr>
              <w:t>'</w:t>
            </w:r>
            <w:r>
              <w:rPr>
                <w:rFonts w:ascii="Times New Roman" w:hAnsi="Times New Roman"/>
                <w:sz w:val="24"/>
              </w:rPr>
              <w:t>ente per identificare la cartolarizzazione.</w:t>
            </w:r>
          </w:p>
          <w:p w:rsidR="006C5A49" w:rsidRDefault="006C5A49" w:rsidP="00E9572B">
            <w:pPr>
              <w:suppressAutoHyphens/>
              <w:autoSpaceDE w:val="0"/>
              <w:autoSpaceDN w:val="0"/>
              <w:adjustRightInd w:val="0"/>
              <w:spacing w:before="0" w:after="0"/>
              <w:rPr>
                <w:rFonts w:ascii="Times New Roman" w:hAnsi="Times New Roman"/>
                <w:sz w:val="24"/>
              </w:rPr>
            </w:pPr>
          </w:p>
          <w:p w:rsidR="00D956C2" w:rsidRPr="00661595" w:rsidRDefault="00D956C2"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Il codice interno è associato all</w:t>
            </w:r>
            <w:r w:rsidR="000878EC">
              <w:rPr>
                <w:rFonts w:ascii="Times New Roman" w:hAnsi="Times New Roman"/>
                <w:sz w:val="24"/>
              </w:rPr>
              <w:t>'</w:t>
            </w:r>
            <w:r>
              <w:rPr>
                <w:rFonts w:ascii="Times New Roman" w:hAnsi="Times New Roman"/>
                <w:sz w:val="24"/>
              </w:rPr>
              <w:t>identificativo dell</w:t>
            </w:r>
            <w:r w:rsidR="000878EC">
              <w:rPr>
                <w:rFonts w:ascii="Times New Roman" w:hAnsi="Times New Roman"/>
                <w:sz w:val="24"/>
              </w:rPr>
              <w:t>'</w:t>
            </w:r>
            <w:r>
              <w:rPr>
                <w:rFonts w:ascii="Times New Roman" w:hAnsi="Times New Roman"/>
                <w:sz w:val="24"/>
              </w:rPr>
              <w:t>operazione di cartolarizzazione.</w:t>
            </w:r>
          </w:p>
          <w:p w:rsidR="00C55547" w:rsidRPr="00661595" w:rsidRDefault="00C55547" w:rsidP="00E9572B">
            <w:pPr>
              <w:suppressAutoHyphens/>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E9572B">
            <w:pPr>
              <w:suppressAutoHyphens/>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rsidR="00C55547" w:rsidRPr="00661595" w:rsidRDefault="00C55547" w:rsidP="00E9572B">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IDENTIFICATIVO DELLA CARTOLARIZZAZIONE</w:t>
            </w:r>
            <w:r>
              <w:rPr>
                <w:rFonts w:ascii="Times New Roman" w:hAnsi="Times New Roman"/>
                <w:b/>
                <w:sz w:val="24"/>
              </w:rPr>
              <w:t xml:space="preserve"> (codice/denominazione)</w:t>
            </w:r>
          </w:p>
          <w:p w:rsidR="00C55547" w:rsidRPr="00661595" w:rsidRDefault="00C55547" w:rsidP="00E9572B">
            <w:pPr>
              <w:suppressAutoHyphens/>
              <w:spacing w:before="0" w:after="0"/>
              <w:jc w:val="left"/>
              <w:rPr>
                <w:rFonts w:ascii="Times New Roman" w:hAnsi="Times New Roman"/>
                <w:sz w:val="24"/>
              </w:rPr>
            </w:pPr>
          </w:p>
          <w:p w:rsidR="006C5A49" w:rsidRDefault="00C55547"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Codice utilizzato per la registrazione legale dell</w:t>
            </w:r>
            <w:r w:rsidR="000878EC">
              <w:rPr>
                <w:rFonts w:ascii="Times New Roman" w:hAnsi="Times New Roman"/>
                <w:sz w:val="24"/>
              </w:rPr>
              <w:t>'</w:t>
            </w:r>
            <w:r>
              <w:rPr>
                <w:rFonts w:ascii="Times New Roman" w:hAnsi="Times New Roman"/>
                <w:sz w:val="24"/>
              </w:rPr>
              <w:t>operazione di cartolarizzazione o, in sua mancanza, denominazione con la quale l</w:t>
            </w:r>
            <w:r w:rsidR="000878EC">
              <w:rPr>
                <w:rFonts w:ascii="Times New Roman" w:hAnsi="Times New Roman"/>
                <w:sz w:val="24"/>
              </w:rPr>
              <w:t>'</w:t>
            </w:r>
            <w:r>
              <w:rPr>
                <w:rFonts w:ascii="Times New Roman" w:hAnsi="Times New Roman"/>
                <w:sz w:val="24"/>
              </w:rPr>
              <w:t>operazione di cartolarizzazione è nota sul mercato, o all</w:t>
            </w:r>
            <w:r w:rsidR="000878EC">
              <w:rPr>
                <w:rFonts w:ascii="Times New Roman" w:hAnsi="Times New Roman"/>
                <w:sz w:val="24"/>
              </w:rPr>
              <w:t>'</w:t>
            </w:r>
            <w:r>
              <w:rPr>
                <w:rFonts w:ascii="Times New Roman" w:hAnsi="Times New Roman"/>
                <w:sz w:val="24"/>
              </w:rPr>
              <w:t>interno dell</w:t>
            </w:r>
            <w:r w:rsidR="000878EC">
              <w:rPr>
                <w:rFonts w:ascii="Times New Roman" w:hAnsi="Times New Roman"/>
                <w:sz w:val="24"/>
              </w:rPr>
              <w:t>'</w:t>
            </w:r>
            <w:r>
              <w:rPr>
                <w:rFonts w:ascii="Times New Roman" w:hAnsi="Times New Roman"/>
                <w:sz w:val="24"/>
              </w:rPr>
              <w:t xml:space="preserve">ente in caso di cartolarizzazione interna o privata. </w:t>
            </w:r>
          </w:p>
          <w:p w:rsidR="006C5A49" w:rsidRDefault="006C5A49" w:rsidP="00E9572B">
            <w:pPr>
              <w:suppressAutoHyphens/>
              <w:autoSpaceDE w:val="0"/>
              <w:autoSpaceDN w:val="0"/>
              <w:adjustRightInd w:val="0"/>
              <w:spacing w:before="0" w:after="0"/>
              <w:rPr>
                <w:rFonts w:ascii="Times New Roman" w:hAnsi="Times New Roman"/>
                <w:sz w:val="24"/>
              </w:rPr>
            </w:pPr>
          </w:p>
          <w:p w:rsidR="00C55547" w:rsidRPr="00661595" w:rsidRDefault="00C55547"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Quando è disponibile il numero internazionale di identificazione dei titoli (International Securities Identification Number — ISIN), ossia nel caso di operazioni pubbliche, in questa colonna sono riportati i caratteri comuni a tutti i segmenti della cartolarizzazione.</w:t>
            </w:r>
          </w:p>
          <w:p w:rsidR="00C55547" w:rsidRPr="00661595" w:rsidRDefault="00C55547" w:rsidP="00E9572B">
            <w:pPr>
              <w:suppressAutoHyphens/>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0021</w:t>
            </w:r>
          </w:p>
        </w:tc>
        <w:tc>
          <w:tcPr>
            <w:tcW w:w="7903" w:type="dxa"/>
          </w:tcPr>
          <w:p w:rsidR="00C55547" w:rsidRPr="00661595" w:rsidRDefault="00C55547" w:rsidP="00E9572B">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CARTOLARIZZAZIONE INFRAGRUPPO, PRIVATA O PUBBLICA?</w:t>
            </w:r>
          </w:p>
          <w:p w:rsidR="00C55547" w:rsidRPr="00661595" w:rsidRDefault="00C55547" w:rsidP="00E9572B">
            <w:pPr>
              <w:suppressAutoHyphens/>
              <w:autoSpaceDE w:val="0"/>
              <w:autoSpaceDN w:val="0"/>
              <w:adjustRightInd w:val="0"/>
              <w:spacing w:before="0" w:after="0"/>
              <w:jc w:val="left"/>
              <w:rPr>
                <w:rFonts w:ascii="Times New Roman" w:hAnsi="Times New Roman"/>
                <w:b/>
                <w:sz w:val="24"/>
                <w:u w:val="single"/>
              </w:rPr>
            </w:pP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Questa colonna indica se la cartolarizzazione è una cartolarizzazione infragruppo, privata o pubblica.</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p>
          <w:p w:rsidR="00C55547" w:rsidRPr="00661595" w:rsidRDefault="00E20FAC" w:rsidP="00E9572B">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Gli enti utilizzano una delle seguenti abbreviazioni:</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p>
          <w:p w:rsidR="00C55547" w:rsidRPr="00661595" w:rsidRDefault="000878EC" w:rsidP="00E9572B">
            <w:pPr>
              <w:pStyle w:val="ListParagraph"/>
              <w:numPr>
                <w:ilvl w:val="0"/>
                <w:numId w:val="34"/>
              </w:numPr>
              <w:suppressAutoHyphens/>
              <w:autoSpaceDE w:val="0"/>
              <w:autoSpaceDN w:val="0"/>
              <w:adjustRightInd w:val="0"/>
              <w:spacing w:before="0" w:after="0"/>
              <w:jc w:val="left"/>
              <w:rPr>
                <w:rFonts w:ascii="Times New Roman" w:hAnsi="Times New Roman"/>
                <w:sz w:val="24"/>
              </w:rPr>
            </w:pPr>
            <w:r>
              <w:rPr>
                <w:rFonts w:ascii="Times New Roman" w:hAnsi="Times New Roman"/>
                <w:sz w:val="24"/>
              </w:rPr>
              <w:t>"</w:t>
            </w:r>
            <w:r w:rsidR="00C55547">
              <w:rPr>
                <w:rFonts w:ascii="Times New Roman" w:hAnsi="Times New Roman"/>
                <w:sz w:val="24"/>
              </w:rPr>
              <w:t>PRI</w:t>
            </w:r>
            <w:r>
              <w:rPr>
                <w:rFonts w:ascii="Times New Roman" w:hAnsi="Times New Roman"/>
                <w:sz w:val="24"/>
              </w:rPr>
              <w:t>"</w:t>
            </w:r>
            <w:r w:rsidR="00C55547">
              <w:rPr>
                <w:rFonts w:ascii="Times New Roman" w:hAnsi="Times New Roman"/>
                <w:sz w:val="24"/>
              </w:rPr>
              <w:t xml:space="preserve"> = privata;</w:t>
            </w:r>
          </w:p>
          <w:p w:rsidR="00BF67D7" w:rsidRPr="00661595" w:rsidRDefault="000878EC" w:rsidP="00E9572B">
            <w:pPr>
              <w:pStyle w:val="ListParagraph"/>
              <w:numPr>
                <w:ilvl w:val="0"/>
                <w:numId w:val="34"/>
              </w:numPr>
              <w:suppressAutoHyphens/>
              <w:autoSpaceDE w:val="0"/>
              <w:autoSpaceDN w:val="0"/>
              <w:adjustRightInd w:val="0"/>
              <w:spacing w:before="0" w:after="0"/>
              <w:jc w:val="left"/>
              <w:rPr>
                <w:rFonts w:ascii="Times New Roman" w:hAnsi="Times New Roman"/>
                <w:sz w:val="24"/>
              </w:rPr>
            </w:pPr>
            <w:r>
              <w:rPr>
                <w:rFonts w:ascii="Times New Roman" w:hAnsi="Times New Roman"/>
                <w:sz w:val="24"/>
              </w:rPr>
              <w:t>"</w:t>
            </w:r>
            <w:r w:rsidR="00BF67D7">
              <w:rPr>
                <w:rFonts w:ascii="Times New Roman" w:hAnsi="Times New Roman"/>
                <w:sz w:val="24"/>
              </w:rPr>
              <w:t>INT</w:t>
            </w:r>
            <w:r>
              <w:rPr>
                <w:rFonts w:ascii="Times New Roman" w:hAnsi="Times New Roman"/>
                <w:sz w:val="24"/>
              </w:rPr>
              <w:t>"</w:t>
            </w:r>
            <w:r w:rsidR="00BF67D7">
              <w:rPr>
                <w:rFonts w:ascii="Times New Roman" w:hAnsi="Times New Roman"/>
                <w:sz w:val="24"/>
              </w:rPr>
              <w:t xml:space="preserve"> = infragruppo;</w:t>
            </w:r>
          </w:p>
          <w:p w:rsidR="00C55547" w:rsidRPr="00661595" w:rsidRDefault="000878EC" w:rsidP="00E9572B">
            <w:pPr>
              <w:pStyle w:val="ListParagraph"/>
              <w:numPr>
                <w:ilvl w:val="0"/>
                <w:numId w:val="34"/>
              </w:numPr>
              <w:suppressAutoHyphens/>
              <w:autoSpaceDE w:val="0"/>
              <w:autoSpaceDN w:val="0"/>
              <w:adjustRightInd w:val="0"/>
              <w:spacing w:before="0" w:after="0"/>
              <w:jc w:val="left"/>
              <w:rPr>
                <w:rFonts w:ascii="Times New Roman" w:hAnsi="Times New Roman"/>
                <w:sz w:val="24"/>
              </w:rPr>
            </w:pPr>
            <w:r>
              <w:rPr>
                <w:rFonts w:ascii="Times New Roman" w:hAnsi="Times New Roman"/>
                <w:sz w:val="24"/>
              </w:rPr>
              <w:t>"</w:t>
            </w:r>
            <w:r w:rsidR="00C55547">
              <w:rPr>
                <w:rFonts w:ascii="Times New Roman" w:hAnsi="Times New Roman"/>
                <w:sz w:val="24"/>
              </w:rPr>
              <w:t>PUB</w:t>
            </w:r>
            <w:r>
              <w:rPr>
                <w:rFonts w:ascii="Times New Roman" w:hAnsi="Times New Roman"/>
                <w:sz w:val="24"/>
              </w:rPr>
              <w:t>"</w:t>
            </w:r>
            <w:r w:rsidR="00C55547">
              <w:rPr>
                <w:rFonts w:ascii="Times New Roman" w:hAnsi="Times New Roman"/>
                <w:sz w:val="24"/>
              </w:rPr>
              <w:t xml:space="preserve"> = pubblica.</w:t>
            </w:r>
          </w:p>
          <w:p w:rsidR="00C55547" w:rsidRPr="00661595" w:rsidRDefault="00C55547" w:rsidP="00E9572B">
            <w:pPr>
              <w:suppressAutoHyphens/>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6E0E76" w:rsidP="00E9572B">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0110</w:t>
            </w:r>
          </w:p>
        </w:tc>
        <w:tc>
          <w:tcPr>
            <w:tcW w:w="7903" w:type="dxa"/>
            <w:shd w:val="clear" w:color="auto" w:fill="auto"/>
          </w:tcPr>
          <w:p w:rsidR="00C55547" w:rsidRPr="00661595" w:rsidRDefault="00C55547" w:rsidP="00E9572B">
            <w:pPr>
              <w:suppressAutoHyphens/>
              <w:spacing w:before="0" w:after="0"/>
              <w:jc w:val="left"/>
              <w:rPr>
                <w:rFonts w:ascii="Times New Roman" w:hAnsi="Times New Roman"/>
                <w:b/>
                <w:sz w:val="24"/>
                <w:u w:val="single"/>
              </w:rPr>
            </w:pPr>
            <w:r>
              <w:rPr>
                <w:rFonts w:ascii="Times New Roman" w:hAnsi="Times New Roman"/>
                <w:b/>
                <w:sz w:val="24"/>
                <w:u w:val="single"/>
              </w:rPr>
              <w:t>RUOLO DELL</w:t>
            </w:r>
            <w:r w:rsidR="000878EC">
              <w:rPr>
                <w:rFonts w:ascii="Times New Roman" w:hAnsi="Times New Roman"/>
                <w:b/>
                <w:sz w:val="24"/>
                <w:u w:val="single"/>
              </w:rPr>
              <w:t>'</w:t>
            </w:r>
            <w:r>
              <w:rPr>
                <w:rFonts w:ascii="Times New Roman" w:hAnsi="Times New Roman"/>
                <w:b/>
                <w:sz w:val="24"/>
                <w:u w:val="single"/>
              </w:rPr>
              <w:t>ENTE: (CEDENTE / PROMOTORE / PRESTATORE ORIGINARIO / INVESTITORE)</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p>
          <w:p w:rsidR="00C55547" w:rsidRPr="00661595" w:rsidRDefault="00E20FAC" w:rsidP="00E9572B">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 xml:space="preserve">Gli enti utilizzano le seguenti abbreviazioni: </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 xml:space="preserve">- </w:t>
            </w:r>
            <w:r w:rsidR="000878EC">
              <w:rPr>
                <w:rFonts w:ascii="Times New Roman" w:hAnsi="Times New Roman"/>
                <w:sz w:val="24"/>
              </w:rPr>
              <w:t>"</w:t>
            </w:r>
            <w:r>
              <w:rPr>
                <w:rFonts w:ascii="Times New Roman" w:hAnsi="Times New Roman"/>
                <w:sz w:val="24"/>
              </w:rPr>
              <w:t>O</w:t>
            </w:r>
            <w:r w:rsidR="000878EC">
              <w:rPr>
                <w:rFonts w:ascii="Times New Roman" w:hAnsi="Times New Roman"/>
                <w:sz w:val="24"/>
              </w:rPr>
              <w:t>"</w:t>
            </w:r>
            <w:r>
              <w:rPr>
                <w:rFonts w:ascii="Times New Roman" w:hAnsi="Times New Roman"/>
                <w:sz w:val="24"/>
              </w:rPr>
              <w:t xml:space="preserve"> = cedente;</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 xml:space="preserve">- </w:t>
            </w:r>
            <w:r w:rsidR="000878EC">
              <w:rPr>
                <w:rFonts w:ascii="Times New Roman" w:hAnsi="Times New Roman"/>
                <w:sz w:val="24"/>
              </w:rPr>
              <w:t>"</w:t>
            </w:r>
            <w:r>
              <w:rPr>
                <w:rFonts w:ascii="Times New Roman" w:hAnsi="Times New Roman"/>
                <w:sz w:val="24"/>
              </w:rPr>
              <w:t>S</w:t>
            </w:r>
            <w:r w:rsidR="000878EC">
              <w:rPr>
                <w:rFonts w:ascii="Times New Roman" w:hAnsi="Times New Roman"/>
                <w:sz w:val="24"/>
              </w:rPr>
              <w:t>"</w:t>
            </w:r>
            <w:r>
              <w:rPr>
                <w:rFonts w:ascii="Times New Roman" w:hAnsi="Times New Roman"/>
                <w:sz w:val="24"/>
              </w:rPr>
              <w:t xml:space="preserve"> = promotore;</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 xml:space="preserve">- </w:t>
            </w:r>
            <w:r w:rsidR="000878EC">
              <w:rPr>
                <w:rFonts w:ascii="Times New Roman" w:hAnsi="Times New Roman"/>
                <w:sz w:val="24"/>
              </w:rPr>
              <w:t>"</w:t>
            </w:r>
            <w:r>
              <w:rPr>
                <w:rFonts w:ascii="Times New Roman" w:hAnsi="Times New Roman"/>
                <w:sz w:val="24"/>
              </w:rPr>
              <w:t>I</w:t>
            </w:r>
            <w:r w:rsidR="000878EC">
              <w:rPr>
                <w:rFonts w:ascii="Times New Roman" w:hAnsi="Times New Roman"/>
                <w:sz w:val="24"/>
              </w:rPr>
              <w:t>"</w:t>
            </w:r>
            <w:r>
              <w:rPr>
                <w:rFonts w:ascii="Times New Roman" w:hAnsi="Times New Roman"/>
                <w:sz w:val="24"/>
              </w:rPr>
              <w:t xml:space="preserve"> = investitore; </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 xml:space="preserve">- </w:t>
            </w:r>
            <w:r w:rsidR="000878EC">
              <w:rPr>
                <w:rFonts w:ascii="Times New Roman" w:hAnsi="Times New Roman"/>
                <w:sz w:val="24"/>
              </w:rPr>
              <w:t>"</w:t>
            </w:r>
            <w:r>
              <w:rPr>
                <w:rFonts w:ascii="Times New Roman" w:hAnsi="Times New Roman"/>
                <w:sz w:val="24"/>
              </w:rPr>
              <w:t>L</w:t>
            </w:r>
            <w:r w:rsidR="000878EC">
              <w:rPr>
                <w:rFonts w:ascii="Times New Roman" w:hAnsi="Times New Roman"/>
                <w:sz w:val="24"/>
              </w:rPr>
              <w:t>"</w:t>
            </w:r>
            <w:r>
              <w:rPr>
                <w:rFonts w:ascii="Times New Roman" w:hAnsi="Times New Roman"/>
                <w:sz w:val="24"/>
              </w:rPr>
              <w:t xml:space="preserve"> = prestatore originario.</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p>
          <w:p w:rsidR="00C55547" w:rsidRPr="00661595" w:rsidRDefault="00E20FAC" w:rsidP="00E9572B">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Cedente ai sensi dell</w:t>
            </w:r>
            <w:r w:rsidR="000878EC">
              <w:rPr>
                <w:rFonts w:ascii="Times New Roman" w:hAnsi="Times New Roman"/>
                <w:sz w:val="24"/>
              </w:rPr>
              <w:t>'</w:t>
            </w:r>
            <w:r>
              <w:rPr>
                <w:rFonts w:ascii="Times New Roman" w:hAnsi="Times New Roman"/>
                <w:sz w:val="24"/>
              </w:rPr>
              <w:t>articolo 4, paragrafo 1, punto 13, del CRR e promotore ai sensi dell</w:t>
            </w:r>
            <w:r w:rsidR="000878EC">
              <w:rPr>
                <w:rFonts w:ascii="Times New Roman" w:hAnsi="Times New Roman"/>
                <w:sz w:val="24"/>
              </w:rPr>
              <w:t>'</w:t>
            </w:r>
            <w:r>
              <w:rPr>
                <w:rFonts w:ascii="Times New Roman" w:hAnsi="Times New Roman"/>
                <w:sz w:val="24"/>
              </w:rPr>
              <w:t>articolo 4, paragrafo 1, punto 14, del CRR. Si presume che gli investitori siano gli enti cui si applica l</w:t>
            </w:r>
            <w:r w:rsidR="000878EC">
              <w:rPr>
                <w:rFonts w:ascii="Times New Roman" w:hAnsi="Times New Roman"/>
                <w:sz w:val="24"/>
              </w:rPr>
              <w:t>'</w:t>
            </w:r>
            <w:r>
              <w:rPr>
                <w:rFonts w:ascii="Times New Roman" w:hAnsi="Times New Roman"/>
                <w:sz w:val="24"/>
              </w:rPr>
              <w:t>articolo 5 del regolamento (UE) 2017/2402. Nei casi in cui si applica l</w:t>
            </w:r>
            <w:r w:rsidR="000878EC">
              <w:rPr>
                <w:rFonts w:ascii="Times New Roman" w:hAnsi="Times New Roman"/>
                <w:sz w:val="24"/>
              </w:rPr>
              <w:t>'</w:t>
            </w:r>
            <w:r>
              <w:rPr>
                <w:rFonts w:ascii="Times New Roman" w:hAnsi="Times New Roman"/>
                <w:sz w:val="24"/>
              </w:rPr>
              <w:t>articolo 43, paragrafo 5, del regolamento (UE) 2017/2402, si applicano gli articoli 406 e 407 del CRR nella versione applicabile il 31 dicembre 2018.</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9572B">
            <w:pPr>
              <w:suppressAutoHyphens/>
              <w:autoSpaceDE w:val="0"/>
              <w:autoSpaceDN w:val="0"/>
              <w:adjustRightInd w:val="0"/>
              <w:spacing w:before="0" w:after="0"/>
              <w:rPr>
                <w:rFonts w:ascii="Times New Roman" w:hAnsi="Times New Roman"/>
                <w:bCs/>
                <w:sz w:val="24"/>
              </w:rPr>
            </w:pPr>
            <w:r>
              <w:rPr>
                <w:rFonts w:ascii="Times New Roman" w:hAnsi="Times New Roman"/>
                <w:sz w:val="24"/>
              </w:rPr>
              <w:t>0030</w:t>
            </w:r>
          </w:p>
        </w:tc>
        <w:tc>
          <w:tcPr>
            <w:tcW w:w="7903" w:type="dxa"/>
          </w:tcPr>
          <w:p w:rsidR="00C55547" w:rsidRPr="00661595" w:rsidRDefault="00C55547" w:rsidP="00E9572B">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IDENTIFICATIVO DEL CEDENTE</w:t>
            </w:r>
            <w:r>
              <w:rPr>
                <w:rFonts w:ascii="Times New Roman" w:hAnsi="Times New Roman"/>
                <w:b/>
                <w:sz w:val="24"/>
              </w:rPr>
              <w:t xml:space="preserve"> (codice/denominazione)</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p>
          <w:p w:rsidR="00C55547" w:rsidRPr="00661595" w:rsidRDefault="00C55547"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In questa colonna è segnalato il codice LEI applicabile al cedente o, in sua mancanza, il codice attribuito al cedente dall</w:t>
            </w:r>
            <w:r w:rsidR="000878EC">
              <w:rPr>
                <w:rFonts w:ascii="Times New Roman" w:hAnsi="Times New Roman"/>
                <w:sz w:val="24"/>
              </w:rPr>
              <w:t>'</w:t>
            </w:r>
            <w:r>
              <w:rPr>
                <w:rFonts w:ascii="Times New Roman" w:hAnsi="Times New Roman"/>
                <w:sz w:val="24"/>
              </w:rPr>
              <w:t>autorità di vigilanza o, in sua mancanza, la denominazione dell</w:t>
            </w:r>
            <w:r w:rsidR="000878EC">
              <w:rPr>
                <w:rFonts w:ascii="Times New Roman" w:hAnsi="Times New Roman"/>
                <w:sz w:val="24"/>
              </w:rPr>
              <w:t>'</w:t>
            </w:r>
            <w:r>
              <w:rPr>
                <w:rFonts w:ascii="Times New Roman" w:hAnsi="Times New Roman"/>
                <w:sz w:val="24"/>
              </w:rPr>
              <w:t>ente stesso.</w:t>
            </w:r>
          </w:p>
          <w:p w:rsidR="00C55547" w:rsidRPr="00661595" w:rsidRDefault="00C55547" w:rsidP="00E9572B">
            <w:pPr>
              <w:suppressAutoHyphens/>
              <w:autoSpaceDE w:val="0"/>
              <w:autoSpaceDN w:val="0"/>
              <w:adjustRightInd w:val="0"/>
              <w:spacing w:before="0" w:after="0"/>
              <w:rPr>
                <w:rFonts w:ascii="Times New Roman" w:hAnsi="Times New Roman"/>
                <w:sz w:val="24"/>
              </w:rPr>
            </w:pPr>
          </w:p>
          <w:p w:rsidR="00C55547" w:rsidRPr="00661595" w:rsidRDefault="00C55547"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Per le cartolarizzazioni multi-seller nelle quali l</w:t>
            </w:r>
            <w:r w:rsidR="000878EC">
              <w:rPr>
                <w:rFonts w:ascii="Times New Roman" w:hAnsi="Times New Roman"/>
                <w:sz w:val="24"/>
              </w:rPr>
              <w:t>'</w:t>
            </w:r>
            <w:r>
              <w:rPr>
                <w:rFonts w:ascii="Times New Roman" w:hAnsi="Times New Roman"/>
                <w:sz w:val="24"/>
              </w:rPr>
              <w:t>ente segnalante è coinvolto come cedente, promotore o prestatore originario, l</w:t>
            </w:r>
            <w:r w:rsidR="000878EC">
              <w:rPr>
                <w:rFonts w:ascii="Times New Roman" w:hAnsi="Times New Roman"/>
                <w:sz w:val="24"/>
              </w:rPr>
              <w:t>'</w:t>
            </w:r>
            <w:r>
              <w:rPr>
                <w:rFonts w:ascii="Times New Roman" w:hAnsi="Times New Roman"/>
                <w:sz w:val="24"/>
              </w:rPr>
              <w:t>ente segnalante riporta l</w:t>
            </w:r>
            <w:r w:rsidR="000878EC">
              <w:rPr>
                <w:rFonts w:ascii="Times New Roman" w:hAnsi="Times New Roman"/>
                <w:sz w:val="24"/>
              </w:rPr>
              <w:t>'</w:t>
            </w:r>
            <w:r>
              <w:rPr>
                <w:rFonts w:ascii="Times New Roman" w:hAnsi="Times New Roman"/>
                <w:sz w:val="24"/>
              </w:rPr>
              <w:t>identificativo di tutti i soggetti appartenenti al suo gruppo consolidato che sono coinvolti nell</w:t>
            </w:r>
            <w:r w:rsidR="000878EC">
              <w:rPr>
                <w:rFonts w:ascii="Times New Roman" w:hAnsi="Times New Roman"/>
                <w:sz w:val="24"/>
              </w:rPr>
              <w:t>'</w:t>
            </w:r>
            <w:r>
              <w:rPr>
                <w:rFonts w:ascii="Times New Roman" w:hAnsi="Times New Roman"/>
                <w:sz w:val="24"/>
              </w:rPr>
              <w:t>operazione (come cedente, promotore o prestatore originario). Se il codice non è disponibile o non è noto all</w:t>
            </w:r>
            <w:r w:rsidR="000878EC">
              <w:rPr>
                <w:rFonts w:ascii="Times New Roman" w:hAnsi="Times New Roman"/>
                <w:sz w:val="24"/>
              </w:rPr>
              <w:t>'</w:t>
            </w:r>
            <w:r>
              <w:rPr>
                <w:rFonts w:ascii="Times New Roman" w:hAnsi="Times New Roman"/>
                <w:sz w:val="24"/>
              </w:rPr>
              <w:t>ente segnalante, è indicata la denominazione dell</w:t>
            </w:r>
            <w:r w:rsidR="000878EC">
              <w:rPr>
                <w:rFonts w:ascii="Times New Roman" w:hAnsi="Times New Roman"/>
                <w:sz w:val="24"/>
              </w:rPr>
              <w:t>'</w:t>
            </w:r>
            <w:r>
              <w:rPr>
                <w:rFonts w:ascii="Times New Roman" w:hAnsi="Times New Roman"/>
                <w:sz w:val="24"/>
              </w:rPr>
              <w:t>ente.</w:t>
            </w:r>
          </w:p>
          <w:p w:rsidR="00C55547" w:rsidRPr="00661595" w:rsidRDefault="00C55547" w:rsidP="00E9572B">
            <w:pPr>
              <w:suppressAutoHyphens/>
              <w:autoSpaceDE w:val="0"/>
              <w:autoSpaceDN w:val="0"/>
              <w:adjustRightInd w:val="0"/>
              <w:spacing w:before="0" w:after="0"/>
              <w:rPr>
                <w:rFonts w:ascii="Times New Roman" w:hAnsi="Times New Roman"/>
                <w:sz w:val="24"/>
              </w:rPr>
            </w:pPr>
          </w:p>
          <w:p w:rsidR="00C55547" w:rsidRPr="00661595" w:rsidRDefault="00C55547"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Nel caso di cartolarizzazioni multi-seller in cui l</w:t>
            </w:r>
            <w:r w:rsidR="000878EC">
              <w:rPr>
                <w:rFonts w:ascii="Times New Roman" w:hAnsi="Times New Roman"/>
                <w:sz w:val="24"/>
              </w:rPr>
              <w:t>'</w:t>
            </w:r>
            <w:r>
              <w:rPr>
                <w:rFonts w:ascii="Times New Roman" w:hAnsi="Times New Roman"/>
                <w:sz w:val="24"/>
              </w:rPr>
              <w:t>ente segnalante detiene una posizione in qualità di investitore, l</w:t>
            </w:r>
            <w:r w:rsidR="000878EC">
              <w:rPr>
                <w:rFonts w:ascii="Times New Roman" w:hAnsi="Times New Roman"/>
                <w:sz w:val="24"/>
              </w:rPr>
              <w:t>'</w:t>
            </w:r>
            <w:r>
              <w:rPr>
                <w:rFonts w:ascii="Times New Roman" w:hAnsi="Times New Roman"/>
                <w:sz w:val="24"/>
              </w:rPr>
              <w:t>ente segnalante fornisce l</w:t>
            </w:r>
            <w:r w:rsidR="000878EC">
              <w:rPr>
                <w:rFonts w:ascii="Times New Roman" w:hAnsi="Times New Roman"/>
                <w:sz w:val="24"/>
              </w:rPr>
              <w:t>'</w:t>
            </w:r>
            <w:r>
              <w:rPr>
                <w:rFonts w:ascii="Times New Roman" w:hAnsi="Times New Roman"/>
                <w:sz w:val="24"/>
              </w:rPr>
              <w:t>identificativo di tutti i diversi cedenti coinvolti nella cartolarizzazione o, se non disponibile, le denominazioni dei diversi cedenti. Se le denominazioni non gli sono note, l</w:t>
            </w:r>
            <w:r w:rsidR="000878EC">
              <w:rPr>
                <w:rFonts w:ascii="Times New Roman" w:hAnsi="Times New Roman"/>
                <w:sz w:val="24"/>
              </w:rPr>
              <w:t>'</w:t>
            </w:r>
            <w:r>
              <w:rPr>
                <w:rFonts w:ascii="Times New Roman" w:hAnsi="Times New Roman"/>
                <w:sz w:val="24"/>
              </w:rPr>
              <w:t xml:space="preserve">ente segnalante indica che la cartolarizzazione è </w:t>
            </w:r>
            <w:r w:rsidR="000878EC">
              <w:rPr>
                <w:rFonts w:ascii="Times New Roman" w:hAnsi="Times New Roman"/>
                <w:sz w:val="24"/>
              </w:rPr>
              <w:t>"</w:t>
            </w:r>
            <w:r>
              <w:rPr>
                <w:rFonts w:ascii="Times New Roman" w:hAnsi="Times New Roman"/>
                <w:sz w:val="24"/>
              </w:rPr>
              <w:t>multi-seller</w:t>
            </w:r>
            <w:r w:rsidR="000878EC">
              <w:rPr>
                <w:rFonts w:ascii="Times New Roman" w:hAnsi="Times New Roman"/>
                <w:sz w:val="24"/>
              </w:rPr>
              <w:t>"</w:t>
            </w:r>
            <w:r>
              <w:rPr>
                <w:rFonts w:ascii="Times New Roman" w:hAnsi="Times New Roman"/>
                <w:sz w:val="24"/>
              </w:rPr>
              <w:t>.</w:t>
            </w:r>
          </w:p>
          <w:p w:rsidR="00C55547" w:rsidRPr="00661595" w:rsidRDefault="00C55547" w:rsidP="00E9572B">
            <w:pPr>
              <w:suppressAutoHyphens/>
              <w:autoSpaceDE w:val="0"/>
              <w:autoSpaceDN w:val="0"/>
              <w:adjustRightInd w:val="0"/>
              <w:spacing w:before="0" w:after="0"/>
              <w:rPr>
                <w:rFonts w:ascii="Times New Roman" w:hAnsi="Times New Roman"/>
                <w:sz w:val="24"/>
              </w:rPr>
            </w:pPr>
          </w:p>
          <w:p w:rsidR="00C55547" w:rsidRPr="00661595" w:rsidRDefault="00C55547" w:rsidP="00E9572B">
            <w:pPr>
              <w:suppressAutoHyphens/>
              <w:autoSpaceDE w:val="0"/>
              <w:autoSpaceDN w:val="0"/>
              <w:adjustRightInd w:val="0"/>
              <w:spacing w:before="0" w:after="0"/>
              <w:rPr>
                <w:rFonts w:ascii="Times New Roman" w:hAnsi="Times New Roman"/>
                <w:bCs/>
                <w:sz w:val="24"/>
                <w:lang w:eastAsia="nl-BE"/>
              </w:rPr>
            </w:pPr>
          </w:p>
        </w:tc>
      </w:tr>
      <w:tr w:rsidR="00C55547" w:rsidRPr="00661595" w:rsidTr="00E10B85">
        <w:tc>
          <w:tcPr>
            <w:tcW w:w="1101" w:type="dxa"/>
          </w:tcPr>
          <w:p w:rsidR="00C55547" w:rsidRPr="00661595" w:rsidRDefault="00C55547" w:rsidP="00E9572B">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0040</w:t>
            </w:r>
          </w:p>
        </w:tc>
        <w:tc>
          <w:tcPr>
            <w:tcW w:w="7903" w:type="dxa"/>
          </w:tcPr>
          <w:p w:rsidR="00C55547" w:rsidRPr="00661595" w:rsidRDefault="00C55547" w:rsidP="00E9572B">
            <w:pPr>
              <w:suppressAutoHyphens/>
              <w:spacing w:before="0" w:after="0"/>
              <w:jc w:val="left"/>
              <w:rPr>
                <w:rFonts w:ascii="Times New Roman" w:hAnsi="Times New Roman"/>
                <w:b/>
                <w:sz w:val="24"/>
                <w:u w:val="single"/>
              </w:rPr>
            </w:pPr>
            <w:r>
              <w:rPr>
                <w:rFonts w:ascii="Times New Roman" w:hAnsi="Times New Roman"/>
                <w:b/>
                <w:sz w:val="24"/>
                <w:u w:val="single"/>
              </w:rPr>
              <w:t xml:space="preserve">TIPO DI CARTOLARIZZAZIONE (TRADIZIONALE/SINTETICA/PROGRAMMA ABCP/OPERAZIONE ABCP) </w:t>
            </w:r>
          </w:p>
          <w:p w:rsidR="00C55547" w:rsidRPr="00661595" w:rsidRDefault="00C55547" w:rsidP="00E9572B">
            <w:pPr>
              <w:suppressAutoHyphens/>
              <w:spacing w:before="0" w:after="0"/>
              <w:jc w:val="left"/>
              <w:rPr>
                <w:rFonts w:ascii="Times New Roman" w:hAnsi="Times New Roman"/>
                <w:sz w:val="24"/>
              </w:rPr>
            </w:pPr>
          </w:p>
          <w:p w:rsidR="00C55547" w:rsidRPr="00661595" w:rsidRDefault="00E20FAC" w:rsidP="00E9572B">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Gli enti utilizzano le seguenti abbreviazioni:</w:t>
            </w:r>
            <w:r>
              <w:t xml:space="preserve"> </w:t>
            </w:r>
            <w:r>
              <w:br/>
            </w:r>
            <w:r>
              <w:rPr>
                <w:rFonts w:ascii="Times New Roman" w:hAnsi="Times New Roman"/>
                <w:sz w:val="24"/>
              </w:rPr>
              <w:t xml:space="preserve">- </w:t>
            </w:r>
            <w:r w:rsidR="000878EC">
              <w:rPr>
                <w:rFonts w:ascii="Times New Roman" w:hAnsi="Times New Roman"/>
                <w:sz w:val="24"/>
              </w:rPr>
              <w:t>"</w:t>
            </w:r>
            <w:r>
              <w:rPr>
                <w:rFonts w:ascii="Times New Roman" w:hAnsi="Times New Roman"/>
                <w:sz w:val="24"/>
              </w:rPr>
              <w:t>AP</w:t>
            </w:r>
            <w:r w:rsidR="000878EC">
              <w:rPr>
                <w:rFonts w:ascii="Times New Roman" w:hAnsi="Times New Roman"/>
                <w:sz w:val="24"/>
              </w:rPr>
              <w:t>"</w:t>
            </w:r>
            <w:r>
              <w:rPr>
                <w:rFonts w:ascii="Times New Roman" w:hAnsi="Times New Roman"/>
                <w:sz w:val="24"/>
              </w:rPr>
              <w:t xml:space="preserve"> = programma ABCP;</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 xml:space="preserve">- </w:t>
            </w:r>
            <w:r w:rsidR="000878EC">
              <w:rPr>
                <w:rFonts w:ascii="Times New Roman" w:hAnsi="Times New Roman"/>
                <w:sz w:val="24"/>
              </w:rPr>
              <w:t>"</w:t>
            </w:r>
            <w:r>
              <w:rPr>
                <w:rFonts w:ascii="Times New Roman" w:hAnsi="Times New Roman"/>
                <w:sz w:val="24"/>
              </w:rPr>
              <w:t>AT</w:t>
            </w:r>
            <w:r w:rsidR="000878EC">
              <w:rPr>
                <w:rFonts w:ascii="Times New Roman" w:hAnsi="Times New Roman"/>
                <w:sz w:val="24"/>
              </w:rPr>
              <w:t>"</w:t>
            </w:r>
            <w:r>
              <w:rPr>
                <w:rFonts w:ascii="Times New Roman" w:hAnsi="Times New Roman"/>
                <w:sz w:val="24"/>
              </w:rPr>
              <w:t xml:space="preserve"> = operazione ABCP;</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 xml:space="preserve">- </w:t>
            </w:r>
            <w:r w:rsidR="000878EC">
              <w:rPr>
                <w:rFonts w:ascii="Times New Roman" w:hAnsi="Times New Roman"/>
                <w:sz w:val="24"/>
              </w:rPr>
              <w:t>"</w:t>
            </w:r>
            <w:r>
              <w:rPr>
                <w:rFonts w:ascii="Times New Roman" w:hAnsi="Times New Roman"/>
                <w:sz w:val="24"/>
              </w:rPr>
              <w:t>T</w:t>
            </w:r>
            <w:r w:rsidR="000878EC">
              <w:rPr>
                <w:rFonts w:ascii="Times New Roman" w:hAnsi="Times New Roman"/>
                <w:sz w:val="24"/>
              </w:rPr>
              <w:t>"</w:t>
            </w:r>
            <w:r>
              <w:rPr>
                <w:rFonts w:ascii="Times New Roman" w:hAnsi="Times New Roman"/>
                <w:sz w:val="24"/>
              </w:rPr>
              <w:t xml:space="preserve"> = tradizionale;</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 xml:space="preserve">- </w:t>
            </w:r>
            <w:r w:rsidR="000878EC">
              <w:rPr>
                <w:rFonts w:ascii="Times New Roman" w:hAnsi="Times New Roman"/>
                <w:sz w:val="24"/>
              </w:rPr>
              <w:t>"</w:t>
            </w:r>
            <w:r>
              <w:rPr>
                <w:rFonts w:ascii="Times New Roman" w:hAnsi="Times New Roman"/>
                <w:sz w:val="24"/>
              </w:rPr>
              <w:t>S</w:t>
            </w:r>
            <w:r w:rsidR="000878EC">
              <w:rPr>
                <w:rFonts w:ascii="Times New Roman" w:hAnsi="Times New Roman"/>
                <w:sz w:val="24"/>
              </w:rPr>
              <w:t>"</w:t>
            </w:r>
            <w:r>
              <w:rPr>
                <w:rFonts w:ascii="Times New Roman" w:hAnsi="Times New Roman"/>
                <w:sz w:val="24"/>
              </w:rPr>
              <w:t xml:space="preserve"> = sintetica. </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p>
          <w:p w:rsidR="00C55547" w:rsidRPr="00661595" w:rsidRDefault="00C55547"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Le definizioni di </w:t>
            </w:r>
            <w:r w:rsidR="000878EC">
              <w:rPr>
                <w:rFonts w:ascii="Times New Roman" w:hAnsi="Times New Roman"/>
                <w:sz w:val="24"/>
              </w:rPr>
              <w:t>"</w:t>
            </w:r>
            <w:r>
              <w:rPr>
                <w:rFonts w:ascii="Times New Roman" w:hAnsi="Times New Roman"/>
                <w:sz w:val="24"/>
              </w:rPr>
              <w:t>programma di emissione di commercial paper garantiti da attività</w:t>
            </w:r>
            <w:r w:rsidR="000878EC">
              <w:rPr>
                <w:rFonts w:ascii="Times New Roman" w:hAnsi="Times New Roman"/>
                <w:sz w:val="24"/>
              </w:rPr>
              <w:t>"</w:t>
            </w:r>
            <w:r>
              <w:rPr>
                <w:rFonts w:ascii="Times New Roman" w:hAnsi="Times New Roman"/>
                <w:sz w:val="24"/>
              </w:rPr>
              <w:t xml:space="preserve">, </w:t>
            </w:r>
            <w:r w:rsidR="000878EC">
              <w:rPr>
                <w:rFonts w:ascii="Times New Roman" w:hAnsi="Times New Roman"/>
                <w:sz w:val="24"/>
              </w:rPr>
              <w:t>"</w:t>
            </w:r>
            <w:r>
              <w:rPr>
                <w:rFonts w:ascii="Times New Roman" w:hAnsi="Times New Roman"/>
                <w:sz w:val="24"/>
              </w:rPr>
              <w:t>operazione su commercial paper garantiti da attività</w:t>
            </w:r>
            <w:r w:rsidR="000878EC">
              <w:rPr>
                <w:rFonts w:ascii="Times New Roman" w:hAnsi="Times New Roman"/>
                <w:sz w:val="24"/>
              </w:rPr>
              <w:t>"</w:t>
            </w:r>
            <w:r>
              <w:rPr>
                <w:rFonts w:ascii="Times New Roman" w:hAnsi="Times New Roman"/>
                <w:sz w:val="24"/>
              </w:rPr>
              <w:t xml:space="preserve">, </w:t>
            </w:r>
            <w:r w:rsidR="000878EC">
              <w:rPr>
                <w:rFonts w:ascii="Times New Roman" w:hAnsi="Times New Roman"/>
                <w:sz w:val="24"/>
              </w:rPr>
              <w:t>"</w:t>
            </w:r>
            <w:r>
              <w:rPr>
                <w:rFonts w:ascii="Times New Roman" w:hAnsi="Times New Roman"/>
                <w:sz w:val="24"/>
              </w:rPr>
              <w:t>cartolarizzazione tradizionale</w:t>
            </w:r>
            <w:r w:rsidR="000878EC">
              <w:rPr>
                <w:rFonts w:ascii="Times New Roman" w:hAnsi="Times New Roman"/>
                <w:sz w:val="24"/>
              </w:rPr>
              <w:t>"</w:t>
            </w:r>
            <w:r>
              <w:rPr>
                <w:rFonts w:ascii="Times New Roman" w:hAnsi="Times New Roman"/>
                <w:sz w:val="24"/>
              </w:rPr>
              <w:t xml:space="preserve"> e </w:t>
            </w:r>
            <w:r w:rsidR="000878EC">
              <w:rPr>
                <w:rFonts w:ascii="Times New Roman" w:hAnsi="Times New Roman"/>
                <w:sz w:val="24"/>
              </w:rPr>
              <w:t>"</w:t>
            </w:r>
            <w:r>
              <w:rPr>
                <w:rFonts w:ascii="Times New Roman" w:hAnsi="Times New Roman"/>
                <w:sz w:val="24"/>
              </w:rPr>
              <w:t>cartolarizzazione sintetica</w:t>
            </w:r>
            <w:r w:rsidR="000878EC">
              <w:rPr>
                <w:rFonts w:ascii="Times New Roman" w:hAnsi="Times New Roman"/>
                <w:sz w:val="24"/>
              </w:rPr>
              <w:t>"</w:t>
            </w:r>
            <w:r>
              <w:rPr>
                <w:rFonts w:ascii="Times New Roman" w:hAnsi="Times New Roman"/>
                <w:sz w:val="24"/>
              </w:rPr>
              <w:t xml:space="preserve"> figurano all</w:t>
            </w:r>
            <w:r w:rsidR="000878EC">
              <w:rPr>
                <w:rFonts w:ascii="Times New Roman" w:hAnsi="Times New Roman"/>
                <w:sz w:val="24"/>
              </w:rPr>
              <w:t>'</w:t>
            </w:r>
            <w:r>
              <w:rPr>
                <w:rFonts w:ascii="Times New Roman" w:hAnsi="Times New Roman"/>
                <w:sz w:val="24"/>
              </w:rPr>
              <w:t>articolo 242, punti da 11 a 14, del CRR.</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9572B">
            <w:pPr>
              <w:suppressAutoHyphens/>
              <w:autoSpaceDE w:val="0"/>
              <w:autoSpaceDN w:val="0"/>
              <w:adjustRightInd w:val="0"/>
              <w:spacing w:before="0" w:after="0"/>
              <w:rPr>
                <w:rFonts w:ascii="Times New Roman" w:hAnsi="Times New Roman"/>
                <w:bCs/>
                <w:sz w:val="24"/>
              </w:rPr>
            </w:pPr>
            <w:r>
              <w:rPr>
                <w:rFonts w:ascii="Times New Roman" w:hAnsi="Times New Roman"/>
                <w:sz w:val="24"/>
              </w:rPr>
              <w:t>0051</w:t>
            </w:r>
          </w:p>
        </w:tc>
        <w:tc>
          <w:tcPr>
            <w:tcW w:w="7903" w:type="dxa"/>
          </w:tcPr>
          <w:p w:rsidR="00C55547" w:rsidRPr="00661595" w:rsidRDefault="00C55547" w:rsidP="00E9572B">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TRATTAMENTO CONTABILE: LE ESPOSIZIONI CARTOLARIZZATE SONO MANTENUTE NELLO STATO PATRIMONIALE O SONO RIMOSSE?</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p>
          <w:p w:rsidR="00C55547" w:rsidRPr="00661595" w:rsidRDefault="00784A19" w:rsidP="00E9572B">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Gli enti in quanto cedenti, promotori e prestatori originari inseriscono una delle seguenti abbreviazioni:</w:t>
            </w:r>
          </w:p>
          <w:p w:rsidR="00C55547" w:rsidRPr="00661595" w:rsidRDefault="00C55547" w:rsidP="00E9572B">
            <w:pPr>
              <w:suppressAutoHyphens/>
              <w:autoSpaceDE w:val="0"/>
              <w:autoSpaceDN w:val="0"/>
              <w:adjustRightInd w:val="0"/>
              <w:spacing w:before="0" w:after="0"/>
              <w:ind w:left="1440" w:hanging="1440"/>
              <w:jc w:val="left"/>
              <w:rPr>
                <w:rFonts w:ascii="Times New Roman" w:hAnsi="Times New Roman"/>
                <w:sz w:val="24"/>
              </w:rPr>
            </w:pPr>
            <w:r>
              <w:rPr>
                <w:rFonts w:ascii="Times New Roman" w:hAnsi="Times New Roman"/>
                <w:sz w:val="24"/>
              </w:rPr>
              <w:t xml:space="preserve">- </w:t>
            </w:r>
            <w:r w:rsidR="000878EC">
              <w:rPr>
                <w:rFonts w:ascii="Times New Roman" w:hAnsi="Times New Roman"/>
                <w:sz w:val="24"/>
              </w:rPr>
              <w:t>"</w:t>
            </w:r>
            <w:r>
              <w:rPr>
                <w:rFonts w:ascii="Times New Roman" w:hAnsi="Times New Roman"/>
                <w:sz w:val="24"/>
              </w:rPr>
              <w:t>K</w:t>
            </w:r>
            <w:r w:rsidR="000878EC">
              <w:rPr>
                <w:rFonts w:ascii="Times New Roman" w:hAnsi="Times New Roman"/>
                <w:sz w:val="24"/>
              </w:rPr>
              <w:t>"</w:t>
            </w:r>
            <w:r>
              <w:rPr>
                <w:rFonts w:ascii="Times New Roman" w:hAnsi="Times New Roman"/>
                <w:sz w:val="24"/>
              </w:rPr>
              <w:t xml:space="preserve"> = rilevate totalmente;</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 xml:space="preserve">- </w:t>
            </w:r>
            <w:r w:rsidR="000878EC">
              <w:rPr>
                <w:rFonts w:ascii="Times New Roman" w:hAnsi="Times New Roman"/>
                <w:sz w:val="24"/>
              </w:rPr>
              <w:t>"</w:t>
            </w:r>
            <w:r>
              <w:rPr>
                <w:rFonts w:ascii="Times New Roman" w:hAnsi="Times New Roman"/>
                <w:sz w:val="24"/>
              </w:rPr>
              <w:t>P</w:t>
            </w:r>
            <w:r w:rsidR="000878EC">
              <w:rPr>
                <w:rFonts w:ascii="Times New Roman" w:hAnsi="Times New Roman"/>
                <w:sz w:val="24"/>
              </w:rPr>
              <w:t>"</w:t>
            </w:r>
            <w:r>
              <w:rPr>
                <w:rFonts w:ascii="Times New Roman" w:hAnsi="Times New Roman"/>
                <w:sz w:val="24"/>
              </w:rPr>
              <w:t xml:space="preserve"> = eliminate in parte;</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 xml:space="preserve">- </w:t>
            </w:r>
            <w:r w:rsidR="000878EC">
              <w:rPr>
                <w:rFonts w:ascii="Times New Roman" w:hAnsi="Times New Roman"/>
                <w:sz w:val="24"/>
              </w:rPr>
              <w:t>"</w:t>
            </w:r>
            <w:r>
              <w:rPr>
                <w:rFonts w:ascii="Times New Roman" w:hAnsi="Times New Roman"/>
                <w:sz w:val="24"/>
              </w:rPr>
              <w:t>R</w:t>
            </w:r>
            <w:r w:rsidR="000878EC">
              <w:rPr>
                <w:rFonts w:ascii="Times New Roman" w:hAnsi="Times New Roman"/>
                <w:sz w:val="24"/>
              </w:rPr>
              <w:t>"</w:t>
            </w:r>
            <w:r>
              <w:rPr>
                <w:rFonts w:ascii="Times New Roman" w:hAnsi="Times New Roman"/>
                <w:sz w:val="24"/>
              </w:rPr>
              <w:t xml:space="preserve"> = eliminate totalmente;</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 xml:space="preserve">- </w:t>
            </w:r>
            <w:r w:rsidR="000878EC">
              <w:rPr>
                <w:rFonts w:ascii="Times New Roman" w:hAnsi="Times New Roman"/>
                <w:sz w:val="24"/>
              </w:rPr>
              <w:t>"</w:t>
            </w:r>
            <w:r>
              <w:rPr>
                <w:rFonts w:ascii="Times New Roman" w:hAnsi="Times New Roman"/>
                <w:sz w:val="24"/>
              </w:rPr>
              <w:t>N</w:t>
            </w:r>
            <w:r w:rsidR="000878EC">
              <w:rPr>
                <w:rFonts w:ascii="Times New Roman" w:hAnsi="Times New Roman"/>
                <w:sz w:val="24"/>
              </w:rPr>
              <w:t>"</w:t>
            </w:r>
            <w:r>
              <w:rPr>
                <w:rFonts w:ascii="Times New Roman" w:hAnsi="Times New Roman"/>
                <w:sz w:val="24"/>
              </w:rPr>
              <w:t xml:space="preserve"> = non applicabile</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p>
          <w:p w:rsidR="00C55547" w:rsidRPr="00661595" w:rsidRDefault="00C55547"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Questa colonna riassume il trattamento contabile dell</w:t>
            </w:r>
            <w:r w:rsidR="000878EC">
              <w:rPr>
                <w:rFonts w:ascii="Times New Roman" w:hAnsi="Times New Roman"/>
                <w:sz w:val="24"/>
              </w:rPr>
              <w:t>'</w:t>
            </w:r>
            <w:r>
              <w:rPr>
                <w:rFonts w:ascii="Times New Roman" w:hAnsi="Times New Roman"/>
                <w:sz w:val="24"/>
              </w:rPr>
              <w:t>operazione. Il trasferimento significativo del rischio ai sensi degli articoli 244 e 245 del CRR non incide sul trattamento contabile dell</w:t>
            </w:r>
            <w:r w:rsidR="000878EC">
              <w:rPr>
                <w:rFonts w:ascii="Times New Roman" w:hAnsi="Times New Roman"/>
                <w:sz w:val="24"/>
              </w:rPr>
              <w:t>'</w:t>
            </w:r>
            <w:r>
              <w:rPr>
                <w:rFonts w:ascii="Times New Roman" w:hAnsi="Times New Roman"/>
                <w:sz w:val="24"/>
              </w:rPr>
              <w:t>operazione nell</w:t>
            </w:r>
            <w:r w:rsidR="000878EC">
              <w:rPr>
                <w:rFonts w:ascii="Times New Roman" w:hAnsi="Times New Roman"/>
                <w:sz w:val="24"/>
              </w:rPr>
              <w:t>'</w:t>
            </w:r>
            <w:r>
              <w:rPr>
                <w:rFonts w:ascii="Times New Roman" w:hAnsi="Times New Roman"/>
                <w:sz w:val="24"/>
              </w:rPr>
              <w:t>ambito della disciplina contabile applicabile.</w:t>
            </w:r>
          </w:p>
          <w:p w:rsidR="007F1970" w:rsidRPr="00661595" w:rsidRDefault="007F1970" w:rsidP="00E9572B">
            <w:pPr>
              <w:suppressAutoHyphens/>
              <w:autoSpaceDE w:val="0"/>
              <w:autoSpaceDN w:val="0"/>
              <w:adjustRightInd w:val="0"/>
              <w:spacing w:before="0" w:after="0"/>
              <w:rPr>
                <w:rFonts w:ascii="Times New Roman" w:hAnsi="Times New Roman"/>
                <w:sz w:val="24"/>
              </w:rPr>
            </w:pPr>
          </w:p>
          <w:p w:rsidR="00C55547" w:rsidRPr="00661595" w:rsidRDefault="00C55547"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Nelle cartolarizzazioni di passività i cedenti non compilano questa colonna.</w:t>
            </w:r>
          </w:p>
          <w:p w:rsidR="00C55547" w:rsidRPr="00661595" w:rsidRDefault="00C55547"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L</w:t>
            </w:r>
            <w:r w:rsidR="000878EC">
              <w:rPr>
                <w:rFonts w:ascii="Times New Roman" w:hAnsi="Times New Roman"/>
                <w:sz w:val="24"/>
              </w:rPr>
              <w:t>'</w:t>
            </w:r>
            <w:r>
              <w:rPr>
                <w:rFonts w:ascii="Times New Roman" w:hAnsi="Times New Roman"/>
                <w:sz w:val="24"/>
              </w:rPr>
              <w:t xml:space="preserve">opzione </w:t>
            </w:r>
            <w:r w:rsidR="000878EC">
              <w:rPr>
                <w:rFonts w:ascii="Times New Roman" w:hAnsi="Times New Roman"/>
                <w:sz w:val="24"/>
              </w:rPr>
              <w:t>"</w:t>
            </w:r>
            <w:r>
              <w:rPr>
                <w:rFonts w:ascii="Times New Roman" w:hAnsi="Times New Roman"/>
                <w:sz w:val="24"/>
              </w:rPr>
              <w:t>P</w:t>
            </w:r>
            <w:r w:rsidR="000878EC">
              <w:rPr>
                <w:rFonts w:ascii="Times New Roman" w:hAnsi="Times New Roman"/>
                <w:sz w:val="24"/>
              </w:rPr>
              <w:t>"</w:t>
            </w:r>
            <w:r>
              <w:rPr>
                <w:rFonts w:ascii="Times New Roman" w:hAnsi="Times New Roman"/>
                <w:sz w:val="24"/>
              </w:rPr>
              <w:t xml:space="preserve"> (eliminate in parte) è selezionata quando le attività cartolarizzate sono rilevate in bilancio in misura pari al coinvolgimento continuativo del soggetto segnalante conformemente all</w:t>
            </w:r>
            <w:r w:rsidR="000878EC">
              <w:rPr>
                <w:rFonts w:ascii="Times New Roman" w:hAnsi="Times New Roman"/>
                <w:sz w:val="24"/>
              </w:rPr>
              <w:t>'</w:t>
            </w:r>
            <w:r>
              <w:rPr>
                <w:rFonts w:ascii="Times New Roman" w:hAnsi="Times New Roman"/>
                <w:sz w:val="24"/>
              </w:rPr>
              <w:t>IFRS 9.3.2.16 – 3.2.21.</w:t>
            </w:r>
          </w:p>
          <w:p w:rsidR="00C55547" w:rsidRPr="00661595" w:rsidRDefault="00C55547" w:rsidP="00E9572B">
            <w:pPr>
              <w:suppressAutoHyphens/>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E9572B">
            <w:pPr>
              <w:suppressAutoHyphens/>
              <w:autoSpaceDE w:val="0"/>
              <w:autoSpaceDN w:val="0"/>
              <w:adjustRightInd w:val="0"/>
              <w:spacing w:before="0" w:after="0"/>
              <w:rPr>
                <w:rFonts w:ascii="Times New Roman" w:hAnsi="Times New Roman"/>
                <w:bCs/>
                <w:sz w:val="24"/>
              </w:rPr>
            </w:pPr>
            <w:r>
              <w:rPr>
                <w:rFonts w:ascii="Times New Roman" w:hAnsi="Times New Roman"/>
                <w:sz w:val="24"/>
              </w:rPr>
              <w:t>0060</w:t>
            </w:r>
          </w:p>
        </w:tc>
        <w:tc>
          <w:tcPr>
            <w:tcW w:w="7903" w:type="dxa"/>
          </w:tcPr>
          <w:p w:rsidR="00C55547" w:rsidRPr="00661595" w:rsidRDefault="00C55547" w:rsidP="00E9572B">
            <w:pPr>
              <w:suppressAutoHyphens/>
              <w:spacing w:before="0" w:after="0"/>
              <w:jc w:val="left"/>
              <w:rPr>
                <w:rFonts w:ascii="Times New Roman" w:hAnsi="Times New Roman"/>
                <w:b/>
                <w:sz w:val="24"/>
                <w:u w:val="single"/>
              </w:rPr>
            </w:pPr>
            <w:r>
              <w:rPr>
                <w:rFonts w:ascii="Times New Roman" w:hAnsi="Times New Roman"/>
                <w:b/>
                <w:sz w:val="24"/>
                <w:u w:val="single"/>
              </w:rPr>
              <w:t>TRATTAMENTO AI FINI DELLA SOLVIBILITÀ: LE POSIZIONI VERSO LA CARTOLARIZZAZIONE SONO SOGGETTE AI REQUISITI DI FONDI PROPRI?</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p>
          <w:p w:rsidR="006C5A49" w:rsidRDefault="006C5A49"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Articoli 109, 244 e 245 del CRR</w:t>
            </w:r>
          </w:p>
          <w:p w:rsidR="006C5A49" w:rsidRPr="00661595" w:rsidRDefault="006C5A49" w:rsidP="00E9572B">
            <w:pPr>
              <w:suppressAutoHyphens/>
              <w:autoSpaceDE w:val="0"/>
              <w:autoSpaceDN w:val="0"/>
              <w:adjustRightInd w:val="0"/>
              <w:spacing w:before="0" w:after="0"/>
              <w:rPr>
                <w:rFonts w:ascii="Times New Roman" w:hAnsi="Times New Roman"/>
                <w:sz w:val="24"/>
              </w:rPr>
            </w:pP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 xml:space="preserve">I cedenti, e soltanto loro, inseriscono le seguenti abbreviazioni: </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 xml:space="preserve">- </w:t>
            </w:r>
            <w:r w:rsidR="000878EC">
              <w:rPr>
                <w:rFonts w:ascii="Times New Roman" w:hAnsi="Times New Roman"/>
                <w:sz w:val="24"/>
              </w:rPr>
              <w:t>"</w:t>
            </w:r>
            <w:r>
              <w:rPr>
                <w:rFonts w:ascii="Times New Roman" w:hAnsi="Times New Roman"/>
                <w:sz w:val="24"/>
              </w:rPr>
              <w:t>N</w:t>
            </w:r>
            <w:r w:rsidR="000878EC">
              <w:rPr>
                <w:rFonts w:ascii="Times New Roman" w:hAnsi="Times New Roman"/>
                <w:sz w:val="24"/>
              </w:rPr>
              <w:t>"</w:t>
            </w:r>
            <w:r>
              <w:rPr>
                <w:rFonts w:ascii="Times New Roman" w:hAnsi="Times New Roman"/>
                <w:sz w:val="24"/>
              </w:rPr>
              <w:t xml:space="preserve"> = non soggette a requisiti di fondi propri;</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 xml:space="preserve">- </w:t>
            </w:r>
            <w:r w:rsidR="000878EC">
              <w:rPr>
                <w:rFonts w:ascii="Times New Roman" w:hAnsi="Times New Roman"/>
                <w:sz w:val="24"/>
              </w:rPr>
              <w:t>"</w:t>
            </w:r>
            <w:r>
              <w:rPr>
                <w:rFonts w:ascii="Times New Roman" w:hAnsi="Times New Roman"/>
                <w:sz w:val="24"/>
              </w:rPr>
              <w:t>B</w:t>
            </w:r>
            <w:r w:rsidR="000878EC">
              <w:rPr>
                <w:rFonts w:ascii="Times New Roman" w:hAnsi="Times New Roman"/>
                <w:sz w:val="24"/>
              </w:rPr>
              <w:t>"</w:t>
            </w:r>
            <w:r>
              <w:rPr>
                <w:rFonts w:ascii="Times New Roman" w:hAnsi="Times New Roman"/>
                <w:sz w:val="24"/>
              </w:rPr>
              <w:t xml:space="preserve"> = portafoglio bancario;</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 xml:space="preserve">- </w:t>
            </w:r>
            <w:r w:rsidR="000878EC">
              <w:rPr>
                <w:rFonts w:ascii="Times New Roman" w:hAnsi="Times New Roman"/>
                <w:sz w:val="24"/>
              </w:rPr>
              <w:t>"</w:t>
            </w:r>
            <w:r>
              <w:rPr>
                <w:rFonts w:ascii="Times New Roman" w:hAnsi="Times New Roman"/>
                <w:sz w:val="24"/>
              </w:rPr>
              <w:t>T</w:t>
            </w:r>
            <w:r w:rsidR="000878EC">
              <w:rPr>
                <w:rFonts w:ascii="Times New Roman" w:hAnsi="Times New Roman"/>
                <w:sz w:val="24"/>
              </w:rPr>
              <w:t>"</w:t>
            </w:r>
            <w:r>
              <w:rPr>
                <w:rFonts w:ascii="Times New Roman" w:hAnsi="Times New Roman"/>
                <w:sz w:val="24"/>
              </w:rPr>
              <w:t xml:space="preserve"> = portafoglio di negoziazione;</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 xml:space="preserve">- </w:t>
            </w:r>
            <w:r w:rsidR="000878EC">
              <w:rPr>
                <w:rFonts w:ascii="Times New Roman" w:hAnsi="Times New Roman"/>
                <w:sz w:val="24"/>
              </w:rPr>
              <w:t>"</w:t>
            </w:r>
            <w:r>
              <w:rPr>
                <w:rFonts w:ascii="Times New Roman" w:hAnsi="Times New Roman"/>
                <w:sz w:val="24"/>
              </w:rPr>
              <w:t>A</w:t>
            </w:r>
            <w:r w:rsidR="000878EC">
              <w:rPr>
                <w:rFonts w:ascii="Times New Roman" w:hAnsi="Times New Roman"/>
                <w:sz w:val="24"/>
              </w:rPr>
              <w:t>"</w:t>
            </w:r>
            <w:r>
              <w:rPr>
                <w:rFonts w:ascii="Times New Roman" w:hAnsi="Times New Roman"/>
                <w:sz w:val="24"/>
              </w:rPr>
              <w:t xml:space="preserve"> = parzialmente in entrambi i portafogli.</w:t>
            </w:r>
          </w:p>
          <w:p w:rsidR="00C55547" w:rsidRPr="00661595" w:rsidRDefault="00C55547" w:rsidP="00E9572B">
            <w:pPr>
              <w:suppressAutoHyphens/>
              <w:autoSpaceDE w:val="0"/>
              <w:autoSpaceDN w:val="0"/>
              <w:adjustRightInd w:val="0"/>
              <w:spacing w:before="0" w:after="0"/>
              <w:rPr>
                <w:rFonts w:ascii="Times New Roman" w:hAnsi="Times New Roman"/>
                <w:sz w:val="24"/>
              </w:rPr>
            </w:pPr>
          </w:p>
          <w:p w:rsidR="00C55547" w:rsidRPr="00661595" w:rsidRDefault="00C55547"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Questa colonna riassume il trattamento ai fini della solvibilità dello schema di cartolarizzazione da parte del cedente. Indica se i requisiti di fondi propri sono calcolati secondo le esposizioni cartolarizzate o secondo le posizioni verso la cartolarizzazione (portafoglio bancario/portafoglio di negoziazione). </w:t>
            </w:r>
          </w:p>
          <w:p w:rsidR="00C55547" w:rsidRPr="00661595" w:rsidRDefault="00C55547" w:rsidP="00E9572B">
            <w:pPr>
              <w:suppressAutoHyphens/>
              <w:autoSpaceDE w:val="0"/>
              <w:autoSpaceDN w:val="0"/>
              <w:adjustRightInd w:val="0"/>
              <w:spacing w:before="0" w:after="0"/>
              <w:rPr>
                <w:rFonts w:ascii="Times New Roman" w:hAnsi="Times New Roman"/>
                <w:sz w:val="24"/>
              </w:rPr>
            </w:pPr>
          </w:p>
          <w:p w:rsidR="00C55547" w:rsidRPr="00661595" w:rsidRDefault="007F1970"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Se i requisiti di fondi propri si basano sulle </w:t>
            </w:r>
            <w:r>
              <w:rPr>
                <w:rFonts w:ascii="Times New Roman" w:hAnsi="Times New Roman"/>
                <w:i/>
                <w:sz w:val="24"/>
              </w:rPr>
              <w:t>esposizioni cartolarizzate</w:t>
            </w:r>
            <w:r>
              <w:rPr>
                <w:rFonts w:ascii="Times New Roman" w:hAnsi="Times New Roman"/>
                <w:sz w:val="24"/>
              </w:rPr>
              <w:t xml:space="preserve"> (non essendoci stato un trasferimento significativo del rischio), il calcolo dei requisiti di fondi propri per il rischio di credito è segnalato nel modello CR SA, qualora l</w:t>
            </w:r>
            <w:r w:rsidR="000878EC">
              <w:rPr>
                <w:rFonts w:ascii="Times New Roman" w:hAnsi="Times New Roman"/>
                <w:sz w:val="24"/>
              </w:rPr>
              <w:t>'</w:t>
            </w:r>
            <w:r>
              <w:rPr>
                <w:rFonts w:ascii="Times New Roman" w:hAnsi="Times New Roman"/>
                <w:sz w:val="24"/>
              </w:rPr>
              <w:t>ente applichi all</w:t>
            </w:r>
            <w:r w:rsidR="000878EC">
              <w:rPr>
                <w:rFonts w:ascii="Times New Roman" w:hAnsi="Times New Roman"/>
                <w:sz w:val="24"/>
              </w:rPr>
              <w:t>'</w:t>
            </w:r>
            <w:r>
              <w:rPr>
                <w:rFonts w:ascii="Times New Roman" w:hAnsi="Times New Roman"/>
                <w:sz w:val="24"/>
              </w:rPr>
              <w:t>esposizione cartolarizzata il metodo standardizzato, oppure nel modello CR IRB, qualora l</w:t>
            </w:r>
            <w:r w:rsidR="000878EC">
              <w:rPr>
                <w:rFonts w:ascii="Times New Roman" w:hAnsi="Times New Roman"/>
                <w:sz w:val="24"/>
              </w:rPr>
              <w:t>'</w:t>
            </w:r>
            <w:r>
              <w:rPr>
                <w:rFonts w:ascii="Times New Roman" w:hAnsi="Times New Roman"/>
                <w:sz w:val="24"/>
              </w:rPr>
              <w:t>ente applichi all</w:t>
            </w:r>
            <w:r w:rsidR="000878EC">
              <w:rPr>
                <w:rFonts w:ascii="Times New Roman" w:hAnsi="Times New Roman"/>
                <w:sz w:val="24"/>
              </w:rPr>
              <w:t>'</w:t>
            </w:r>
            <w:r>
              <w:rPr>
                <w:rFonts w:ascii="Times New Roman" w:hAnsi="Times New Roman"/>
                <w:sz w:val="24"/>
              </w:rPr>
              <w:t>esposizione cartolarizzata il metodo basato sui rating interni.</w:t>
            </w:r>
          </w:p>
          <w:p w:rsidR="00C55547" w:rsidRPr="00661595" w:rsidRDefault="00C55547" w:rsidP="00E9572B">
            <w:pPr>
              <w:suppressAutoHyphens/>
              <w:autoSpaceDE w:val="0"/>
              <w:autoSpaceDN w:val="0"/>
              <w:adjustRightInd w:val="0"/>
              <w:spacing w:before="0" w:after="0"/>
              <w:rPr>
                <w:rFonts w:ascii="Times New Roman" w:hAnsi="Times New Roman"/>
                <w:sz w:val="24"/>
              </w:rPr>
            </w:pPr>
          </w:p>
          <w:p w:rsidR="00C55547" w:rsidRDefault="00C55547"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Al contrario, se i requisiti di fondi propri si basano su </w:t>
            </w:r>
            <w:r>
              <w:rPr>
                <w:rFonts w:ascii="Times New Roman" w:hAnsi="Times New Roman"/>
                <w:i/>
                <w:sz w:val="24"/>
              </w:rPr>
              <w:t>posizioni verso la cartolarizzazione detenute nel portafoglio bancario</w:t>
            </w:r>
            <w:r>
              <w:rPr>
                <w:rFonts w:ascii="Times New Roman" w:hAnsi="Times New Roman"/>
                <w:sz w:val="24"/>
              </w:rPr>
              <w:t xml:space="preserve"> (in quanto è stato realizzato un trasferimento significativo del rischio), le informazioni sul calcolo dei requisiti di fondi propri per il rischio di credito sono segnalate nel modello CR SEC. Per le </w:t>
            </w:r>
            <w:r>
              <w:rPr>
                <w:rFonts w:ascii="Times New Roman" w:hAnsi="Times New Roman"/>
                <w:i/>
                <w:sz w:val="24"/>
              </w:rPr>
              <w:t>posizioni verso la cartolarizzazione detenute nel portafoglio di negoziazione</w:t>
            </w:r>
            <w:r>
              <w:rPr>
                <w:rFonts w:ascii="Times New Roman" w:hAnsi="Times New Roman"/>
                <w:sz w:val="24"/>
              </w:rPr>
              <w:t>, le informazioni sul calcolo dei requisiti di fondi propri per il rischio di mercato sono indicate nel modello MKR SA TDI (rischio di posizione generale standardizzato) e nel modello MKR SA SEC o nel modello MKR SA CTP (rischio di posizione specifico standardizzato) o ancora nel modello MKR IM (modelli interni).</w:t>
            </w:r>
          </w:p>
          <w:p w:rsidR="006C5A49" w:rsidRPr="00661595" w:rsidRDefault="006C5A49" w:rsidP="00E9572B">
            <w:pPr>
              <w:suppressAutoHyphens/>
              <w:autoSpaceDE w:val="0"/>
              <w:autoSpaceDN w:val="0"/>
              <w:adjustRightInd w:val="0"/>
              <w:spacing w:before="0" w:after="0"/>
              <w:rPr>
                <w:rFonts w:ascii="Times New Roman" w:hAnsi="Times New Roman"/>
                <w:sz w:val="24"/>
              </w:rPr>
            </w:pPr>
          </w:p>
          <w:p w:rsidR="00C55547" w:rsidRPr="00661595" w:rsidRDefault="00C55547"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Nelle cartolarizzazioni di passività i cedenti non compilano questa colonna.</w:t>
            </w:r>
          </w:p>
          <w:p w:rsidR="00C55547" w:rsidRPr="00661595" w:rsidRDefault="00C55547" w:rsidP="00E9572B">
            <w:pPr>
              <w:suppressAutoHyphens/>
              <w:autoSpaceDE w:val="0"/>
              <w:autoSpaceDN w:val="0"/>
              <w:adjustRightInd w:val="0"/>
              <w:spacing w:before="0" w:after="0"/>
              <w:jc w:val="left"/>
              <w:rPr>
                <w:rFonts w:ascii="Times New Roman" w:hAnsi="Times New Roman"/>
                <w:bCs/>
                <w:sz w:val="24"/>
                <w:lang w:eastAsia="nl-BE"/>
              </w:rPr>
            </w:pPr>
          </w:p>
        </w:tc>
      </w:tr>
      <w:tr w:rsidR="00C55547" w:rsidRPr="00661595" w:rsidTr="00E10B85">
        <w:tc>
          <w:tcPr>
            <w:tcW w:w="1101" w:type="dxa"/>
          </w:tcPr>
          <w:p w:rsidR="00C55547" w:rsidRPr="00661595" w:rsidRDefault="00C55547"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0061</w:t>
            </w:r>
          </w:p>
        </w:tc>
        <w:tc>
          <w:tcPr>
            <w:tcW w:w="7903" w:type="dxa"/>
          </w:tcPr>
          <w:p w:rsidR="00C55547" w:rsidRPr="00661595" w:rsidRDefault="00C55547" w:rsidP="00E9572B">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TRASFERIMENTO SIGNIFICATIVO DEL RISCHIO (SRT)</w:t>
            </w:r>
          </w:p>
          <w:p w:rsidR="00C55547" w:rsidRPr="00661595" w:rsidRDefault="00C55547" w:rsidP="00E9572B">
            <w:pPr>
              <w:suppressAutoHyphens/>
              <w:autoSpaceDE w:val="0"/>
              <w:autoSpaceDN w:val="0"/>
              <w:adjustRightInd w:val="0"/>
              <w:spacing w:before="0" w:after="0"/>
              <w:jc w:val="left"/>
              <w:rPr>
                <w:rFonts w:ascii="Times New Roman" w:hAnsi="Times New Roman"/>
                <w:b/>
                <w:sz w:val="24"/>
                <w:u w:val="single"/>
              </w:rPr>
            </w:pP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I cedenti, e soltanto loro, inseriscono le seguenti abbreviazioni:</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 xml:space="preserve">- </w:t>
            </w:r>
            <w:r w:rsidR="000878EC">
              <w:rPr>
                <w:rFonts w:ascii="Times New Roman" w:hAnsi="Times New Roman"/>
                <w:sz w:val="24"/>
              </w:rPr>
              <w:t>"</w:t>
            </w:r>
            <w:r>
              <w:rPr>
                <w:rFonts w:ascii="Times New Roman" w:hAnsi="Times New Roman"/>
                <w:sz w:val="24"/>
              </w:rPr>
              <w:t>N</w:t>
            </w:r>
            <w:r w:rsidR="000878EC">
              <w:rPr>
                <w:rFonts w:ascii="Times New Roman" w:hAnsi="Times New Roman"/>
                <w:sz w:val="24"/>
              </w:rPr>
              <w:t>"</w:t>
            </w:r>
            <w:r>
              <w:rPr>
                <w:rFonts w:ascii="Times New Roman" w:hAnsi="Times New Roman"/>
                <w:sz w:val="24"/>
              </w:rPr>
              <w:t xml:space="preserve"> = nessun SRT riconosciuto e il soggetto segnalante pondera per il rischio le sue esposizioni cartolarizzate;</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 xml:space="preserve">- </w:t>
            </w:r>
            <w:r w:rsidR="000878EC">
              <w:rPr>
                <w:rFonts w:ascii="Times New Roman" w:hAnsi="Times New Roman"/>
                <w:sz w:val="24"/>
              </w:rPr>
              <w:t>"</w:t>
            </w:r>
            <w:r>
              <w:rPr>
                <w:rFonts w:ascii="Times New Roman" w:hAnsi="Times New Roman"/>
                <w:sz w:val="24"/>
              </w:rPr>
              <w:t>A</w:t>
            </w:r>
            <w:r w:rsidR="000878EC">
              <w:rPr>
                <w:rFonts w:ascii="Times New Roman" w:hAnsi="Times New Roman"/>
                <w:sz w:val="24"/>
              </w:rPr>
              <w:t>"</w:t>
            </w:r>
            <w:r>
              <w:rPr>
                <w:rFonts w:ascii="Times New Roman" w:hAnsi="Times New Roman"/>
                <w:sz w:val="24"/>
              </w:rPr>
              <w:t xml:space="preserve"> = realizzazione dell</w:t>
            </w:r>
            <w:r w:rsidR="000878EC">
              <w:rPr>
                <w:rFonts w:ascii="Times New Roman" w:hAnsi="Times New Roman"/>
                <w:sz w:val="24"/>
              </w:rPr>
              <w:t>'</w:t>
            </w:r>
            <w:r>
              <w:rPr>
                <w:rFonts w:ascii="Times New Roman" w:hAnsi="Times New Roman"/>
                <w:sz w:val="24"/>
              </w:rPr>
              <w:t>SRT a norma dell</w:t>
            </w:r>
            <w:r w:rsidR="000878EC">
              <w:rPr>
                <w:rFonts w:ascii="Times New Roman" w:hAnsi="Times New Roman"/>
                <w:sz w:val="24"/>
              </w:rPr>
              <w:t>'</w:t>
            </w:r>
            <w:r>
              <w:rPr>
                <w:rFonts w:ascii="Times New Roman" w:hAnsi="Times New Roman"/>
                <w:sz w:val="24"/>
              </w:rPr>
              <w:t>articolo 244, paragrafo 2, lettera a), o dell</w:t>
            </w:r>
            <w:r w:rsidR="000878EC">
              <w:rPr>
                <w:rFonts w:ascii="Times New Roman" w:hAnsi="Times New Roman"/>
                <w:sz w:val="24"/>
              </w:rPr>
              <w:t>'</w:t>
            </w:r>
            <w:r>
              <w:rPr>
                <w:rFonts w:ascii="Times New Roman" w:hAnsi="Times New Roman"/>
                <w:sz w:val="24"/>
              </w:rPr>
              <w:t>articolo 245, paragrafo 2, lettera a), del CRR;</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 xml:space="preserve">- </w:t>
            </w:r>
            <w:r w:rsidR="000878EC">
              <w:rPr>
                <w:rFonts w:ascii="Times New Roman" w:hAnsi="Times New Roman"/>
                <w:sz w:val="24"/>
              </w:rPr>
              <w:t>"</w:t>
            </w:r>
            <w:r>
              <w:rPr>
                <w:rFonts w:ascii="Times New Roman" w:hAnsi="Times New Roman"/>
                <w:sz w:val="24"/>
              </w:rPr>
              <w:t>B</w:t>
            </w:r>
            <w:r w:rsidR="000878EC">
              <w:rPr>
                <w:rFonts w:ascii="Times New Roman" w:hAnsi="Times New Roman"/>
                <w:sz w:val="24"/>
              </w:rPr>
              <w:t>"</w:t>
            </w:r>
            <w:r>
              <w:rPr>
                <w:rFonts w:ascii="Times New Roman" w:hAnsi="Times New Roman"/>
                <w:sz w:val="24"/>
              </w:rPr>
              <w:t xml:space="preserve"> = realizzazione dell</w:t>
            </w:r>
            <w:r w:rsidR="000878EC">
              <w:rPr>
                <w:rFonts w:ascii="Times New Roman" w:hAnsi="Times New Roman"/>
                <w:sz w:val="24"/>
              </w:rPr>
              <w:t>'</w:t>
            </w:r>
            <w:r>
              <w:rPr>
                <w:rFonts w:ascii="Times New Roman" w:hAnsi="Times New Roman"/>
                <w:sz w:val="24"/>
              </w:rPr>
              <w:t>SRT a norma dell</w:t>
            </w:r>
            <w:r w:rsidR="000878EC">
              <w:rPr>
                <w:rFonts w:ascii="Times New Roman" w:hAnsi="Times New Roman"/>
                <w:sz w:val="24"/>
              </w:rPr>
              <w:t>'</w:t>
            </w:r>
            <w:r>
              <w:rPr>
                <w:rFonts w:ascii="Times New Roman" w:hAnsi="Times New Roman"/>
                <w:sz w:val="24"/>
              </w:rPr>
              <w:t>articolo 244, paragrafo 2, lettera b), o dell</w:t>
            </w:r>
            <w:r w:rsidR="000878EC">
              <w:rPr>
                <w:rFonts w:ascii="Times New Roman" w:hAnsi="Times New Roman"/>
                <w:sz w:val="24"/>
              </w:rPr>
              <w:t>'</w:t>
            </w:r>
            <w:r>
              <w:rPr>
                <w:rFonts w:ascii="Times New Roman" w:hAnsi="Times New Roman"/>
                <w:sz w:val="24"/>
              </w:rPr>
              <w:t>articolo 245, paragrafo 2, lettera b), del CRR;</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 xml:space="preserve">- </w:t>
            </w:r>
            <w:r w:rsidR="000878EC">
              <w:rPr>
                <w:rFonts w:ascii="Times New Roman" w:hAnsi="Times New Roman"/>
                <w:sz w:val="24"/>
              </w:rPr>
              <w:t>"</w:t>
            </w:r>
            <w:r>
              <w:rPr>
                <w:rFonts w:ascii="Times New Roman" w:hAnsi="Times New Roman"/>
                <w:sz w:val="24"/>
              </w:rPr>
              <w:t>C</w:t>
            </w:r>
            <w:r w:rsidR="000878EC">
              <w:rPr>
                <w:rFonts w:ascii="Times New Roman" w:hAnsi="Times New Roman"/>
                <w:sz w:val="24"/>
              </w:rPr>
              <w:t>"</w:t>
            </w:r>
            <w:r>
              <w:rPr>
                <w:rFonts w:ascii="Times New Roman" w:hAnsi="Times New Roman"/>
                <w:sz w:val="24"/>
              </w:rPr>
              <w:t xml:space="preserve"> = realizzazione dell</w:t>
            </w:r>
            <w:r w:rsidR="000878EC">
              <w:rPr>
                <w:rFonts w:ascii="Times New Roman" w:hAnsi="Times New Roman"/>
                <w:sz w:val="24"/>
              </w:rPr>
              <w:t>'</w:t>
            </w:r>
            <w:r>
              <w:rPr>
                <w:rFonts w:ascii="Times New Roman" w:hAnsi="Times New Roman"/>
                <w:sz w:val="24"/>
              </w:rPr>
              <w:t>SRT a norma dell</w:t>
            </w:r>
            <w:r w:rsidR="000878EC">
              <w:rPr>
                <w:rFonts w:ascii="Times New Roman" w:hAnsi="Times New Roman"/>
                <w:sz w:val="24"/>
              </w:rPr>
              <w:t>'</w:t>
            </w:r>
            <w:r>
              <w:rPr>
                <w:rFonts w:ascii="Times New Roman" w:hAnsi="Times New Roman"/>
                <w:sz w:val="24"/>
              </w:rPr>
              <w:t>articolo 244, paragrafo 3, lettera a), o dell</w:t>
            </w:r>
            <w:r w:rsidR="000878EC">
              <w:rPr>
                <w:rFonts w:ascii="Times New Roman" w:hAnsi="Times New Roman"/>
                <w:sz w:val="24"/>
              </w:rPr>
              <w:t>'</w:t>
            </w:r>
            <w:r>
              <w:rPr>
                <w:rFonts w:ascii="Times New Roman" w:hAnsi="Times New Roman"/>
                <w:sz w:val="24"/>
              </w:rPr>
              <w:t>articolo 245, paragrafo 3, lettera a), del CRR;</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 xml:space="preserve">- </w:t>
            </w:r>
            <w:r w:rsidR="000878EC">
              <w:rPr>
                <w:rFonts w:ascii="Times New Roman" w:hAnsi="Times New Roman"/>
                <w:sz w:val="24"/>
              </w:rPr>
              <w:t>"</w:t>
            </w:r>
            <w:r>
              <w:rPr>
                <w:rFonts w:ascii="Times New Roman" w:hAnsi="Times New Roman"/>
                <w:sz w:val="24"/>
              </w:rPr>
              <w:t>D</w:t>
            </w:r>
            <w:r w:rsidR="000878EC">
              <w:rPr>
                <w:rFonts w:ascii="Times New Roman" w:hAnsi="Times New Roman"/>
                <w:sz w:val="24"/>
              </w:rPr>
              <w:t>"</w:t>
            </w:r>
            <w:r>
              <w:rPr>
                <w:rFonts w:ascii="Times New Roman" w:hAnsi="Times New Roman"/>
                <w:sz w:val="24"/>
              </w:rPr>
              <w:t xml:space="preserve"> = attribuzione di un fattore di ponderazione del rischio del 1 250 % o deduzione delle posizioni mantenute a norma dell</w:t>
            </w:r>
            <w:r w:rsidR="000878EC">
              <w:rPr>
                <w:rFonts w:ascii="Times New Roman" w:hAnsi="Times New Roman"/>
                <w:sz w:val="24"/>
              </w:rPr>
              <w:t>'</w:t>
            </w:r>
            <w:r>
              <w:rPr>
                <w:rFonts w:ascii="Times New Roman" w:hAnsi="Times New Roman"/>
                <w:sz w:val="24"/>
              </w:rPr>
              <w:t>articolo 244, paragrafo 1, lettera b), o dell</w:t>
            </w:r>
            <w:r w:rsidR="000878EC">
              <w:rPr>
                <w:rFonts w:ascii="Times New Roman" w:hAnsi="Times New Roman"/>
                <w:sz w:val="24"/>
              </w:rPr>
              <w:t>'</w:t>
            </w:r>
            <w:r>
              <w:rPr>
                <w:rFonts w:ascii="Times New Roman" w:hAnsi="Times New Roman"/>
                <w:sz w:val="24"/>
              </w:rPr>
              <w:t>articolo 245, paragrafo 1, lettera b), del CRR.</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Questa colonna riassume se è stato realizzato un trasferimento significativo e, in caso affermativo, con quali mezzi. La realizzazione dell</w:t>
            </w:r>
            <w:r w:rsidR="000878EC">
              <w:rPr>
                <w:rFonts w:ascii="Times New Roman" w:hAnsi="Times New Roman"/>
                <w:sz w:val="24"/>
              </w:rPr>
              <w:t>'</w:t>
            </w:r>
            <w:r>
              <w:rPr>
                <w:rFonts w:ascii="Times New Roman" w:hAnsi="Times New Roman"/>
                <w:sz w:val="24"/>
              </w:rPr>
              <w:t>SRT determinerà il corretto trattamento ai fini della solvibilità da parte del cedente.</w:t>
            </w:r>
          </w:p>
          <w:p w:rsidR="00C55547" w:rsidRPr="00661595" w:rsidRDefault="00C55547" w:rsidP="00E9572B">
            <w:pPr>
              <w:suppressAutoHyphens/>
              <w:spacing w:before="0" w:after="0"/>
              <w:jc w:val="left"/>
            </w:pPr>
          </w:p>
        </w:tc>
      </w:tr>
      <w:tr w:rsidR="00C55547" w:rsidRPr="00661595" w:rsidTr="00E10B85">
        <w:tc>
          <w:tcPr>
            <w:tcW w:w="1101" w:type="dxa"/>
          </w:tcPr>
          <w:p w:rsidR="00C55547" w:rsidRPr="00661595" w:rsidRDefault="00C55547"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rsidR="00C55547" w:rsidRPr="00661595" w:rsidRDefault="00C55547" w:rsidP="00E9572B">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CARTOLARIZZAZIONE O RICARTOLARIZZAZIONE?</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p>
          <w:p w:rsidR="00C55547" w:rsidRPr="00661595" w:rsidRDefault="00BB22D4" w:rsidP="00E9572B">
            <w:pPr>
              <w:suppressAutoHyphens/>
              <w:autoSpaceDE w:val="0"/>
              <w:autoSpaceDN w:val="0"/>
              <w:adjustRightInd w:val="0"/>
              <w:spacing w:before="0"/>
              <w:jc w:val="left"/>
              <w:rPr>
                <w:rFonts w:ascii="Times New Roman" w:hAnsi="Times New Roman"/>
                <w:sz w:val="24"/>
              </w:rPr>
            </w:pPr>
            <w:r>
              <w:rPr>
                <w:rFonts w:ascii="Times New Roman" w:hAnsi="Times New Roman"/>
                <w:sz w:val="24"/>
              </w:rPr>
              <w:t xml:space="preserve">Conformemente alla definizione di </w:t>
            </w:r>
            <w:r w:rsidR="000878EC">
              <w:rPr>
                <w:rFonts w:ascii="Times New Roman" w:hAnsi="Times New Roman"/>
                <w:sz w:val="24"/>
              </w:rPr>
              <w:t>"</w:t>
            </w:r>
            <w:r>
              <w:rPr>
                <w:rFonts w:ascii="Times New Roman" w:hAnsi="Times New Roman"/>
                <w:sz w:val="24"/>
              </w:rPr>
              <w:t>cartolarizzazione</w:t>
            </w:r>
            <w:r w:rsidR="000878EC">
              <w:rPr>
                <w:rFonts w:ascii="Times New Roman" w:hAnsi="Times New Roman"/>
                <w:sz w:val="24"/>
              </w:rPr>
              <w:t>"</w:t>
            </w:r>
            <w:r>
              <w:rPr>
                <w:rFonts w:ascii="Times New Roman" w:hAnsi="Times New Roman"/>
                <w:sz w:val="24"/>
              </w:rPr>
              <w:t xml:space="preserve"> di cui all</w:t>
            </w:r>
            <w:r w:rsidR="000878EC">
              <w:rPr>
                <w:rFonts w:ascii="Times New Roman" w:hAnsi="Times New Roman"/>
                <w:sz w:val="24"/>
              </w:rPr>
              <w:t>'</w:t>
            </w:r>
            <w:r>
              <w:rPr>
                <w:rFonts w:ascii="Times New Roman" w:hAnsi="Times New Roman"/>
                <w:sz w:val="24"/>
              </w:rPr>
              <w:t xml:space="preserve">articolo 4, paragrafo 1, punto 61, del CRR e alla definizione di </w:t>
            </w:r>
            <w:r w:rsidR="000878EC">
              <w:rPr>
                <w:rFonts w:ascii="Times New Roman" w:hAnsi="Times New Roman"/>
                <w:sz w:val="24"/>
              </w:rPr>
              <w:t>"</w:t>
            </w:r>
            <w:r>
              <w:rPr>
                <w:rFonts w:ascii="Times New Roman" w:hAnsi="Times New Roman"/>
                <w:sz w:val="24"/>
              </w:rPr>
              <w:t>ricartolarizzazione</w:t>
            </w:r>
            <w:r w:rsidR="000878EC">
              <w:rPr>
                <w:rFonts w:ascii="Times New Roman" w:hAnsi="Times New Roman"/>
                <w:sz w:val="24"/>
              </w:rPr>
              <w:t>"</w:t>
            </w:r>
            <w:r>
              <w:rPr>
                <w:rFonts w:ascii="Times New Roman" w:hAnsi="Times New Roman"/>
                <w:sz w:val="24"/>
              </w:rPr>
              <w:t xml:space="preserve"> di cui all</w:t>
            </w:r>
            <w:r w:rsidR="000878EC">
              <w:rPr>
                <w:rFonts w:ascii="Times New Roman" w:hAnsi="Times New Roman"/>
                <w:sz w:val="24"/>
              </w:rPr>
              <w:t>'</w:t>
            </w:r>
            <w:r>
              <w:rPr>
                <w:rFonts w:ascii="Times New Roman" w:hAnsi="Times New Roman"/>
                <w:sz w:val="24"/>
              </w:rPr>
              <w:t>articolo 4, paragrafo 1, punto 63, del CRR, indicare il tipo di cartolarizzazione utilizzando le seguenti abbreviazioni:</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 xml:space="preserve">- </w:t>
            </w:r>
            <w:r w:rsidR="000878EC">
              <w:rPr>
                <w:rFonts w:ascii="Times New Roman" w:hAnsi="Times New Roman"/>
                <w:sz w:val="24"/>
              </w:rPr>
              <w:t>"</w:t>
            </w:r>
            <w:r>
              <w:rPr>
                <w:rFonts w:ascii="Times New Roman" w:hAnsi="Times New Roman"/>
                <w:sz w:val="24"/>
              </w:rPr>
              <w:t>S</w:t>
            </w:r>
            <w:r w:rsidR="000878EC">
              <w:rPr>
                <w:rFonts w:ascii="Times New Roman" w:hAnsi="Times New Roman"/>
                <w:sz w:val="24"/>
              </w:rPr>
              <w:t>"</w:t>
            </w:r>
            <w:r>
              <w:rPr>
                <w:rFonts w:ascii="Times New Roman" w:hAnsi="Times New Roman"/>
                <w:sz w:val="24"/>
              </w:rPr>
              <w:t xml:space="preserve"> = cartolarizzazione;</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 xml:space="preserve">- </w:t>
            </w:r>
            <w:r w:rsidR="000878EC">
              <w:rPr>
                <w:rFonts w:ascii="Times New Roman" w:hAnsi="Times New Roman"/>
                <w:sz w:val="24"/>
              </w:rPr>
              <w:t>"</w:t>
            </w:r>
            <w:r>
              <w:rPr>
                <w:rFonts w:ascii="Times New Roman" w:hAnsi="Times New Roman"/>
                <w:sz w:val="24"/>
              </w:rPr>
              <w:t>R</w:t>
            </w:r>
            <w:r w:rsidR="000878EC">
              <w:rPr>
                <w:rFonts w:ascii="Times New Roman" w:hAnsi="Times New Roman"/>
                <w:sz w:val="24"/>
              </w:rPr>
              <w:t>"</w:t>
            </w:r>
            <w:r>
              <w:rPr>
                <w:rFonts w:ascii="Times New Roman" w:hAnsi="Times New Roman"/>
                <w:sz w:val="24"/>
              </w:rPr>
              <w:t xml:space="preserve"> = ricartolarizzazione.</w:t>
            </w:r>
          </w:p>
          <w:p w:rsidR="00C55547" w:rsidRPr="00661595" w:rsidRDefault="00C55547" w:rsidP="00E9572B">
            <w:pPr>
              <w:suppressAutoHyphens/>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C55547"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0075</w:t>
            </w:r>
          </w:p>
        </w:tc>
        <w:tc>
          <w:tcPr>
            <w:tcW w:w="7903" w:type="dxa"/>
          </w:tcPr>
          <w:p w:rsidR="00C55547" w:rsidRPr="00661595" w:rsidRDefault="00C55547" w:rsidP="00E9572B">
            <w:pPr>
              <w:tabs>
                <w:tab w:val="left" w:pos="3274"/>
              </w:tabs>
              <w:suppressAutoHyphens/>
              <w:spacing w:before="0" w:after="0"/>
              <w:jc w:val="left"/>
              <w:rPr>
                <w:rFonts w:ascii="Times New Roman" w:hAnsi="Times New Roman"/>
                <w:b/>
                <w:sz w:val="24"/>
                <w:u w:val="single"/>
              </w:rPr>
            </w:pPr>
            <w:r>
              <w:rPr>
                <w:rFonts w:ascii="Times New Roman" w:hAnsi="Times New Roman"/>
                <w:b/>
                <w:sz w:val="24"/>
                <w:u w:val="single"/>
              </w:rPr>
              <w:t>CARTOLARIZZAZIONE STS</w:t>
            </w:r>
          </w:p>
          <w:p w:rsidR="00C55547" w:rsidRPr="00661595" w:rsidRDefault="00C55547" w:rsidP="00E9572B">
            <w:pPr>
              <w:suppressAutoHyphens/>
              <w:spacing w:before="0" w:after="0"/>
              <w:jc w:val="left"/>
              <w:rPr>
                <w:rFonts w:ascii="Times New Roman" w:hAnsi="Times New Roman"/>
                <w:sz w:val="24"/>
              </w:rPr>
            </w:pPr>
          </w:p>
          <w:p w:rsidR="00C55547" w:rsidRPr="00661595" w:rsidRDefault="00C55547" w:rsidP="00E9572B">
            <w:pPr>
              <w:suppressAutoHyphens/>
              <w:spacing w:before="0" w:after="0"/>
              <w:jc w:val="left"/>
              <w:rPr>
                <w:rFonts w:ascii="Times New Roman" w:hAnsi="Times New Roman"/>
                <w:sz w:val="24"/>
              </w:rPr>
            </w:pPr>
            <w:r>
              <w:rPr>
                <w:rFonts w:ascii="Times New Roman" w:hAnsi="Times New Roman"/>
                <w:sz w:val="24"/>
              </w:rPr>
              <w:t>Articolo 18 del regolamento (UE) 2017/2402</w:t>
            </w:r>
          </w:p>
          <w:p w:rsidR="00C55547" w:rsidRPr="00661595" w:rsidRDefault="00C55547" w:rsidP="00E9572B">
            <w:pPr>
              <w:suppressAutoHyphens/>
              <w:spacing w:before="0" w:after="0"/>
              <w:jc w:val="left"/>
              <w:rPr>
                <w:rFonts w:ascii="Times New Roman" w:hAnsi="Times New Roman"/>
                <w:sz w:val="24"/>
              </w:rPr>
            </w:pPr>
          </w:p>
          <w:p w:rsidR="00C55547" w:rsidRPr="00661595" w:rsidRDefault="00554261" w:rsidP="00E9572B">
            <w:pPr>
              <w:suppressAutoHyphens/>
              <w:spacing w:before="0"/>
              <w:jc w:val="left"/>
              <w:rPr>
                <w:rFonts w:ascii="Times New Roman" w:hAnsi="Times New Roman"/>
                <w:sz w:val="24"/>
              </w:rPr>
            </w:pPr>
            <w:r>
              <w:rPr>
                <w:rFonts w:ascii="Times New Roman" w:hAnsi="Times New Roman"/>
                <w:sz w:val="24"/>
              </w:rPr>
              <w:t>Gli enti utilizzano una delle seguenti abbreviazioni:</w:t>
            </w:r>
          </w:p>
          <w:p w:rsidR="00C55547" w:rsidRPr="00661595" w:rsidRDefault="00C55547" w:rsidP="00E9572B">
            <w:pPr>
              <w:suppressAutoHyphens/>
              <w:spacing w:before="0" w:after="0"/>
              <w:jc w:val="left"/>
              <w:rPr>
                <w:rFonts w:ascii="Times New Roman" w:hAnsi="Times New Roman"/>
                <w:sz w:val="24"/>
              </w:rPr>
            </w:pPr>
            <w:r>
              <w:rPr>
                <w:rFonts w:ascii="Times New Roman" w:hAnsi="Times New Roman"/>
                <w:sz w:val="24"/>
              </w:rPr>
              <w:t>Y – Sì;</w:t>
            </w:r>
          </w:p>
          <w:p w:rsidR="00C55547" w:rsidRPr="00661595" w:rsidRDefault="00C55547" w:rsidP="00E9572B">
            <w:pPr>
              <w:suppressAutoHyphens/>
              <w:spacing w:before="0" w:after="0"/>
              <w:jc w:val="left"/>
              <w:rPr>
                <w:rFonts w:ascii="Times New Roman" w:hAnsi="Times New Roman"/>
                <w:sz w:val="24"/>
              </w:rPr>
            </w:pPr>
            <w:r>
              <w:rPr>
                <w:rFonts w:ascii="Times New Roman" w:hAnsi="Times New Roman"/>
                <w:sz w:val="24"/>
              </w:rPr>
              <w:t>N – No</w:t>
            </w:r>
          </w:p>
          <w:p w:rsidR="00C55547" w:rsidRPr="00661595" w:rsidRDefault="00C55547" w:rsidP="00E9572B">
            <w:pPr>
              <w:suppressAutoHyphens/>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0446</w:t>
            </w:r>
          </w:p>
        </w:tc>
        <w:tc>
          <w:tcPr>
            <w:tcW w:w="7903" w:type="dxa"/>
          </w:tcPr>
          <w:p w:rsidR="00C55547" w:rsidRPr="00661595" w:rsidRDefault="00C55547" w:rsidP="00E9572B">
            <w:pPr>
              <w:suppressAutoHyphens/>
              <w:spacing w:before="0" w:after="0"/>
              <w:jc w:val="left"/>
              <w:rPr>
                <w:rFonts w:ascii="Times New Roman" w:hAnsi="Times New Roman"/>
                <w:b/>
                <w:sz w:val="24"/>
                <w:u w:val="single"/>
              </w:rPr>
            </w:pPr>
            <w:r>
              <w:rPr>
                <w:rFonts w:ascii="Times New Roman" w:hAnsi="Times New Roman"/>
                <w:b/>
                <w:sz w:val="24"/>
                <w:u w:val="single"/>
              </w:rPr>
              <w:t>CARTOLARIZZAZIONI AMMISSIBILI AL TRATTAMENTO DIFFERENZIATO AI FINI PATRIMONIALI</w:t>
            </w:r>
          </w:p>
          <w:p w:rsidR="00C55547" w:rsidRPr="00661595" w:rsidRDefault="00C55547" w:rsidP="00E9572B">
            <w:pPr>
              <w:suppressAutoHyphens/>
              <w:spacing w:before="0" w:after="0"/>
              <w:jc w:val="left"/>
              <w:rPr>
                <w:rFonts w:ascii="Times New Roman" w:hAnsi="Times New Roman"/>
                <w:sz w:val="24"/>
              </w:rPr>
            </w:pPr>
          </w:p>
          <w:p w:rsidR="00554261" w:rsidRDefault="00C55547" w:rsidP="00E9572B">
            <w:pPr>
              <w:suppressAutoHyphens/>
              <w:spacing w:before="0"/>
              <w:jc w:val="left"/>
              <w:rPr>
                <w:rFonts w:ascii="Times New Roman" w:hAnsi="Times New Roman"/>
                <w:sz w:val="24"/>
              </w:rPr>
            </w:pPr>
            <w:r>
              <w:rPr>
                <w:rFonts w:ascii="Times New Roman" w:hAnsi="Times New Roman"/>
                <w:sz w:val="24"/>
              </w:rPr>
              <w:t>Articoli 243 e 270 del CRR</w:t>
            </w:r>
          </w:p>
          <w:p w:rsidR="00C55547" w:rsidRPr="00661595" w:rsidRDefault="00EE2BEA" w:rsidP="00E9572B">
            <w:pPr>
              <w:suppressAutoHyphens/>
              <w:spacing w:before="0" w:after="0"/>
              <w:jc w:val="left"/>
              <w:rPr>
                <w:rFonts w:ascii="Times New Roman" w:hAnsi="Times New Roman"/>
                <w:sz w:val="24"/>
              </w:rPr>
            </w:pPr>
            <w:r>
              <w:rPr>
                <w:rFonts w:ascii="Times New Roman" w:hAnsi="Times New Roman"/>
                <w:sz w:val="24"/>
              </w:rPr>
              <w:t>Gli enti utilizzano una delle seguenti abbreviazioni:</w:t>
            </w:r>
          </w:p>
          <w:p w:rsidR="00C55547" w:rsidRPr="00661595" w:rsidRDefault="00C55547" w:rsidP="00E9572B">
            <w:pPr>
              <w:suppressAutoHyphens/>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 Sì;</w:t>
            </w:r>
          </w:p>
          <w:p w:rsidR="00C55547" w:rsidRPr="00661595" w:rsidRDefault="00C55547" w:rsidP="00E9572B">
            <w:pPr>
              <w:tabs>
                <w:tab w:val="left" w:pos="708"/>
                <w:tab w:val="left" w:pos="1573"/>
              </w:tabs>
              <w:suppressAutoHyphen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 No.</w:t>
            </w:r>
          </w:p>
          <w:p w:rsidR="00C55547" w:rsidRPr="00661595" w:rsidRDefault="00C55547" w:rsidP="00E9572B">
            <w:pPr>
              <w:suppressAutoHyphens/>
              <w:spacing w:before="0" w:after="0"/>
              <w:jc w:val="left"/>
              <w:rPr>
                <w:rFonts w:ascii="Times New Roman" w:hAnsi="Times New Roman"/>
                <w:b/>
                <w:sz w:val="24"/>
                <w:u w:val="single"/>
              </w:rPr>
            </w:pPr>
          </w:p>
          <w:p w:rsidR="00C55547" w:rsidRPr="00661595" w:rsidRDefault="000878EC" w:rsidP="00E9572B">
            <w:pPr>
              <w:suppressAutoHyphens/>
              <w:spacing w:before="0" w:after="0"/>
              <w:jc w:val="left"/>
              <w:rPr>
                <w:rFonts w:ascii="Times New Roman" w:hAnsi="Times New Roman"/>
                <w:sz w:val="24"/>
              </w:rPr>
            </w:pPr>
            <w:r>
              <w:rPr>
                <w:rFonts w:ascii="Times New Roman" w:hAnsi="Times New Roman"/>
                <w:sz w:val="24"/>
              </w:rPr>
              <w:t>"</w:t>
            </w:r>
            <w:r w:rsidR="00C55547">
              <w:rPr>
                <w:rFonts w:ascii="Times New Roman" w:hAnsi="Times New Roman"/>
                <w:sz w:val="24"/>
              </w:rPr>
              <w:t>Sì (Y)</w:t>
            </w:r>
            <w:r>
              <w:rPr>
                <w:rFonts w:ascii="Times New Roman" w:hAnsi="Times New Roman"/>
                <w:sz w:val="24"/>
              </w:rPr>
              <w:t>"</w:t>
            </w:r>
            <w:r w:rsidR="00C55547">
              <w:rPr>
                <w:rFonts w:ascii="Times New Roman" w:hAnsi="Times New Roman"/>
                <w:sz w:val="24"/>
              </w:rPr>
              <w:t xml:space="preserve"> va indicato sia in caso di cartolarizzazioni STS ammissibili al trattamento differenziato ai fini patrimoniali a norma dell</w:t>
            </w:r>
            <w:r>
              <w:rPr>
                <w:rFonts w:ascii="Times New Roman" w:hAnsi="Times New Roman"/>
                <w:sz w:val="24"/>
              </w:rPr>
              <w:t>'</w:t>
            </w:r>
            <w:r w:rsidR="00C55547">
              <w:rPr>
                <w:rFonts w:ascii="Times New Roman" w:hAnsi="Times New Roman"/>
                <w:sz w:val="24"/>
              </w:rPr>
              <w:t>articolo 243 del CRR che in caso di posizioni senior verso cartolarizzazioni delle PMI (non STS) ammissibili a tale trattamento a norma dell</w:t>
            </w:r>
            <w:r>
              <w:rPr>
                <w:rFonts w:ascii="Times New Roman" w:hAnsi="Times New Roman"/>
                <w:sz w:val="24"/>
              </w:rPr>
              <w:t>'</w:t>
            </w:r>
            <w:r w:rsidR="00C55547">
              <w:rPr>
                <w:rFonts w:ascii="Times New Roman" w:hAnsi="Times New Roman"/>
                <w:sz w:val="24"/>
              </w:rPr>
              <w:t>articolo 270 del CRR.</w:t>
            </w:r>
          </w:p>
          <w:p w:rsidR="00C55547" w:rsidRPr="00661595" w:rsidRDefault="00C55547" w:rsidP="00E9572B">
            <w:pPr>
              <w:tabs>
                <w:tab w:val="left" w:pos="3274"/>
              </w:tabs>
              <w:suppressAutoHyphens/>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7903" w:type="dxa"/>
          </w:tcPr>
          <w:p w:rsidR="00C55547" w:rsidRPr="00661595" w:rsidRDefault="00C55547" w:rsidP="00E9572B">
            <w:pPr>
              <w:suppressAutoHyphens/>
              <w:spacing w:before="0" w:after="0"/>
              <w:jc w:val="left"/>
              <w:rPr>
                <w:rFonts w:ascii="Times New Roman" w:hAnsi="Times New Roman"/>
                <w:sz w:val="24"/>
              </w:rPr>
            </w:pPr>
            <w:r>
              <w:rPr>
                <w:rFonts w:ascii="Times New Roman" w:hAnsi="Times New Roman"/>
                <w:b/>
                <w:sz w:val="24"/>
                <w:u w:val="single"/>
              </w:rPr>
              <w:t>MANTENIMENTO</w:t>
            </w:r>
          </w:p>
          <w:p w:rsidR="00C55547" w:rsidRPr="00661595" w:rsidRDefault="00C55547" w:rsidP="00E9572B">
            <w:pPr>
              <w:suppressAutoHyphens/>
              <w:spacing w:before="0" w:after="0"/>
              <w:rPr>
                <w:rFonts w:ascii="Times New Roman" w:hAnsi="Times New Roman"/>
                <w:sz w:val="24"/>
              </w:rPr>
            </w:pPr>
          </w:p>
          <w:p w:rsidR="00C55547" w:rsidRPr="00661595" w:rsidRDefault="00C55547" w:rsidP="00E9572B">
            <w:pPr>
              <w:suppressAutoHyphens/>
              <w:spacing w:before="0"/>
              <w:rPr>
                <w:rFonts w:ascii="Times New Roman" w:hAnsi="Times New Roman"/>
                <w:sz w:val="24"/>
              </w:rPr>
            </w:pPr>
            <w:r>
              <w:rPr>
                <w:rFonts w:ascii="Times New Roman" w:hAnsi="Times New Roman"/>
                <w:sz w:val="24"/>
              </w:rPr>
              <w:t>Articolo 6 del regolamento (UE) 2017/2402;nei casi in cui si applica l</w:t>
            </w:r>
            <w:r w:rsidR="000878EC">
              <w:rPr>
                <w:rFonts w:ascii="Times New Roman" w:hAnsi="Times New Roman"/>
                <w:sz w:val="24"/>
              </w:rPr>
              <w:t>'</w:t>
            </w:r>
            <w:r>
              <w:rPr>
                <w:rFonts w:ascii="Times New Roman" w:hAnsi="Times New Roman"/>
                <w:sz w:val="24"/>
              </w:rPr>
              <w:t>articolo 43, paragrafo 6, del regolamento (UE) 2017/2402, si applica l</w:t>
            </w:r>
            <w:r w:rsidR="000878EC">
              <w:rPr>
                <w:rFonts w:ascii="Times New Roman" w:hAnsi="Times New Roman"/>
                <w:sz w:val="24"/>
              </w:rPr>
              <w:t>'</w:t>
            </w:r>
            <w:r>
              <w:rPr>
                <w:rFonts w:ascii="Times New Roman" w:hAnsi="Times New Roman"/>
                <w:sz w:val="24"/>
              </w:rPr>
              <w:t xml:space="preserve">articolo 405 del CRR nella versione di tale regolamento applicabile il 31 dicembre 2018. </w:t>
            </w:r>
          </w:p>
          <w:p w:rsidR="00C55547" w:rsidRPr="00661595" w:rsidRDefault="00C55547" w:rsidP="00E9572B">
            <w:pPr>
              <w:suppressAutoHyphens/>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9572B">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7903" w:type="dxa"/>
          </w:tcPr>
          <w:p w:rsidR="00C55547" w:rsidRPr="00661595" w:rsidRDefault="00C55547" w:rsidP="00E9572B">
            <w:pPr>
              <w:suppressAutoHyphens/>
              <w:spacing w:before="0" w:after="0"/>
              <w:jc w:val="left"/>
              <w:rPr>
                <w:rFonts w:ascii="Times New Roman" w:hAnsi="Times New Roman"/>
                <w:b/>
                <w:sz w:val="24"/>
                <w:u w:val="single"/>
              </w:rPr>
            </w:pPr>
            <w:r>
              <w:rPr>
                <w:rFonts w:ascii="Times New Roman" w:hAnsi="Times New Roman"/>
                <w:b/>
                <w:sz w:val="24"/>
                <w:u w:val="single"/>
              </w:rPr>
              <w:t>TIPO DI MANTENIMENTO APPLICATO</w:t>
            </w:r>
          </w:p>
          <w:p w:rsidR="00C55547" w:rsidRPr="00661595" w:rsidRDefault="00C55547" w:rsidP="00E9572B">
            <w:pPr>
              <w:suppressAutoHyphens/>
              <w:spacing w:before="0" w:after="0"/>
              <w:jc w:val="left"/>
              <w:rPr>
                <w:rFonts w:ascii="Times New Roman" w:hAnsi="Times New Roman"/>
                <w:sz w:val="24"/>
              </w:rPr>
            </w:pPr>
          </w:p>
          <w:p w:rsidR="00C55547" w:rsidRPr="00661595" w:rsidRDefault="00C55547" w:rsidP="00E9572B">
            <w:pPr>
              <w:suppressAutoHyphens/>
              <w:spacing w:before="0" w:after="0"/>
              <w:rPr>
                <w:rFonts w:ascii="Times New Roman" w:hAnsi="Times New Roman"/>
                <w:sz w:val="24"/>
              </w:rPr>
            </w:pPr>
            <w:r>
              <w:rPr>
                <w:rFonts w:ascii="Times New Roman" w:hAnsi="Times New Roman"/>
                <w:sz w:val="24"/>
              </w:rPr>
              <w:t>Per ciascuno schema di cartolarizzazione creato è segnalato il pertinente tipo di mantenimento dell</w:t>
            </w:r>
            <w:r w:rsidR="000878EC">
              <w:rPr>
                <w:rFonts w:ascii="Times New Roman" w:hAnsi="Times New Roman"/>
                <w:sz w:val="24"/>
              </w:rPr>
              <w:t>'</w:t>
            </w:r>
            <w:r>
              <w:rPr>
                <w:rFonts w:ascii="Times New Roman" w:hAnsi="Times New Roman"/>
                <w:sz w:val="24"/>
              </w:rPr>
              <w:t>interesse economico netto, come previsto dall</w:t>
            </w:r>
            <w:r w:rsidR="000878EC">
              <w:rPr>
                <w:rFonts w:ascii="Times New Roman" w:hAnsi="Times New Roman"/>
                <w:sz w:val="24"/>
              </w:rPr>
              <w:t>'</w:t>
            </w:r>
            <w:r>
              <w:rPr>
                <w:rFonts w:ascii="Times New Roman" w:hAnsi="Times New Roman"/>
                <w:sz w:val="24"/>
              </w:rPr>
              <w:t>articolo 6 del regolamento (UE) 2017/2402:</w:t>
            </w:r>
          </w:p>
          <w:p w:rsidR="00C55547" w:rsidRPr="00661595" w:rsidRDefault="00C55547" w:rsidP="00E9572B">
            <w:pPr>
              <w:suppressAutoHyphens/>
              <w:spacing w:before="0" w:after="0"/>
              <w:rPr>
                <w:rFonts w:ascii="Times New Roman" w:hAnsi="Times New Roman"/>
                <w:sz w:val="24"/>
              </w:rPr>
            </w:pPr>
          </w:p>
          <w:p w:rsidR="00C55547" w:rsidRPr="00661595" w:rsidRDefault="00C55547" w:rsidP="00E9572B">
            <w:pPr>
              <w:suppressAutoHyphens/>
              <w:spacing w:before="0" w:after="0"/>
              <w:rPr>
                <w:rFonts w:ascii="Times New Roman" w:hAnsi="Times New Roman"/>
                <w:sz w:val="24"/>
              </w:rPr>
            </w:pPr>
            <w:r>
              <w:rPr>
                <w:rFonts w:ascii="Times New Roman" w:hAnsi="Times New Roman"/>
                <w:sz w:val="24"/>
              </w:rPr>
              <w:t xml:space="preserve">A - sezione verticale (posizioni verso la cartolarizzazione): </w:t>
            </w:r>
            <w:r w:rsidR="000878EC">
              <w:rPr>
                <w:rFonts w:ascii="Times New Roman" w:hAnsi="Times New Roman"/>
                <w:i/>
                <w:sz w:val="24"/>
              </w:rPr>
              <w:t>"</w:t>
            </w:r>
            <w:r>
              <w:rPr>
                <w:rFonts w:ascii="Times New Roman" w:hAnsi="Times New Roman"/>
                <w:i/>
                <w:sz w:val="24"/>
              </w:rPr>
              <w:t>il mantenimento di una percentuale non inferiore al 5 % del valore nominale di ciascun segmento ceduto o trasferito agli investitori</w:t>
            </w:r>
            <w:r w:rsidR="000878EC">
              <w:rPr>
                <w:rFonts w:ascii="Times New Roman" w:hAnsi="Times New Roman"/>
                <w:i/>
                <w:sz w:val="24"/>
              </w:rPr>
              <w:t>"</w:t>
            </w:r>
            <w:r>
              <w:rPr>
                <w:rFonts w:ascii="Times New Roman" w:hAnsi="Times New Roman"/>
                <w:i/>
                <w:sz w:val="24"/>
              </w:rPr>
              <w:t>;</w:t>
            </w:r>
          </w:p>
          <w:p w:rsidR="00C55547" w:rsidRPr="00661595" w:rsidRDefault="00C55547" w:rsidP="00E9572B">
            <w:pPr>
              <w:suppressAutoHyphens/>
              <w:spacing w:before="0" w:after="0"/>
              <w:rPr>
                <w:rFonts w:ascii="Times New Roman" w:hAnsi="Times New Roman"/>
                <w:sz w:val="24"/>
              </w:rPr>
            </w:pPr>
          </w:p>
          <w:p w:rsidR="00C55547" w:rsidRPr="00661595" w:rsidRDefault="00C55547" w:rsidP="00E9572B">
            <w:pPr>
              <w:suppressAutoHyphens/>
              <w:spacing w:before="0" w:after="0"/>
              <w:rPr>
                <w:rFonts w:ascii="Times New Roman" w:hAnsi="Times New Roman"/>
                <w:sz w:val="24"/>
              </w:rPr>
            </w:pPr>
            <w:r>
              <w:rPr>
                <w:rFonts w:ascii="Times New Roman" w:hAnsi="Times New Roman"/>
                <w:sz w:val="24"/>
              </w:rPr>
              <w:t>V - sezione verticale (esposizioni cartolarizzate): il mantenimento di una percentuale non inferiore al 5 % del rischio di credito di ciascuna delle esposizioni cartolarizzate se il rischio di credito così mantenuto rispetto a tali esposizioni cartolarizzate è sempre alla pari con o è subordinato al rischio di credito cartolarizzato rispetto alle medesime posizioni;</w:t>
            </w:r>
          </w:p>
          <w:p w:rsidR="00C55547" w:rsidRPr="00661595" w:rsidRDefault="00C55547" w:rsidP="00E9572B">
            <w:pPr>
              <w:suppressAutoHyphens/>
              <w:spacing w:before="0" w:after="0"/>
              <w:rPr>
                <w:rFonts w:ascii="Times New Roman" w:hAnsi="Times New Roman"/>
                <w:sz w:val="24"/>
              </w:rPr>
            </w:pPr>
          </w:p>
          <w:p w:rsidR="00C55547" w:rsidRPr="00661595" w:rsidRDefault="00C55547" w:rsidP="00E9572B">
            <w:pPr>
              <w:suppressAutoHyphens/>
              <w:spacing w:before="0" w:after="0"/>
              <w:rPr>
                <w:rFonts w:ascii="Times New Roman" w:hAnsi="Times New Roman"/>
                <w:sz w:val="24"/>
              </w:rPr>
            </w:pPr>
            <w:r>
              <w:rPr>
                <w:rFonts w:ascii="Times New Roman" w:hAnsi="Times New Roman"/>
                <w:sz w:val="24"/>
              </w:rPr>
              <w:t xml:space="preserve">B - esposizioni rotative: </w:t>
            </w:r>
            <w:r w:rsidR="000878EC">
              <w:rPr>
                <w:rFonts w:ascii="Times New Roman" w:hAnsi="Times New Roman"/>
                <w:sz w:val="24"/>
              </w:rPr>
              <w:t>"</w:t>
            </w:r>
            <w:r>
              <w:rPr>
                <w:rFonts w:ascii="Times New Roman" w:hAnsi="Times New Roman"/>
                <w:i/>
                <w:sz w:val="24"/>
              </w:rPr>
              <w:t>in caso di cartolarizzazioni di esposizioni rotative, il mantenimento dell</w:t>
            </w:r>
            <w:r w:rsidR="000878EC">
              <w:rPr>
                <w:rFonts w:ascii="Times New Roman" w:hAnsi="Times New Roman"/>
                <w:i/>
                <w:sz w:val="24"/>
              </w:rPr>
              <w:t>'</w:t>
            </w:r>
            <w:r>
              <w:rPr>
                <w:rFonts w:ascii="Times New Roman" w:hAnsi="Times New Roman"/>
                <w:i/>
                <w:sz w:val="24"/>
              </w:rPr>
              <w:t>interesse del cedente in percentuale non inferiore al 5 % del valore nominale delle esposizioni cartolarizzate</w:t>
            </w:r>
            <w:r w:rsidR="000878EC">
              <w:rPr>
                <w:rFonts w:ascii="Times New Roman" w:hAnsi="Times New Roman"/>
                <w:sz w:val="24"/>
              </w:rPr>
              <w:t>"</w:t>
            </w:r>
            <w:r>
              <w:rPr>
                <w:rFonts w:ascii="Times New Roman" w:hAnsi="Times New Roman"/>
                <w:sz w:val="24"/>
              </w:rPr>
              <w:t xml:space="preserve">; </w:t>
            </w:r>
          </w:p>
          <w:p w:rsidR="00C55547" w:rsidRPr="00661595" w:rsidRDefault="00C55547" w:rsidP="00E9572B">
            <w:pPr>
              <w:suppressAutoHyphens/>
              <w:spacing w:before="0" w:after="0"/>
              <w:rPr>
                <w:rFonts w:ascii="Times New Roman" w:hAnsi="Times New Roman"/>
                <w:sz w:val="24"/>
              </w:rPr>
            </w:pPr>
          </w:p>
          <w:p w:rsidR="00C55547" w:rsidRPr="00661595" w:rsidRDefault="00C55547" w:rsidP="00E9572B">
            <w:pPr>
              <w:suppressAutoHyphens/>
              <w:spacing w:before="0" w:after="0"/>
              <w:rPr>
                <w:rFonts w:ascii="Times New Roman" w:hAnsi="Times New Roman"/>
                <w:sz w:val="24"/>
              </w:rPr>
            </w:pPr>
            <w:r>
              <w:rPr>
                <w:rFonts w:ascii="Times New Roman" w:hAnsi="Times New Roman"/>
                <w:sz w:val="24"/>
              </w:rPr>
              <w:t xml:space="preserve">C - in bilancio: </w:t>
            </w:r>
            <w:r w:rsidR="000878EC">
              <w:rPr>
                <w:rFonts w:ascii="Times New Roman" w:hAnsi="Times New Roman"/>
                <w:sz w:val="24"/>
              </w:rPr>
              <w:t>"</w:t>
            </w:r>
            <w:r>
              <w:rPr>
                <w:rFonts w:ascii="Times New Roman" w:hAnsi="Times New Roman"/>
                <w:i/>
                <w:sz w:val="24"/>
              </w:rPr>
              <w:t>il mantenimento di esposizioni scelte casualmente, equivalenti a una percentuale non inferiore al 5 % del valore nominale delle esposizioni cartolarizzate, quando tali esposizioni sarebbero state altrimenti cartolarizzate, a condizione che il numero delle esposizioni potenzialmente cartolarizzate non sia inferiore a 100 alla creazione</w:t>
            </w:r>
            <w:r w:rsidR="000878EC">
              <w:rPr>
                <w:rFonts w:ascii="Times New Roman" w:hAnsi="Times New Roman"/>
                <w:sz w:val="24"/>
              </w:rPr>
              <w:t>"</w:t>
            </w:r>
            <w:r>
              <w:rPr>
                <w:rFonts w:ascii="Times New Roman" w:hAnsi="Times New Roman"/>
                <w:sz w:val="24"/>
              </w:rPr>
              <w:t>;</w:t>
            </w:r>
          </w:p>
          <w:p w:rsidR="00C55547" w:rsidRPr="00661595" w:rsidRDefault="00C55547" w:rsidP="00E9572B">
            <w:pPr>
              <w:suppressAutoHyphens/>
              <w:spacing w:before="0" w:after="0"/>
              <w:rPr>
                <w:rFonts w:ascii="Times New Roman" w:hAnsi="Times New Roman"/>
                <w:sz w:val="24"/>
              </w:rPr>
            </w:pPr>
          </w:p>
          <w:p w:rsidR="00C55547" w:rsidRPr="00661595" w:rsidRDefault="00C55547" w:rsidP="00E9572B">
            <w:pPr>
              <w:suppressAutoHyphens/>
              <w:spacing w:before="0" w:after="0"/>
              <w:rPr>
                <w:rFonts w:ascii="Times New Roman" w:hAnsi="Times New Roman"/>
                <w:sz w:val="24"/>
              </w:rPr>
            </w:pPr>
            <w:r>
              <w:rPr>
                <w:rFonts w:ascii="Times New Roman" w:hAnsi="Times New Roman"/>
                <w:sz w:val="24"/>
              </w:rPr>
              <w:t xml:space="preserve">D - prime perdite: </w:t>
            </w:r>
            <w:r w:rsidR="000878EC">
              <w:rPr>
                <w:rFonts w:ascii="Times New Roman" w:hAnsi="Times New Roman"/>
                <w:sz w:val="24"/>
              </w:rPr>
              <w:t>"</w:t>
            </w:r>
            <w:r>
              <w:rPr>
                <w:rFonts w:ascii="Times New Roman" w:hAnsi="Times New Roman"/>
                <w:i/>
                <w:sz w:val="24"/>
              </w:rPr>
              <w:t>il mantenimento del segmento prime perdite e, se necessario, di altri segmenti aventi profilo di rischio uguale o maggiore a quelli trasferiti o ceduti agli investitori, e la cui durata non sia inferiore a quelli trasferiti o ceduti agli investitori, in modo che il mantenimento equivalga complessivamente almeno al 5 % del valore nominale delle esposizioni cartolarizzate</w:t>
            </w:r>
            <w:r w:rsidR="000878EC">
              <w:rPr>
                <w:rFonts w:ascii="Times New Roman" w:hAnsi="Times New Roman"/>
                <w:sz w:val="24"/>
              </w:rPr>
              <w:t>"</w:t>
            </w:r>
            <w:r>
              <w:rPr>
                <w:rFonts w:ascii="Times New Roman" w:hAnsi="Times New Roman"/>
                <w:sz w:val="24"/>
              </w:rPr>
              <w:t>;</w:t>
            </w:r>
          </w:p>
          <w:p w:rsidR="00C55547" w:rsidRPr="00661595" w:rsidRDefault="00C55547" w:rsidP="00E9572B">
            <w:pPr>
              <w:suppressAutoHyphens/>
              <w:spacing w:before="0" w:after="0"/>
              <w:rPr>
                <w:rFonts w:ascii="Times New Roman" w:hAnsi="Times New Roman"/>
                <w:sz w:val="24"/>
              </w:rPr>
            </w:pPr>
          </w:p>
          <w:p w:rsidR="00C55547" w:rsidRPr="00661595" w:rsidRDefault="00C55547" w:rsidP="00E9572B">
            <w:pPr>
              <w:suppressAutoHyphens/>
              <w:spacing w:before="0" w:after="0"/>
              <w:rPr>
                <w:rFonts w:ascii="Times New Roman" w:hAnsi="Times New Roman"/>
                <w:sz w:val="24"/>
              </w:rPr>
            </w:pPr>
            <w:r>
              <w:rPr>
                <w:rFonts w:ascii="Times New Roman" w:hAnsi="Times New Roman"/>
                <w:sz w:val="24"/>
              </w:rPr>
              <w:t>E - esente: questo codice è utilizzato per segnalare le cartolarizzazioni cui si applica l</w:t>
            </w:r>
            <w:r w:rsidR="000878EC">
              <w:rPr>
                <w:rFonts w:ascii="Times New Roman" w:hAnsi="Times New Roman"/>
                <w:sz w:val="24"/>
              </w:rPr>
              <w:t>'</w:t>
            </w:r>
            <w:r>
              <w:rPr>
                <w:rFonts w:ascii="Times New Roman" w:hAnsi="Times New Roman"/>
                <w:sz w:val="24"/>
              </w:rPr>
              <w:t>articolo 6, paragrafo 6, del regolamento (UE) 2017/2402;</w:t>
            </w:r>
          </w:p>
          <w:p w:rsidR="00C55547" w:rsidRPr="00661595" w:rsidRDefault="00C55547" w:rsidP="00E9572B">
            <w:pPr>
              <w:suppressAutoHyphens/>
              <w:spacing w:before="0" w:after="0"/>
              <w:rPr>
                <w:rFonts w:ascii="Times New Roman" w:hAnsi="Times New Roman"/>
                <w:sz w:val="24"/>
              </w:rPr>
            </w:pPr>
          </w:p>
          <w:p w:rsidR="00C55547" w:rsidRPr="00661595" w:rsidRDefault="00C55547" w:rsidP="00E9572B">
            <w:pPr>
              <w:suppressAutoHyphens/>
              <w:spacing w:before="0" w:after="0"/>
              <w:rPr>
                <w:rFonts w:ascii="Times New Roman" w:hAnsi="Times New Roman"/>
                <w:sz w:val="24"/>
              </w:rPr>
            </w:pPr>
            <w:r>
              <w:rPr>
                <w:rFonts w:ascii="Times New Roman" w:hAnsi="Times New Roman"/>
                <w:sz w:val="24"/>
              </w:rPr>
              <w:t>U - non conforme o sconosciuto: questo codice è utilizzato quando l</w:t>
            </w:r>
            <w:r w:rsidR="000878EC">
              <w:rPr>
                <w:rFonts w:ascii="Times New Roman" w:hAnsi="Times New Roman"/>
                <w:sz w:val="24"/>
              </w:rPr>
              <w:t>'</w:t>
            </w:r>
            <w:r>
              <w:rPr>
                <w:rFonts w:ascii="Times New Roman" w:hAnsi="Times New Roman"/>
                <w:sz w:val="24"/>
              </w:rPr>
              <w:t>ente segnalante non sa con certezza quale sia il tipo di mantenimento applicato oppure in caso di inadempienza.</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C55547" w:rsidP="00E9572B">
            <w:pPr>
              <w:keepNext/>
              <w:keepLines/>
              <w:suppressAutoHyphens/>
              <w:autoSpaceDE w:val="0"/>
              <w:autoSpaceDN w:val="0"/>
              <w:adjustRightInd w:val="0"/>
              <w:spacing w:before="0" w:after="0"/>
              <w:rPr>
                <w:rFonts w:ascii="Times New Roman" w:hAnsi="Times New Roman"/>
                <w:bCs/>
                <w:sz w:val="24"/>
              </w:rPr>
            </w:pPr>
            <w:r>
              <w:rPr>
                <w:rFonts w:ascii="Times New Roman" w:hAnsi="Times New Roman"/>
                <w:bCs/>
                <w:sz w:val="24"/>
              </w:rPr>
              <w:t>0090</w:t>
            </w:r>
          </w:p>
        </w:tc>
        <w:tc>
          <w:tcPr>
            <w:tcW w:w="7903" w:type="dxa"/>
          </w:tcPr>
          <w:p w:rsidR="00C55547" w:rsidRPr="00661595" w:rsidRDefault="00C55547" w:rsidP="00E9572B">
            <w:pPr>
              <w:keepNext/>
              <w:keepLines/>
              <w:suppressAutoHyphens/>
              <w:spacing w:before="0" w:after="0"/>
              <w:jc w:val="left"/>
              <w:rPr>
                <w:rFonts w:ascii="Times New Roman" w:hAnsi="Times New Roman"/>
                <w:b/>
                <w:sz w:val="24"/>
                <w:u w:val="single"/>
              </w:rPr>
            </w:pPr>
            <w:r>
              <w:rPr>
                <w:rFonts w:ascii="Times New Roman" w:hAnsi="Times New Roman"/>
                <w:b/>
                <w:sz w:val="24"/>
                <w:u w:val="single"/>
              </w:rPr>
              <w:t>% DI MANTENIMENTO ALLA DATA DI RIFERIMENTO PER LE SEGNALAZIONI</w:t>
            </w:r>
          </w:p>
          <w:p w:rsidR="00C55547" w:rsidRPr="00661595" w:rsidRDefault="00C55547" w:rsidP="00E9572B">
            <w:pPr>
              <w:keepNext/>
              <w:keepLines/>
              <w:suppressAutoHyphens/>
              <w:spacing w:before="0" w:after="0"/>
              <w:jc w:val="left"/>
              <w:rPr>
                <w:rFonts w:ascii="Times New Roman" w:hAnsi="Times New Roman"/>
                <w:sz w:val="24"/>
              </w:rPr>
            </w:pPr>
          </w:p>
          <w:p w:rsidR="00C55547" w:rsidRPr="00661595" w:rsidRDefault="00C55547" w:rsidP="00E9572B">
            <w:pPr>
              <w:keepNext/>
              <w:keepLines/>
              <w:suppressAutoHyphens/>
              <w:spacing w:before="0" w:after="0"/>
              <w:rPr>
                <w:rFonts w:ascii="Times New Roman" w:hAnsi="Times New Roman"/>
                <w:i/>
                <w:sz w:val="24"/>
              </w:rPr>
            </w:pPr>
            <w:r>
              <w:rPr>
                <w:rFonts w:ascii="Times New Roman" w:hAnsi="Times New Roman"/>
                <w:sz w:val="24"/>
              </w:rPr>
              <w:t xml:space="preserve">Il mantenimento di un </w:t>
            </w:r>
            <w:r>
              <w:rPr>
                <w:rFonts w:ascii="Times New Roman" w:hAnsi="Times New Roman"/>
                <w:i/>
                <w:sz w:val="24"/>
              </w:rPr>
              <w:t>interesse economico netto rilevante da parte del cedente, del promotore o del prestatore originario</w:t>
            </w:r>
            <w:r>
              <w:rPr>
                <w:rFonts w:ascii="Times New Roman" w:hAnsi="Times New Roman"/>
                <w:sz w:val="24"/>
              </w:rPr>
              <w:t xml:space="preserve"> della cartolarizzazione riguarda una percentuale non inferiore al 5 % (alla data di creazione).</w:t>
            </w:r>
          </w:p>
          <w:p w:rsidR="00C55547" w:rsidRPr="00661595" w:rsidRDefault="00C55547" w:rsidP="00E9572B">
            <w:pPr>
              <w:keepNext/>
              <w:keepLines/>
              <w:suppressAutoHyphens/>
              <w:spacing w:before="0" w:after="0"/>
              <w:rPr>
                <w:rFonts w:ascii="Times New Roman" w:hAnsi="Times New Roman"/>
                <w:i/>
                <w:sz w:val="24"/>
              </w:rPr>
            </w:pPr>
          </w:p>
          <w:p w:rsidR="00C55547" w:rsidRPr="00661595" w:rsidRDefault="00C55547" w:rsidP="00E9572B">
            <w:pPr>
              <w:keepNext/>
              <w:keepLines/>
              <w:suppressAutoHyphens/>
              <w:autoSpaceDE w:val="0"/>
              <w:autoSpaceDN w:val="0"/>
              <w:adjustRightInd w:val="0"/>
              <w:spacing w:before="0" w:after="0"/>
              <w:rPr>
                <w:rFonts w:ascii="Times New Roman" w:hAnsi="Times New Roman"/>
                <w:i/>
                <w:sz w:val="24"/>
              </w:rPr>
            </w:pPr>
            <w:r>
              <w:rPr>
                <w:rFonts w:ascii="Times New Roman" w:hAnsi="Times New Roman"/>
                <w:sz w:val="24"/>
              </w:rPr>
              <w:t xml:space="preserve">Non occorre compilare questa colonna se nella colonna 0080 (tipo di mantenimento applicato) è riportato il codice </w:t>
            </w:r>
            <w:r w:rsidR="000878EC">
              <w:rPr>
                <w:rFonts w:ascii="Times New Roman" w:hAnsi="Times New Roman"/>
                <w:sz w:val="24"/>
              </w:rPr>
              <w:t>"</w:t>
            </w:r>
            <w:r>
              <w:rPr>
                <w:rFonts w:ascii="Times New Roman" w:hAnsi="Times New Roman"/>
                <w:sz w:val="24"/>
              </w:rPr>
              <w:t>E</w:t>
            </w:r>
            <w:r w:rsidR="000878EC">
              <w:rPr>
                <w:rFonts w:ascii="Times New Roman" w:hAnsi="Times New Roman"/>
                <w:sz w:val="24"/>
              </w:rPr>
              <w:t>"</w:t>
            </w:r>
            <w:r>
              <w:rPr>
                <w:rFonts w:ascii="Times New Roman" w:hAnsi="Times New Roman"/>
                <w:sz w:val="24"/>
              </w:rPr>
              <w:t xml:space="preserve"> (esente) o </w:t>
            </w:r>
            <w:r w:rsidR="000878EC">
              <w:rPr>
                <w:rFonts w:ascii="Times New Roman" w:hAnsi="Times New Roman"/>
                <w:sz w:val="24"/>
              </w:rPr>
              <w:t>"</w:t>
            </w:r>
            <w:r>
              <w:rPr>
                <w:rFonts w:ascii="Times New Roman" w:hAnsi="Times New Roman"/>
                <w:sz w:val="24"/>
              </w:rPr>
              <w:t>N</w:t>
            </w:r>
            <w:r w:rsidR="000878EC">
              <w:rPr>
                <w:rFonts w:ascii="Times New Roman" w:hAnsi="Times New Roman"/>
                <w:sz w:val="24"/>
              </w:rPr>
              <w:t>"</w:t>
            </w:r>
            <w:r>
              <w:rPr>
                <w:rFonts w:ascii="Times New Roman" w:hAnsi="Times New Roman"/>
                <w:sz w:val="24"/>
              </w:rPr>
              <w:t xml:space="preserve"> (non applicabile).</w:t>
            </w:r>
          </w:p>
          <w:p w:rsidR="00C55547" w:rsidRPr="00661595" w:rsidRDefault="00C55547" w:rsidP="00E9572B">
            <w:pPr>
              <w:keepNext/>
              <w:keepLines/>
              <w:suppressAutoHyphens/>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9572B">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0100</w:t>
            </w:r>
          </w:p>
        </w:tc>
        <w:tc>
          <w:tcPr>
            <w:tcW w:w="7903" w:type="dxa"/>
          </w:tcPr>
          <w:p w:rsidR="00C55547" w:rsidRPr="00661595" w:rsidRDefault="00C55547" w:rsidP="00E9572B">
            <w:pPr>
              <w:suppressAutoHyphens/>
              <w:spacing w:before="0" w:after="0"/>
              <w:jc w:val="left"/>
              <w:rPr>
                <w:rFonts w:ascii="Times New Roman" w:hAnsi="Times New Roman"/>
                <w:b/>
                <w:sz w:val="24"/>
                <w:u w:val="single"/>
              </w:rPr>
            </w:pPr>
            <w:r>
              <w:rPr>
                <w:rFonts w:ascii="Times New Roman" w:hAnsi="Times New Roman"/>
                <w:b/>
                <w:sz w:val="24"/>
                <w:u w:val="single"/>
              </w:rPr>
              <w:t>CONFORMITÀ AL REQUISITO DI MANTENIMENTO?</w:t>
            </w:r>
          </w:p>
          <w:p w:rsidR="00C55547" w:rsidRPr="00661595" w:rsidRDefault="00C55547" w:rsidP="00E9572B">
            <w:pPr>
              <w:suppressAutoHyphens/>
              <w:spacing w:before="0" w:after="0"/>
              <w:jc w:val="left"/>
              <w:rPr>
                <w:rFonts w:ascii="Times New Roman" w:hAnsi="Times New Roman"/>
                <w:b/>
                <w:sz w:val="24"/>
                <w:u w:val="single"/>
              </w:rPr>
            </w:pPr>
          </w:p>
          <w:p w:rsidR="00C55547" w:rsidRPr="00661595" w:rsidRDefault="00EE2BEA" w:rsidP="00E9572B">
            <w:pPr>
              <w:suppressAutoHyphens/>
              <w:spacing w:before="0" w:after="0"/>
              <w:jc w:val="left"/>
              <w:rPr>
                <w:rFonts w:ascii="Times New Roman" w:hAnsi="Times New Roman"/>
                <w:sz w:val="24"/>
              </w:rPr>
            </w:pPr>
            <w:r>
              <w:rPr>
                <w:rFonts w:ascii="Times New Roman" w:hAnsi="Times New Roman"/>
                <w:sz w:val="24"/>
              </w:rPr>
              <w:t>Gli enti utilizzano le seguenti abbreviazioni:</w:t>
            </w:r>
          </w:p>
          <w:p w:rsidR="00C55547" w:rsidRPr="00661595" w:rsidRDefault="00C55547" w:rsidP="00E9572B">
            <w:pPr>
              <w:tabs>
                <w:tab w:val="left" w:pos="317"/>
                <w:tab w:val="left" w:pos="600"/>
              </w:tabs>
              <w:suppressAutoHyphens/>
              <w:spacing w:before="0" w:after="0"/>
              <w:jc w:val="left"/>
              <w:rPr>
                <w:rFonts w:ascii="Times New Roman" w:hAnsi="Times New Roman"/>
                <w:sz w:val="24"/>
              </w:rPr>
            </w:pPr>
            <w:r>
              <w:rPr>
                <w:rFonts w:ascii="Times New Roman" w:hAnsi="Times New Roman"/>
                <w:sz w:val="24"/>
              </w:rPr>
              <w:t>Y</w:t>
            </w:r>
            <w:r>
              <w:tab/>
            </w:r>
            <w:r>
              <w:rPr>
                <w:rFonts w:ascii="Times New Roman" w:hAnsi="Times New Roman"/>
                <w:sz w:val="24"/>
              </w:rPr>
              <w:t>-</w:t>
            </w:r>
            <w:r>
              <w:tab/>
            </w:r>
            <w:r>
              <w:rPr>
                <w:rFonts w:ascii="Times New Roman" w:hAnsi="Times New Roman"/>
                <w:sz w:val="24"/>
              </w:rPr>
              <w:t>Sì;</w:t>
            </w:r>
          </w:p>
          <w:p w:rsidR="00C55547" w:rsidRPr="00661595" w:rsidRDefault="00C55547" w:rsidP="00E9572B">
            <w:pPr>
              <w:tabs>
                <w:tab w:val="left" w:pos="317"/>
                <w:tab w:val="left" w:pos="600"/>
              </w:tabs>
              <w:suppressAutoHyphens/>
              <w:spacing w:before="0" w:after="0"/>
              <w:jc w:val="left"/>
              <w:rPr>
                <w:rFonts w:ascii="Times New Roman" w:hAnsi="Times New Roman"/>
                <w:sz w:val="24"/>
              </w:rPr>
            </w:pPr>
            <w:r>
              <w:rPr>
                <w:rFonts w:ascii="Times New Roman" w:hAnsi="Times New Roman"/>
                <w:sz w:val="24"/>
              </w:rPr>
              <w:t>N</w:t>
            </w:r>
            <w:r>
              <w:tab/>
            </w:r>
            <w:r>
              <w:rPr>
                <w:rFonts w:ascii="Times New Roman" w:hAnsi="Times New Roman"/>
                <w:sz w:val="24"/>
              </w:rPr>
              <w:t>-</w:t>
            </w:r>
            <w:r>
              <w:tab/>
            </w:r>
            <w:r>
              <w:rPr>
                <w:rFonts w:ascii="Times New Roman" w:hAnsi="Times New Roman"/>
                <w:sz w:val="24"/>
              </w:rPr>
              <w:t>No.</w:t>
            </w:r>
          </w:p>
          <w:p w:rsidR="00C55547" w:rsidRPr="00661595" w:rsidRDefault="00C55547" w:rsidP="00E9572B">
            <w:pPr>
              <w:suppressAutoHyphens/>
              <w:spacing w:before="0" w:after="0"/>
              <w:jc w:val="left"/>
              <w:rPr>
                <w:rFonts w:ascii="Times New Roman" w:hAnsi="Times New Roman"/>
                <w:sz w:val="24"/>
              </w:rPr>
            </w:pPr>
          </w:p>
          <w:p w:rsidR="00C55547" w:rsidRPr="00661595" w:rsidRDefault="00C55547" w:rsidP="00E9572B">
            <w:pPr>
              <w:suppressAutoHyphens/>
              <w:autoSpaceDE w:val="0"/>
              <w:autoSpaceDN w:val="0"/>
              <w:adjustRightInd w:val="0"/>
              <w:spacing w:before="0" w:after="0"/>
              <w:rPr>
                <w:rFonts w:ascii="Times New Roman" w:hAnsi="Times New Roman"/>
                <w:i/>
                <w:sz w:val="24"/>
              </w:rPr>
            </w:pPr>
            <w:r>
              <w:rPr>
                <w:rFonts w:ascii="Times New Roman" w:hAnsi="Times New Roman"/>
                <w:sz w:val="24"/>
              </w:rPr>
              <w:t xml:space="preserve">Non occorre compilare questa colonna se nella colonna 0080 (tipo di mantenimento applicato) è riportato il codice </w:t>
            </w:r>
            <w:r w:rsidR="000878EC">
              <w:rPr>
                <w:rFonts w:ascii="Times New Roman" w:hAnsi="Times New Roman"/>
                <w:sz w:val="24"/>
              </w:rPr>
              <w:t>"</w:t>
            </w:r>
            <w:r>
              <w:rPr>
                <w:rFonts w:ascii="Times New Roman" w:hAnsi="Times New Roman"/>
                <w:sz w:val="24"/>
              </w:rPr>
              <w:t>E</w:t>
            </w:r>
            <w:r w:rsidR="000878EC">
              <w:rPr>
                <w:rFonts w:ascii="Times New Roman" w:hAnsi="Times New Roman"/>
                <w:sz w:val="24"/>
              </w:rPr>
              <w:t>"</w:t>
            </w:r>
            <w:r>
              <w:rPr>
                <w:rFonts w:ascii="Times New Roman" w:hAnsi="Times New Roman"/>
                <w:sz w:val="24"/>
              </w:rPr>
              <w:t xml:space="preserve"> (esente).</w:t>
            </w:r>
          </w:p>
          <w:p w:rsidR="00C55547" w:rsidRPr="00661595" w:rsidRDefault="00C55547" w:rsidP="00E9572B">
            <w:pPr>
              <w:suppressAutoHyphens/>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9572B">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0120-0130</w:t>
            </w:r>
          </w:p>
        </w:tc>
        <w:tc>
          <w:tcPr>
            <w:tcW w:w="7903" w:type="dxa"/>
          </w:tcPr>
          <w:p w:rsidR="00C55547" w:rsidRPr="00661595" w:rsidRDefault="00C55547" w:rsidP="00E9572B">
            <w:pPr>
              <w:suppressAutoHyphens/>
              <w:autoSpaceDE w:val="0"/>
              <w:autoSpaceDN w:val="0"/>
              <w:adjustRightInd w:val="0"/>
              <w:spacing w:before="0" w:after="0"/>
              <w:jc w:val="left"/>
              <w:rPr>
                <w:rFonts w:ascii="Times New Roman" w:hAnsi="Times New Roman"/>
                <w:b/>
                <w:sz w:val="24"/>
              </w:rPr>
            </w:pPr>
            <w:r>
              <w:rPr>
                <w:rFonts w:ascii="Times New Roman" w:hAnsi="Times New Roman"/>
                <w:b/>
                <w:sz w:val="24"/>
              </w:rPr>
              <w:t>PROGRAMMI NON ABCP</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p>
          <w:p w:rsidR="00C55547" w:rsidRPr="00661595" w:rsidRDefault="00C55547"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Data la loro particolarità di essere costituiti da una pluralità di posizioni individuali verso la cartolarizzazione, i programmi ABCP (definiti nell</w:t>
            </w:r>
            <w:r w:rsidR="000878EC">
              <w:rPr>
                <w:rFonts w:ascii="Times New Roman" w:hAnsi="Times New Roman"/>
                <w:sz w:val="24"/>
              </w:rPr>
              <w:t>'</w:t>
            </w:r>
            <w:r>
              <w:rPr>
                <w:rFonts w:ascii="Times New Roman" w:hAnsi="Times New Roman"/>
                <w:sz w:val="24"/>
              </w:rPr>
              <w:t>articolo 242, punto 11, del CRR) sono esenti dalla segnalazione nelle colonne 0120, 0121 e 0130.</w:t>
            </w:r>
          </w:p>
          <w:p w:rsidR="00C55547" w:rsidRPr="00661595" w:rsidRDefault="00C55547" w:rsidP="00E9572B">
            <w:pPr>
              <w:suppressAutoHyphens/>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9572B">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0120</w:t>
            </w:r>
          </w:p>
        </w:tc>
        <w:tc>
          <w:tcPr>
            <w:tcW w:w="7903" w:type="dxa"/>
          </w:tcPr>
          <w:p w:rsidR="00C55547" w:rsidRPr="00661595" w:rsidRDefault="00C55547" w:rsidP="00E9572B">
            <w:pPr>
              <w:suppressAutoHyphens/>
              <w:spacing w:before="0" w:after="0"/>
              <w:jc w:val="left"/>
              <w:rPr>
                <w:rFonts w:ascii="Times New Roman" w:hAnsi="Times New Roman"/>
                <w:b/>
                <w:sz w:val="24"/>
              </w:rPr>
            </w:pPr>
            <w:r>
              <w:rPr>
                <w:rFonts w:ascii="Times New Roman" w:hAnsi="Times New Roman"/>
                <w:b/>
                <w:sz w:val="24"/>
              </w:rPr>
              <w:t>DATA DI CREAZIONE (aaaa-mm-gg)</w:t>
            </w:r>
          </w:p>
          <w:p w:rsidR="00C55547" w:rsidRPr="00661595" w:rsidRDefault="00C55547" w:rsidP="00E9572B">
            <w:pPr>
              <w:suppressAutoHyphens/>
              <w:spacing w:before="0" w:after="0"/>
              <w:jc w:val="left"/>
              <w:rPr>
                <w:rFonts w:ascii="Times New Roman" w:hAnsi="Times New Roman"/>
                <w:sz w:val="24"/>
              </w:rPr>
            </w:pPr>
          </w:p>
          <w:p w:rsidR="00C55547" w:rsidRPr="00661595" w:rsidRDefault="00C55547"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Il mese e l</w:t>
            </w:r>
            <w:r w:rsidR="000878EC">
              <w:rPr>
                <w:rFonts w:ascii="Times New Roman" w:hAnsi="Times New Roman"/>
                <w:sz w:val="24"/>
              </w:rPr>
              <w:t>'</w:t>
            </w:r>
            <w:r>
              <w:rPr>
                <w:rFonts w:ascii="Times New Roman" w:hAnsi="Times New Roman"/>
                <w:sz w:val="24"/>
              </w:rPr>
              <w:t xml:space="preserve">anno della data di creazione della cartolarizzazione (che è la data di separazione o di chiusura del portafoglio) sono indicati nel formato </w:t>
            </w:r>
            <w:r w:rsidR="000878EC">
              <w:rPr>
                <w:rFonts w:ascii="Times New Roman" w:hAnsi="Times New Roman"/>
                <w:sz w:val="24"/>
              </w:rPr>
              <w:t>"</w:t>
            </w:r>
            <w:r>
              <w:rPr>
                <w:rFonts w:ascii="Times New Roman" w:hAnsi="Times New Roman"/>
                <w:sz w:val="24"/>
              </w:rPr>
              <w:t>mm/aaaa</w:t>
            </w:r>
            <w:r w:rsidR="000878EC">
              <w:rPr>
                <w:rFonts w:ascii="Times New Roman" w:hAnsi="Times New Roman"/>
                <w:sz w:val="24"/>
              </w:rPr>
              <w:t>"</w:t>
            </w:r>
            <w:r>
              <w:rPr>
                <w:rFonts w:ascii="Times New Roman" w:hAnsi="Times New Roman"/>
                <w:sz w:val="24"/>
              </w:rPr>
              <w:t>.</w:t>
            </w:r>
          </w:p>
          <w:p w:rsidR="00C55547" w:rsidRPr="00661595" w:rsidRDefault="00C55547" w:rsidP="00E9572B">
            <w:pPr>
              <w:suppressAutoHyphens/>
              <w:autoSpaceDE w:val="0"/>
              <w:autoSpaceDN w:val="0"/>
              <w:adjustRightInd w:val="0"/>
              <w:spacing w:before="0" w:after="0"/>
              <w:rPr>
                <w:rFonts w:ascii="Times New Roman" w:hAnsi="Times New Roman"/>
                <w:sz w:val="24"/>
              </w:rPr>
            </w:pPr>
          </w:p>
          <w:p w:rsidR="00C55547" w:rsidRPr="00661595" w:rsidRDefault="00C55547"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Per ciascuno schema di cartolarizzazione la data di creazione non può variare tra una data di riferimento per le segnalazioni e la successiva. Nel caso specifico degli schemi di cartolarizzazione assistiti da open pool, la data di creazione è la data della prima emissione dei titoli. </w:t>
            </w:r>
          </w:p>
          <w:p w:rsidR="00C55547" w:rsidRPr="00661595" w:rsidRDefault="00C55547" w:rsidP="00E9572B">
            <w:pPr>
              <w:suppressAutoHyphens/>
              <w:autoSpaceDE w:val="0"/>
              <w:autoSpaceDN w:val="0"/>
              <w:adjustRightInd w:val="0"/>
              <w:spacing w:before="0" w:after="0"/>
              <w:rPr>
                <w:rFonts w:ascii="Times New Roman" w:hAnsi="Times New Roman"/>
                <w:sz w:val="24"/>
              </w:rPr>
            </w:pPr>
          </w:p>
          <w:p w:rsidR="00C55547" w:rsidRPr="00661595" w:rsidRDefault="00C55547"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Questa informazione è segnalata anche se il soggetto segnalante non detiene alcuna posizione nella cartolarizzazione.</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9572B">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0121</w:t>
            </w:r>
          </w:p>
        </w:tc>
        <w:tc>
          <w:tcPr>
            <w:tcW w:w="7903" w:type="dxa"/>
          </w:tcPr>
          <w:p w:rsidR="00C55547" w:rsidRPr="00661595" w:rsidRDefault="00C55547" w:rsidP="00E9572B">
            <w:pPr>
              <w:suppressAutoHyphens/>
              <w:spacing w:before="0" w:after="0"/>
              <w:jc w:val="left"/>
              <w:rPr>
                <w:rFonts w:ascii="Times New Roman" w:hAnsi="Times New Roman"/>
                <w:b/>
                <w:sz w:val="24"/>
                <w:u w:val="single"/>
              </w:rPr>
            </w:pPr>
            <w:r>
              <w:rPr>
                <w:rFonts w:ascii="Times New Roman" w:hAnsi="Times New Roman"/>
                <w:b/>
                <w:sz w:val="24"/>
                <w:u w:val="single"/>
              </w:rPr>
              <w:t>DATA DELL</w:t>
            </w:r>
            <w:r w:rsidR="000878EC">
              <w:rPr>
                <w:rFonts w:ascii="Times New Roman" w:hAnsi="Times New Roman"/>
                <w:b/>
                <w:sz w:val="24"/>
                <w:u w:val="single"/>
              </w:rPr>
              <w:t>'</w:t>
            </w:r>
            <w:r>
              <w:rPr>
                <w:rFonts w:ascii="Times New Roman" w:hAnsi="Times New Roman"/>
                <w:b/>
                <w:sz w:val="24"/>
                <w:u w:val="single"/>
              </w:rPr>
              <w:t>ULTIMA EMISSIONE (aaaa-mm-gg)</w:t>
            </w:r>
          </w:p>
          <w:p w:rsidR="00C55547" w:rsidRPr="00661595" w:rsidRDefault="00C55547" w:rsidP="00E9572B">
            <w:pPr>
              <w:suppressAutoHyphens/>
              <w:spacing w:before="0" w:after="0"/>
              <w:jc w:val="left"/>
              <w:rPr>
                <w:rFonts w:ascii="Times New Roman" w:hAnsi="Times New Roman"/>
                <w:b/>
                <w:sz w:val="24"/>
                <w:u w:val="single"/>
              </w:rPr>
            </w:pPr>
          </w:p>
          <w:p w:rsidR="00C55547" w:rsidRPr="00661595" w:rsidRDefault="00C55547" w:rsidP="00E9572B">
            <w:pPr>
              <w:suppressAutoHyphens/>
              <w:spacing w:before="0" w:after="0"/>
              <w:jc w:val="left"/>
              <w:rPr>
                <w:rFonts w:ascii="Times New Roman" w:hAnsi="Times New Roman"/>
                <w:sz w:val="24"/>
              </w:rPr>
            </w:pPr>
            <w:r>
              <w:rPr>
                <w:rFonts w:ascii="Times New Roman" w:hAnsi="Times New Roman"/>
                <w:sz w:val="24"/>
              </w:rPr>
              <w:t>Il mese e l</w:t>
            </w:r>
            <w:r w:rsidR="000878EC">
              <w:rPr>
                <w:rFonts w:ascii="Times New Roman" w:hAnsi="Times New Roman"/>
                <w:sz w:val="24"/>
              </w:rPr>
              <w:t>'</w:t>
            </w:r>
            <w:r>
              <w:rPr>
                <w:rFonts w:ascii="Times New Roman" w:hAnsi="Times New Roman"/>
                <w:sz w:val="24"/>
              </w:rPr>
              <w:t>anno della data dell</w:t>
            </w:r>
            <w:r w:rsidR="000878EC">
              <w:rPr>
                <w:rFonts w:ascii="Times New Roman" w:hAnsi="Times New Roman"/>
                <w:sz w:val="24"/>
              </w:rPr>
              <w:t>'</w:t>
            </w:r>
            <w:r>
              <w:rPr>
                <w:rFonts w:ascii="Times New Roman" w:hAnsi="Times New Roman"/>
                <w:sz w:val="24"/>
              </w:rPr>
              <w:t xml:space="preserve">ultima emissione di titoli nella cartolarizzazione sono indicati nel formato </w:t>
            </w:r>
            <w:r w:rsidR="000878EC">
              <w:rPr>
                <w:rFonts w:ascii="Times New Roman" w:hAnsi="Times New Roman"/>
                <w:sz w:val="24"/>
              </w:rPr>
              <w:t>"</w:t>
            </w:r>
            <w:r>
              <w:rPr>
                <w:rFonts w:ascii="Times New Roman" w:hAnsi="Times New Roman"/>
                <w:sz w:val="24"/>
              </w:rPr>
              <w:t>aaaa-mm-gg</w:t>
            </w:r>
            <w:r w:rsidR="000878EC">
              <w:rPr>
                <w:rFonts w:ascii="Times New Roman" w:hAnsi="Times New Roman"/>
                <w:sz w:val="24"/>
              </w:rPr>
              <w:t>"</w:t>
            </w:r>
            <w:r>
              <w:rPr>
                <w:rFonts w:ascii="Times New Roman" w:hAnsi="Times New Roman"/>
                <w:sz w:val="24"/>
              </w:rPr>
              <w:t>.</w:t>
            </w:r>
          </w:p>
          <w:p w:rsidR="00C55547" w:rsidRPr="00661595" w:rsidRDefault="00C55547" w:rsidP="00E9572B">
            <w:pPr>
              <w:suppressAutoHyphens/>
              <w:spacing w:before="0" w:after="0"/>
              <w:jc w:val="left"/>
              <w:rPr>
                <w:rFonts w:ascii="Times New Roman" w:hAnsi="Times New Roman"/>
                <w:sz w:val="24"/>
              </w:rPr>
            </w:pPr>
          </w:p>
          <w:p w:rsidR="00C55547" w:rsidRPr="00661595" w:rsidRDefault="00C55547" w:rsidP="00E9572B">
            <w:pPr>
              <w:suppressAutoHyphens/>
              <w:spacing w:before="0" w:after="0"/>
              <w:jc w:val="left"/>
              <w:rPr>
                <w:rFonts w:ascii="Times New Roman" w:hAnsi="Times New Roman"/>
                <w:sz w:val="24"/>
              </w:rPr>
            </w:pPr>
            <w:r>
              <w:rPr>
                <w:rFonts w:ascii="Times New Roman" w:hAnsi="Times New Roman"/>
                <w:sz w:val="24"/>
              </w:rPr>
              <w:t>Il regolamento (UE) 2017/2402 si applica solo alle cartolarizzazioni i cui titoli sono emessi a decorrere dal 1° gennaio 2019. La data dell</w:t>
            </w:r>
            <w:r w:rsidR="000878EC">
              <w:rPr>
                <w:rFonts w:ascii="Times New Roman" w:hAnsi="Times New Roman"/>
                <w:sz w:val="24"/>
              </w:rPr>
              <w:t>'</w:t>
            </w:r>
            <w:r>
              <w:rPr>
                <w:rFonts w:ascii="Times New Roman" w:hAnsi="Times New Roman"/>
                <w:sz w:val="24"/>
              </w:rPr>
              <w:t>ultima emissione di titoli determina se ciascuno schema di cartolarizzazione rientra nell</w:t>
            </w:r>
            <w:r w:rsidR="000878EC">
              <w:rPr>
                <w:rFonts w:ascii="Times New Roman" w:hAnsi="Times New Roman"/>
                <w:sz w:val="24"/>
              </w:rPr>
              <w:t>'</w:t>
            </w:r>
            <w:r>
              <w:rPr>
                <w:rFonts w:ascii="Times New Roman" w:hAnsi="Times New Roman"/>
                <w:sz w:val="24"/>
              </w:rPr>
              <w:t>ambito di applicazione del regolamento (UE) 2017/2402.</w:t>
            </w:r>
          </w:p>
          <w:p w:rsidR="00C55547" w:rsidRPr="00661595" w:rsidRDefault="00C55547" w:rsidP="00E9572B">
            <w:pPr>
              <w:suppressAutoHyphens/>
              <w:spacing w:before="0" w:after="0"/>
              <w:jc w:val="left"/>
              <w:rPr>
                <w:rFonts w:ascii="Times New Roman" w:hAnsi="Times New Roman"/>
                <w:sz w:val="24"/>
              </w:rPr>
            </w:pPr>
          </w:p>
          <w:p w:rsidR="00C55547" w:rsidRPr="00661595" w:rsidRDefault="00C55547" w:rsidP="00E9572B">
            <w:pPr>
              <w:suppressAutoHyphens/>
              <w:spacing w:before="0" w:after="0"/>
              <w:jc w:val="left"/>
              <w:rPr>
                <w:rFonts w:ascii="Times New Roman" w:hAnsi="Times New Roman"/>
                <w:sz w:val="24"/>
              </w:rPr>
            </w:pPr>
            <w:r>
              <w:rPr>
                <w:rFonts w:ascii="Times New Roman" w:hAnsi="Times New Roman"/>
                <w:sz w:val="24"/>
              </w:rPr>
              <w:t>Questa informazione è segnalata anche se il soggetto segnalante non detiene alcuna posizione nella cartolarizzazione.</w:t>
            </w:r>
          </w:p>
          <w:p w:rsidR="00C55547" w:rsidRPr="00661595" w:rsidRDefault="00C55547" w:rsidP="00E9572B">
            <w:pPr>
              <w:suppressAutoHyphens/>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9572B">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0130</w:t>
            </w:r>
          </w:p>
        </w:tc>
        <w:tc>
          <w:tcPr>
            <w:tcW w:w="7903" w:type="dxa"/>
          </w:tcPr>
          <w:p w:rsidR="00C55547" w:rsidRPr="00661595" w:rsidRDefault="00C55547" w:rsidP="00E9572B">
            <w:pPr>
              <w:suppressAutoHyphens/>
              <w:spacing w:before="0" w:after="0"/>
              <w:jc w:val="left"/>
              <w:rPr>
                <w:rFonts w:ascii="Times New Roman" w:hAnsi="Times New Roman"/>
                <w:b/>
                <w:sz w:val="24"/>
                <w:u w:val="single"/>
              </w:rPr>
            </w:pPr>
            <w:r>
              <w:rPr>
                <w:rFonts w:ascii="Times New Roman" w:hAnsi="Times New Roman"/>
                <w:b/>
                <w:sz w:val="24"/>
                <w:u w:val="single"/>
              </w:rPr>
              <w:t>IMPORTO COMPLESSIVO DELLE ESPOSIZIONI CARTOLARIZZATE ALLA DATA DI CREAZIONE</w:t>
            </w:r>
          </w:p>
          <w:p w:rsidR="00C55547" w:rsidRPr="00661595" w:rsidRDefault="00C55547" w:rsidP="00E9572B">
            <w:pPr>
              <w:suppressAutoHyphens/>
              <w:spacing w:before="0" w:after="0"/>
              <w:jc w:val="left"/>
              <w:rPr>
                <w:rFonts w:ascii="Times New Roman" w:hAnsi="Times New Roman"/>
                <w:sz w:val="24"/>
              </w:rPr>
            </w:pPr>
          </w:p>
          <w:p w:rsidR="00C55547" w:rsidRPr="00661595" w:rsidRDefault="00C55547"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Questa colonna contiene l</w:t>
            </w:r>
            <w:r w:rsidR="000878EC">
              <w:rPr>
                <w:rFonts w:ascii="Times New Roman" w:hAnsi="Times New Roman"/>
                <w:sz w:val="24"/>
              </w:rPr>
              <w:t>'</w:t>
            </w:r>
            <w:r>
              <w:rPr>
                <w:rFonts w:ascii="Times New Roman" w:hAnsi="Times New Roman"/>
                <w:sz w:val="24"/>
              </w:rPr>
              <w:t>importo (calcolato sulla base delle esposizioni originarie prima dell</w:t>
            </w:r>
            <w:r w:rsidR="000878EC">
              <w:rPr>
                <w:rFonts w:ascii="Times New Roman" w:hAnsi="Times New Roman"/>
                <w:sz w:val="24"/>
              </w:rPr>
              <w:t>'</w:t>
            </w:r>
            <w:r>
              <w:rPr>
                <w:rFonts w:ascii="Times New Roman" w:hAnsi="Times New Roman"/>
                <w:sz w:val="24"/>
              </w:rPr>
              <w:t xml:space="preserve">applicazione dei fattori di conversione) del portafoglio cartolarizzato alla data di creazione della cartolarizzazione. </w:t>
            </w:r>
          </w:p>
          <w:p w:rsidR="00C55547" w:rsidRPr="00661595" w:rsidRDefault="00C55547" w:rsidP="00E9572B">
            <w:pPr>
              <w:suppressAutoHyphens/>
              <w:autoSpaceDE w:val="0"/>
              <w:autoSpaceDN w:val="0"/>
              <w:adjustRightInd w:val="0"/>
              <w:spacing w:before="0" w:after="0"/>
              <w:rPr>
                <w:rFonts w:ascii="Times New Roman" w:hAnsi="Times New Roman"/>
                <w:sz w:val="24"/>
              </w:rPr>
            </w:pPr>
          </w:p>
          <w:p w:rsidR="00C55547" w:rsidRPr="00661595" w:rsidRDefault="005E5070"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Per gli schemi di cartolarizzazione assistiti da open pool è segnalato l</w:t>
            </w:r>
            <w:r w:rsidR="000878EC">
              <w:rPr>
                <w:rFonts w:ascii="Times New Roman" w:hAnsi="Times New Roman"/>
                <w:sz w:val="24"/>
              </w:rPr>
              <w:t>'</w:t>
            </w:r>
            <w:r>
              <w:rPr>
                <w:rFonts w:ascii="Times New Roman" w:hAnsi="Times New Roman"/>
                <w:sz w:val="24"/>
              </w:rPr>
              <w:t>importo riferito alla data di creazione della prima emissione dei titoli. Per le cartolarizzazioni tradizionali non occorre inserire nessun</w:t>
            </w:r>
            <w:r w:rsidR="000878EC">
              <w:rPr>
                <w:rFonts w:ascii="Times New Roman" w:hAnsi="Times New Roman"/>
                <w:sz w:val="24"/>
              </w:rPr>
              <w:t>'</w:t>
            </w:r>
            <w:r>
              <w:rPr>
                <w:rFonts w:ascii="Times New Roman" w:hAnsi="Times New Roman"/>
                <w:sz w:val="24"/>
              </w:rPr>
              <w:t>altra attività del portafoglio della cartolarizzazione. Per gli schemi di cartolarizzazione multi-seller (ossia con più di un cedente) è segnalato soltanto l</w:t>
            </w:r>
            <w:r w:rsidR="000878EC">
              <w:rPr>
                <w:rFonts w:ascii="Times New Roman" w:hAnsi="Times New Roman"/>
                <w:sz w:val="24"/>
              </w:rPr>
              <w:t>'</w:t>
            </w:r>
            <w:r>
              <w:rPr>
                <w:rFonts w:ascii="Times New Roman" w:hAnsi="Times New Roman"/>
                <w:sz w:val="24"/>
              </w:rPr>
              <w:t>importo corrispondente al contributo del soggetto segnalante al portafoglio cartolarizzato. Per le cartolarizzazioni di passività sono segnalati soltanto gli importi emessi dal soggetto segnalante.</w:t>
            </w:r>
          </w:p>
          <w:p w:rsidR="00C55547" w:rsidRPr="00661595" w:rsidRDefault="00C55547" w:rsidP="00E9572B">
            <w:pPr>
              <w:suppressAutoHyphens/>
              <w:autoSpaceDE w:val="0"/>
              <w:autoSpaceDN w:val="0"/>
              <w:adjustRightInd w:val="0"/>
              <w:spacing w:before="0" w:after="0"/>
              <w:rPr>
                <w:rFonts w:ascii="Times New Roman" w:hAnsi="Times New Roman"/>
                <w:sz w:val="24"/>
              </w:rPr>
            </w:pPr>
          </w:p>
          <w:p w:rsidR="00C55547" w:rsidRPr="00661595" w:rsidRDefault="00C55547"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Questa informazione è segnalata anche se il soggetto segnalante non detiene alcuna posizione nella cartolarizzazione.</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9572B">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0140-0225</w:t>
            </w:r>
          </w:p>
        </w:tc>
        <w:tc>
          <w:tcPr>
            <w:tcW w:w="7903" w:type="dxa"/>
          </w:tcPr>
          <w:p w:rsidR="00C55547" w:rsidRPr="00661595" w:rsidRDefault="00C55547" w:rsidP="00E9572B">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ESPOSIZIONI CARTOLARIZZATE</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p>
          <w:p w:rsidR="00C55547" w:rsidRPr="00661595" w:rsidRDefault="00C55547"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Nelle colonne da 0140 a 0225 il soggetto segnalante deve inserire informazioni su varie caratteristiche del portafoglio cartolarizzato.</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9572B">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0140</w:t>
            </w:r>
          </w:p>
        </w:tc>
        <w:tc>
          <w:tcPr>
            <w:tcW w:w="7903" w:type="dxa"/>
          </w:tcPr>
          <w:p w:rsidR="00C55547" w:rsidRPr="00661595" w:rsidRDefault="00C55547" w:rsidP="00E9572B">
            <w:pPr>
              <w:suppressAutoHyphens/>
              <w:spacing w:before="0" w:after="0"/>
              <w:jc w:val="left"/>
              <w:rPr>
                <w:rFonts w:ascii="Times New Roman" w:hAnsi="Times New Roman"/>
                <w:b/>
                <w:sz w:val="24"/>
                <w:u w:val="single"/>
              </w:rPr>
            </w:pPr>
            <w:r>
              <w:rPr>
                <w:rFonts w:ascii="Times New Roman" w:hAnsi="Times New Roman"/>
                <w:b/>
                <w:sz w:val="24"/>
                <w:u w:val="single"/>
              </w:rPr>
              <w:t>IMPORTO COMPLESSIVO</w:t>
            </w:r>
          </w:p>
          <w:p w:rsidR="00C55547" w:rsidRPr="00661595" w:rsidRDefault="00C55547" w:rsidP="00E9572B">
            <w:pPr>
              <w:suppressAutoHyphens/>
              <w:spacing w:before="0" w:after="0"/>
              <w:jc w:val="left"/>
              <w:rPr>
                <w:rFonts w:ascii="Times New Roman" w:hAnsi="Times New Roman"/>
                <w:sz w:val="24"/>
              </w:rPr>
            </w:pPr>
          </w:p>
          <w:p w:rsidR="00C55547" w:rsidRPr="00661595" w:rsidRDefault="00C55547"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Gli enti segnalano il valore del portafoglio cartolarizzato alla data di riferimento per le segnalazioni, ossia l</w:t>
            </w:r>
            <w:r w:rsidR="000878EC">
              <w:rPr>
                <w:rFonts w:ascii="Times New Roman" w:hAnsi="Times New Roman"/>
                <w:sz w:val="24"/>
              </w:rPr>
              <w:t>'</w:t>
            </w:r>
            <w:r>
              <w:rPr>
                <w:rFonts w:ascii="Times New Roman" w:hAnsi="Times New Roman"/>
                <w:sz w:val="24"/>
              </w:rPr>
              <w:t>importo in essere delle esposizioni cartolarizzate. Per le cartolarizzazioni tradizionali non occorre inserire nessun</w:t>
            </w:r>
            <w:r w:rsidR="000878EC">
              <w:rPr>
                <w:rFonts w:ascii="Times New Roman" w:hAnsi="Times New Roman"/>
                <w:sz w:val="24"/>
              </w:rPr>
              <w:t>'</w:t>
            </w:r>
            <w:r>
              <w:rPr>
                <w:rFonts w:ascii="Times New Roman" w:hAnsi="Times New Roman"/>
                <w:sz w:val="24"/>
              </w:rPr>
              <w:t>altra attività del portafoglio della cartolarizzazione. Per gli schemi di cartolarizzazione multi-seller (ossia con più di un cedente) è segnalato soltanto l</w:t>
            </w:r>
            <w:r w:rsidR="000878EC">
              <w:rPr>
                <w:rFonts w:ascii="Times New Roman" w:hAnsi="Times New Roman"/>
                <w:sz w:val="24"/>
              </w:rPr>
              <w:t>'</w:t>
            </w:r>
            <w:r>
              <w:rPr>
                <w:rFonts w:ascii="Times New Roman" w:hAnsi="Times New Roman"/>
                <w:sz w:val="24"/>
              </w:rPr>
              <w:t>importo corrispondente al contributo del soggetto segnalante al portafoglio cartolarizzato. Per gli schemi di cartolarizzazione assistiti da closed pool (ossia quando il portafoglio di attività cartolarizzate non può essere ampliato dopo la data di creazione) l</w:t>
            </w:r>
            <w:r w:rsidR="000878EC">
              <w:rPr>
                <w:rFonts w:ascii="Times New Roman" w:hAnsi="Times New Roman"/>
                <w:sz w:val="24"/>
              </w:rPr>
              <w:t>'</w:t>
            </w:r>
            <w:r>
              <w:rPr>
                <w:rFonts w:ascii="Times New Roman" w:hAnsi="Times New Roman"/>
                <w:sz w:val="24"/>
              </w:rPr>
              <w:t>importo è ridotto progressivamente.</w:t>
            </w:r>
          </w:p>
          <w:p w:rsidR="00C55547" w:rsidRPr="00661595" w:rsidRDefault="00C55547" w:rsidP="00E9572B">
            <w:pPr>
              <w:suppressAutoHyphens/>
              <w:autoSpaceDE w:val="0"/>
              <w:autoSpaceDN w:val="0"/>
              <w:adjustRightInd w:val="0"/>
              <w:spacing w:before="0" w:after="0"/>
              <w:rPr>
                <w:rFonts w:ascii="Times New Roman" w:hAnsi="Times New Roman"/>
                <w:sz w:val="24"/>
              </w:rPr>
            </w:pPr>
          </w:p>
          <w:p w:rsidR="00C55547" w:rsidRPr="00661595" w:rsidRDefault="00C55547"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Questa informazione è segnalata anche se il soggetto segnalante non detiene alcuna posizione nella cartolarizzazione.</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9572B">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0150</w:t>
            </w:r>
          </w:p>
        </w:tc>
        <w:tc>
          <w:tcPr>
            <w:tcW w:w="7903" w:type="dxa"/>
          </w:tcPr>
          <w:p w:rsidR="00C55547" w:rsidRPr="00661595" w:rsidRDefault="00C55547" w:rsidP="00E9572B">
            <w:pPr>
              <w:suppressAutoHyphens/>
              <w:spacing w:before="0" w:after="0"/>
              <w:jc w:val="left"/>
              <w:rPr>
                <w:rFonts w:ascii="Times New Roman" w:hAnsi="Times New Roman"/>
                <w:b/>
                <w:sz w:val="24"/>
                <w:u w:val="single"/>
              </w:rPr>
            </w:pPr>
            <w:r>
              <w:rPr>
                <w:rFonts w:ascii="Times New Roman" w:hAnsi="Times New Roman"/>
                <w:b/>
                <w:sz w:val="24"/>
                <w:u w:val="single"/>
              </w:rPr>
              <w:t>QUOTA DELL</w:t>
            </w:r>
            <w:r w:rsidR="000878EC">
              <w:rPr>
                <w:rFonts w:ascii="Times New Roman" w:hAnsi="Times New Roman"/>
                <w:b/>
                <w:sz w:val="24"/>
                <w:u w:val="single"/>
              </w:rPr>
              <w:t>'</w:t>
            </w:r>
            <w:r>
              <w:rPr>
                <w:rFonts w:ascii="Times New Roman" w:hAnsi="Times New Roman"/>
                <w:b/>
                <w:sz w:val="24"/>
                <w:u w:val="single"/>
              </w:rPr>
              <w:t>ENTE (%)</w:t>
            </w:r>
          </w:p>
          <w:p w:rsidR="00C55547" w:rsidRPr="00661595" w:rsidRDefault="00C55547" w:rsidP="00E9572B">
            <w:pPr>
              <w:suppressAutoHyphens/>
              <w:spacing w:before="0" w:after="0"/>
              <w:jc w:val="left"/>
              <w:rPr>
                <w:rFonts w:ascii="Times New Roman" w:hAnsi="Times New Roman"/>
                <w:sz w:val="24"/>
              </w:rPr>
            </w:pPr>
          </w:p>
          <w:p w:rsidR="00C55547" w:rsidRPr="00661595" w:rsidRDefault="00EE2BEA" w:rsidP="00E9572B">
            <w:pPr>
              <w:suppressAutoHyphens/>
              <w:spacing w:before="0" w:after="0"/>
              <w:rPr>
                <w:rFonts w:ascii="Times New Roman" w:hAnsi="Times New Roman"/>
                <w:sz w:val="24"/>
              </w:rPr>
            </w:pPr>
            <w:r>
              <w:rPr>
                <w:rFonts w:ascii="Times New Roman" w:hAnsi="Times New Roman"/>
                <w:sz w:val="24"/>
              </w:rPr>
              <w:t>Quota (percentuale con due decimali) che l</w:t>
            </w:r>
            <w:r w:rsidR="000878EC">
              <w:rPr>
                <w:rFonts w:ascii="Times New Roman" w:hAnsi="Times New Roman"/>
                <w:sz w:val="24"/>
              </w:rPr>
              <w:t>'</w:t>
            </w:r>
            <w:r>
              <w:rPr>
                <w:rFonts w:ascii="Times New Roman" w:hAnsi="Times New Roman"/>
                <w:sz w:val="24"/>
              </w:rPr>
              <w:t>ente detiene nel portafoglio cartolarizzato alla data di riferimento per le segnalazioni. La percentuale da segnalare in questa colonna è, per impostazione predefinita, il 100 %, salvo per gli schemi di cartolarizzazione multi-seller. In tal caso il soggetto segnalante indica il proprio contributo attuale al portafoglio cartolarizzato (equivalente alla colonna 0140 in termini relativi).</w:t>
            </w:r>
          </w:p>
          <w:p w:rsidR="00C55547" w:rsidRPr="00661595" w:rsidRDefault="00C55547" w:rsidP="00E9572B">
            <w:pPr>
              <w:suppressAutoHyphens/>
              <w:spacing w:before="0" w:after="0"/>
              <w:rPr>
                <w:rFonts w:ascii="Times New Roman" w:hAnsi="Times New Roman"/>
                <w:sz w:val="24"/>
              </w:rPr>
            </w:pPr>
          </w:p>
          <w:p w:rsidR="00C55547" w:rsidRPr="00661595" w:rsidRDefault="00C55547"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Questa informazione è segnalata anche se il soggetto segnalante non detiene alcuna posizione nella cartolarizzazione.</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Del="00817047" w:rsidRDefault="006E0E76" w:rsidP="00E9572B">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0160</w:t>
            </w:r>
          </w:p>
        </w:tc>
        <w:tc>
          <w:tcPr>
            <w:tcW w:w="7903" w:type="dxa"/>
          </w:tcPr>
          <w:p w:rsidR="00C55547" w:rsidRPr="00661595" w:rsidRDefault="00C55547" w:rsidP="00E9572B">
            <w:pPr>
              <w:suppressAutoHyphens/>
              <w:spacing w:before="0" w:after="0"/>
              <w:jc w:val="left"/>
              <w:rPr>
                <w:rFonts w:ascii="Times New Roman" w:hAnsi="Times New Roman"/>
                <w:b/>
                <w:sz w:val="24"/>
                <w:u w:val="single"/>
              </w:rPr>
            </w:pPr>
            <w:r>
              <w:rPr>
                <w:rFonts w:ascii="Times New Roman" w:hAnsi="Times New Roman"/>
                <w:b/>
                <w:sz w:val="24"/>
                <w:u w:val="single"/>
              </w:rPr>
              <w:t>TIPO</w:t>
            </w:r>
          </w:p>
          <w:p w:rsidR="00C55547" w:rsidRPr="00661595" w:rsidRDefault="00C55547" w:rsidP="00E9572B">
            <w:pPr>
              <w:suppressAutoHyphens/>
              <w:autoSpaceDE w:val="0"/>
              <w:autoSpaceDN w:val="0"/>
              <w:adjustRightInd w:val="0"/>
              <w:spacing w:before="0" w:after="0"/>
              <w:rPr>
                <w:rFonts w:ascii="Times New Roman" w:hAnsi="Times New Roman"/>
                <w:sz w:val="24"/>
              </w:rPr>
            </w:pPr>
          </w:p>
          <w:p w:rsidR="00C55547" w:rsidRPr="00661595" w:rsidRDefault="00C55547"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Questa colonna contiene informazioni sul tipo di attività (da </w:t>
            </w:r>
            <w:r w:rsidR="000878EC">
              <w:rPr>
                <w:rFonts w:ascii="Times New Roman" w:hAnsi="Times New Roman"/>
                <w:sz w:val="24"/>
              </w:rPr>
              <w:t>"</w:t>
            </w:r>
            <w:r>
              <w:rPr>
                <w:rFonts w:ascii="Times New Roman" w:hAnsi="Times New Roman"/>
                <w:sz w:val="24"/>
              </w:rPr>
              <w:t>mutui ipotecari residenziali</w:t>
            </w:r>
            <w:r w:rsidR="000878EC">
              <w:rPr>
                <w:rFonts w:ascii="Times New Roman" w:hAnsi="Times New Roman"/>
                <w:sz w:val="24"/>
              </w:rPr>
              <w:t>"</w:t>
            </w:r>
            <w:r>
              <w:rPr>
                <w:rFonts w:ascii="Times New Roman" w:hAnsi="Times New Roman"/>
                <w:sz w:val="24"/>
              </w:rPr>
              <w:t xml:space="preserve"> a </w:t>
            </w:r>
            <w:r w:rsidR="000878EC">
              <w:rPr>
                <w:rFonts w:ascii="Times New Roman" w:hAnsi="Times New Roman"/>
                <w:sz w:val="24"/>
              </w:rPr>
              <w:t>"</w:t>
            </w:r>
            <w:r>
              <w:rPr>
                <w:rFonts w:ascii="Times New Roman" w:hAnsi="Times New Roman"/>
                <w:sz w:val="24"/>
              </w:rPr>
              <w:t>altre esposizioni all</w:t>
            </w:r>
            <w:r w:rsidR="000878EC">
              <w:rPr>
                <w:rFonts w:ascii="Times New Roman" w:hAnsi="Times New Roman"/>
                <w:sz w:val="24"/>
              </w:rPr>
              <w:t>'</w:t>
            </w:r>
            <w:r>
              <w:rPr>
                <w:rFonts w:ascii="Times New Roman" w:hAnsi="Times New Roman"/>
                <w:sz w:val="24"/>
              </w:rPr>
              <w:t>ingrosso</w:t>
            </w:r>
            <w:r w:rsidR="000878EC">
              <w:rPr>
                <w:rFonts w:ascii="Times New Roman" w:hAnsi="Times New Roman"/>
                <w:sz w:val="24"/>
              </w:rPr>
              <w:t>"</w:t>
            </w:r>
            <w:r>
              <w:rPr>
                <w:rFonts w:ascii="Times New Roman" w:hAnsi="Times New Roman"/>
                <w:sz w:val="24"/>
              </w:rPr>
              <w:t>) o passività (</w:t>
            </w:r>
            <w:r w:rsidR="000878EC">
              <w:rPr>
                <w:rFonts w:ascii="Times New Roman" w:hAnsi="Times New Roman"/>
                <w:sz w:val="24"/>
              </w:rPr>
              <w:t>"</w:t>
            </w:r>
            <w:r>
              <w:rPr>
                <w:rFonts w:ascii="Times New Roman" w:hAnsi="Times New Roman"/>
                <w:sz w:val="24"/>
              </w:rPr>
              <w:t>obbligazioni garantite</w:t>
            </w:r>
            <w:r w:rsidR="000878EC">
              <w:rPr>
                <w:rFonts w:ascii="Times New Roman" w:hAnsi="Times New Roman"/>
                <w:sz w:val="24"/>
              </w:rPr>
              <w:t>"</w:t>
            </w:r>
            <w:r>
              <w:rPr>
                <w:rFonts w:ascii="Times New Roman" w:hAnsi="Times New Roman"/>
                <w:sz w:val="24"/>
              </w:rPr>
              <w:t xml:space="preserve"> e </w:t>
            </w:r>
            <w:r w:rsidR="000878EC">
              <w:rPr>
                <w:rFonts w:ascii="Times New Roman" w:hAnsi="Times New Roman"/>
                <w:sz w:val="24"/>
              </w:rPr>
              <w:t>"</w:t>
            </w:r>
            <w:r>
              <w:rPr>
                <w:rFonts w:ascii="Times New Roman" w:hAnsi="Times New Roman"/>
                <w:sz w:val="24"/>
              </w:rPr>
              <w:t>altre passività</w:t>
            </w:r>
            <w:r w:rsidR="000878EC">
              <w:rPr>
                <w:rFonts w:ascii="Times New Roman" w:hAnsi="Times New Roman"/>
                <w:sz w:val="24"/>
              </w:rPr>
              <w:t>"</w:t>
            </w:r>
            <w:r>
              <w:rPr>
                <w:rFonts w:ascii="Times New Roman" w:hAnsi="Times New Roman"/>
                <w:sz w:val="24"/>
              </w:rPr>
              <w:t>) del portafoglio cartolarizzato. L</w:t>
            </w:r>
            <w:r w:rsidR="000878EC">
              <w:rPr>
                <w:rFonts w:ascii="Times New Roman" w:hAnsi="Times New Roman"/>
                <w:sz w:val="24"/>
              </w:rPr>
              <w:t>'</w:t>
            </w:r>
            <w:r>
              <w:rPr>
                <w:rFonts w:ascii="Times New Roman" w:hAnsi="Times New Roman"/>
                <w:sz w:val="24"/>
              </w:rPr>
              <w:t>ente seleziona una delle seguenti opzioni, considerando il valore dell</w:t>
            </w:r>
            <w:r w:rsidR="000878EC">
              <w:rPr>
                <w:rFonts w:ascii="Times New Roman" w:hAnsi="Times New Roman"/>
                <w:sz w:val="24"/>
              </w:rPr>
              <w:t>'</w:t>
            </w:r>
            <w:r>
              <w:rPr>
                <w:rFonts w:ascii="Times New Roman" w:hAnsi="Times New Roman"/>
                <w:sz w:val="24"/>
              </w:rPr>
              <w:t>EAD più elevato:</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p>
          <w:p w:rsidR="00C55547" w:rsidRPr="00661595" w:rsidRDefault="00C55547" w:rsidP="00E9572B">
            <w:pPr>
              <w:suppressAutoHyphens/>
              <w:autoSpaceDE w:val="0"/>
              <w:autoSpaceDN w:val="0"/>
              <w:adjustRightInd w:val="0"/>
              <w:spacing w:before="0" w:after="0"/>
              <w:jc w:val="left"/>
              <w:rPr>
                <w:rFonts w:ascii="Times New Roman" w:hAnsi="Times New Roman"/>
                <w:b/>
                <w:sz w:val="24"/>
              </w:rPr>
            </w:pPr>
            <w:r>
              <w:rPr>
                <w:rFonts w:ascii="Times New Roman" w:hAnsi="Times New Roman"/>
                <w:b/>
                <w:sz w:val="24"/>
              </w:rPr>
              <w:t>Settore al dettaglio:</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 xml:space="preserve">mutui ipotecari residenziali; </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 xml:space="preserve">crediti su carta di credito; </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prestiti al consumo;</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prestiti a PMI (trattate come clienti al dettaglio);</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altre esposizioni al dettaglio.</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p>
          <w:p w:rsidR="00C55547" w:rsidRPr="00661595" w:rsidRDefault="00C55547" w:rsidP="00E9572B">
            <w:pPr>
              <w:suppressAutoHyphens/>
              <w:autoSpaceDE w:val="0"/>
              <w:autoSpaceDN w:val="0"/>
              <w:adjustRightInd w:val="0"/>
              <w:spacing w:before="0" w:after="0"/>
              <w:jc w:val="left"/>
              <w:rPr>
                <w:rFonts w:ascii="Times New Roman" w:hAnsi="Times New Roman"/>
                <w:b/>
                <w:sz w:val="24"/>
              </w:rPr>
            </w:pPr>
            <w:r>
              <w:rPr>
                <w:rFonts w:ascii="Times New Roman" w:hAnsi="Times New Roman"/>
                <w:b/>
                <w:sz w:val="24"/>
              </w:rPr>
              <w:t>Settore all</w:t>
            </w:r>
            <w:r w:rsidR="000878EC">
              <w:rPr>
                <w:rFonts w:ascii="Times New Roman" w:hAnsi="Times New Roman"/>
                <w:b/>
                <w:sz w:val="24"/>
              </w:rPr>
              <w:t>'</w:t>
            </w:r>
            <w:r>
              <w:rPr>
                <w:rFonts w:ascii="Times New Roman" w:hAnsi="Times New Roman"/>
                <w:b/>
                <w:sz w:val="24"/>
              </w:rPr>
              <w:t>ingrosso:</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 xml:space="preserve">mutui ipotecari non residenziali; </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 xml:space="preserve">locazione finanziaria (leasing); </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prestiti a imprese;</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 xml:space="preserve">prestiti a PMI (trattate come imprese); </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crediti commerciali;</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altre esposizioni all</w:t>
            </w:r>
            <w:r w:rsidR="000878EC">
              <w:rPr>
                <w:rFonts w:ascii="Times New Roman" w:hAnsi="Times New Roman"/>
                <w:sz w:val="24"/>
              </w:rPr>
              <w:t>'</w:t>
            </w:r>
            <w:r>
              <w:rPr>
                <w:rFonts w:ascii="Times New Roman" w:hAnsi="Times New Roman"/>
                <w:sz w:val="24"/>
              </w:rPr>
              <w:t xml:space="preserve">ingrosso. </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p>
          <w:p w:rsidR="00C55547" w:rsidRPr="00661595" w:rsidRDefault="00C55547" w:rsidP="00E9572B">
            <w:pPr>
              <w:suppressAutoHyphens/>
              <w:autoSpaceDE w:val="0"/>
              <w:autoSpaceDN w:val="0"/>
              <w:adjustRightInd w:val="0"/>
              <w:spacing w:before="0" w:after="0"/>
              <w:jc w:val="left"/>
              <w:rPr>
                <w:rFonts w:ascii="Times New Roman" w:hAnsi="Times New Roman"/>
                <w:b/>
                <w:sz w:val="24"/>
              </w:rPr>
            </w:pPr>
            <w:r>
              <w:rPr>
                <w:rFonts w:ascii="Times New Roman" w:hAnsi="Times New Roman"/>
                <w:b/>
                <w:sz w:val="24"/>
              </w:rPr>
              <w:t>Passività:</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obbligazioni garantite;</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altre passività.</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p>
          <w:p w:rsidR="00C55547" w:rsidRPr="00661595" w:rsidRDefault="005E5070"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Se il portafoglio di esposizioni cartolarizzate è una combinazione dei tipi sopraelencati, l</w:t>
            </w:r>
            <w:r w:rsidR="000878EC">
              <w:rPr>
                <w:rFonts w:ascii="Times New Roman" w:hAnsi="Times New Roman"/>
                <w:sz w:val="24"/>
              </w:rPr>
              <w:t>'</w:t>
            </w:r>
            <w:r>
              <w:rPr>
                <w:rFonts w:ascii="Times New Roman" w:hAnsi="Times New Roman"/>
                <w:sz w:val="24"/>
              </w:rPr>
              <w:t>ente indica il tipo più importante. Per le ricartolarizzazioni l</w:t>
            </w:r>
            <w:r w:rsidR="000878EC">
              <w:rPr>
                <w:rFonts w:ascii="Times New Roman" w:hAnsi="Times New Roman"/>
                <w:sz w:val="24"/>
              </w:rPr>
              <w:t>'</w:t>
            </w:r>
            <w:r>
              <w:rPr>
                <w:rFonts w:ascii="Times New Roman" w:hAnsi="Times New Roman"/>
                <w:sz w:val="24"/>
              </w:rPr>
              <w:t xml:space="preserve">ente indica il pool sottostante finale delle attività. Il tipo </w:t>
            </w:r>
            <w:r w:rsidR="000878EC">
              <w:rPr>
                <w:rFonts w:ascii="Times New Roman" w:hAnsi="Times New Roman"/>
                <w:sz w:val="24"/>
              </w:rPr>
              <w:t>"</w:t>
            </w:r>
            <w:r>
              <w:rPr>
                <w:rFonts w:ascii="Times New Roman" w:hAnsi="Times New Roman"/>
                <w:sz w:val="24"/>
              </w:rPr>
              <w:t>altre passività</w:t>
            </w:r>
            <w:r w:rsidR="000878EC">
              <w:rPr>
                <w:rFonts w:ascii="Times New Roman" w:hAnsi="Times New Roman"/>
                <w:sz w:val="24"/>
              </w:rPr>
              <w:t>"</w:t>
            </w:r>
            <w:r>
              <w:rPr>
                <w:rFonts w:ascii="Times New Roman" w:hAnsi="Times New Roman"/>
                <w:sz w:val="24"/>
              </w:rPr>
              <w:t xml:space="preserve"> comprende buoni del Tesoro e credit linked note.</w:t>
            </w:r>
          </w:p>
          <w:p w:rsidR="00C55547" w:rsidRPr="00661595" w:rsidRDefault="00C55547" w:rsidP="00E9572B">
            <w:pPr>
              <w:suppressAutoHyphens/>
              <w:autoSpaceDE w:val="0"/>
              <w:autoSpaceDN w:val="0"/>
              <w:adjustRightInd w:val="0"/>
              <w:spacing w:before="0" w:after="0"/>
              <w:rPr>
                <w:rFonts w:ascii="Times New Roman" w:hAnsi="Times New Roman"/>
                <w:sz w:val="24"/>
              </w:rPr>
            </w:pPr>
          </w:p>
          <w:p w:rsidR="00C55547" w:rsidRPr="00661595" w:rsidRDefault="00C55547"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Per gli schemi di cartolarizzazione assistiti da closed pool il tipo non può cambiare tra una data di riferimento per le segnalazioni e la successiva.</w:t>
            </w:r>
          </w:p>
          <w:p w:rsidR="00C55547" w:rsidRPr="00661595" w:rsidRDefault="00C55547" w:rsidP="00E9572B">
            <w:pPr>
              <w:suppressAutoHyphens/>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9572B">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0171</w:t>
            </w:r>
          </w:p>
        </w:tc>
        <w:tc>
          <w:tcPr>
            <w:tcW w:w="7903" w:type="dxa"/>
          </w:tcPr>
          <w:p w:rsidR="00C55547" w:rsidRPr="00661595" w:rsidRDefault="00C55547" w:rsidP="00E9572B">
            <w:pPr>
              <w:suppressAutoHyphens/>
              <w:spacing w:before="0" w:after="0"/>
              <w:jc w:val="left"/>
              <w:rPr>
                <w:rFonts w:ascii="Times New Roman" w:hAnsi="Times New Roman"/>
                <w:b/>
                <w:sz w:val="24"/>
                <w:u w:val="single"/>
              </w:rPr>
            </w:pPr>
            <w:r>
              <w:rPr>
                <w:rFonts w:ascii="Times New Roman" w:hAnsi="Times New Roman"/>
                <w:b/>
                <w:sz w:val="24"/>
                <w:u w:val="single"/>
              </w:rPr>
              <w:t>% di IRB NEL METODO APPLICATO</w:t>
            </w:r>
          </w:p>
          <w:p w:rsidR="00C55547" w:rsidRPr="00661595" w:rsidRDefault="00C55547" w:rsidP="00E9572B">
            <w:pPr>
              <w:suppressAutoHyphens/>
              <w:spacing w:before="0" w:after="0"/>
              <w:jc w:val="left"/>
              <w:rPr>
                <w:rFonts w:ascii="Times New Roman" w:hAnsi="Times New Roman"/>
                <w:sz w:val="24"/>
              </w:rPr>
            </w:pPr>
          </w:p>
          <w:p w:rsidR="00C55547" w:rsidRPr="00661595" w:rsidRDefault="00C55547"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Questa colonna contiene informazioni sul metodo/sui metodi che l</w:t>
            </w:r>
            <w:r w:rsidR="000878EC">
              <w:rPr>
                <w:rFonts w:ascii="Times New Roman" w:hAnsi="Times New Roman"/>
                <w:sz w:val="24"/>
              </w:rPr>
              <w:t>'</w:t>
            </w:r>
            <w:r>
              <w:rPr>
                <w:rFonts w:ascii="Times New Roman" w:hAnsi="Times New Roman"/>
                <w:sz w:val="24"/>
              </w:rPr>
              <w:t>ente intende applicare alle esposizioni cartolarizzate alla data di riferimento per le segnalazioni.</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Gli enti segnalano la percentuale delle esposizioni cartolarizzate, misurata in base al valore dell</w:t>
            </w:r>
            <w:r w:rsidR="000878EC">
              <w:rPr>
                <w:rFonts w:ascii="Times New Roman" w:hAnsi="Times New Roman"/>
                <w:sz w:val="24"/>
              </w:rPr>
              <w:t>'</w:t>
            </w:r>
            <w:r>
              <w:rPr>
                <w:rFonts w:ascii="Times New Roman" w:hAnsi="Times New Roman"/>
                <w:sz w:val="24"/>
              </w:rPr>
              <w:t xml:space="preserve">esposizione, cui è applicato il metodo basato sui rating interni alla data di riferimento per le segnalazioni. </w:t>
            </w:r>
          </w:p>
          <w:p w:rsidR="00C55547" w:rsidRPr="00661595" w:rsidRDefault="00C55547" w:rsidP="00E9572B">
            <w:pPr>
              <w:suppressAutoHyphens/>
              <w:autoSpaceDE w:val="0"/>
              <w:autoSpaceDN w:val="0"/>
              <w:adjustRightInd w:val="0"/>
              <w:spacing w:before="0" w:after="0"/>
              <w:rPr>
                <w:rFonts w:ascii="Times New Roman" w:hAnsi="Times New Roman"/>
                <w:sz w:val="24"/>
              </w:rPr>
            </w:pPr>
          </w:p>
          <w:p w:rsidR="00C55547" w:rsidRPr="00661595" w:rsidRDefault="00C55547"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Questa informazione è segnalata anche se il soggetto segnalante non detiene alcuna posizione nella cartolarizzazione. Tuttavia questa colonna non riguarda le cartolarizzazioni di passività. </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9572B">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0180</w:t>
            </w:r>
          </w:p>
        </w:tc>
        <w:tc>
          <w:tcPr>
            <w:tcW w:w="7903" w:type="dxa"/>
            <w:shd w:val="clear" w:color="auto" w:fill="auto"/>
          </w:tcPr>
          <w:p w:rsidR="00C55547" w:rsidRPr="00661595" w:rsidRDefault="00C55547" w:rsidP="00E9572B">
            <w:pPr>
              <w:suppressAutoHyphens/>
              <w:spacing w:before="0" w:after="0"/>
              <w:jc w:val="left"/>
              <w:rPr>
                <w:rFonts w:ascii="Times New Roman" w:hAnsi="Times New Roman"/>
                <w:b/>
                <w:sz w:val="24"/>
                <w:u w:val="single"/>
              </w:rPr>
            </w:pPr>
            <w:r>
              <w:rPr>
                <w:rFonts w:ascii="Times New Roman" w:hAnsi="Times New Roman"/>
                <w:b/>
                <w:sz w:val="24"/>
                <w:u w:val="single"/>
              </w:rPr>
              <w:t>NUMERO DI ESPOSIZIONI</w:t>
            </w:r>
          </w:p>
          <w:p w:rsidR="00C55547" w:rsidRPr="00661595" w:rsidRDefault="00C55547" w:rsidP="00E9572B">
            <w:pPr>
              <w:suppressAutoHyphens/>
              <w:spacing w:before="0" w:after="0"/>
              <w:jc w:val="left"/>
              <w:rPr>
                <w:rFonts w:ascii="Times New Roman" w:hAnsi="Times New Roman"/>
                <w:sz w:val="24"/>
              </w:rPr>
            </w:pP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Articolo 259, paragrafo 4, del CRR</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p>
          <w:p w:rsidR="005E5070" w:rsidRPr="00661595" w:rsidRDefault="00C55547" w:rsidP="00E9572B">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Questa colonna deve essere compilata obbligatoriamente soltanto dagli enti che applicano il metodo SEC-IRBA alle posizioni verso la cartolarizzazione (e che pertanto indicano più del 95 % nella colonna 171). Gli enti segnalano il numero effettivo di esposizioni.</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p>
          <w:p w:rsidR="00C55547" w:rsidRPr="00661595" w:rsidRDefault="00C55547"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Questa colonna non deve essere compilata in caso di cartolarizzazione di passività o se i requisiti di fondi propri si basano sulle esposizioni cartolarizzate (nel caso di una cartolarizzazione di attività). Questa colonna non è compilata se l</w:t>
            </w:r>
            <w:r w:rsidR="000878EC">
              <w:rPr>
                <w:rFonts w:ascii="Times New Roman" w:hAnsi="Times New Roman"/>
                <w:sz w:val="24"/>
              </w:rPr>
              <w:t>'</w:t>
            </w:r>
            <w:r>
              <w:rPr>
                <w:rFonts w:ascii="Times New Roman" w:hAnsi="Times New Roman"/>
                <w:sz w:val="24"/>
              </w:rPr>
              <w:t>ente segnalante non detiene alcuna posizione nella cartolarizzazione. Gli investitori non compilano questa colonna.</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p>
        </w:tc>
      </w:tr>
      <w:tr w:rsidR="00C55547" w:rsidRPr="00661595" w:rsidTr="00E10B85">
        <w:tc>
          <w:tcPr>
            <w:tcW w:w="1101" w:type="dxa"/>
            <w:shd w:val="clear" w:color="auto" w:fill="auto"/>
          </w:tcPr>
          <w:p w:rsidR="00C55547" w:rsidRPr="00661595" w:rsidRDefault="006E0E76" w:rsidP="00E9572B">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0181</w:t>
            </w:r>
          </w:p>
        </w:tc>
        <w:tc>
          <w:tcPr>
            <w:tcW w:w="7903" w:type="dxa"/>
            <w:shd w:val="clear" w:color="auto" w:fill="auto"/>
          </w:tcPr>
          <w:p w:rsidR="00C55547" w:rsidRPr="00661595" w:rsidRDefault="00C55547" w:rsidP="00E9572B">
            <w:pPr>
              <w:suppressAutoHyphens/>
              <w:spacing w:before="0" w:after="0"/>
              <w:jc w:val="left"/>
              <w:rPr>
                <w:rFonts w:ascii="Times New Roman" w:hAnsi="Times New Roman"/>
                <w:b/>
                <w:sz w:val="24"/>
                <w:u w:val="single"/>
              </w:rPr>
            </w:pPr>
            <w:r>
              <w:rPr>
                <w:rFonts w:ascii="Times New Roman" w:hAnsi="Times New Roman"/>
                <w:b/>
                <w:sz w:val="24"/>
                <w:u w:val="single"/>
              </w:rPr>
              <w:t>ESPOSIZIONI IN STATO DI DEFAULT W (%)</w:t>
            </w:r>
          </w:p>
          <w:p w:rsidR="00C55547" w:rsidRPr="00661595" w:rsidRDefault="00C55547" w:rsidP="00E9572B">
            <w:pPr>
              <w:suppressAutoHyphens/>
              <w:spacing w:before="0" w:after="0"/>
              <w:jc w:val="left"/>
              <w:rPr>
                <w:rFonts w:ascii="Times New Roman" w:hAnsi="Times New Roman"/>
                <w:b/>
                <w:sz w:val="24"/>
                <w:u w:val="single"/>
              </w:rPr>
            </w:pPr>
          </w:p>
          <w:p w:rsidR="00C55547" w:rsidRPr="00661595" w:rsidRDefault="00C55547" w:rsidP="00E9572B">
            <w:pPr>
              <w:suppressAutoHyphens/>
              <w:spacing w:before="0" w:after="0"/>
              <w:jc w:val="left"/>
              <w:rPr>
                <w:rFonts w:ascii="Times New Roman" w:hAnsi="Times New Roman"/>
                <w:sz w:val="24"/>
              </w:rPr>
            </w:pPr>
            <w:r>
              <w:rPr>
                <w:rFonts w:ascii="Times New Roman" w:hAnsi="Times New Roman"/>
                <w:sz w:val="24"/>
              </w:rPr>
              <w:t>Articolo 261, paragrafo 2, del CRR</w:t>
            </w:r>
          </w:p>
          <w:p w:rsidR="00C55547" w:rsidRPr="00661595" w:rsidRDefault="00C55547" w:rsidP="00E9572B">
            <w:pPr>
              <w:suppressAutoHyphens/>
              <w:spacing w:before="0" w:after="0"/>
              <w:jc w:val="left"/>
              <w:rPr>
                <w:rFonts w:ascii="Times New Roman" w:hAnsi="Times New Roman"/>
                <w:sz w:val="24"/>
              </w:rPr>
            </w:pPr>
          </w:p>
          <w:p w:rsidR="00C55547" w:rsidRPr="00661595" w:rsidRDefault="00C55547" w:rsidP="00E9572B">
            <w:pPr>
              <w:suppressAutoHyphens/>
              <w:spacing w:before="0" w:after="0"/>
              <w:jc w:val="left"/>
              <w:rPr>
                <w:rFonts w:ascii="Times New Roman" w:hAnsi="Times New Roman"/>
                <w:sz w:val="24"/>
              </w:rPr>
            </w:pPr>
            <w:r>
              <w:rPr>
                <w:rFonts w:ascii="Times New Roman" w:hAnsi="Times New Roman"/>
                <w:sz w:val="24"/>
              </w:rPr>
              <w:t>Anche se l</w:t>
            </w:r>
            <w:r w:rsidR="000878EC">
              <w:rPr>
                <w:rFonts w:ascii="Times New Roman" w:hAnsi="Times New Roman"/>
                <w:sz w:val="24"/>
              </w:rPr>
              <w:t>'</w:t>
            </w:r>
            <w:r>
              <w:rPr>
                <w:rFonts w:ascii="Times New Roman" w:hAnsi="Times New Roman"/>
                <w:sz w:val="24"/>
              </w:rPr>
              <w:t>ente non applica il metodo SEC-SA alle posizioni verso la cartolarizzazione, l</w:t>
            </w:r>
            <w:r w:rsidR="000878EC">
              <w:rPr>
                <w:rFonts w:ascii="Times New Roman" w:hAnsi="Times New Roman"/>
                <w:sz w:val="24"/>
              </w:rPr>
              <w:t>'</w:t>
            </w:r>
            <w:r>
              <w:rPr>
                <w:rFonts w:ascii="Times New Roman" w:hAnsi="Times New Roman"/>
                <w:sz w:val="24"/>
              </w:rPr>
              <w:t xml:space="preserve">ente segnala il fattore </w:t>
            </w:r>
            <w:r w:rsidR="000878EC">
              <w:rPr>
                <w:rFonts w:ascii="Times New Roman" w:hAnsi="Times New Roman"/>
                <w:sz w:val="24"/>
              </w:rPr>
              <w:t>"</w:t>
            </w:r>
            <w:r>
              <w:rPr>
                <w:rFonts w:ascii="Times New Roman" w:hAnsi="Times New Roman"/>
                <w:sz w:val="24"/>
              </w:rPr>
              <w:t>W</w:t>
            </w:r>
            <w:r w:rsidR="000878EC">
              <w:rPr>
                <w:rFonts w:ascii="Times New Roman" w:hAnsi="Times New Roman"/>
                <w:sz w:val="24"/>
              </w:rPr>
              <w:t>"</w:t>
            </w:r>
            <w:r>
              <w:rPr>
                <w:rFonts w:ascii="Times New Roman" w:hAnsi="Times New Roman"/>
                <w:sz w:val="24"/>
              </w:rPr>
              <w:t xml:space="preserve"> (relativo alle esposizioni sottostanti in stato di default) che deve essere calcolato conformemente all</w:t>
            </w:r>
            <w:r w:rsidR="000878EC">
              <w:rPr>
                <w:rFonts w:ascii="Times New Roman" w:hAnsi="Times New Roman"/>
                <w:sz w:val="24"/>
              </w:rPr>
              <w:t>'</w:t>
            </w:r>
            <w:r>
              <w:rPr>
                <w:rFonts w:ascii="Times New Roman" w:hAnsi="Times New Roman"/>
                <w:sz w:val="24"/>
              </w:rPr>
              <w:t xml:space="preserve">articolo 261, paragrafo 2, del CRR. </w:t>
            </w:r>
          </w:p>
          <w:p w:rsidR="00C55547" w:rsidRPr="00661595" w:rsidRDefault="00C55547" w:rsidP="00E9572B">
            <w:pPr>
              <w:suppressAutoHyphens/>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Del="00A749EA" w:rsidRDefault="006E0E76" w:rsidP="00E9572B">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0190</w:t>
            </w:r>
          </w:p>
        </w:tc>
        <w:tc>
          <w:tcPr>
            <w:tcW w:w="7903" w:type="dxa"/>
            <w:shd w:val="clear" w:color="auto" w:fill="auto"/>
          </w:tcPr>
          <w:p w:rsidR="00C55547" w:rsidRPr="00661595" w:rsidRDefault="00C55547" w:rsidP="00E9572B">
            <w:pPr>
              <w:suppressAutoHyphens/>
              <w:spacing w:before="0" w:after="0"/>
              <w:jc w:val="left"/>
              <w:rPr>
                <w:rFonts w:ascii="Times New Roman" w:hAnsi="Times New Roman"/>
                <w:b/>
                <w:sz w:val="24"/>
                <w:u w:val="single"/>
              </w:rPr>
            </w:pPr>
            <w:r>
              <w:rPr>
                <w:rFonts w:ascii="Times New Roman" w:hAnsi="Times New Roman"/>
                <w:b/>
                <w:sz w:val="24"/>
                <w:u w:val="single"/>
              </w:rPr>
              <w:t>PAESE</w:t>
            </w:r>
          </w:p>
          <w:p w:rsidR="00C55547" w:rsidRPr="00661595" w:rsidRDefault="00C55547" w:rsidP="00E9572B">
            <w:pPr>
              <w:suppressAutoHyphens/>
              <w:spacing w:before="0" w:after="0"/>
              <w:jc w:val="left"/>
              <w:rPr>
                <w:rFonts w:ascii="Times New Roman" w:hAnsi="Times New Roman"/>
                <w:sz w:val="24"/>
              </w:rPr>
            </w:pPr>
          </w:p>
          <w:p w:rsidR="00C55547" w:rsidRPr="00661595" w:rsidRDefault="00EE2BEA" w:rsidP="00E9572B">
            <w:pPr>
              <w:suppressAutoHyphens/>
              <w:spacing w:before="0" w:after="0"/>
              <w:rPr>
                <w:rFonts w:ascii="Times New Roman" w:hAnsi="Times New Roman"/>
                <w:sz w:val="24"/>
              </w:rPr>
            </w:pPr>
            <w:r>
              <w:rPr>
                <w:rFonts w:ascii="Times New Roman" w:hAnsi="Times New Roman"/>
                <w:sz w:val="24"/>
              </w:rPr>
              <w:t>Gli enti inseriscono il codice (ISO 3166-1 alpha-2) del paese di origine del sottostante finale dell</w:t>
            </w:r>
            <w:r w:rsidR="000878EC">
              <w:rPr>
                <w:rFonts w:ascii="Times New Roman" w:hAnsi="Times New Roman"/>
                <w:sz w:val="24"/>
              </w:rPr>
              <w:t>'</w:t>
            </w:r>
            <w:r>
              <w:rPr>
                <w:rFonts w:ascii="Times New Roman" w:hAnsi="Times New Roman"/>
                <w:sz w:val="24"/>
              </w:rPr>
              <w:t>operazione, ossia il paese del debitore diretto delle esposizioni originarie cartolarizzate (metodo look-through). Se il portafoglio della cartolarizzazione comprende più paesi, l</w:t>
            </w:r>
            <w:r w:rsidR="000878EC">
              <w:rPr>
                <w:rFonts w:ascii="Times New Roman" w:hAnsi="Times New Roman"/>
                <w:sz w:val="24"/>
              </w:rPr>
              <w:t>'</w:t>
            </w:r>
            <w:r>
              <w:rPr>
                <w:rFonts w:ascii="Times New Roman" w:hAnsi="Times New Roman"/>
                <w:sz w:val="24"/>
              </w:rPr>
              <w:t>ente indica il paese più importante. Se nessun paese supera la soglia del 20 % basata sull</w:t>
            </w:r>
            <w:r w:rsidR="000878EC">
              <w:rPr>
                <w:rFonts w:ascii="Times New Roman" w:hAnsi="Times New Roman"/>
                <w:sz w:val="24"/>
              </w:rPr>
              <w:t>'</w:t>
            </w:r>
            <w:r>
              <w:rPr>
                <w:rFonts w:ascii="Times New Roman" w:hAnsi="Times New Roman"/>
                <w:sz w:val="24"/>
              </w:rPr>
              <w:t xml:space="preserve">importo delle attività/passività, si indica </w:t>
            </w:r>
            <w:r w:rsidR="000878EC">
              <w:rPr>
                <w:rFonts w:ascii="Times New Roman" w:hAnsi="Times New Roman"/>
                <w:sz w:val="24"/>
              </w:rPr>
              <w:t>"</w:t>
            </w:r>
            <w:r>
              <w:rPr>
                <w:rFonts w:ascii="Times New Roman" w:hAnsi="Times New Roman"/>
                <w:sz w:val="24"/>
              </w:rPr>
              <w:t>altri paesi</w:t>
            </w:r>
            <w:r w:rsidR="000878EC">
              <w:rPr>
                <w:rFonts w:ascii="Times New Roman" w:hAnsi="Times New Roman"/>
                <w:sz w:val="24"/>
              </w:rPr>
              <w:t>"</w:t>
            </w:r>
            <w:r>
              <w:rPr>
                <w:rFonts w:ascii="Times New Roman" w:hAnsi="Times New Roman"/>
                <w:sz w:val="24"/>
              </w:rPr>
              <w:t>.</w:t>
            </w:r>
          </w:p>
          <w:p w:rsidR="00C55547" w:rsidRPr="00661595" w:rsidRDefault="00C55547" w:rsidP="00E9572B">
            <w:pPr>
              <w:suppressAutoHyphens/>
              <w:spacing w:before="0" w:after="0"/>
              <w:rPr>
                <w:rFonts w:ascii="Times New Roman" w:hAnsi="Times New Roman"/>
                <w:sz w:val="24"/>
              </w:rPr>
            </w:pPr>
          </w:p>
        </w:tc>
      </w:tr>
      <w:tr w:rsidR="00C55547" w:rsidRPr="00661595" w:rsidTr="00E10B85">
        <w:tc>
          <w:tcPr>
            <w:tcW w:w="1101" w:type="dxa"/>
          </w:tcPr>
          <w:p w:rsidR="00C55547" w:rsidRPr="00661595" w:rsidRDefault="006E0E76" w:rsidP="00E9572B">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0201</w:t>
            </w:r>
          </w:p>
        </w:tc>
        <w:tc>
          <w:tcPr>
            <w:tcW w:w="7903" w:type="dxa"/>
          </w:tcPr>
          <w:p w:rsidR="00C55547" w:rsidRPr="00661595" w:rsidRDefault="00C55547" w:rsidP="00E9572B">
            <w:pPr>
              <w:suppressAutoHyphens/>
              <w:spacing w:before="0" w:after="0"/>
              <w:jc w:val="left"/>
              <w:rPr>
                <w:rFonts w:ascii="Times New Roman" w:hAnsi="Times New Roman"/>
                <w:b/>
                <w:sz w:val="24"/>
                <w:u w:val="single"/>
              </w:rPr>
            </w:pPr>
            <w:r>
              <w:rPr>
                <w:rFonts w:ascii="Times New Roman" w:hAnsi="Times New Roman"/>
                <w:b/>
                <w:sz w:val="24"/>
                <w:u w:val="single"/>
              </w:rPr>
              <w:t xml:space="preserve">LGD (%) </w:t>
            </w:r>
          </w:p>
          <w:p w:rsidR="00C55547" w:rsidRPr="00661595" w:rsidRDefault="00C55547" w:rsidP="00E9572B">
            <w:pPr>
              <w:suppressAutoHyphens/>
              <w:spacing w:before="0" w:after="0"/>
              <w:jc w:val="left"/>
              <w:rPr>
                <w:rFonts w:ascii="Times New Roman" w:hAnsi="Times New Roman"/>
                <w:sz w:val="24"/>
              </w:rPr>
            </w:pPr>
          </w:p>
          <w:p w:rsidR="00C55547" w:rsidRPr="00661595" w:rsidRDefault="00C55547"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La perdita in caso di default media ponderata per l</w:t>
            </w:r>
            <w:r w:rsidR="000878EC">
              <w:rPr>
                <w:rFonts w:ascii="Times New Roman" w:hAnsi="Times New Roman"/>
                <w:sz w:val="24"/>
              </w:rPr>
              <w:t>'</w:t>
            </w:r>
            <w:r>
              <w:rPr>
                <w:rFonts w:ascii="Times New Roman" w:hAnsi="Times New Roman"/>
                <w:sz w:val="24"/>
              </w:rPr>
              <w:t>esposizione (LGD) deve essere segnalata soltanto dagli enti che applicano il SEC-IRBA (e pertanto indicano 95 % o più nella colonna 0170). La LGD è calcolata a norma dell</w:t>
            </w:r>
            <w:r w:rsidR="000878EC">
              <w:rPr>
                <w:rFonts w:ascii="Times New Roman" w:hAnsi="Times New Roman"/>
                <w:sz w:val="24"/>
              </w:rPr>
              <w:t>'</w:t>
            </w:r>
            <w:r>
              <w:rPr>
                <w:rFonts w:ascii="Times New Roman" w:hAnsi="Times New Roman"/>
                <w:sz w:val="24"/>
              </w:rPr>
              <w:t xml:space="preserve">articolo 259, paragrafo 5, del CRR. </w:t>
            </w:r>
          </w:p>
          <w:p w:rsidR="00C55547" w:rsidRPr="00661595" w:rsidRDefault="00C55547"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Questa colonna non deve essere compilata in caso di cartolarizzazione di passività o se i requisiti di fondi propri si basano sulle esposizioni cartolarizzate (nel caso di una cartolarizzazione di attività). </w:t>
            </w:r>
          </w:p>
          <w:p w:rsidR="00C55547" w:rsidRPr="00661595" w:rsidRDefault="00C55547" w:rsidP="00E9572B">
            <w:pPr>
              <w:suppressAutoHyphens/>
              <w:spacing w:before="0" w:after="0"/>
              <w:jc w:val="left"/>
              <w:rPr>
                <w:rFonts w:ascii="Times New Roman" w:hAnsi="Times New Roman"/>
                <w:sz w:val="24"/>
              </w:rPr>
            </w:pPr>
          </w:p>
        </w:tc>
      </w:tr>
      <w:tr w:rsidR="00C55547" w:rsidRPr="00661595" w:rsidTr="00E10B85">
        <w:tc>
          <w:tcPr>
            <w:tcW w:w="1101" w:type="dxa"/>
          </w:tcPr>
          <w:p w:rsidR="00C55547" w:rsidRPr="00661595" w:rsidRDefault="006E0E76" w:rsidP="00E9572B">
            <w:pPr>
              <w:keepNext/>
              <w:keepLines/>
              <w:suppressAutoHyphens/>
              <w:autoSpaceDE w:val="0"/>
              <w:autoSpaceDN w:val="0"/>
              <w:adjustRightInd w:val="0"/>
              <w:spacing w:before="0" w:after="0"/>
              <w:rPr>
                <w:rFonts w:ascii="Times New Roman" w:hAnsi="Times New Roman"/>
                <w:bCs/>
                <w:sz w:val="24"/>
              </w:rPr>
            </w:pPr>
            <w:r>
              <w:rPr>
                <w:rFonts w:ascii="Times New Roman" w:hAnsi="Times New Roman"/>
                <w:bCs/>
                <w:sz w:val="24"/>
              </w:rPr>
              <w:t>0202</w:t>
            </w:r>
          </w:p>
        </w:tc>
        <w:tc>
          <w:tcPr>
            <w:tcW w:w="7903" w:type="dxa"/>
          </w:tcPr>
          <w:p w:rsidR="00C55547" w:rsidRPr="00661595" w:rsidRDefault="00C55547" w:rsidP="00E9572B">
            <w:pPr>
              <w:keepNext/>
              <w:keepLines/>
              <w:suppressAutoHyphens/>
              <w:spacing w:before="0" w:after="0"/>
              <w:jc w:val="left"/>
              <w:rPr>
                <w:rFonts w:ascii="Times New Roman" w:hAnsi="Times New Roman"/>
                <w:b/>
                <w:sz w:val="24"/>
                <w:u w:val="single"/>
              </w:rPr>
            </w:pPr>
            <w:r>
              <w:rPr>
                <w:rFonts w:ascii="Times New Roman" w:hAnsi="Times New Roman"/>
                <w:b/>
                <w:sz w:val="24"/>
                <w:u w:val="single"/>
              </w:rPr>
              <w:t>EL (%)</w:t>
            </w:r>
          </w:p>
          <w:p w:rsidR="00C55547" w:rsidRPr="00661595" w:rsidRDefault="00C55547" w:rsidP="00E9572B">
            <w:pPr>
              <w:keepNext/>
              <w:keepLines/>
              <w:suppressAutoHyphens/>
              <w:spacing w:before="0" w:after="0"/>
              <w:jc w:val="left"/>
              <w:rPr>
                <w:rFonts w:ascii="Times New Roman" w:hAnsi="Times New Roman"/>
                <w:b/>
                <w:sz w:val="24"/>
                <w:u w:val="single"/>
              </w:rPr>
            </w:pPr>
          </w:p>
          <w:p w:rsidR="00C55547" w:rsidRPr="00661595" w:rsidRDefault="00C55547" w:rsidP="00E9572B">
            <w:pPr>
              <w:keepNext/>
              <w:keepLines/>
              <w:suppressAutoHyphens/>
              <w:autoSpaceDE w:val="0"/>
              <w:autoSpaceDN w:val="0"/>
              <w:adjustRightInd w:val="0"/>
              <w:spacing w:before="0" w:after="0"/>
              <w:rPr>
                <w:rFonts w:ascii="Times New Roman" w:hAnsi="Times New Roman"/>
                <w:sz w:val="24"/>
              </w:rPr>
            </w:pPr>
            <w:r>
              <w:rPr>
                <w:rFonts w:ascii="Times New Roman" w:hAnsi="Times New Roman"/>
                <w:sz w:val="24"/>
              </w:rPr>
              <w:t>La perdita attesa media ponderata per l</w:t>
            </w:r>
            <w:r w:rsidR="000878EC">
              <w:rPr>
                <w:rFonts w:ascii="Times New Roman" w:hAnsi="Times New Roman"/>
                <w:sz w:val="24"/>
              </w:rPr>
              <w:t>'</w:t>
            </w:r>
            <w:r>
              <w:rPr>
                <w:rFonts w:ascii="Times New Roman" w:hAnsi="Times New Roman"/>
                <w:sz w:val="24"/>
              </w:rPr>
              <w:t>esposizione (EL) delle attività cartolarizzate deve essere segnalata soltanto dagli enti che applicano il SEC-IRBA (e pertanto indicano 95 % o più nella colonna 0171). In caso di attività cartolarizzate cui è applicato lo SA, la EL da indicare è costituita dalle rettifiche di valore su crediti specifiche di cui all</w:t>
            </w:r>
            <w:r w:rsidR="000878EC">
              <w:rPr>
                <w:rFonts w:ascii="Times New Roman" w:hAnsi="Times New Roman"/>
                <w:sz w:val="24"/>
              </w:rPr>
              <w:t>'</w:t>
            </w:r>
            <w:r>
              <w:rPr>
                <w:rFonts w:ascii="Times New Roman" w:hAnsi="Times New Roman"/>
                <w:sz w:val="24"/>
              </w:rPr>
              <w:t>articolo 111 del CRR. La EL è calcolata secondo quanto indicato nella parte tre, titolo II, capo 3, sezione 3, del CRR. Questa colonna non deve essere compilata in caso di cartolarizzazione di passività o se i requisiti di fondi propri si basano sulle esposizioni cartolarizzate (nel caso di una cartolarizzazione di attività).</w:t>
            </w:r>
          </w:p>
          <w:p w:rsidR="00C55547" w:rsidRPr="00661595" w:rsidRDefault="00C55547" w:rsidP="00E9572B">
            <w:pPr>
              <w:keepNext/>
              <w:keepLines/>
              <w:suppressAutoHyphens/>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29716F" w:rsidP="00E9572B">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0203</w:t>
            </w:r>
          </w:p>
        </w:tc>
        <w:tc>
          <w:tcPr>
            <w:tcW w:w="7903" w:type="dxa"/>
          </w:tcPr>
          <w:p w:rsidR="00C55547" w:rsidRPr="00661595" w:rsidRDefault="00C55547" w:rsidP="00E9572B">
            <w:pPr>
              <w:suppressAutoHyphens/>
              <w:spacing w:before="0" w:after="0"/>
              <w:jc w:val="left"/>
              <w:rPr>
                <w:rFonts w:ascii="Times New Roman" w:hAnsi="Times New Roman"/>
                <w:b/>
                <w:sz w:val="24"/>
                <w:u w:val="single"/>
              </w:rPr>
            </w:pPr>
            <w:r>
              <w:rPr>
                <w:rFonts w:ascii="Times New Roman" w:hAnsi="Times New Roman"/>
                <w:b/>
                <w:sz w:val="24"/>
                <w:u w:val="single"/>
              </w:rPr>
              <w:t>UL (%)</w:t>
            </w:r>
          </w:p>
          <w:p w:rsidR="00C55547" w:rsidRPr="00661595" w:rsidRDefault="00C55547" w:rsidP="00E9572B">
            <w:pPr>
              <w:suppressAutoHyphens/>
              <w:spacing w:before="0" w:after="0"/>
              <w:jc w:val="left"/>
              <w:rPr>
                <w:rFonts w:ascii="Times New Roman" w:hAnsi="Times New Roman"/>
                <w:b/>
                <w:sz w:val="24"/>
                <w:u w:val="single"/>
              </w:rPr>
            </w:pPr>
          </w:p>
          <w:p w:rsidR="00C55547" w:rsidRPr="00661595" w:rsidRDefault="00C55547"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La perdita inattesa media ponderata per l</w:t>
            </w:r>
            <w:r w:rsidR="000878EC">
              <w:rPr>
                <w:rFonts w:ascii="Times New Roman" w:hAnsi="Times New Roman"/>
                <w:sz w:val="24"/>
              </w:rPr>
              <w:t>'</w:t>
            </w:r>
            <w:r>
              <w:rPr>
                <w:rFonts w:ascii="Times New Roman" w:hAnsi="Times New Roman"/>
                <w:sz w:val="24"/>
              </w:rPr>
              <w:t>esposizione (UL) delle attività cartolarizzate deve essere segnalata soltanto dagli enti che applicano il SEC-IRBA (e pertanto indicano 95 % o più nella colonna 0170). La UL delle attività è pari all</w:t>
            </w:r>
            <w:r w:rsidR="000878EC">
              <w:rPr>
                <w:rFonts w:ascii="Times New Roman" w:hAnsi="Times New Roman"/>
                <w:sz w:val="24"/>
              </w:rPr>
              <w:t>'</w:t>
            </w:r>
            <w:r>
              <w:rPr>
                <w:rFonts w:ascii="Times New Roman" w:hAnsi="Times New Roman"/>
                <w:sz w:val="24"/>
              </w:rPr>
              <w:t>importo dell</w:t>
            </w:r>
            <w:r w:rsidR="000878EC">
              <w:rPr>
                <w:rFonts w:ascii="Times New Roman" w:hAnsi="Times New Roman"/>
                <w:sz w:val="24"/>
              </w:rPr>
              <w:t>'</w:t>
            </w:r>
            <w:r>
              <w:rPr>
                <w:rFonts w:ascii="Times New Roman" w:hAnsi="Times New Roman"/>
                <w:sz w:val="24"/>
              </w:rPr>
              <w:t>esposizione ponderato per il rischio (RWEA) moltiplicato per 8 %. L</w:t>
            </w:r>
            <w:r w:rsidR="000878EC">
              <w:rPr>
                <w:rFonts w:ascii="Times New Roman" w:hAnsi="Times New Roman"/>
                <w:sz w:val="24"/>
              </w:rPr>
              <w:t>'</w:t>
            </w:r>
            <w:r>
              <w:rPr>
                <w:rFonts w:ascii="Times New Roman" w:hAnsi="Times New Roman"/>
                <w:sz w:val="24"/>
              </w:rPr>
              <w:t>RWEA è calcolato secondo quanto indicato nella parte tre, titolo II, capo 3, sezione 2, del CRR. Questa colonna non deve essere compilata in caso di cartolarizzazione di passività o se i requisiti di fondi propri si basano sulle esposizioni cartolarizzate (nel caso di una cartolarizzazione di attività).</w:t>
            </w:r>
          </w:p>
          <w:p w:rsidR="00C55547" w:rsidRPr="00661595" w:rsidRDefault="00C55547" w:rsidP="00E9572B">
            <w:pPr>
              <w:suppressAutoHyphens/>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9572B">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0204</w:t>
            </w:r>
          </w:p>
        </w:tc>
        <w:tc>
          <w:tcPr>
            <w:tcW w:w="7903" w:type="dxa"/>
          </w:tcPr>
          <w:p w:rsidR="00C55547" w:rsidRPr="00661595" w:rsidRDefault="00C55547" w:rsidP="00E9572B">
            <w:pPr>
              <w:suppressAutoHyphens/>
              <w:spacing w:before="0" w:after="0"/>
              <w:jc w:val="left"/>
              <w:rPr>
                <w:rFonts w:ascii="Times New Roman" w:hAnsi="Times New Roman"/>
                <w:b/>
                <w:sz w:val="24"/>
                <w:u w:val="single"/>
              </w:rPr>
            </w:pPr>
            <w:r>
              <w:rPr>
                <w:rFonts w:ascii="Times New Roman" w:hAnsi="Times New Roman"/>
                <w:b/>
                <w:sz w:val="24"/>
                <w:u w:val="single"/>
              </w:rPr>
              <w:t>DURATA MEDIA PONDERATA PER L</w:t>
            </w:r>
            <w:r w:rsidR="000878EC">
              <w:rPr>
                <w:rFonts w:ascii="Times New Roman" w:hAnsi="Times New Roman"/>
                <w:b/>
                <w:sz w:val="24"/>
                <w:u w:val="single"/>
              </w:rPr>
              <w:t>'</w:t>
            </w:r>
            <w:r>
              <w:rPr>
                <w:rFonts w:ascii="Times New Roman" w:hAnsi="Times New Roman"/>
                <w:b/>
                <w:sz w:val="24"/>
                <w:u w:val="single"/>
              </w:rPr>
              <w:t>ESPOSIZIONE DELLE ATTIVITÀ</w:t>
            </w:r>
          </w:p>
          <w:p w:rsidR="00C55547" w:rsidRPr="00661595" w:rsidRDefault="00C55547" w:rsidP="00E9572B">
            <w:pPr>
              <w:suppressAutoHyphens/>
              <w:spacing w:before="0" w:after="0"/>
              <w:jc w:val="left"/>
              <w:rPr>
                <w:rFonts w:ascii="Times New Roman" w:hAnsi="Times New Roman"/>
                <w:b/>
                <w:sz w:val="24"/>
                <w:u w:val="single"/>
              </w:rPr>
            </w:pPr>
          </w:p>
          <w:p w:rsidR="00C55547" w:rsidRPr="00661595" w:rsidRDefault="00C55547" w:rsidP="00E9572B">
            <w:pPr>
              <w:suppressAutoHyphens/>
              <w:spacing w:before="0" w:after="0"/>
              <w:jc w:val="left"/>
              <w:rPr>
                <w:rFonts w:ascii="Times New Roman" w:hAnsi="Times New Roman"/>
                <w:b/>
                <w:sz w:val="24"/>
                <w:u w:val="single"/>
              </w:rPr>
            </w:pPr>
            <w:r>
              <w:rPr>
                <w:rFonts w:ascii="Times New Roman" w:hAnsi="Times New Roman"/>
                <w:sz w:val="24"/>
              </w:rPr>
              <w:t>La durata media ponderata per l</w:t>
            </w:r>
            <w:r w:rsidR="000878EC">
              <w:rPr>
                <w:rFonts w:ascii="Times New Roman" w:hAnsi="Times New Roman"/>
                <w:sz w:val="24"/>
              </w:rPr>
              <w:t>'</w:t>
            </w:r>
            <w:r>
              <w:rPr>
                <w:rFonts w:ascii="Times New Roman" w:hAnsi="Times New Roman"/>
                <w:sz w:val="24"/>
              </w:rPr>
              <w:t>esposizione (WAM) delle attività cartolarizzate alla data di riferimento per le segnalazioni è segnalata da tutti gli enti indipendentemente dal metodo utilizzato per il calcolo dei requisiti patrimoniali. Gli enti calcolano la durata di ciascuna attività a norma dell</w:t>
            </w:r>
            <w:r w:rsidR="000878EC">
              <w:rPr>
                <w:rFonts w:ascii="Times New Roman" w:hAnsi="Times New Roman"/>
                <w:sz w:val="24"/>
              </w:rPr>
              <w:t>'</w:t>
            </w:r>
            <w:r>
              <w:rPr>
                <w:rFonts w:ascii="Times New Roman" w:hAnsi="Times New Roman"/>
                <w:sz w:val="24"/>
              </w:rPr>
              <w:t>articolo 162, paragrafo 2, lettere a) e f), del CRR senza applicare il massimale di 5 anni.</w:t>
            </w:r>
          </w:p>
          <w:p w:rsidR="00C55547" w:rsidRPr="00661595" w:rsidRDefault="00C55547" w:rsidP="00E9572B">
            <w:pPr>
              <w:suppressAutoHyphens/>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6E0E76" w:rsidP="00E9572B">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0210</w:t>
            </w:r>
          </w:p>
        </w:tc>
        <w:tc>
          <w:tcPr>
            <w:tcW w:w="7903" w:type="dxa"/>
          </w:tcPr>
          <w:p w:rsidR="00C55547" w:rsidRPr="00661595" w:rsidRDefault="00C55547" w:rsidP="00E9572B">
            <w:pPr>
              <w:suppressAutoHyphens/>
              <w:spacing w:before="0" w:after="0"/>
              <w:jc w:val="left"/>
              <w:rPr>
                <w:rFonts w:ascii="Times New Roman" w:hAnsi="Times New Roman"/>
                <w:b/>
                <w:sz w:val="24"/>
                <w:u w:val="single"/>
              </w:rPr>
            </w:pPr>
            <w:r>
              <w:rPr>
                <w:rFonts w:ascii="Times New Roman" w:hAnsi="Times New Roman"/>
                <w:b/>
                <w:sz w:val="24"/>
                <w:u w:val="single"/>
              </w:rPr>
              <w:t>(-) RETTIFICHE DI VALORE E ACCANTONAMENTI</w:t>
            </w:r>
          </w:p>
          <w:p w:rsidR="00C55547" w:rsidRPr="00661595" w:rsidRDefault="00C55547" w:rsidP="00E9572B">
            <w:pPr>
              <w:suppressAutoHyphens/>
              <w:spacing w:before="0" w:after="0"/>
              <w:jc w:val="left"/>
              <w:rPr>
                <w:rFonts w:ascii="Times New Roman" w:hAnsi="Times New Roman"/>
                <w:sz w:val="24"/>
              </w:rPr>
            </w:pP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Rettifiche di valore e accantonamenti (articolo 159 del CRR) relativi a perdite su crediti effettuati conformemente alla disciplina contabile applicabile al soggetto segnalante. Le rettifiche di valore comprendono qualsiasi importo rilevato nel conto economico a titolo di perdite su crediti di attività finanziarie dalla loro rilevazione iniziale in bilancio (comprese le perdite dovute al rischio di credito delle attività finanziarie valutate al fair value (valore equo) che non sono dedotte dal valore dell</w:t>
            </w:r>
            <w:r w:rsidR="000878EC">
              <w:rPr>
                <w:rFonts w:ascii="Times New Roman" w:hAnsi="Times New Roman"/>
                <w:sz w:val="24"/>
              </w:rPr>
              <w:t>'</w:t>
            </w:r>
            <w:r>
              <w:rPr>
                <w:rFonts w:ascii="Times New Roman" w:hAnsi="Times New Roman"/>
                <w:sz w:val="24"/>
              </w:rPr>
              <w:t>esposizione), più gli sconti sulle attività acquistate in stato di default di cui all</w:t>
            </w:r>
            <w:r w:rsidR="000878EC">
              <w:rPr>
                <w:rFonts w:ascii="Times New Roman" w:hAnsi="Times New Roman"/>
                <w:sz w:val="24"/>
              </w:rPr>
              <w:t>'</w:t>
            </w:r>
            <w:r>
              <w:rPr>
                <w:rFonts w:ascii="Times New Roman" w:hAnsi="Times New Roman"/>
                <w:sz w:val="24"/>
              </w:rPr>
              <w:t>articolo 166, paragrafo 1, del CRR. Gli accantonamenti comprendono gli importi accumulati delle perdite su crediti negli elementi fuori bilancio.</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p>
          <w:p w:rsidR="00C55547" w:rsidRPr="00661595" w:rsidRDefault="00C55547"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Questa colonna contiene informazioni sulle rettifiche di valore e gli accantonamenti applicati alle esposizioni cartolarizzate. Questa colonna non è compilata per la cartolarizzazione di passività.</w:t>
            </w:r>
          </w:p>
          <w:p w:rsidR="00C55547" w:rsidRPr="00661595" w:rsidRDefault="00C55547" w:rsidP="00E9572B">
            <w:pPr>
              <w:suppressAutoHyphens/>
              <w:autoSpaceDE w:val="0"/>
              <w:autoSpaceDN w:val="0"/>
              <w:adjustRightInd w:val="0"/>
              <w:spacing w:before="0" w:after="0"/>
              <w:rPr>
                <w:rFonts w:ascii="Times New Roman" w:hAnsi="Times New Roman"/>
                <w:sz w:val="24"/>
              </w:rPr>
            </w:pPr>
          </w:p>
          <w:p w:rsidR="00C55547" w:rsidRPr="00661595" w:rsidRDefault="00C55547"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Questa informazione è segnalata anche se il soggetto segnalante non detiene alcuna posizione nella cartolarizzazione. </w:t>
            </w:r>
          </w:p>
          <w:p w:rsidR="00C55547" w:rsidRPr="00661595" w:rsidRDefault="00C55547" w:rsidP="00E9572B">
            <w:pPr>
              <w:suppressAutoHyphens/>
              <w:autoSpaceDE w:val="0"/>
              <w:autoSpaceDN w:val="0"/>
              <w:adjustRightInd w:val="0"/>
              <w:spacing w:before="0" w:after="0"/>
              <w:rPr>
                <w:rFonts w:ascii="Times New Roman" w:hAnsi="Times New Roman"/>
                <w:sz w:val="24"/>
              </w:rPr>
            </w:pPr>
          </w:p>
        </w:tc>
      </w:tr>
      <w:tr w:rsidR="00C55547" w:rsidRPr="00661595" w:rsidTr="00E10B85">
        <w:tc>
          <w:tcPr>
            <w:tcW w:w="1101" w:type="dxa"/>
          </w:tcPr>
          <w:p w:rsidR="00C55547" w:rsidRPr="00661595" w:rsidRDefault="006E0E76" w:rsidP="00E9572B">
            <w:pPr>
              <w:suppressAutoHyphens/>
              <w:autoSpaceDE w:val="0"/>
              <w:autoSpaceDN w:val="0"/>
              <w:adjustRightInd w:val="0"/>
              <w:spacing w:before="0" w:after="0"/>
              <w:rPr>
                <w:rFonts w:ascii="Times New Roman" w:hAnsi="Times New Roman"/>
                <w:bCs/>
                <w:sz w:val="24"/>
              </w:rPr>
            </w:pPr>
            <w:r>
              <w:rPr>
                <w:rFonts w:ascii="Times New Roman" w:hAnsi="Times New Roman"/>
                <w:sz w:val="24"/>
              </w:rPr>
              <w:t>0221</w:t>
            </w:r>
          </w:p>
        </w:tc>
        <w:tc>
          <w:tcPr>
            <w:tcW w:w="7903" w:type="dxa"/>
          </w:tcPr>
          <w:p w:rsidR="00C55547" w:rsidRPr="00661595" w:rsidRDefault="00C55547" w:rsidP="00E9572B">
            <w:pPr>
              <w:suppressAutoHyphens/>
              <w:spacing w:before="0" w:after="0"/>
              <w:jc w:val="left"/>
              <w:rPr>
                <w:rFonts w:ascii="Times New Roman" w:hAnsi="Times New Roman"/>
                <w:b/>
                <w:sz w:val="24"/>
                <w:u w:val="single"/>
                <w:vertAlign w:val="subscript"/>
              </w:rPr>
            </w:pPr>
            <w:r>
              <w:rPr>
                <w:rFonts w:ascii="Times New Roman" w:hAnsi="Times New Roman"/>
                <w:b/>
                <w:sz w:val="24"/>
                <w:u w:val="single"/>
              </w:rPr>
              <w:t>REQUISITI DI FONDI PROPRI PRIMA DELLA CARTOLARIZZAZIONE (%) K</w:t>
            </w:r>
            <w:r>
              <w:rPr>
                <w:rFonts w:ascii="Times New Roman" w:hAnsi="Times New Roman"/>
                <w:b/>
                <w:sz w:val="24"/>
                <w:u w:val="single"/>
                <w:vertAlign w:val="subscript"/>
              </w:rPr>
              <w:t>IRB</w:t>
            </w:r>
          </w:p>
          <w:p w:rsidR="00C55547" w:rsidRPr="00661595" w:rsidRDefault="00C55547" w:rsidP="00E9572B">
            <w:pPr>
              <w:suppressAutoHyphens/>
              <w:spacing w:before="0" w:after="0"/>
              <w:jc w:val="left"/>
              <w:rPr>
                <w:rFonts w:ascii="Times New Roman" w:hAnsi="Times New Roman"/>
                <w:sz w:val="24"/>
              </w:rPr>
            </w:pPr>
          </w:p>
          <w:p w:rsidR="00C55547" w:rsidRPr="00661595" w:rsidRDefault="00C55547"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Questa colonna è compilata unicamente dagli enti che applicano il SEC-IRBA (e pertanto indicano 95 % o più nella colonna 171) e contiene informazioni sul K</w:t>
            </w:r>
            <w:r>
              <w:rPr>
                <w:rFonts w:ascii="Times New Roman" w:hAnsi="Times New Roman"/>
                <w:sz w:val="24"/>
                <w:vertAlign w:val="subscript"/>
              </w:rPr>
              <w:t>IRB</w:t>
            </w:r>
            <w:r>
              <w:rPr>
                <w:rFonts w:ascii="Times New Roman" w:hAnsi="Times New Roman"/>
                <w:sz w:val="24"/>
              </w:rPr>
              <w:t xml:space="preserve"> di cui all</w:t>
            </w:r>
            <w:r w:rsidR="000878EC">
              <w:rPr>
                <w:rFonts w:ascii="Times New Roman" w:hAnsi="Times New Roman"/>
                <w:sz w:val="24"/>
              </w:rPr>
              <w:t>'</w:t>
            </w:r>
            <w:r>
              <w:rPr>
                <w:rFonts w:ascii="Times New Roman" w:hAnsi="Times New Roman"/>
                <w:sz w:val="24"/>
              </w:rPr>
              <w:t>articolo 255 del CRR. Il K</w:t>
            </w:r>
            <w:r>
              <w:rPr>
                <w:rFonts w:ascii="Times New Roman" w:hAnsi="Times New Roman"/>
                <w:sz w:val="24"/>
                <w:vertAlign w:val="subscript"/>
              </w:rPr>
              <w:t>IRB</w:t>
            </w:r>
            <w:r>
              <w:rPr>
                <w:rFonts w:ascii="Times New Roman" w:hAnsi="Times New Roman"/>
                <w:sz w:val="24"/>
              </w:rPr>
              <w:t xml:space="preserve"> è espresso in percentuale (con due decimali).</w:t>
            </w:r>
          </w:p>
          <w:p w:rsidR="00C55547" w:rsidRPr="00661595" w:rsidRDefault="00C55547" w:rsidP="00E9572B">
            <w:pPr>
              <w:suppressAutoHyphens/>
              <w:autoSpaceDE w:val="0"/>
              <w:autoSpaceDN w:val="0"/>
              <w:adjustRightInd w:val="0"/>
              <w:spacing w:before="0" w:after="0"/>
              <w:rPr>
                <w:rFonts w:ascii="Times New Roman" w:hAnsi="Times New Roman"/>
                <w:sz w:val="24"/>
              </w:rPr>
            </w:pPr>
          </w:p>
          <w:p w:rsidR="00C55547" w:rsidRPr="00661595" w:rsidRDefault="00C55547"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Questa colonna non è compilata per la cartolarizzazione di passività. Per la cartolarizzazione di attività, questa informazione è segnalata anche se il soggetto segnalante non detiene alcuna posizione nella cartolarizzazione. </w:t>
            </w:r>
          </w:p>
          <w:p w:rsidR="00C55547" w:rsidRPr="00661595" w:rsidRDefault="00C55547" w:rsidP="00E9572B">
            <w:pPr>
              <w:suppressAutoHyphens/>
              <w:autoSpaceDE w:val="0"/>
              <w:autoSpaceDN w:val="0"/>
              <w:adjustRightInd w:val="0"/>
              <w:spacing w:before="0" w:after="0"/>
              <w:rPr>
                <w:rFonts w:ascii="Times New Roman" w:hAnsi="Times New Roman"/>
                <w:sz w:val="24"/>
              </w:rPr>
            </w:pPr>
          </w:p>
        </w:tc>
      </w:tr>
      <w:tr w:rsidR="00C55547" w:rsidRPr="00661595" w:rsidTr="00E10B85">
        <w:tc>
          <w:tcPr>
            <w:tcW w:w="1101" w:type="dxa"/>
          </w:tcPr>
          <w:p w:rsidR="00C55547" w:rsidRPr="00661595" w:rsidRDefault="006E0E76"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0222</w:t>
            </w:r>
          </w:p>
        </w:tc>
        <w:tc>
          <w:tcPr>
            <w:tcW w:w="7903" w:type="dxa"/>
          </w:tcPr>
          <w:p w:rsidR="00C55547" w:rsidRPr="00661595" w:rsidRDefault="00C55547" w:rsidP="00E9572B">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DELLE ESPOSIZIONI AL DETTAGLIO NEI PORTAFOGLI IRB</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I portafogli IRB ai sensi dell</w:t>
            </w:r>
            <w:r w:rsidR="000878EC">
              <w:rPr>
                <w:rFonts w:ascii="Times New Roman" w:hAnsi="Times New Roman"/>
                <w:sz w:val="24"/>
              </w:rPr>
              <w:t>'</w:t>
            </w:r>
            <w:r>
              <w:rPr>
                <w:rFonts w:ascii="Times New Roman" w:hAnsi="Times New Roman"/>
                <w:sz w:val="24"/>
              </w:rPr>
              <w:t>articolo 242, punto 7, del CRR, a condizione che l</w:t>
            </w:r>
            <w:r w:rsidR="000878EC">
              <w:rPr>
                <w:rFonts w:ascii="Times New Roman" w:hAnsi="Times New Roman"/>
                <w:sz w:val="24"/>
              </w:rPr>
              <w:t>'</w:t>
            </w:r>
            <w:r>
              <w:rPr>
                <w:rFonts w:ascii="Times New Roman" w:hAnsi="Times New Roman"/>
                <w:sz w:val="24"/>
              </w:rPr>
              <w:t>ente sia in grado di calcolare il K</w:t>
            </w:r>
            <w:r>
              <w:rPr>
                <w:rFonts w:ascii="Times New Roman" w:hAnsi="Times New Roman"/>
                <w:sz w:val="24"/>
                <w:vertAlign w:val="subscript"/>
              </w:rPr>
              <w:t>IRB</w:t>
            </w:r>
            <w:r>
              <w:rPr>
                <w:rFonts w:ascii="Times New Roman" w:hAnsi="Times New Roman"/>
                <w:sz w:val="24"/>
              </w:rPr>
              <w:t xml:space="preserve"> conformemente alla parte tre, titolo II, capo 6, sezione 3, del CRR, su almeno il 95 % dell</w:t>
            </w:r>
            <w:r w:rsidR="000878EC">
              <w:rPr>
                <w:rFonts w:ascii="Times New Roman" w:hAnsi="Times New Roman"/>
                <w:sz w:val="24"/>
              </w:rPr>
              <w:t>'</w:t>
            </w:r>
            <w:r>
              <w:rPr>
                <w:rFonts w:ascii="Times New Roman" w:hAnsi="Times New Roman"/>
                <w:sz w:val="24"/>
              </w:rPr>
              <w:t xml:space="preserve">importo delle esposizioni sottostanti (articolo 259, paragrafo 2, del CRR). </w:t>
            </w:r>
          </w:p>
          <w:p w:rsidR="00C55547" w:rsidRPr="00661595" w:rsidRDefault="00C55547" w:rsidP="00E9572B">
            <w:pPr>
              <w:suppressAutoHyphens/>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0223</w:t>
            </w:r>
          </w:p>
        </w:tc>
        <w:tc>
          <w:tcPr>
            <w:tcW w:w="7903" w:type="dxa"/>
          </w:tcPr>
          <w:p w:rsidR="00C55547" w:rsidRPr="00661595" w:rsidRDefault="00C55547" w:rsidP="00E9572B">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REQUISITI DI FONDI PROPRI PRIMA DELLA CARTOLARIZZAZIONE (%) K</w:t>
            </w:r>
            <w:r>
              <w:rPr>
                <w:rFonts w:ascii="Times New Roman" w:hAnsi="Times New Roman"/>
                <w:b/>
                <w:sz w:val="24"/>
                <w:u w:val="single"/>
                <w:vertAlign w:val="subscript"/>
              </w:rPr>
              <w:t>sa</w:t>
            </w:r>
          </w:p>
          <w:p w:rsidR="00C55547" w:rsidRPr="00661595" w:rsidRDefault="00C55547" w:rsidP="00E9572B">
            <w:pPr>
              <w:suppressAutoHyphens/>
              <w:autoSpaceDE w:val="0"/>
              <w:autoSpaceDN w:val="0"/>
              <w:adjustRightInd w:val="0"/>
              <w:spacing w:before="0" w:after="0"/>
              <w:jc w:val="left"/>
              <w:rPr>
                <w:rFonts w:ascii="Times New Roman" w:hAnsi="Times New Roman"/>
                <w:b/>
                <w:sz w:val="24"/>
                <w:u w:val="single"/>
              </w:rPr>
            </w:pPr>
          </w:p>
          <w:p w:rsidR="00C55547" w:rsidRPr="00661595" w:rsidRDefault="00C55547"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Anche se non applica il metodo SEC-SA alle posizioni verso la cartolarizzazione, l</w:t>
            </w:r>
            <w:r w:rsidR="000878EC">
              <w:rPr>
                <w:rFonts w:ascii="Times New Roman" w:hAnsi="Times New Roman"/>
                <w:sz w:val="24"/>
              </w:rPr>
              <w:t>'</w:t>
            </w:r>
            <w:r>
              <w:rPr>
                <w:rFonts w:ascii="Times New Roman" w:hAnsi="Times New Roman"/>
                <w:sz w:val="24"/>
              </w:rPr>
              <w:t>ente compila questa colonna. Questa colonna contiene informazioni sul K</w:t>
            </w:r>
            <w:r>
              <w:rPr>
                <w:rFonts w:ascii="Times New Roman" w:hAnsi="Times New Roman"/>
                <w:sz w:val="24"/>
                <w:vertAlign w:val="subscript"/>
              </w:rPr>
              <w:t>SA</w:t>
            </w:r>
            <w:r>
              <w:rPr>
                <w:rFonts w:ascii="Times New Roman" w:hAnsi="Times New Roman"/>
                <w:sz w:val="24"/>
              </w:rPr>
              <w:t xml:space="preserve"> di cui all</w:t>
            </w:r>
            <w:r w:rsidR="000878EC">
              <w:rPr>
                <w:rFonts w:ascii="Times New Roman" w:hAnsi="Times New Roman"/>
                <w:sz w:val="24"/>
              </w:rPr>
              <w:t>'</w:t>
            </w:r>
            <w:r>
              <w:rPr>
                <w:rFonts w:ascii="Times New Roman" w:hAnsi="Times New Roman"/>
                <w:sz w:val="24"/>
              </w:rPr>
              <w:t>articolo 255, paragrafo 6, del CRR. Il K</w:t>
            </w:r>
            <w:r>
              <w:rPr>
                <w:rFonts w:ascii="Times New Roman" w:hAnsi="Times New Roman"/>
                <w:sz w:val="24"/>
                <w:vertAlign w:val="subscript"/>
              </w:rPr>
              <w:t>SA</w:t>
            </w:r>
            <w:r>
              <w:rPr>
                <w:rFonts w:ascii="Times New Roman" w:hAnsi="Times New Roman"/>
                <w:sz w:val="24"/>
              </w:rPr>
              <w:t xml:space="preserve"> è espresso in percentuale (con due decimali).</w:t>
            </w:r>
          </w:p>
          <w:p w:rsidR="00C55547" w:rsidRPr="00661595" w:rsidRDefault="00C55547" w:rsidP="00E9572B">
            <w:pPr>
              <w:suppressAutoHyphens/>
              <w:autoSpaceDE w:val="0"/>
              <w:autoSpaceDN w:val="0"/>
              <w:adjustRightInd w:val="0"/>
              <w:spacing w:before="0" w:after="0"/>
              <w:rPr>
                <w:rFonts w:ascii="Times New Roman" w:hAnsi="Times New Roman"/>
                <w:sz w:val="24"/>
              </w:rPr>
            </w:pPr>
          </w:p>
          <w:p w:rsidR="00C55547" w:rsidRPr="00661595" w:rsidRDefault="00C55547"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Questa colonna non è compilata per la cartolarizzazione di passività. Per la cartolarizzazione di attività, questa informazione è segnalata anche se il soggetto segnalante non detiene alcuna posizione nella cartolarizzazione. </w:t>
            </w:r>
          </w:p>
          <w:p w:rsidR="00C55547" w:rsidRPr="00661595" w:rsidRDefault="00C55547" w:rsidP="00E9572B">
            <w:pPr>
              <w:suppressAutoHyphens/>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0225</w:t>
            </w:r>
          </w:p>
        </w:tc>
        <w:tc>
          <w:tcPr>
            <w:tcW w:w="7903" w:type="dxa"/>
          </w:tcPr>
          <w:p w:rsidR="00C55547" w:rsidRPr="00661595" w:rsidRDefault="00C55547" w:rsidP="00E9572B">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VOCI PER MEMORIA</w:t>
            </w:r>
          </w:p>
        </w:tc>
      </w:tr>
      <w:tr w:rsidR="00C55547" w:rsidRPr="00661595" w:rsidTr="00E10B85">
        <w:tc>
          <w:tcPr>
            <w:tcW w:w="1101" w:type="dxa"/>
          </w:tcPr>
          <w:p w:rsidR="00C55547" w:rsidRPr="00661595" w:rsidRDefault="00973973"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0225</w:t>
            </w:r>
          </w:p>
        </w:tc>
        <w:tc>
          <w:tcPr>
            <w:tcW w:w="7903" w:type="dxa"/>
          </w:tcPr>
          <w:p w:rsidR="00C55547" w:rsidRPr="00661595" w:rsidRDefault="00C55547" w:rsidP="00E9572B">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RETTIFICHE DI VALORE SU CREDITI NELL</w:t>
            </w:r>
            <w:r w:rsidR="000878EC">
              <w:rPr>
                <w:rFonts w:ascii="Times New Roman" w:hAnsi="Times New Roman"/>
                <w:b/>
                <w:sz w:val="24"/>
                <w:u w:val="single"/>
              </w:rPr>
              <w:t>'</w:t>
            </w:r>
            <w:r>
              <w:rPr>
                <w:rFonts w:ascii="Times New Roman" w:hAnsi="Times New Roman"/>
                <w:b/>
                <w:sz w:val="24"/>
                <w:u w:val="single"/>
              </w:rPr>
              <w:t xml:space="preserve">ESERCIZIO CORRENTE </w:t>
            </w:r>
          </w:p>
          <w:p w:rsidR="00C55547" w:rsidRPr="00661595" w:rsidRDefault="00C55547" w:rsidP="00E9572B">
            <w:pPr>
              <w:suppressAutoHyphens/>
              <w:autoSpaceDE w:val="0"/>
              <w:autoSpaceDN w:val="0"/>
              <w:adjustRightInd w:val="0"/>
              <w:spacing w:before="0" w:after="0"/>
              <w:jc w:val="left"/>
              <w:rPr>
                <w:rFonts w:ascii="Times New Roman" w:hAnsi="Times New Roman"/>
                <w:b/>
                <w:sz w:val="24"/>
                <w:u w:val="single"/>
              </w:rPr>
            </w:pP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Articolo 110 del CRR</w:t>
            </w:r>
          </w:p>
          <w:p w:rsidR="00C55547" w:rsidRPr="00661595" w:rsidRDefault="00C55547" w:rsidP="00E9572B">
            <w:pPr>
              <w:suppressAutoHyphens/>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9572B">
            <w:pPr>
              <w:suppressAutoHyphens/>
              <w:autoSpaceDE w:val="0"/>
              <w:autoSpaceDN w:val="0"/>
              <w:adjustRightInd w:val="0"/>
              <w:spacing w:before="0" w:after="0"/>
              <w:rPr>
                <w:rFonts w:ascii="Times New Roman" w:hAnsi="Times New Roman"/>
                <w:bCs/>
                <w:sz w:val="24"/>
              </w:rPr>
            </w:pPr>
            <w:r>
              <w:rPr>
                <w:rFonts w:ascii="Times New Roman" w:hAnsi="Times New Roman"/>
                <w:sz w:val="24"/>
              </w:rPr>
              <w:t>0230-0304</w:t>
            </w:r>
          </w:p>
        </w:tc>
        <w:tc>
          <w:tcPr>
            <w:tcW w:w="7903" w:type="dxa"/>
          </w:tcPr>
          <w:p w:rsidR="00C55547" w:rsidRPr="00661595" w:rsidRDefault="00C55547" w:rsidP="00E9572B">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STRUTTURA DELLA CARTOLARIZZAZIONE</w:t>
            </w:r>
          </w:p>
          <w:p w:rsidR="00C55547" w:rsidRPr="00661595" w:rsidRDefault="00C55547" w:rsidP="00E9572B">
            <w:pPr>
              <w:suppressAutoHyphens/>
              <w:autoSpaceDE w:val="0"/>
              <w:autoSpaceDN w:val="0"/>
              <w:adjustRightInd w:val="0"/>
              <w:spacing w:before="0" w:after="0"/>
              <w:jc w:val="left"/>
              <w:rPr>
                <w:rFonts w:ascii="Times New Roman" w:hAnsi="Times New Roman"/>
                <w:sz w:val="24"/>
                <w:u w:val="single"/>
              </w:rPr>
            </w:pPr>
          </w:p>
          <w:p w:rsidR="00C55547" w:rsidRPr="00661595" w:rsidRDefault="00C55547"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Questo blocco di colonne contiene informazioni sulla struttura della cartolarizzazione in base alle posizioni in bilancio/fuori bilancio, ai segmenti (senior/mezzanine/prime perdite) e alla scadenza alla data di riferimento per le segnalazioni. </w:t>
            </w:r>
          </w:p>
          <w:p w:rsidR="00C55547" w:rsidRPr="00661595" w:rsidRDefault="00C55547" w:rsidP="00E9572B">
            <w:pPr>
              <w:suppressAutoHyphens/>
              <w:autoSpaceDE w:val="0"/>
              <w:autoSpaceDN w:val="0"/>
              <w:adjustRightInd w:val="0"/>
              <w:spacing w:before="0" w:after="0"/>
              <w:rPr>
                <w:rFonts w:ascii="Times New Roman" w:hAnsi="Times New Roman"/>
                <w:sz w:val="24"/>
              </w:rPr>
            </w:pPr>
          </w:p>
          <w:p w:rsidR="00C55547" w:rsidRPr="00661595" w:rsidRDefault="005E5070" w:rsidP="00E9572B">
            <w:pPr>
              <w:suppressAutoHyphens/>
              <w:spacing w:before="0" w:after="0"/>
              <w:rPr>
                <w:rFonts w:ascii="Times New Roman" w:hAnsi="Times New Roman"/>
                <w:sz w:val="24"/>
              </w:rPr>
            </w:pPr>
            <w:r>
              <w:rPr>
                <w:rFonts w:ascii="Times New Roman" w:hAnsi="Times New Roman"/>
                <w:sz w:val="24"/>
              </w:rPr>
              <w:t>Per le cartolarizzazioni multi-seller è indicato soltanto l</w:t>
            </w:r>
            <w:r w:rsidR="000878EC">
              <w:rPr>
                <w:rFonts w:ascii="Times New Roman" w:hAnsi="Times New Roman"/>
                <w:sz w:val="24"/>
              </w:rPr>
              <w:t>'</w:t>
            </w:r>
            <w:r>
              <w:rPr>
                <w:rFonts w:ascii="Times New Roman" w:hAnsi="Times New Roman"/>
                <w:sz w:val="24"/>
              </w:rPr>
              <w:t>importo corrispondente o attribuito all</w:t>
            </w:r>
            <w:r w:rsidR="000878EC">
              <w:rPr>
                <w:rFonts w:ascii="Times New Roman" w:hAnsi="Times New Roman"/>
                <w:sz w:val="24"/>
              </w:rPr>
              <w:t>'</w:t>
            </w:r>
            <w:r>
              <w:rPr>
                <w:rFonts w:ascii="Times New Roman" w:hAnsi="Times New Roman"/>
                <w:sz w:val="24"/>
              </w:rPr>
              <w:t>ente segnalante.</w:t>
            </w:r>
          </w:p>
          <w:p w:rsidR="00C55547" w:rsidRPr="00661595" w:rsidRDefault="00C55547" w:rsidP="00E9572B">
            <w:pPr>
              <w:suppressAutoHyphens/>
              <w:spacing w:before="0" w:after="0"/>
              <w:jc w:val="left"/>
              <w:rPr>
                <w:rFonts w:ascii="Times New Roman" w:hAnsi="Times New Roman"/>
                <w:sz w:val="24"/>
              </w:rPr>
            </w:pPr>
          </w:p>
        </w:tc>
      </w:tr>
      <w:tr w:rsidR="00C55547" w:rsidRPr="00661595" w:rsidTr="00E10B85">
        <w:tc>
          <w:tcPr>
            <w:tcW w:w="1101" w:type="dxa"/>
          </w:tcPr>
          <w:p w:rsidR="00C55547" w:rsidRPr="00661595" w:rsidRDefault="00973973"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0230-0252</w:t>
            </w:r>
          </w:p>
        </w:tc>
        <w:tc>
          <w:tcPr>
            <w:tcW w:w="7903" w:type="dxa"/>
          </w:tcPr>
          <w:p w:rsidR="00C55547" w:rsidRPr="00661595" w:rsidRDefault="00C55547" w:rsidP="00E9572B">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ELEMENTI IN BILANCIO</w:t>
            </w:r>
          </w:p>
          <w:p w:rsidR="00C55547" w:rsidRPr="00661595" w:rsidRDefault="00C55547" w:rsidP="00E9572B">
            <w:pPr>
              <w:suppressAutoHyphens/>
              <w:autoSpaceDE w:val="0"/>
              <w:autoSpaceDN w:val="0"/>
              <w:adjustRightInd w:val="0"/>
              <w:spacing w:before="0" w:after="0"/>
              <w:jc w:val="left"/>
              <w:rPr>
                <w:rFonts w:ascii="Times New Roman" w:hAnsi="Times New Roman"/>
                <w:b/>
                <w:sz w:val="24"/>
                <w:u w:val="single"/>
              </w:rPr>
            </w:pP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Questo blocco di colonne contiene informazioni sugli elementi in bilancio ripartiti per segmento (senior/mezzanine/prime perdite).</w:t>
            </w:r>
          </w:p>
          <w:p w:rsidR="00C55547" w:rsidRPr="00661595" w:rsidRDefault="00C55547" w:rsidP="00E9572B">
            <w:pPr>
              <w:suppressAutoHyphens/>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0230-0232</w:t>
            </w:r>
          </w:p>
        </w:tc>
        <w:tc>
          <w:tcPr>
            <w:tcW w:w="7903" w:type="dxa"/>
          </w:tcPr>
          <w:p w:rsidR="00C55547" w:rsidRPr="00661595" w:rsidRDefault="00C55547" w:rsidP="00E9572B">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SENIOR</w:t>
            </w:r>
          </w:p>
          <w:p w:rsidR="00C55547" w:rsidRPr="00661595" w:rsidRDefault="00C55547" w:rsidP="00E9572B">
            <w:pPr>
              <w:suppressAutoHyphens/>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0230</w:t>
            </w:r>
          </w:p>
        </w:tc>
        <w:tc>
          <w:tcPr>
            <w:tcW w:w="7903" w:type="dxa"/>
          </w:tcPr>
          <w:p w:rsidR="00C55547" w:rsidRPr="00661595" w:rsidRDefault="00C55547" w:rsidP="00E9572B">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IMPORTO</w:t>
            </w:r>
          </w:p>
          <w:p w:rsidR="00C55547" w:rsidRPr="00661595" w:rsidRDefault="00C55547" w:rsidP="00E9572B">
            <w:pPr>
              <w:suppressAutoHyphens/>
              <w:autoSpaceDE w:val="0"/>
              <w:autoSpaceDN w:val="0"/>
              <w:adjustRightInd w:val="0"/>
              <w:spacing w:before="0" w:after="0"/>
              <w:jc w:val="left"/>
              <w:rPr>
                <w:rFonts w:ascii="Times New Roman" w:hAnsi="Times New Roman"/>
                <w:b/>
                <w:sz w:val="24"/>
                <w:u w:val="single"/>
              </w:rPr>
            </w:pP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Importo delle posizioni verso la cartolarizzazione senior ai sensi dell</w:t>
            </w:r>
            <w:r w:rsidR="000878EC">
              <w:rPr>
                <w:rFonts w:ascii="Times New Roman" w:hAnsi="Times New Roman"/>
                <w:sz w:val="24"/>
              </w:rPr>
              <w:t>'</w:t>
            </w:r>
            <w:r>
              <w:rPr>
                <w:rFonts w:ascii="Times New Roman" w:hAnsi="Times New Roman"/>
                <w:sz w:val="24"/>
              </w:rPr>
              <w:t>articolo 242, punto 6, del CRR.</w:t>
            </w:r>
          </w:p>
          <w:p w:rsidR="00C55547" w:rsidRPr="00661595" w:rsidRDefault="00C55547" w:rsidP="00E9572B">
            <w:pPr>
              <w:suppressAutoHyphens/>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0231</w:t>
            </w:r>
          </w:p>
        </w:tc>
        <w:tc>
          <w:tcPr>
            <w:tcW w:w="7903" w:type="dxa"/>
          </w:tcPr>
          <w:p w:rsidR="00C55547" w:rsidRPr="00661595" w:rsidRDefault="00C55547" w:rsidP="00E9572B">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PUNTO DI ATTACCO (ATTACHMENT POINT) (%)</w:t>
            </w:r>
          </w:p>
          <w:p w:rsidR="00C55547" w:rsidRPr="00661595" w:rsidRDefault="00C55547" w:rsidP="00E9572B">
            <w:pPr>
              <w:suppressAutoHyphens/>
              <w:autoSpaceDE w:val="0"/>
              <w:autoSpaceDN w:val="0"/>
              <w:adjustRightInd w:val="0"/>
              <w:spacing w:before="0" w:after="0"/>
              <w:jc w:val="left"/>
              <w:rPr>
                <w:rFonts w:ascii="Times New Roman" w:hAnsi="Times New Roman"/>
                <w:b/>
                <w:sz w:val="24"/>
                <w:u w:val="single"/>
              </w:rPr>
            </w:pP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Il punto di attacco (%) di cui all</w:t>
            </w:r>
            <w:r w:rsidR="000878EC">
              <w:rPr>
                <w:rFonts w:ascii="Times New Roman" w:hAnsi="Times New Roman"/>
                <w:sz w:val="24"/>
              </w:rPr>
              <w:t>'</w:t>
            </w:r>
            <w:r>
              <w:rPr>
                <w:rFonts w:ascii="Times New Roman" w:hAnsi="Times New Roman"/>
                <w:sz w:val="24"/>
              </w:rPr>
              <w:t>articolo 256, paragrafo 1, del CRR.</w:t>
            </w:r>
          </w:p>
          <w:p w:rsidR="00C55547" w:rsidRPr="00661595" w:rsidRDefault="00C55547" w:rsidP="00E9572B">
            <w:pPr>
              <w:suppressAutoHyphens/>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0232 e 0252</w:t>
            </w:r>
          </w:p>
        </w:tc>
        <w:tc>
          <w:tcPr>
            <w:tcW w:w="7903" w:type="dxa"/>
          </w:tcPr>
          <w:p w:rsidR="00C55547" w:rsidRPr="00661595" w:rsidRDefault="00C55547" w:rsidP="00E9572B">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CQS</w:t>
            </w:r>
          </w:p>
          <w:p w:rsidR="00C55547" w:rsidRPr="00661595" w:rsidRDefault="00C55547" w:rsidP="00E9572B">
            <w:pPr>
              <w:suppressAutoHyphens/>
              <w:autoSpaceDE w:val="0"/>
              <w:autoSpaceDN w:val="0"/>
              <w:adjustRightInd w:val="0"/>
              <w:spacing w:before="0" w:after="0"/>
              <w:jc w:val="left"/>
              <w:rPr>
                <w:rFonts w:ascii="Times New Roman" w:hAnsi="Times New Roman"/>
                <w:b/>
                <w:sz w:val="24"/>
                <w:u w:val="single"/>
              </w:rPr>
            </w:pPr>
          </w:p>
          <w:p w:rsidR="00C55547" w:rsidRPr="00661595" w:rsidRDefault="00C55547" w:rsidP="00E9572B">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sz w:val="24"/>
              </w:rPr>
              <w:t>Classi di merito di credito (CQS) previste per gli enti che applicano il SEC-ERBA (tabelle 1 e 2 dell</w:t>
            </w:r>
            <w:r w:rsidR="000878EC">
              <w:rPr>
                <w:rFonts w:ascii="Times New Roman" w:hAnsi="Times New Roman"/>
                <w:sz w:val="24"/>
              </w:rPr>
              <w:t>'</w:t>
            </w:r>
            <w:r>
              <w:rPr>
                <w:rFonts w:ascii="Times New Roman" w:hAnsi="Times New Roman"/>
                <w:sz w:val="24"/>
              </w:rPr>
              <w:t>articolo 263 e tabelle 3 e 4 dell</w:t>
            </w:r>
            <w:r w:rsidR="000878EC">
              <w:rPr>
                <w:rFonts w:ascii="Times New Roman" w:hAnsi="Times New Roman"/>
                <w:sz w:val="24"/>
              </w:rPr>
              <w:t>'</w:t>
            </w:r>
            <w:r>
              <w:rPr>
                <w:rFonts w:ascii="Times New Roman" w:hAnsi="Times New Roman"/>
                <w:sz w:val="24"/>
              </w:rPr>
              <w:t>articolo 264 del CRR). Queste colonne sono compilate per tutte le operazioni con rating, indipendentemente dal metodo applicato.</w:t>
            </w:r>
          </w:p>
          <w:p w:rsidR="00C55547" w:rsidRPr="00661595" w:rsidRDefault="00C55547" w:rsidP="00E9572B">
            <w:pPr>
              <w:suppressAutoHyphens/>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0240-0242</w:t>
            </w:r>
          </w:p>
        </w:tc>
        <w:tc>
          <w:tcPr>
            <w:tcW w:w="7903" w:type="dxa"/>
          </w:tcPr>
          <w:p w:rsidR="00C55547" w:rsidRPr="00661595" w:rsidRDefault="00C55547" w:rsidP="00E9572B">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MEZZANINE</w:t>
            </w:r>
          </w:p>
          <w:p w:rsidR="00C55547" w:rsidRPr="00661595" w:rsidRDefault="00C55547" w:rsidP="00E9572B">
            <w:pPr>
              <w:suppressAutoHyphens/>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0240</w:t>
            </w:r>
          </w:p>
        </w:tc>
        <w:tc>
          <w:tcPr>
            <w:tcW w:w="7903" w:type="dxa"/>
          </w:tcPr>
          <w:p w:rsidR="00C55547" w:rsidRPr="00661595" w:rsidRDefault="00C55547" w:rsidP="00E9572B">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IMPORTO</w:t>
            </w:r>
          </w:p>
          <w:p w:rsidR="00C55547" w:rsidRPr="00661595" w:rsidRDefault="00C55547" w:rsidP="00E9572B">
            <w:pPr>
              <w:suppressAutoHyphens/>
              <w:autoSpaceDE w:val="0"/>
              <w:autoSpaceDN w:val="0"/>
              <w:adjustRightInd w:val="0"/>
              <w:spacing w:before="0" w:after="0"/>
              <w:jc w:val="left"/>
              <w:rPr>
                <w:rFonts w:ascii="Times New Roman" w:hAnsi="Times New Roman"/>
                <w:b/>
                <w:sz w:val="24"/>
                <w:u w:val="single"/>
              </w:rPr>
            </w:pP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L</w:t>
            </w:r>
            <w:r w:rsidR="000878EC">
              <w:rPr>
                <w:rFonts w:ascii="Times New Roman" w:hAnsi="Times New Roman"/>
                <w:sz w:val="24"/>
              </w:rPr>
              <w:t>'</w:t>
            </w:r>
            <w:r>
              <w:rPr>
                <w:rFonts w:ascii="Times New Roman" w:hAnsi="Times New Roman"/>
                <w:sz w:val="24"/>
              </w:rPr>
              <w:t>importo da segnalare comprende:</w:t>
            </w:r>
          </w:p>
          <w:p w:rsidR="00C55547" w:rsidRPr="00661595" w:rsidRDefault="00C55547" w:rsidP="00E9572B">
            <w:pPr>
              <w:pStyle w:val="ListParagraph"/>
              <w:numPr>
                <w:ilvl w:val="0"/>
                <w:numId w:val="29"/>
              </w:numPr>
              <w:suppressAutoHyphens/>
              <w:autoSpaceDE w:val="0"/>
              <w:autoSpaceDN w:val="0"/>
              <w:adjustRightInd w:val="0"/>
              <w:spacing w:before="0" w:after="0"/>
              <w:jc w:val="left"/>
              <w:rPr>
                <w:rFonts w:ascii="Times New Roman" w:hAnsi="Times New Roman"/>
                <w:sz w:val="24"/>
              </w:rPr>
            </w:pPr>
            <w:r>
              <w:rPr>
                <w:rFonts w:ascii="Times New Roman" w:hAnsi="Times New Roman"/>
                <w:sz w:val="24"/>
              </w:rPr>
              <w:t>posizioni verso la cartolarizzazione mezzanine ai sensi dell</w:t>
            </w:r>
            <w:r w:rsidR="000878EC">
              <w:rPr>
                <w:rFonts w:ascii="Times New Roman" w:hAnsi="Times New Roman"/>
                <w:sz w:val="24"/>
              </w:rPr>
              <w:t>'</w:t>
            </w:r>
            <w:r>
              <w:rPr>
                <w:rFonts w:ascii="Times New Roman" w:hAnsi="Times New Roman"/>
                <w:sz w:val="24"/>
              </w:rPr>
              <w:t>articolo 242, punto 18, del CRR;</w:t>
            </w:r>
          </w:p>
          <w:p w:rsidR="00C55547" w:rsidRPr="00661595" w:rsidRDefault="00C55547" w:rsidP="00E9572B">
            <w:pPr>
              <w:pStyle w:val="ListParagraph"/>
              <w:numPr>
                <w:ilvl w:val="0"/>
                <w:numId w:val="29"/>
              </w:numPr>
              <w:suppressAutoHyphens/>
              <w:autoSpaceDE w:val="0"/>
              <w:autoSpaceDN w:val="0"/>
              <w:adjustRightInd w:val="0"/>
              <w:spacing w:before="0" w:after="0"/>
              <w:jc w:val="left"/>
              <w:rPr>
                <w:rFonts w:ascii="Times New Roman" w:hAnsi="Times New Roman"/>
                <w:sz w:val="24"/>
              </w:rPr>
            </w:pPr>
            <w:r>
              <w:rPr>
                <w:rFonts w:ascii="Times New Roman" w:hAnsi="Times New Roman"/>
                <w:sz w:val="24"/>
              </w:rPr>
              <w:t>posizioni verso la cartolarizzazione aggiuntive che non sono definite all</w:t>
            </w:r>
            <w:r w:rsidR="000878EC">
              <w:rPr>
                <w:rFonts w:ascii="Times New Roman" w:hAnsi="Times New Roman"/>
                <w:sz w:val="24"/>
              </w:rPr>
              <w:t>'</w:t>
            </w:r>
            <w:r>
              <w:rPr>
                <w:rFonts w:ascii="Times New Roman" w:hAnsi="Times New Roman"/>
                <w:sz w:val="24"/>
              </w:rPr>
              <w:t>articolo 242, punto 6, 17 o 18, del CRR.</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973973"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0241</w:t>
            </w:r>
          </w:p>
        </w:tc>
        <w:tc>
          <w:tcPr>
            <w:tcW w:w="7903" w:type="dxa"/>
          </w:tcPr>
          <w:p w:rsidR="00C55547" w:rsidRPr="00661595" w:rsidRDefault="00C55547" w:rsidP="00E9572B">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NUMERO DI SEGMENTI</w:t>
            </w:r>
          </w:p>
          <w:p w:rsidR="00C55547" w:rsidRPr="00661595" w:rsidRDefault="00C55547" w:rsidP="00E9572B">
            <w:pPr>
              <w:suppressAutoHyphens/>
              <w:autoSpaceDE w:val="0"/>
              <w:autoSpaceDN w:val="0"/>
              <w:adjustRightInd w:val="0"/>
              <w:spacing w:before="0" w:after="0"/>
              <w:jc w:val="left"/>
              <w:rPr>
                <w:rFonts w:ascii="Times New Roman" w:hAnsi="Times New Roman"/>
                <w:b/>
                <w:sz w:val="24"/>
                <w:u w:val="single"/>
              </w:rPr>
            </w:pP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Numero di segmenti mezzanine.</w:t>
            </w:r>
          </w:p>
          <w:p w:rsidR="00C55547" w:rsidRPr="00661595" w:rsidRDefault="00C55547" w:rsidP="00E9572B">
            <w:pPr>
              <w:suppressAutoHyphens/>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0242</w:t>
            </w:r>
          </w:p>
        </w:tc>
        <w:tc>
          <w:tcPr>
            <w:tcW w:w="7903" w:type="dxa"/>
          </w:tcPr>
          <w:p w:rsidR="00C55547" w:rsidRPr="00661595" w:rsidRDefault="00C55547" w:rsidP="00E9572B">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CLASSE DI MERITO DI CREDITO DEL PIÙ SUBORDINATO</w:t>
            </w:r>
          </w:p>
          <w:p w:rsidR="00C55547" w:rsidRPr="00661595" w:rsidRDefault="00C55547" w:rsidP="00E9572B">
            <w:pPr>
              <w:suppressAutoHyphens/>
              <w:autoSpaceDE w:val="0"/>
              <w:autoSpaceDN w:val="0"/>
              <w:adjustRightInd w:val="0"/>
              <w:spacing w:before="0" w:after="0"/>
              <w:jc w:val="left"/>
              <w:rPr>
                <w:rFonts w:ascii="Times New Roman" w:hAnsi="Times New Roman"/>
                <w:b/>
                <w:sz w:val="24"/>
                <w:u w:val="single"/>
              </w:rPr>
            </w:pP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CQS, determinata in conformità della tabella 2 dell</w:t>
            </w:r>
            <w:r w:rsidR="000878EC">
              <w:rPr>
                <w:rFonts w:ascii="Times New Roman" w:hAnsi="Times New Roman"/>
                <w:sz w:val="24"/>
              </w:rPr>
              <w:t>'</w:t>
            </w:r>
            <w:r>
              <w:rPr>
                <w:rFonts w:ascii="Times New Roman" w:hAnsi="Times New Roman"/>
                <w:sz w:val="24"/>
              </w:rPr>
              <w:t>articolo 263 e della tabella 3 dell</w:t>
            </w:r>
            <w:r w:rsidR="000878EC">
              <w:rPr>
                <w:rFonts w:ascii="Times New Roman" w:hAnsi="Times New Roman"/>
                <w:sz w:val="24"/>
              </w:rPr>
              <w:t>'</w:t>
            </w:r>
            <w:r>
              <w:rPr>
                <w:rFonts w:ascii="Times New Roman" w:hAnsi="Times New Roman"/>
                <w:sz w:val="24"/>
              </w:rPr>
              <w:t xml:space="preserve">articolo 264 del CRR, del segmento mezzanine più subordinato. </w:t>
            </w:r>
          </w:p>
          <w:p w:rsidR="00C55547" w:rsidRPr="00661595" w:rsidRDefault="00C55547" w:rsidP="00E9572B">
            <w:pPr>
              <w:suppressAutoHyphens/>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0250-0252</w:t>
            </w:r>
          </w:p>
        </w:tc>
        <w:tc>
          <w:tcPr>
            <w:tcW w:w="7903" w:type="dxa"/>
          </w:tcPr>
          <w:p w:rsidR="00C55547" w:rsidRPr="00661595" w:rsidRDefault="00C55547" w:rsidP="00E9572B">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PRIME PERDITE</w:t>
            </w:r>
          </w:p>
          <w:p w:rsidR="00C55547" w:rsidRPr="00661595" w:rsidRDefault="00C55547" w:rsidP="00E9572B">
            <w:pPr>
              <w:suppressAutoHyphens/>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0250</w:t>
            </w:r>
          </w:p>
        </w:tc>
        <w:tc>
          <w:tcPr>
            <w:tcW w:w="7903" w:type="dxa"/>
          </w:tcPr>
          <w:p w:rsidR="00C55547" w:rsidRPr="00661595" w:rsidRDefault="00C55547" w:rsidP="00E9572B">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IMPORTO</w:t>
            </w:r>
          </w:p>
          <w:p w:rsidR="00C55547" w:rsidRPr="00661595" w:rsidRDefault="00C55547" w:rsidP="00E9572B">
            <w:pPr>
              <w:suppressAutoHyphens/>
              <w:autoSpaceDE w:val="0"/>
              <w:autoSpaceDN w:val="0"/>
              <w:adjustRightInd w:val="0"/>
              <w:spacing w:before="0" w:after="0"/>
              <w:jc w:val="left"/>
              <w:rPr>
                <w:rFonts w:ascii="Times New Roman" w:hAnsi="Times New Roman"/>
                <w:b/>
                <w:sz w:val="24"/>
                <w:u w:val="single"/>
              </w:rPr>
            </w:pPr>
          </w:p>
          <w:p w:rsidR="00C55547" w:rsidRPr="00661595" w:rsidRDefault="00C55547" w:rsidP="00E9572B">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sz w:val="24"/>
              </w:rPr>
              <w:t>Importo del segmento prime perdite ai sensi dell</w:t>
            </w:r>
            <w:r w:rsidR="000878EC">
              <w:rPr>
                <w:rFonts w:ascii="Times New Roman" w:hAnsi="Times New Roman"/>
                <w:sz w:val="24"/>
              </w:rPr>
              <w:t>'</w:t>
            </w:r>
            <w:r>
              <w:rPr>
                <w:rFonts w:ascii="Times New Roman" w:hAnsi="Times New Roman"/>
                <w:sz w:val="24"/>
              </w:rPr>
              <w:t>articolo 242, punto 17, del CRR.</w:t>
            </w: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p>
        </w:tc>
      </w:tr>
      <w:tr w:rsidR="00C55547" w:rsidRPr="00661595" w:rsidTr="00E10B85">
        <w:tc>
          <w:tcPr>
            <w:tcW w:w="1101" w:type="dxa"/>
          </w:tcPr>
          <w:p w:rsidR="00C55547" w:rsidRPr="00661595" w:rsidRDefault="00973973" w:rsidP="00E9572B">
            <w:pPr>
              <w:keepNext/>
              <w:keepLines/>
              <w:suppressAutoHyphens/>
              <w:autoSpaceDE w:val="0"/>
              <w:autoSpaceDN w:val="0"/>
              <w:adjustRightInd w:val="0"/>
              <w:spacing w:before="0" w:after="0"/>
              <w:rPr>
                <w:rFonts w:ascii="Times New Roman" w:hAnsi="Times New Roman"/>
                <w:sz w:val="24"/>
              </w:rPr>
            </w:pPr>
            <w:r>
              <w:rPr>
                <w:rFonts w:ascii="Times New Roman" w:hAnsi="Times New Roman"/>
                <w:sz w:val="24"/>
              </w:rPr>
              <w:t>0251</w:t>
            </w:r>
          </w:p>
        </w:tc>
        <w:tc>
          <w:tcPr>
            <w:tcW w:w="7903" w:type="dxa"/>
          </w:tcPr>
          <w:p w:rsidR="00C55547" w:rsidRPr="00661595" w:rsidRDefault="00C55547" w:rsidP="00E9572B">
            <w:pPr>
              <w:keepNext/>
              <w:keepLines/>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PUNTO DI DISTACCO (DETACHMENT POINT) (%)</w:t>
            </w:r>
          </w:p>
          <w:p w:rsidR="00C55547" w:rsidRPr="00661595" w:rsidRDefault="00C55547" w:rsidP="00E9572B">
            <w:pPr>
              <w:keepNext/>
              <w:keepLines/>
              <w:suppressAutoHyphens/>
              <w:autoSpaceDE w:val="0"/>
              <w:autoSpaceDN w:val="0"/>
              <w:adjustRightInd w:val="0"/>
              <w:spacing w:before="0" w:after="0"/>
              <w:jc w:val="left"/>
              <w:rPr>
                <w:rFonts w:ascii="Times New Roman" w:hAnsi="Times New Roman"/>
                <w:b/>
                <w:sz w:val="24"/>
                <w:u w:val="single"/>
              </w:rPr>
            </w:pPr>
          </w:p>
          <w:p w:rsidR="00C55547" w:rsidRPr="00661595" w:rsidRDefault="00C55547" w:rsidP="00E9572B">
            <w:pPr>
              <w:keepNext/>
              <w:keepLines/>
              <w:suppressAutoHyphens/>
              <w:autoSpaceDE w:val="0"/>
              <w:autoSpaceDN w:val="0"/>
              <w:adjustRightInd w:val="0"/>
              <w:spacing w:before="0" w:after="0"/>
              <w:jc w:val="left"/>
              <w:rPr>
                <w:rFonts w:ascii="Times New Roman" w:hAnsi="Times New Roman"/>
                <w:sz w:val="24"/>
              </w:rPr>
            </w:pPr>
            <w:r>
              <w:rPr>
                <w:rFonts w:ascii="Times New Roman" w:hAnsi="Times New Roman"/>
                <w:sz w:val="24"/>
              </w:rPr>
              <w:t>Il punto di distacco (%) di cui all</w:t>
            </w:r>
            <w:r w:rsidR="000878EC">
              <w:rPr>
                <w:rFonts w:ascii="Times New Roman" w:hAnsi="Times New Roman"/>
                <w:sz w:val="24"/>
              </w:rPr>
              <w:t>'</w:t>
            </w:r>
            <w:r>
              <w:rPr>
                <w:rFonts w:ascii="Times New Roman" w:hAnsi="Times New Roman"/>
                <w:sz w:val="24"/>
              </w:rPr>
              <w:t>articolo 256, paragrafo 2, del CRR.</w:t>
            </w:r>
          </w:p>
          <w:p w:rsidR="00C55547" w:rsidRPr="00661595" w:rsidRDefault="00C55547" w:rsidP="00E9572B">
            <w:pPr>
              <w:keepNext/>
              <w:keepLines/>
              <w:suppressAutoHyphens/>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tcPr>
          <w:p w:rsidR="00C55547" w:rsidRPr="00661595" w:rsidRDefault="00973973"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0260-0280</w:t>
            </w:r>
          </w:p>
        </w:tc>
        <w:tc>
          <w:tcPr>
            <w:tcW w:w="7903" w:type="dxa"/>
          </w:tcPr>
          <w:p w:rsidR="00C55547" w:rsidRPr="00661595" w:rsidRDefault="00C55547" w:rsidP="00E9572B">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ELEMENTI FUORI BILANCIO E DERIVATI</w:t>
            </w:r>
          </w:p>
          <w:p w:rsidR="00C55547" w:rsidRPr="00661595" w:rsidRDefault="00C55547" w:rsidP="00E9572B">
            <w:pPr>
              <w:suppressAutoHyphens/>
              <w:autoSpaceDE w:val="0"/>
              <w:autoSpaceDN w:val="0"/>
              <w:adjustRightInd w:val="0"/>
              <w:spacing w:before="0" w:after="0"/>
              <w:jc w:val="left"/>
              <w:rPr>
                <w:rFonts w:ascii="Times New Roman" w:hAnsi="Times New Roman"/>
                <w:b/>
                <w:sz w:val="24"/>
                <w:u w:val="single"/>
              </w:rPr>
            </w:pPr>
          </w:p>
          <w:p w:rsidR="00C55547" w:rsidRPr="00661595" w:rsidRDefault="00C55547" w:rsidP="00E9572B">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Questo blocco di colonne contiene informazioni riguardanti gli elementi fuori bilancio e i derivati ripartiti per segmento (senior/mezzanine/prime perdite).</w:t>
            </w:r>
          </w:p>
          <w:p w:rsidR="00C55547" w:rsidRPr="00661595" w:rsidRDefault="00C55547"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Si applicano gli stessi criteri utilizzati per gli elementi in bilancio ai fini della classificazione nei segmenti.</w:t>
            </w:r>
          </w:p>
          <w:p w:rsidR="00C55547" w:rsidRPr="00661595" w:rsidRDefault="00C55547" w:rsidP="00E9572B">
            <w:pPr>
              <w:suppressAutoHyphens/>
              <w:autoSpaceDE w:val="0"/>
              <w:autoSpaceDN w:val="0"/>
              <w:adjustRightInd w:val="0"/>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973973"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0290-0300</w:t>
            </w:r>
          </w:p>
        </w:tc>
        <w:tc>
          <w:tcPr>
            <w:tcW w:w="7903" w:type="dxa"/>
            <w:shd w:val="clear" w:color="auto" w:fill="auto"/>
          </w:tcPr>
          <w:p w:rsidR="00C55547" w:rsidRPr="00661595" w:rsidRDefault="00C55547" w:rsidP="00E9572B">
            <w:pPr>
              <w:suppressAutoHyphens/>
              <w:spacing w:before="0" w:after="0"/>
              <w:jc w:val="left"/>
              <w:rPr>
                <w:rFonts w:ascii="Times New Roman" w:hAnsi="Times New Roman"/>
                <w:b/>
                <w:sz w:val="24"/>
                <w:u w:val="single"/>
              </w:rPr>
            </w:pPr>
            <w:r>
              <w:rPr>
                <w:rFonts w:ascii="Times New Roman" w:hAnsi="Times New Roman"/>
                <w:b/>
                <w:sz w:val="24"/>
                <w:u w:val="single"/>
              </w:rPr>
              <w:t>SCADENZA</w:t>
            </w:r>
          </w:p>
        </w:tc>
      </w:tr>
      <w:tr w:rsidR="00C55547" w:rsidRPr="00661595" w:rsidTr="00E10B85">
        <w:tc>
          <w:tcPr>
            <w:tcW w:w="1101" w:type="dxa"/>
            <w:shd w:val="clear" w:color="auto" w:fill="auto"/>
          </w:tcPr>
          <w:p w:rsidR="00C55547" w:rsidRPr="00661595" w:rsidDel="00304CB1" w:rsidRDefault="00973973"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0290</w:t>
            </w:r>
          </w:p>
        </w:tc>
        <w:tc>
          <w:tcPr>
            <w:tcW w:w="7903" w:type="dxa"/>
            <w:shd w:val="clear" w:color="auto" w:fill="auto"/>
          </w:tcPr>
          <w:p w:rsidR="00C55547" w:rsidRPr="00661595" w:rsidRDefault="00C55547" w:rsidP="00E9572B">
            <w:pPr>
              <w:suppressAutoHyphens/>
              <w:spacing w:before="0" w:after="0"/>
              <w:jc w:val="left"/>
              <w:rPr>
                <w:rFonts w:ascii="Times New Roman" w:hAnsi="Times New Roman"/>
                <w:b/>
                <w:sz w:val="24"/>
                <w:u w:val="single"/>
              </w:rPr>
            </w:pPr>
            <w:r>
              <w:rPr>
                <w:rFonts w:ascii="Times New Roman" w:hAnsi="Times New Roman"/>
                <w:b/>
                <w:sz w:val="24"/>
                <w:u w:val="single"/>
              </w:rPr>
              <w:t>PRIMA DATA DI CHIUSURA PREVEDIBILE</w:t>
            </w:r>
          </w:p>
          <w:p w:rsidR="00C55547" w:rsidRPr="00661595" w:rsidRDefault="00C55547" w:rsidP="00E9572B">
            <w:pPr>
              <w:suppressAutoHyphens/>
              <w:spacing w:before="0" w:after="0"/>
              <w:jc w:val="left"/>
              <w:rPr>
                <w:rFonts w:ascii="Times New Roman" w:hAnsi="Times New Roman"/>
                <w:b/>
                <w:sz w:val="24"/>
                <w:u w:val="single"/>
              </w:rPr>
            </w:pPr>
          </w:p>
          <w:p w:rsidR="00C55547" w:rsidRPr="00661595" w:rsidRDefault="00C55547" w:rsidP="00E9572B">
            <w:pPr>
              <w:suppressAutoHyphens/>
              <w:spacing w:before="0" w:after="0"/>
              <w:jc w:val="left"/>
              <w:rPr>
                <w:rFonts w:ascii="Times New Roman" w:hAnsi="Times New Roman"/>
                <w:sz w:val="24"/>
              </w:rPr>
            </w:pPr>
            <w:r>
              <w:rPr>
                <w:rFonts w:ascii="Times New Roman" w:hAnsi="Times New Roman"/>
                <w:sz w:val="24"/>
              </w:rPr>
              <w:t>Probabile data di chiusura dell</w:t>
            </w:r>
            <w:r w:rsidR="000878EC">
              <w:rPr>
                <w:rFonts w:ascii="Times New Roman" w:hAnsi="Times New Roman"/>
                <w:sz w:val="24"/>
              </w:rPr>
              <w:t>'</w:t>
            </w:r>
            <w:r>
              <w:rPr>
                <w:rFonts w:ascii="Times New Roman" w:hAnsi="Times New Roman"/>
                <w:sz w:val="24"/>
              </w:rPr>
              <w:t xml:space="preserve">intera cartolarizzazione, alla luce delle clausole contrattuali e delle condizioni finanziarie attualmente attese. Di norma è la data che cade per prima tra quelle indicate di seguito: </w:t>
            </w:r>
          </w:p>
          <w:p w:rsidR="00C55547" w:rsidRPr="00661595" w:rsidRDefault="00C55547" w:rsidP="00E9572B">
            <w:pPr>
              <w:suppressAutoHyphens/>
              <w:spacing w:before="0" w:after="0"/>
              <w:jc w:val="left"/>
              <w:rPr>
                <w:rFonts w:ascii="Times New Roman" w:hAnsi="Times New Roman"/>
                <w:sz w:val="24"/>
              </w:rPr>
            </w:pPr>
          </w:p>
          <w:p w:rsidR="00C55547" w:rsidRPr="00661595" w:rsidRDefault="00C55547" w:rsidP="00E9572B">
            <w:pPr>
              <w:suppressAutoHyphens/>
              <w:spacing w:before="0" w:after="0"/>
              <w:jc w:val="left"/>
              <w:rPr>
                <w:rFonts w:ascii="Times New Roman" w:hAnsi="Times New Roman"/>
                <w:sz w:val="24"/>
              </w:rPr>
            </w:pPr>
            <w:r>
              <w:rPr>
                <w:rFonts w:ascii="Times New Roman" w:hAnsi="Times New Roman"/>
                <w:sz w:val="24"/>
              </w:rPr>
              <w:t>i)</w:t>
            </w:r>
            <w:r>
              <w:tab/>
            </w:r>
            <w:r>
              <w:rPr>
                <w:rFonts w:ascii="Times New Roman" w:hAnsi="Times New Roman"/>
                <w:sz w:val="24"/>
              </w:rPr>
              <w:t>la prima data in cui può essere esercitata un</w:t>
            </w:r>
            <w:r w:rsidR="000878EC">
              <w:rPr>
                <w:rFonts w:ascii="Times New Roman" w:hAnsi="Times New Roman"/>
                <w:sz w:val="24"/>
              </w:rPr>
              <w:t>'</w:t>
            </w:r>
            <w:r>
              <w:rPr>
                <w:rFonts w:ascii="Times New Roman" w:hAnsi="Times New Roman"/>
                <w:sz w:val="24"/>
              </w:rPr>
              <w:t>opzione clean-up call (ai sensi dell</w:t>
            </w:r>
            <w:r w:rsidR="000878EC">
              <w:rPr>
                <w:rFonts w:ascii="Times New Roman" w:hAnsi="Times New Roman"/>
                <w:sz w:val="24"/>
              </w:rPr>
              <w:t>'</w:t>
            </w:r>
            <w:r>
              <w:rPr>
                <w:rFonts w:ascii="Times New Roman" w:hAnsi="Times New Roman"/>
                <w:sz w:val="24"/>
              </w:rPr>
              <w:t>articolo 242, punto 1, del CRR), tenendo conto della scadenza della o delle esposizioni sottostanti e del relativo tasso atteso di rimborso anticipato o di potenziali attività di rinegoziazione;</w:t>
            </w:r>
          </w:p>
          <w:p w:rsidR="00C55547" w:rsidRPr="00661595" w:rsidRDefault="00C55547" w:rsidP="00E9572B">
            <w:pPr>
              <w:suppressAutoHyphens/>
              <w:spacing w:before="0" w:after="0"/>
              <w:jc w:val="left"/>
              <w:rPr>
                <w:rFonts w:ascii="Times New Roman" w:hAnsi="Times New Roman"/>
                <w:sz w:val="24"/>
              </w:rPr>
            </w:pPr>
          </w:p>
          <w:p w:rsidR="00C55547" w:rsidRPr="00661595" w:rsidRDefault="00C55547" w:rsidP="00E9572B">
            <w:pPr>
              <w:suppressAutoHyphens/>
              <w:spacing w:before="0" w:after="0"/>
              <w:jc w:val="left"/>
              <w:rPr>
                <w:rFonts w:ascii="Times New Roman" w:hAnsi="Times New Roman"/>
                <w:sz w:val="24"/>
              </w:rPr>
            </w:pPr>
            <w:r>
              <w:rPr>
                <w:rFonts w:ascii="Times New Roman" w:hAnsi="Times New Roman"/>
                <w:sz w:val="24"/>
              </w:rPr>
              <w:t>ii)</w:t>
            </w:r>
            <w:r>
              <w:tab/>
            </w:r>
            <w:r>
              <w:rPr>
                <w:rFonts w:ascii="Times New Roman" w:hAnsi="Times New Roman"/>
                <w:sz w:val="24"/>
              </w:rPr>
              <w:t>la prima data in cui il cedente può esercitare qualsiasi altra opzione call prevista dalle clausole contrattuali della cartolarizzazione che comporti il rimborso totale della cartolarizzazione.</w:t>
            </w:r>
          </w:p>
          <w:p w:rsidR="00C55547" w:rsidRPr="00661595" w:rsidRDefault="00C55547" w:rsidP="00E9572B">
            <w:pPr>
              <w:suppressAutoHyphens/>
              <w:spacing w:before="0" w:after="0"/>
              <w:jc w:val="left"/>
              <w:rPr>
                <w:rFonts w:ascii="Times New Roman" w:hAnsi="Times New Roman"/>
                <w:sz w:val="24"/>
              </w:rPr>
            </w:pPr>
          </w:p>
          <w:p w:rsidR="00C55547" w:rsidRPr="00661595" w:rsidRDefault="00C55547"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Sono indicati il giorno, il mese e l</w:t>
            </w:r>
            <w:r w:rsidR="000878EC">
              <w:rPr>
                <w:rFonts w:ascii="Times New Roman" w:hAnsi="Times New Roman"/>
                <w:sz w:val="24"/>
              </w:rPr>
              <w:t>'</w:t>
            </w:r>
            <w:r>
              <w:rPr>
                <w:rFonts w:ascii="Times New Roman" w:hAnsi="Times New Roman"/>
                <w:sz w:val="24"/>
              </w:rPr>
              <w:t>anno della prima data di chiusura prevista.</w:t>
            </w:r>
            <w:r>
              <w:rPr>
                <w:rFonts w:ascii="Times New Roman" w:hAnsi="Times New Roman"/>
                <w:szCs w:val="20"/>
              </w:rPr>
              <w:t xml:space="preserve"> </w:t>
            </w:r>
            <w:r>
              <w:rPr>
                <w:rFonts w:ascii="Times New Roman" w:hAnsi="Times New Roman"/>
                <w:sz w:val="24"/>
              </w:rPr>
              <w:t>Se disponibile è indicata la data esatta, altrimenti è indicato il primo giorno del mese.</w:t>
            </w:r>
          </w:p>
          <w:p w:rsidR="00C55547" w:rsidRPr="00661595" w:rsidRDefault="00C55547" w:rsidP="00E9572B">
            <w:pPr>
              <w:suppressAutoHyphens/>
              <w:spacing w:before="0" w:after="0"/>
              <w:jc w:val="left"/>
              <w:rPr>
                <w:rFonts w:ascii="Times New Roman" w:hAnsi="Times New Roman"/>
                <w:sz w:val="24"/>
              </w:rPr>
            </w:pPr>
          </w:p>
        </w:tc>
      </w:tr>
      <w:tr w:rsidR="00C55547" w:rsidRPr="00661595" w:rsidTr="00E10B85">
        <w:tc>
          <w:tcPr>
            <w:tcW w:w="1101" w:type="dxa"/>
            <w:shd w:val="clear" w:color="auto" w:fill="auto"/>
          </w:tcPr>
          <w:p w:rsidR="00C55547" w:rsidRPr="00661595" w:rsidRDefault="00973973" w:rsidP="00E9572B">
            <w:pPr>
              <w:suppressAutoHyphens/>
              <w:autoSpaceDE w:val="0"/>
              <w:autoSpaceDN w:val="0"/>
              <w:adjustRightInd w:val="0"/>
              <w:spacing w:before="0" w:after="0"/>
              <w:rPr>
                <w:rFonts w:ascii="Times New Roman" w:hAnsi="Times New Roman"/>
                <w:sz w:val="24"/>
              </w:rPr>
            </w:pPr>
            <w:r>
              <w:rPr>
                <w:rFonts w:ascii="Times New Roman" w:hAnsi="Times New Roman"/>
                <w:bCs/>
                <w:sz w:val="24"/>
              </w:rPr>
              <w:t>0291</w:t>
            </w:r>
          </w:p>
        </w:tc>
        <w:tc>
          <w:tcPr>
            <w:tcW w:w="7903" w:type="dxa"/>
            <w:shd w:val="clear" w:color="auto" w:fill="auto"/>
          </w:tcPr>
          <w:p w:rsidR="00C55547" w:rsidRPr="00661595" w:rsidRDefault="00C55547" w:rsidP="00E9572B">
            <w:pPr>
              <w:suppressAutoHyphens/>
              <w:spacing w:before="0" w:after="0"/>
              <w:jc w:val="left"/>
              <w:rPr>
                <w:rFonts w:ascii="Times New Roman" w:hAnsi="Times New Roman"/>
                <w:b/>
                <w:sz w:val="24"/>
                <w:u w:val="single"/>
              </w:rPr>
            </w:pPr>
            <w:r>
              <w:rPr>
                <w:rFonts w:ascii="Times New Roman" w:hAnsi="Times New Roman"/>
                <w:b/>
                <w:sz w:val="24"/>
                <w:u w:val="single"/>
              </w:rPr>
              <w:t>OPZIONI CALL DEL CEDENTE INCLUSE NELL</w:t>
            </w:r>
            <w:r w:rsidR="000878EC">
              <w:rPr>
                <w:rFonts w:ascii="Times New Roman" w:hAnsi="Times New Roman"/>
                <w:b/>
                <w:sz w:val="24"/>
                <w:u w:val="single"/>
              </w:rPr>
              <w:t>'</w:t>
            </w:r>
            <w:r>
              <w:rPr>
                <w:rFonts w:ascii="Times New Roman" w:hAnsi="Times New Roman"/>
                <w:b/>
                <w:sz w:val="24"/>
                <w:u w:val="single"/>
              </w:rPr>
              <w:t>OPERAZIONE</w:t>
            </w:r>
          </w:p>
          <w:p w:rsidR="00C55547" w:rsidRPr="00661595" w:rsidRDefault="00C55547" w:rsidP="00E9572B">
            <w:pPr>
              <w:suppressAutoHyphens/>
              <w:spacing w:before="0" w:after="0"/>
              <w:jc w:val="left"/>
              <w:rPr>
                <w:rFonts w:ascii="Times New Roman" w:hAnsi="Times New Roman"/>
                <w:b/>
                <w:sz w:val="24"/>
                <w:u w:val="single"/>
              </w:rPr>
            </w:pPr>
          </w:p>
          <w:p w:rsidR="00C55547" w:rsidRPr="00661595" w:rsidRDefault="00C55547" w:rsidP="00E9572B">
            <w:pPr>
              <w:suppressAutoHyphens/>
              <w:spacing w:before="0" w:after="0"/>
              <w:jc w:val="left"/>
              <w:rPr>
                <w:rFonts w:ascii="Times New Roman" w:hAnsi="Times New Roman"/>
                <w:sz w:val="24"/>
              </w:rPr>
            </w:pPr>
            <w:r>
              <w:rPr>
                <w:rFonts w:ascii="Times New Roman" w:hAnsi="Times New Roman"/>
                <w:sz w:val="24"/>
              </w:rPr>
              <w:t>Tipo di call pertinente per la prima data di chiusura prevista:</w:t>
            </w:r>
          </w:p>
          <w:p w:rsidR="00C55547" w:rsidRPr="00661595" w:rsidRDefault="00C55547" w:rsidP="00E9572B">
            <w:pPr>
              <w:pStyle w:val="ListParagraph"/>
              <w:numPr>
                <w:ilvl w:val="0"/>
                <w:numId w:val="29"/>
              </w:numPr>
              <w:suppressAutoHyphens/>
              <w:spacing w:before="0" w:after="0"/>
              <w:jc w:val="left"/>
              <w:rPr>
                <w:rFonts w:ascii="Times New Roman" w:hAnsi="Times New Roman"/>
                <w:sz w:val="24"/>
              </w:rPr>
            </w:pPr>
            <w:r>
              <w:rPr>
                <w:rFonts w:ascii="Times New Roman" w:hAnsi="Times New Roman"/>
                <w:sz w:val="24"/>
              </w:rPr>
              <w:t>opzione clean-up call che soddisfa i requisiti dell</w:t>
            </w:r>
            <w:r w:rsidR="000878EC">
              <w:rPr>
                <w:rFonts w:ascii="Times New Roman" w:hAnsi="Times New Roman"/>
                <w:sz w:val="24"/>
              </w:rPr>
              <w:t>'</w:t>
            </w:r>
            <w:r>
              <w:rPr>
                <w:rFonts w:ascii="Times New Roman" w:hAnsi="Times New Roman"/>
                <w:sz w:val="24"/>
              </w:rPr>
              <w:t>articolo 244, paragrafo 4, lettera g), del CRR;</w:t>
            </w:r>
          </w:p>
          <w:p w:rsidR="00C55547" w:rsidRPr="00061618" w:rsidRDefault="00C55547" w:rsidP="00E9572B">
            <w:pPr>
              <w:pStyle w:val="ListParagraph"/>
              <w:numPr>
                <w:ilvl w:val="0"/>
                <w:numId w:val="29"/>
              </w:numPr>
              <w:suppressAutoHyphens/>
              <w:spacing w:before="0" w:after="0"/>
              <w:jc w:val="left"/>
              <w:rPr>
                <w:rFonts w:ascii="Times New Roman" w:hAnsi="Times New Roman"/>
                <w:sz w:val="24"/>
                <w:lang w:val="en-IE"/>
              </w:rPr>
            </w:pPr>
            <w:r w:rsidRPr="00061618">
              <w:rPr>
                <w:rFonts w:ascii="Times New Roman" w:hAnsi="Times New Roman"/>
                <w:sz w:val="24"/>
                <w:lang w:val="en-IE"/>
              </w:rPr>
              <w:t>altra opzione clean-up call;</w:t>
            </w:r>
          </w:p>
          <w:p w:rsidR="00C55547" w:rsidRPr="00661595" w:rsidRDefault="00C55547" w:rsidP="00E9572B">
            <w:pPr>
              <w:pStyle w:val="ListParagraph"/>
              <w:numPr>
                <w:ilvl w:val="0"/>
                <w:numId w:val="29"/>
              </w:numPr>
              <w:suppressAutoHyphens/>
              <w:spacing w:before="0" w:after="0"/>
              <w:jc w:val="left"/>
              <w:rPr>
                <w:rFonts w:ascii="Times New Roman" w:hAnsi="Times New Roman"/>
                <w:sz w:val="24"/>
              </w:rPr>
            </w:pPr>
            <w:r>
              <w:rPr>
                <w:rFonts w:ascii="Times New Roman" w:hAnsi="Times New Roman"/>
                <w:sz w:val="24"/>
              </w:rPr>
              <w:t>altro tipo di opzione call.</w:t>
            </w:r>
          </w:p>
          <w:p w:rsidR="00C55547" w:rsidRPr="00661595" w:rsidRDefault="00C55547" w:rsidP="00E9572B">
            <w:pPr>
              <w:suppressAutoHyphens/>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Del="00304CB1" w:rsidRDefault="00973973"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0300</w:t>
            </w:r>
          </w:p>
        </w:tc>
        <w:tc>
          <w:tcPr>
            <w:tcW w:w="7903" w:type="dxa"/>
            <w:shd w:val="clear" w:color="auto" w:fill="auto"/>
          </w:tcPr>
          <w:p w:rsidR="00C55547" w:rsidRPr="00661595" w:rsidRDefault="00C55547" w:rsidP="00E9572B">
            <w:pPr>
              <w:suppressAutoHyphens/>
              <w:spacing w:before="0" w:after="0"/>
              <w:jc w:val="left"/>
              <w:rPr>
                <w:rFonts w:ascii="Times New Roman" w:hAnsi="Times New Roman"/>
                <w:b/>
                <w:sz w:val="24"/>
                <w:u w:val="single"/>
              </w:rPr>
            </w:pPr>
            <w:r>
              <w:rPr>
                <w:rFonts w:ascii="Times New Roman" w:hAnsi="Times New Roman"/>
                <w:b/>
                <w:sz w:val="24"/>
                <w:u w:val="single"/>
              </w:rPr>
              <w:t>DATA DI SCADENZA FINALE LEGALE</w:t>
            </w:r>
          </w:p>
          <w:p w:rsidR="00C55547" w:rsidRPr="00661595" w:rsidRDefault="00C55547" w:rsidP="00E9572B">
            <w:pPr>
              <w:suppressAutoHyphens/>
              <w:spacing w:before="0" w:after="0"/>
              <w:jc w:val="left"/>
              <w:rPr>
                <w:rFonts w:ascii="Times New Roman" w:hAnsi="Times New Roman"/>
                <w:b/>
                <w:sz w:val="24"/>
                <w:u w:val="single"/>
              </w:rPr>
            </w:pPr>
          </w:p>
          <w:p w:rsidR="00C55547" w:rsidRPr="00661595" w:rsidRDefault="00C55547" w:rsidP="00E9572B">
            <w:pPr>
              <w:suppressAutoHyphens/>
              <w:spacing w:before="0" w:after="0"/>
              <w:jc w:val="left"/>
              <w:rPr>
                <w:rFonts w:ascii="Times New Roman" w:hAnsi="Times New Roman"/>
                <w:sz w:val="24"/>
              </w:rPr>
            </w:pPr>
            <w:r>
              <w:rPr>
                <w:rFonts w:ascii="Times New Roman" w:hAnsi="Times New Roman"/>
                <w:sz w:val="24"/>
              </w:rPr>
              <w:t>Data in cui tutto il capitale e gli interessi della cartolarizzazione devono essere restituiti per legge (sulla base dei documenti dell</w:t>
            </w:r>
            <w:r w:rsidR="000878EC">
              <w:rPr>
                <w:rFonts w:ascii="Times New Roman" w:hAnsi="Times New Roman"/>
                <w:sz w:val="24"/>
              </w:rPr>
              <w:t>'</w:t>
            </w:r>
            <w:r>
              <w:rPr>
                <w:rFonts w:ascii="Times New Roman" w:hAnsi="Times New Roman"/>
                <w:sz w:val="24"/>
              </w:rPr>
              <w:t>operazione).</w:t>
            </w:r>
          </w:p>
          <w:p w:rsidR="00C55547" w:rsidRPr="00661595" w:rsidRDefault="00C55547" w:rsidP="00E9572B">
            <w:pPr>
              <w:suppressAutoHyphens/>
              <w:spacing w:before="0" w:after="0"/>
              <w:jc w:val="left"/>
              <w:rPr>
                <w:rFonts w:ascii="Times New Roman" w:hAnsi="Times New Roman"/>
                <w:sz w:val="24"/>
              </w:rPr>
            </w:pPr>
          </w:p>
          <w:p w:rsidR="00C55547" w:rsidRPr="00661595" w:rsidRDefault="00C55547" w:rsidP="00E9572B">
            <w:pPr>
              <w:suppressAutoHyphens/>
              <w:autoSpaceDE w:val="0"/>
              <w:autoSpaceDN w:val="0"/>
              <w:adjustRightInd w:val="0"/>
              <w:spacing w:before="0" w:after="0"/>
              <w:rPr>
                <w:rFonts w:ascii="Times New Roman" w:hAnsi="Times New Roman"/>
                <w:sz w:val="24"/>
              </w:rPr>
            </w:pPr>
            <w:r>
              <w:rPr>
                <w:rFonts w:ascii="Times New Roman" w:hAnsi="Times New Roman"/>
                <w:sz w:val="24"/>
              </w:rPr>
              <w:t>Sono indicati il giorno, il mese e l</w:t>
            </w:r>
            <w:r w:rsidR="000878EC">
              <w:rPr>
                <w:rFonts w:ascii="Times New Roman" w:hAnsi="Times New Roman"/>
                <w:sz w:val="24"/>
              </w:rPr>
              <w:t>'</w:t>
            </w:r>
            <w:r>
              <w:rPr>
                <w:rFonts w:ascii="Times New Roman" w:hAnsi="Times New Roman"/>
                <w:sz w:val="24"/>
              </w:rPr>
              <w:t>anno della data di scadenza finale legale.</w:t>
            </w:r>
            <w:r>
              <w:rPr>
                <w:rFonts w:ascii="Times New Roman" w:hAnsi="Times New Roman"/>
                <w:szCs w:val="20"/>
              </w:rPr>
              <w:t xml:space="preserve"> </w:t>
            </w:r>
            <w:r>
              <w:rPr>
                <w:rFonts w:ascii="Times New Roman" w:hAnsi="Times New Roman"/>
                <w:sz w:val="24"/>
              </w:rPr>
              <w:t>Se disponibile è indicata la data esatta, altrimenti è indicato il primo giorno del mese.</w:t>
            </w:r>
          </w:p>
          <w:p w:rsidR="00C55547" w:rsidRPr="00661595" w:rsidRDefault="00C55547" w:rsidP="00E9572B">
            <w:pPr>
              <w:suppressAutoHyphens/>
              <w:spacing w:before="0" w:after="0"/>
              <w:jc w:val="left"/>
              <w:rPr>
                <w:rFonts w:ascii="Times New Roman" w:hAnsi="Times New Roman"/>
                <w:sz w:val="24"/>
              </w:rPr>
            </w:pPr>
          </w:p>
        </w:tc>
      </w:tr>
      <w:tr w:rsidR="00C55547" w:rsidRPr="00661595" w:rsidTr="00E10B85">
        <w:tc>
          <w:tcPr>
            <w:tcW w:w="1101" w:type="dxa"/>
            <w:shd w:val="clear" w:color="auto" w:fill="auto"/>
          </w:tcPr>
          <w:p w:rsidR="00C55547" w:rsidRPr="00661595" w:rsidRDefault="00973973" w:rsidP="00E9572B">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0302-0304</w:t>
            </w:r>
          </w:p>
        </w:tc>
        <w:tc>
          <w:tcPr>
            <w:tcW w:w="7903" w:type="dxa"/>
            <w:shd w:val="clear" w:color="auto" w:fill="auto"/>
          </w:tcPr>
          <w:p w:rsidR="00C55547" w:rsidRPr="00661595" w:rsidRDefault="00C55547" w:rsidP="00E9572B">
            <w:pPr>
              <w:suppressAutoHyphens/>
              <w:spacing w:before="0" w:after="0"/>
              <w:jc w:val="left"/>
              <w:rPr>
                <w:rFonts w:ascii="Times New Roman" w:hAnsi="Times New Roman"/>
                <w:b/>
                <w:sz w:val="24"/>
                <w:u w:val="single"/>
              </w:rPr>
            </w:pPr>
            <w:r>
              <w:rPr>
                <w:rFonts w:ascii="Times New Roman" w:hAnsi="Times New Roman"/>
                <w:b/>
                <w:sz w:val="24"/>
                <w:u w:val="single"/>
              </w:rPr>
              <w:t xml:space="preserve">VOCI PER MEMORIA </w:t>
            </w:r>
          </w:p>
        </w:tc>
      </w:tr>
      <w:tr w:rsidR="00C55547" w:rsidRPr="00661595" w:rsidTr="00E10B85">
        <w:tc>
          <w:tcPr>
            <w:tcW w:w="1101" w:type="dxa"/>
            <w:shd w:val="clear" w:color="auto" w:fill="auto"/>
          </w:tcPr>
          <w:p w:rsidR="00C55547" w:rsidRPr="00661595" w:rsidRDefault="00973973" w:rsidP="00E9572B">
            <w:pPr>
              <w:suppressAutoHyphens/>
              <w:autoSpaceDE w:val="0"/>
              <w:autoSpaceDN w:val="0"/>
              <w:adjustRightInd w:val="0"/>
              <w:spacing w:before="0" w:after="0"/>
              <w:rPr>
                <w:rFonts w:ascii="Times New Roman" w:hAnsi="Times New Roman"/>
                <w:sz w:val="24"/>
              </w:rPr>
            </w:pPr>
            <w:r>
              <w:rPr>
                <w:rFonts w:ascii="Times New Roman" w:hAnsi="Times New Roman"/>
                <w:bCs/>
                <w:sz w:val="24"/>
              </w:rPr>
              <w:t>0302</w:t>
            </w:r>
          </w:p>
        </w:tc>
        <w:tc>
          <w:tcPr>
            <w:tcW w:w="7903" w:type="dxa"/>
            <w:shd w:val="clear" w:color="auto" w:fill="auto"/>
          </w:tcPr>
          <w:p w:rsidR="00C55547" w:rsidRPr="00661595" w:rsidRDefault="00C55547" w:rsidP="00E9572B">
            <w:pPr>
              <w:suppressAutoHyphens/>
              <w:spacing w:before="0" w:after="0"/>
              <w:jc w:val="left"/>
              <w:rPr>
                <w:rFonts w:ascii="Times New Roman" w:hAnsi="Times New Roman"/>
                <w:b/>
                <w:sz w:val="24"/>
                <w:u w:val="single"/>
              </w:rPr>
            </w:pPr>
            <w:r>
              <w:rPr>
                <w:rFonts w:ascii="Times New Roman" w:hAnsi="Times New Roman"/>
                <w:b/>
                <w:sz w:val="24"/>
                <w:u w:val="single"/>
              </w:rPr>
              <w:t>PUNTO DI ATTACCO (ATTACHMENT POINT) DEL RISCHIO CEDUTO (%)</w:t>
            </w:r>
          </w:p>
          <w:p w:rsidR="00C55547" w:rsidRPr="00661595" w:rsidRDefault="00C55547" w:rsidP="00E9572B">
            <w:pPr>
              <w:suppressAutoHyphens/>
              <w:spacing w:before="0" w:after="0"/>
              <w:jc w:val="left"/>
              <w:rPr>
                <w:rFonts w:ascii="Times New Roman" w:hAnsi="Times New Roman"/>
                <w:b/>
                <w:sz w:val="24"/>
                <w:u w:val="single"/>
              </w:rPr>
            </w:pPr>
          </w:p>
          <w:p w:rsidR="00C55547" w:rsidRPr="00661595" w:rsidRDefault="00C55547" w:rsidP="00E9572B">
            <w:pPr>
              <w:suppressAutoHyphens/>
              <w:spacing w:before="0" w:after="0"/>
              <w:jc w:val="left"/>
              <w:rPr>
                <w:rFonts w:ascii="Times New Roman" w:hAnsi="Times New Roman"/>
                <w:b/>
                <w:sz w:val="24"/>
                <w:u w:val="single"/>
              </w:rPr>
            </w:pPr>
            <w:r>
              <w:rPr>
                <w:rFonts w:ascii="Times New Roman" w:hAnsi="Times New Roman"/>
                <w:sz w:val="24"/>
              </w:rPr>
              <w:t>I cedenti, e soltanto loro, segnalano il punto di attacco del segmento più subordinato ceduto a terzi, per le cartolarizzazioni tradizionali, o protetto da terzi, per le cartolarizzazioni sintetiche.</w:t>
            </w:r>
          </w:p>
          <w:p w:rsidR="00C55547" w:rsidRPr="00661595" w:rsidRDefault="00C55547" w:rsidP="00E9572B">
            <w:pPr>
              <w:suppressAutoHyphens/>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973973" w:rsidP="00E9572B">
            <w:pPr>
              <w:suppressAutoHyphens/>
              <w:autoSpaceDE w:val="0"/>
              <w:autoSpaceDN w:val="0"/>
              <w:adjustRightInd w:val="0"/>
              <w:spacing w:before="0" w:after="0"/>
              <w:rPr>
                <w:rFonts w:ascii="Times New Roman" w:hAnsi="Times New Roman"/>
                <w:sz w:val="24"/>
              </w:rPr>
            </w:pPr>
            <w:r>
              <w:rPr>
                <w:rFonts w:ascii="Times New Roman" w:hAnsi="Times New Roman"/>
                <w:bCs/>
                <w:sz w:val="24"/>
              </w:rPr>
              <w:t>0303</w:t>
            </w:r>
          </w:p>
        </w:tc>
        <w:tc>
          <w:tcPr>
            <w:tcW w:w="7903" w:type="dxa"/>
            <w:shd w:val="clear" w:color="auto" w:fill="auto"/>
          </w:tcPr>
          <w:p w:rsidR="00C55547" w:rsidRPr="00661595" w:rsidRDefault="00C55547" w:rsidP="00E9572B">
            <w:pPr>
              <w:suppressAutoHyphens/>
              <w:spacing w:before="0" w:after="0"/>
              <w:jc w:val="left"/>
              <w:rPr>
                <w:rFonts w:ascii="Times New Roman" w:hAnsi="Times New Roman"/>
                <w:b/>
                <w:sz w:val="24"/>
                <w:u w:val="single"/>
              </w:rPr>
            </w:pPr>
            <w:r>
              <w:rPr>
                <w:rFonts w:ascii="Times New Roman" w:hAnsi="Times New Roman"/>
                <w:b/>
                <w:sz w:val="24"/>
                <w:u w:val="single"/>
              </w:rPr>
              <w:t>PUNTO DI DISTACCO (DETACHMENT POINT) DEL RISCHIO CEDUTO (%)</w:t>
            </w:r>
          </w:p>
          <w:p w:rsidR="00C55547" w:rsidRPr="00661595" w:rsidRDefault="00C55547" w:rsidP="00E9572B">
            <w:pPr>
              <w:suppressAutoHyphens/>
              <w:spacing w:before="0" w:after="0"/>
              <w:jc w:val="left"/>
              <w:rPr>
                <w:rFonts w:ascii="Times New Roman" w:hAnsi="Times New Roman"/>
                <w:b/>
                <w:sz w:val="24"/>
                <w:u w:val="single"/>
              </w:rPr>
            </w:pPr>
          </w:p>
          <w:p w:rsidR="00C55547" w:rsidRPr="00661595" w:rsidRDefault="00C55547" w:rsidP="00E9572B">
            <w:pPr>
              <w:suppressAutoHyphens/>
              <w:spacing w:before="0" w:after="0"/>
              <w:jc w:val="left"/>
              <w:rPr>
                <w:rFonts w:ascii="Times New Roman" w:hAnsi="Times New Roman"/>
                <w:sz w:val="24"/>
              </w:rPr>
            </w:pPr>
            <w:r>
              <w:rPr>
                <w:rFonts w:ascii="Times New Roman" w:hAnsi="Times New Roman"/>
                <w:sz w:val="24"/>
              </w:rPr>
              <w:t>I cedenti, e soltanto loro, segnalano il punto di distacco del segmento più senior ceduto a terzi, per le cartolarizzazioni tradizionali, o protetto da terzi, per le cartolarizzazioni sintetiche.</w:t>
            </w:r>
          </w:p>
          <w:p w:rsidR="00C55547" w:rsidRPr="00661595" w:rsidRDefault="00C55547" w:rsidP="00E9572B">
            <w:pPr>
              <w:suppressAutoHyphens/>
              <w:spacing w:before="0" w:after="0"/>
              <w:jc w:val="left"/>
              <w:rPr>
                <w:rFonts w:ascii="Times New Roman" w:hAnsi="Times New Roman"/>
                <w:b/>
                <w:sz w:val="24"/>
                <w:u w:val="single"/>
              </w:rPr>
            </w:pPr>
          </w:p>
        </w:tc>
      </w:tr>
      <w:tr w:rsidR="00C55547" w:rsidRPr="00661595" w:rsidTr="00E10B85">
        <w:tc>
          <w:tcPr>
            <w:tcW w:w="1101" w:type="dxa"/>
            <w:shd w:val="clear" w:color="auto" w:fill="auto"/>
          </w:tcPr>
          <w:p w:rsidR="00C55547" w:rsidRPr="00661595" w:rsidRDefault="00973973" w:rsidP="00E9572B">
            <w:pPr>
              <w:suppressAutoHyphens/>
              <w:autoSpaceDE w:val="0"/>
              <w:autoSpaceDN w:val="0"/>
              <w:adjustRightInd w:val="0"/>
              <w:spacing w:before="0" w:after="0"/>
              <w:rPr>
                <w:rFonts w:ascii="Times New Roman" w:hAnsi="Times New Roman"/>
                <w:sz w:val="24"/>
              </w:rPr>
            </w:pPr>
            <w:r>
              <w:rPr>
                <w:rFonts w:ascii="Times New Roman" w:hAnsi="Times New Roman"/>
                <w:bCs/>
                <w:sz w:val="24"/>
              </w:rPr>
              <w:t>0304</w:t>
            </w:r>
          </w:p>
        </w:tc>
        <w:tc>
          <w:tcPr>
            <w:tcW w:w="7903" w:type="dxa"/>
            <w:shd w:val="clear" w:color="auto" w:fill="auto"/>
          </w:tcPr>
          <w:p w:rsidR="00C55547" w:rsidRPr="00661595" w:rsidRDefault="00C55547" w:rsidP="00E9572B">
            <w:pPr>
              <w:suppressAutoHyphens/>
              <w:spacing w:before="0" w:after="0"/>
              <w:jc w:val="left"/>
              <w:rPr>
                <w:rFonts w:ascii="Times New Roman" w:hAnsi="Times New Roman"/>
                <w:b/>
                <w:sz w:val="24"/>
                <w:u w:val="single"/>
              </w:rPr>
            </w:pPr>
            <w:r>
              <w:rPr>
                <w:rFonts w:ascii="Times New Roman" w:hAnsi="Times New Roman"/>
                <w:b/>
                <w:sz w:val="24"/>
                <w:u w:val="single"/>
              </w:rPr>
              <w:t>TRASFERIMENTO DEL RISCHIO CHIESTO DALL</w:t>
            </w:r>
            <w:r w:rsidR="000878EC">
              <w:rPr>
                <w:rFonts w:ascii="Times New Roman" w:hAnsi="Times New Roman"/>
                <w:b/>
                <w:sz w:val="24"/>
                <w:u w:val="single"/>
              </w:rPr>
              <w:t>'</w:t>
            </w:r>
            <w:r>
              <w:rPr>
                <w:rFonts w:ascii="Times New Roman" w:hAnsi="Times New Roman"/>
                <w:b/>
                <w:sz w:val="24"/>
                <w:u w:val="single"/>
              </w:rPr>
              <w:t>ENTE CEDENTE (%)</w:t>
            </w:r>
          </w:p>
          <w:p w:rsidR="00C55547" w:rsidRPr="00661595" w:rsidRDefault="00C55547" w:rsidP="00E9572B">
            <w:pPr>
              <w:suppressAutoHyphens/>
              <w:spacing w:before="0" w:after="0"/>
              <w:jc w:val="left"/>
              <w:rPr>
                <w:rFonts w:ascii="Times New Roman" w:hAnsi="Times New Roman"/>
                <w:b/>
                <w:sz w:val="24"/>
                <w:u w:val="single"/>
              </w:rPr>
            </w:pPr>
          </w:p>
          <w:p w:rsidR="00C55547" w:rsidRPr="00661595" w:rsidRDefault="00C55547" w:rsidP="00E9572B">
            <w:pPr>
              <w:suppressAutoHyphens/>
              <w:spacing w:before="0" w:after="0"/>
              <w:jc w:val="left"/>
              <w:rPr>
                <w:rFonts w:ascii="Times New Roman" w:hAnsi="Times New Roman"/>
                <w:sz w:val="24"/>
              </w:rPr>
            </w:pPr>
            <w:r>
              <w:rPr>
                <w:rFonts w:ascii="Times New Roman" w:hAnsi="Times New Roman"/>
                <w:sz w:val="24"/>
              </w:rPr>
              <w:t xml:space="preserve">I cedenti, e soltanto loro, segnalano la perdita attesa (EL) più la perdita inattesa (UL) delle attività cartolarizzate trasferite a terzi in percentuale del totale della EL più la UL. Sono segnalate la EL e la UL delle esposizioni sottostanti, che sono poi assegnate tramite la cascata di cartolarizzazione ai rispettivi segmenti della cartolarizzazione. Per le banche che applicano lo SA, la EL è la rettifica di valore su crediti specifica delle attività cartolarizzate e la UL è il requisito patrimoniale delle esposizioni cartolarizzate. </w:t>
            </w:r>
          </w:p>
          <w:p w:rsidR="00C55547" w:rsidRPr="00661595" w:rsidRDefault="00C55547" w:rsidP="00E9572B">
            <w:pPr>
              <w:suppressAutoHyphens/>
              <w:spacing w:before="0" w:after="0"/>
              <w:jc w:val="left"/>
              <w:rPr>
                <w:rFonts w:ascii="Times New Roman" w:hAnsi="Times New Roman"/>
                <w:b/>
                <w:sz w:val="24"/>
                <w:u w:val="single"/>
              </w:rPr>
            </w:pPr>
          </w:p>
        </w:tc>
      </w:tr>
    </w:tbl>
    <w:p w:rsidR="00612780" w:rsidRPr="00661595" w:rsidRDefault="00612780">
      <w:pPr>
        <w:spacing w:before="0" w:after="0"/>
        <w:jc w:val="left"/>
        <w:rPr>
          <w:rStyle w:val="InstructionsTabelleText"/>
          <w:rFonts w:ascii="Times New Roman" w:hAnsi="Times New Roman"/>
          <w:sz w:val="24"/>
        </w:rPr>
      </w:pPr>
    </w:p>
    <w:p w:rsidR="00FC6275" w:rsidRPr="00661595" w:rsidRDefault="00FC6275" w:rsidP="00FC6275">
      <w:pPr>
        <w:pStyle w:val="Instructionsberschrift2"/>
        <w:numPr>
          <w:ilvl w:val="0"/>
          <w:numId w:val="0"/>
        </w:numPr>
        <w:ind w:left="357" w:hanging="357"/>
        <w:rPr>
          <w:rFonts w:ascii="Times New Roman" w:hAnsi="Times New Roman" w:cs="Times New Roman"/>
          <w:sz w:val="24"/>
        </w:rPr>
      </w:pPr>
      <w:bookmarkStart w:id="426" w:name="_Toc522019895"/>
      <w:bookmarkStart w:id="427" w:name="_Toc58915793"/>
      <w:r>
        <w:rPr>
          <w:rFonts w:ascii="Times New Roman" w:hAnsi="Times New Roman"/>
          <w:sz w:val="24"/>
          <w:u w:val="none"/>
        </w:rPr>
        <w:t>3.8.4</w:t>
      </w:r>
      <w:r w:rsidRPr="00923AB1">
        <w:rPr>
          <w:u w:val="none"/>
        </w:rPr>
        <w:tab/>
      </w:r>
      <w:r>
        <w:rPr>
          <w:rFonts w:ascii="Times New Roman" w:hAnsi="Times New Roman"/>
          <w:sz w:val="24"/>
        </w:rPr>
        <w:t>C 14.01 – Informazioni dettagliate sulle cartolarizzazioni (SEC DETAILS 2)</w:t>
      </w:r>
      <w:bookmarkEnd w:id="426"/>
      <w:bookmarkEnd w:id="427"/>
    </w:p>
    <w:bookmarkStart w:id="428" w:name="_Toc522019896"/>
    <w:p w:rsidR="00CA4EB2" w:rsidRPr="00661595" w:rsidRDefault="00771068" w:rsidP="00E9572B">
      <w:pPr>
        <w:pStyle w:val="InstructionsText2"/>
        <w:numPr>
          <w:ilvl w:val="0"/>
          <w:numId w:val="0"/>
        </w:numPr>
        <w:ind w:left="1200"/>
      </w:pPr>
      <w:r>
        <w:fldChar w:fldCharType="begin"/>
      </w:r>
      <w:r>
        <w:instrText xml:space="preserve"> seq paragraphs </w:instrText>
      </w:r>
      <w:r>
        <w:fldChar w:fldCharType="separate"/>
      </w:r>
      <w:r>
        <w:t>118</w:t>
      </w:r>
      <w:r>
        <w:fldChar w:fldCharType="end"/>
      </w:r>
      <w:r>
        <w:t>. Il modello SEC DETAILS 2 è compilato separatamente per i seguenti metodi:</w:t>
      </w:r>
    </w:p>
    <w:p w:rsidR="00CA4EB2" w:rsidRPr="00661595" w:rsidRDefault="00CA4EB2" w:rsidP="00E9572B">
      <w:pPr>
        <w:pStyle w:val="InstructionsText2"/>
        <w:numPr>
          <w:ilvl w:val="0"/>
          <w:numId w:val="0"/>
        </w:numPr>
        <w:ind w:left="1200"/>
      </w:pPr>
      <w:r>
        <w:t>1) SEC-IRBA;</w:t>
      </w:r>
    </w:p>
    <w:p w:rsidR="00CA4EB2" w:rsidRPr="00661595" w:rsidRDefault="00CA4EB2" w:rsidP="00E9572B">
      <w:pPr>
        <w:pStyle w:val="InstructionsText2"/>
        <w:numPr>
          <w:ilvl w:val="0"/>
          <w:numId w:val="0"/>
        </w:numPr>
        <w:ind w:left="1200"/>
      </w:pPr>
      <w:r>
        <w:t>2) SEC-SA;</w:t>
      </w:r>
    </w:p>
    <w:p w:rsidR="00CA4EB2" w:rsidRPr="00661595" w:rsidRDefault="00CA4EB2" w:rsidP="00E9572B">
      <w:pPr>
        <w:pStyle w:val="InstructionsText2"/>
        <w:numPr>
          <w:ilvl w:val="0"/>
          <w:numId w:val="0"/>
        </w:numPr>
        <w:ind w:left="1200"/>
      </w:pPr>
      <w:r>
        <w:t>3) SEC-ERBA;</w:t>
      </w:r>
    </w:p>
    <w:p w:rsidR="00CA4EB2" w:rsidRPr="00661595" w:rsidRDefault="00CA4EB2" w:rsidP="00E9572B">
      <w:pPr>
        <w:pStyle w:val="InstructionsText2"/>
        <w:numPr>
          <w:ilvl w:val="0"/>
          <w:numId w:val="0"/>
        </w:numPr>
        <w:ind w:left="1200"/>
      </w:pPr>
      <w:r>
        <w:t>4) 1 250 %.</w:t>
      </w:r>
    </w:p>
    <w:bookmarkEnd w:id="428"/>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FC6275" w:rsidRPr="00661595" w:rsidTr="00E10B85">
        <w:tc>
          <w:tcPr>
            <w:tcW w:w="9004" w:type="dxa"/>
            <w:gridSpan w:val="2"/>
            <w:shd w:val="clear" w:color="auto" w:fill="CCCCCC"/>
          </w:tcPr>
          <w:p w:rsidR="00FC6275" w:rsidRPr="00661595" w:rsidRDefault="00FC6275" w:rsidP="00923AB1">
            <w:pPr>
              <w:suppressAutoHyphens/>
              <w:autoSpaceDE w:val="0"/>
              <w:autoSpaceDN w:val="0"/>
              <w:adjustRightInd w:val="0"/>
              <w:spacing w:before="0" w:after="0"/>
              <w:rPr>
                <w:rFonts w:ascii="Times New Roman" w:hAnsi="Times New Roman"/>
                <w:bCs/>
                <w:sz w:val="24"/>
                <w:lang w:eastAsia="nl-BE"/>
              </w:rPr>
            </w:pPr>
          </w:p>
          <w:p w:rsidR="00FC6275" w:rsidRPr="00661595" w:rsidRDefault="00FC6275" w:rsidP="00923AB1">
            <w:pPr>
              <w:suppressAutoHyphens/>
              <w:autoSpaceDE w:val="0"/>
              <w:autoSpaceDN w:val="0"/>
              <w:adjustRightInd w:val="0"/>
              <w:spacing w:before="0" w:after="0"/>
              <w:rPr>
                <w:rFonts w:ascii="Times New Roman" w:hAnsi="Times New Roman"/>
                <w:b/>
                <w:bCs/>
                <w:sz w:val="24"/>
              </w:rPr>
            </w:pPr>
            <w:r>
              <w:rPr>
                <w:rFonts w:ascii="Times New Roman" w:hAnsi="Times New Roman"/>
                <w:b/>
                <w:sz w:val="24"/>
              </w:rPr>
              <w:t>Colonne</w:t>
            </w:r>
          </w:p>
          <w:p w:rsidR="00FC6275" w:rsidRPr="00661595" w:rsidRDefault="00FC6275" w:rsidP="00923AB1">
            <w:pPr>
              <w:suppressAutoHyphens/>
              <w:autoSpaceDE w:val="0"/>
              <w:autoSpaceDN w:val="0"/>
              <w:adjustRightInd w:val="0"/>
              <w:spacing w:before="0" w:after="0"/>
              <w:rPr>
                <w:rFonts w:ascii="Times New Roman" w:hAnsi="Times New Roman"/>
                <w:bCs/>
                <w:sz w:val="24"/>
                <w:lang w:eastAsia="nl-BE"/>
              </w:rPr>
            </w:pPr>
          </w:p>
        </w:tc>
      </w:tr>
      <w:tr w:rsidR="00FC6275" w:rsidRPr="00661595" w:rsidTr="00E10B85">
        <w:tc>
          <w:tcPr>
            <w:tcW w:w="1101" w:type="dxa"/>
          </w:tcPr>
          <w:p w:rsidR="00FC6275" w:rsidRPr="00661595" w:rsidRDefault="00FC6275" w:rsidP="00923AB1">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0010</w:t>
            </w:r>
          </w:p>
        </w:tc>
        <w:tc>
          <w:tcPr>
            <w:tcW w:w="7903" w:type="dxa"/>
          </w:tcPr>
          <w:p w:rsidR="00FC6275" w:rsidRPr="00661595" w:rsidRDefault="00FC6275" w:rsidP="00923AB1">
            <w:pPr>
              <w:suppressAutoHyphens/>
              <w:spacing w:before="0" w:after="0"/>
              <w:jc w:val="left"/>
              <w:rPr>
                <w:rFonts w:ascii="Times New Roman" w:hAnsi="Times New Roman"/>
                <w:b/>
                <w:sz w:val="24"/>
                <w:u w:val="single"/>
              </w:rPr>
            </w:pPr>
            <w:r>
              <w:rPr>
                <w:rFonts w:ascii="Times New Roman" w:hAnsi="Times New Roman"/>
                <w:b/>
                <w:sz w:val="24"/>
                <w:u w:val="single"/>
              </w:rPr>
              <w:t>CODICE INTERNO</w:t>
            </w:r>
          </w:p>
          <w:p w:rsidR="00FC6275" w:rsidRPr="00661595" w:rsidRDefault="00FC6275" w:rsidP="00923AB1">
            <w:pPr>
              <w:suppressAutoHyphens/>
              <w:spacing w:before="0" w:after="0"/>
              <w:jc w:val="left"/>
              <w:rPr>
                <w:rFonts w:ascii="Times New Roman" w:hAnsi="Times New Roman"/>
                <w:sz w:val="24"/>
              </w:rPr>
            </w:pPr>
          </w:p>
          <w:p w:rsidR="00FC6275" w:rsidRPr="00661595" w:rsidRDefault="00FC6275" w:rsidP="00923AB1">
            <w:pPr>
              <w:suppressAutoHyphens/>
              <w:autoSpaceDE w:val="0"/>
              <w:autoSpaceDN w:val="0"/>
              <w:adjustRightInd w:val="0"/>
              <w:spacing w:before="0" w:after="0"/>
              <w:rPr>
                <w:rFonts w:ascii="Times New Roman" w:hAnsi="Times New Roman"/>
                <w:sz w:val="24"/>
              </w:rPr>
            </w:pPr>
            <w:r>
              <w:rPr>
                <w:rFonts w:ascii="Times New Roman" w:hAnsi="Times New Roman"/>
                <w:sz w:val="24"/>
              </w:rPr>
              <w:t>Codice interno (alfanumerico) utilizzato dall</w:t>
            </w:r>
            <w:r w:rsidR="000878EC">
              <w:rPr>
                <w:rFonts w:ascii="Times New Roman" w:hAnsi="Times New Roman"/>
                <w:sz w:val="24"/>
              </w:rPr>
              <w:t>'</w:t>
            </w:r>
            <w:r>
              <w:rPr>
                <w:rFonts w:ascii="Times New Roman" w:hAnsi="Times New Roman"/>
                <w:sz w:val="24"/>
              </w:rPr>
              <w:t>ente per identificare la cartolarizzazione. Il codice interno è associato all</w:t>
            </w:r>
            <w:r w:rsidR="000878EC">
              <w:rPr>
                <w:rFonts w:ascii="Times New Roman" w:hAnsi="Times New Roman"/>
                <w:sz w:val="24"/>
              </w:rPr>
              <w:t>'</w:t>
            </w:r>
            <w:r>
              <w:rPr>
                <w:rFonts w:ascii="Times New Roman" w:hAnsi="Times New Roman"/>
                <w:sz w:val="24"/>
              </w:rPr>
              <w:t>identificativo dell</w:t>
            </w:r>
            <w:r w:rsidR="000878EC">
              <w:rPr>
                <w:rFonts w:ascii="Times New Roman" w:hAnsi="Times New Roman"/>
                <w:sz w:val="24"/>
              </w:rPr>
              <w:t>'</w:t>
            </w:r>
            <w:r>
              <w:rPr>
                <w:rFonts w:ascii="Times New Roman" w:hAnsi="Times New Roman"/>
                <w:sz w:val="24"/>
              </w:rPr>
              <w:t>operazione di cartolarizzazione.</w:t>
            </w:r>
          </w:p>
          <w:p w:rsidR="00FC6275" w:rsidRPr="00661595" w:rsidRDefault="00FC6275" w:rsidP="00923AB1">
            <w:pPr>
              <w:suppressAutoHyphens/>
              <w:autoSpaceDE w:val="0"/>
              <w:autoSpaceDN w:val="0"/>
              <w:adjustRightInd w:val="0"/>
              <w:spacing w:before="0" w:after="0"/>
              <w:jc w:val="left"/>
              <w:rPr>
                <w:rFonts w:ascii="Times New Roman" w:hAnsi="Times New Roman"/>
                <w:bCs/>
                <w:sz w:val="24"/>
                <w:lang w:eastAsia="nl-BE"/>
              </w:rPr>
            </w:pPr>
          </w:p>
        </w:tc>
      </w:tr>
      <w:tr w:rsidR="00FC6275" w:rsidRPr="00661595" w:rsidTr="00E10B85">
        <w:tc>
          <w:tcPr>
            <w:tcW w:w="1101" w:type="dxa"/>
          </w:tcPr>
          <w:p w:rsidR="00FC6275" w:rsidRPr="00661595" w:rsidRDefault="00973973" w:rsidP="00923AB1">
            <w:pPr>
              <w:suppressAutoHyphens/>
              <w:autoSpaceDE w:val="0"/>
              <w:autoSpaceDN w:val="0"/>
              <w:adjustRightInd w:val="0"/>
              <w:spacing w:before="0" w:after="0"/>
              <w:rPr>
                <w:rFonts w:ascii="Times New Roman" w:hAnsi="Times New Roman"/>
                <w:bCs/>
                <w:sz w:val="24"/>
              </w:rPr>
            </w:pPr>
            <w:r>
              <w:rPr>
                <w:rFonts w:ascii="Times New Roman" w:hAnsi="Times New Roman"/>
                <w:sz w:val="24"/>
              </w:rPr>
              <w:t>0020</w:t>
            </w:r>
          </w:p>
        </w:tc>
        <w:tc>
          <w:tcPr>
            <w:tcW w:w="7903" w:type="dxa"/>
          </w:tcPr>
          <w:p w:rsidR="00FC6275" w:rsidRPr="00661595" w:rsidRDefault="00FC6275" w:rsidP="00923AB1">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IDENTIFICATIVO DELLA CARTOLARIZZAZIONE</w:t>
            </w:r>
            <w:r>
              <w:rPr>
                <w:rFonts w:ascii="Times New Roman" w:hAnsi="Times New Roman"/>
                <w:b/>
                <w:sz w:val="24"/>
              </w:rPr>
              <w:t xml:space="preserve"> (codice/denominazione)</w:t>
            </w:r>
          </w:p>
          <w:p w:rsidR="00FC6275" w:rsidRPr="00661595" w:rsidRDefault="00FC6275" w:rsidP="00923AB1">
            <w:pPr>
              <w:suppressAutoHyphens/>
              <w:spacing w:before="0" w:after="0"/>
              <w:jc w:val="left"/>
              <w:rPr>
                <w:rFonts w:ascii="Times New Roman" w:hAnsi="Times New Roman"/>
                <w:sz w:val="24"/>
              </w:rPr>
            </w:pPr>
          </w:p>
          <w:p w:rsidR="00FC6275" w:rsidRPr="00661595" w:rsidRDefault="00FC6275" w:rsidP="00923AB1">
            <w:pPr>
              <w:suppressAutoHyphens/>
              <w:autoSpaceDE w:val="0"/>
              <w:autoSpaceDN w:val="0"/>
              <w:adjustRightInd w:val="0"/>
              <w:spacing w:before="0" w:after="0"/>
              <w:rPr>
                <w:rFonts w:ascii="Times New Roman" w:hAnsi="Times New Roman"/>
                <w:sz w:val="24"/>
              </w:rPr>
            </w:pPr>
            <w:r>
              <w:rPr>
                <w:rFonts w:ascii="Times New Roman" w:hAnsi="Times New Roman"/>
                <w:sz w:val="24"/>
              </w:rPr>
              <w:t>Codice utilizzato per la registrazione legale della posizione verso la cartolarizzazione o dell</w:t>
            </w:r>
            <w:r w:rsidR="000878EC">
              <w:rPr>
                <w:rFonts w:ascii="Times New Roman" w:hAnsi="Times New Roman"/>
                <w:sz w:val="24"/>
              </w:rPr>
              <w:t>'</w:t>
            </w:r>
            <w:r>
              <w:rPr>
                <w:rFonts w:ascii="Times New Roman" w:hAnsi="Times New Roman"/>
                <w:sz w:val="24"/>
              </w:rPr>
              <w:t>operazione di cartolarizzazione nel caso di diverse posizioni che possono essere segnalate nella stessa riga o, in sua mancanza, denominazione con la quale la posizione verso la cartolarizzazione o l</w:t>
            </w:r>
            <w:r w:rsidR="000878EC">
              <w:rPr>
                <w:rFonts w:ascii="Times New Roman" w:hAnsi="Times New Roman"/>
                <w:sz w:val="24"/>
              </w:rPr>
              <w:t>'</w:t>
            </w:r>
            <w:r>
              <w:rPr>
                <w:rFonts w:ascii="Times New Roman" w:hAnsi="Times New Roman"/>
                <w:sz w:val="24"/>
              </w:rPr>
              <w:t>operazione di cartolarizzazione è nota sul mercato, o all</w:t>
            </w:r>
            <w:r w:rsidR="000878EC">
              <w:rPr>
                <w:rFonts w:ascii="Times New Roman" w:hAnsi="Times New Roman"/>
                <w:sz w:val="24"/>
              </w:rPr>
              <w:t>'</w:t>
            </w:r>
            <w:r>
              <w:rPr>
                <w:rFonts w:ascii="Times New Roman" w:hAnsi="Times New Roman"/>
                <w:sz w:val="24"/>
              </w:rPr>
              <w:t>interno dell</w:t>
            </w:r>
            <w:r w:rsidR="000878EC">
              <w:rPr>
                <w:rFonts w:ascii="Times New Roman" w:hAnsi="Times New Roman"/>
                <w:sz w:val="24"/>
              </w:rPr>
              <w:t>'</w:t>
            </w:r>
            <w:r>
              <w:rPr>
                <w:rFonts w:ascii="Times New Roman" w:hAnsi="Times New Roman"/>
                <w:sz w:val="24"/>
              </w:rPr>
              <w:t>ente in caso di cartolarizzazione interna o privata. Quando è disponibile il numero internazionale di identificazione dei titoli (International Securities Identification Number — ISIN), ossia nel caso di operazioni pubbliche, in questa colonna sono riportati i caratteri comuni a tutti i segmenti della cartolarizzazione.</w:t>
            </w:r>
          </w:p>
          <w:p w:rsidR="00FC6275" w:rsidRPr="00661595" w:rsidRDefault="00FC6275" w:rsidP="00923AB1">
            <w:pPr>
              <w:suppressAutoHyphens/>
              <w:autoSpaceDE w:val="0"/>
              <w:autoSpaceDN w:val="0"/>
              <w:adjustRightInd w:val="0"/>
              <w:spacing w:before="0" w:after="0"/>
              <w:jc w:val="left"/>
              <w:rPr>
                <w:rFonts w:ascii="Times New Roman" w:hAnsi="Times New Roman"/>
                <w:bCs/>
                <w:sz w:val="24"/>
                <w:lang w:eastAsia="nl-BE"/>
              </w:rPr>
            </w:pPr>
          </w:p>
        </w:tc>
      </w:tr>
      <w:tr w:rsidR="00FC6275" w:rsidRPr="00661595" w:rsidTr="00E10B85">
        <w:tc>
          <w:tcPr>
            <w:tcW w:w="1101" w:type="dxa"/>
          </w:tcPr>
          <w:p w:rsidR="00FC6275" w:rsidRPr="00661595" w:rsidRDefault="00973973" w:rsidP="00923AB1">
            <w:pPr>
              <w:suppressAutoHyphens/>
              <w:autoSpaceDE w:val="0"/>
              <w:autoSpaceDN w:val="0"/>
              <w:adjustRightInd w:val="0"/>
              <w:spacing w:before="0" w:after="0"/>
              <w:rPr>
                <w:rFonts w:ascii="Times New Roman" w:hAnsi="Times New Roman"/>
                <w:bCs/>
                <w:sz w:val="24"/>
              </w:rPr>
            </w:pPr>
            <w:r>
              <w:rPr>
                <w:rFonts w:ascii="Times New Roman" w:hAnsi="Times New Roman"/>
                <w:sz w:val="24"/>
              </w:rPr>
              <w:t>0310-0400</w:t>
            </w:r>
          </w:p>
        </w:tc>
        <w:tc>
          <w:tcPr>
            <w:tcW w:w="7903" w:type="dxa"/>
          </w:tcPr>
          <w:p w:rsidR="00FC6275" w:rsidRPr="00661595" w:rsidRDefault="00FC6275" w:rsidP="00923AB1">
            <w:pPr>
              <w:suppressAutoHyphens/>
              <w:spacing w:before="0" w:after="0"/>
              <w:jc w:val="left"/>
              <w:rPr>
                <w:rFonts w:ascii="Times New Roman" w:hAnsi="Times New Roman"/>
                <w:b/>
                <w:sz w:val="24"/>
                <w:u w:val="single"/>
              </w:rPr>
            </w:pPr>
            <w:r>
              <w:rPr>
                <w:rFonts w:ascii="Times New Roman" w:hAnsi="Times New Roman"/>
                <w:b/>
                <w:sz w:val="24"/>
                <w:u w:val="single"/>
              </w:rPr>
              <w:t>POSIZIONI VERSO LA CARTOLARIZZAZIONE: ESPOSIZIONE ORIGINARIA PRIMA DELL</w:t>
            </w:r>
            <w:r w:rsidR="000878EC">
              <w:rPr>
                <w:rFonts w:ascii="Times New Roman" w:hAnsi="Times New Roman"/>
                <w:b/>
                <w:sz w:val="24"/>
                <w:u w:val="single"/>
              </w:rPr>
              <w:t>'</w:t>
            </w:r>
            <w:r>
              <w:rPr>
                <w:rFonts w:ascii="Times New Roman" w:hAnsi="Times New Roman"/>
                <w:b/>
                <w:sz w:val="24"/>
                <w:u w:val="single"/>
              </w:rPr>
              <w:t>APPLICAZIONE DEI FATTORI DI CONVERSIONE</w:t>
            </w:r>
          </w:p>
          <w:p w:rsidR="00FC6275" w:rsidRPr="00661595" w:rsidRDefault="00FC6275" w:rsidP="00923AB1">
            <w:pPr>
              <w:suppressAutoHyphens/>
              <w:spacing w:before="0" w:after="0"/>
              <w:jc w:val="left"/>
              <w:rPr>
                <w:rFonts w:ascii="Times New Roman" w:hAnsi="Times New Roman"/>
                <w:sz w:val="24"/>
              </w:rPr>
            </w:pPr>
          </w:p>
          <w:p w:rsidR="00FC6275" w:rsidRPr="00661595" w:rsidRDefault="00FC6275" w:rsidP="00923AB1">
            <w:pPr>
              <w:suppressAutoHyphens/>
              <w:spacing w:before="0" w:after="0"/>
              <w:rPr>
                <w:rFonts w:ascii="Times New Roman" w:hAnsi="Times New Roman"/>
                <w:sz w:val="24"/>
              </w:rPr>
            </w:pPr>
            <w:r>
              <w:rPr>
                <w:rFonts w:ascii="Times New Roman" w:hAnsi="Times New Roman"/>
                <w:sz w:val="24"/>
              </w:rPr>
              <w:t xml:space="preserve">Questo blocco di colonne contiene informazioni sulle posizioni verso la cartolarizzazione suddivise in posizioni in bilancio/fuori bilancio e in segmenti (senior/mezzanine/prime perdite) alla data di riferimento per le segnalazioni. </w:t>
            </w:r>
          </w:p>
          <w:p w:rsidR="00FC6275" w:rsidRPr="00661595" w:rsidRDefault="00FC6275" w:rsidP="00923AB1">
            <w:pPr>
              <w:suppressAutoHyphens/>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923AB1">
            <w:pPr>
              <w:suppressAutoHyphens/>
              <w:autoSpaceDE w:val="0"/>
              <w:autoSpaceDN w:val="0"/>
              <w:adjustRightInd w:val="0"/>
              <w:spacing w:before="0" w:after="0"/>
              <w:rPr>
                <w:rFonts w:ascii="Times New Roman" w:hAnsi="Times New Roman"/>
                <w:bCs/>
                <w:sz w:val="24"/>
              </w:rPr>
            </w:pPr>
            <w:r>
              <w:rPr>
                <w:rFonts w:ascii="Times New Roman" w:hAnsi="Times New Roman"/>
                <w:sz w:val="24"/>
              </w:rPr>
              <w:t>0310-0330</w:t>
            </w:r>
          </w:p>
        </w:tc>
        <w:tc>
          <w:tcPr>
            <w:tcW w:w="7903" w:type="dxa"/>
          </w:tcPr>
          <w:p w:rsidR="00FC6275" w:rsidRPr="00661595" w:rsidRDefault="00FC6275" w:rsidP="00923AB1">
            <w:pPr>
              <w:suppressAutoHyphens/>
              <w:spacing w:before="0" w:after="0"/>
              <w:jc w:val="left"/>
              <w:rPr>
                <w:rFonts w:ascii="Times New Roman" w:hAnsi="Times New Roman"/>
                <w:b/>
                <w:sz w:val="24"/>
                <w:u w:val="single"/>
              </w:rPr>
            </w:pPr>
            <w:r>
              <w:rPr>
                <w:rFonts w:ascii="Times New Roman" w:hAnsi="Times New Roman"/>
                <w:b/>
                <w:sz w:val="24"/>
                <w:u w:val="single"/>
              </w:rPr>
              <w:t xml:space="preserve">ELEMENTI IN BILANCIO </w:t>
            </w:r>
          </w:p>
          <w:p w:rsidR="00FC6275" w:rsidRPr="00661595" w:rsidRDefault="00FC6275" w:rsidP="00923AB1">
            <w:pPr>
              <w:suppressAutoHyphens/>
              <w:spacing w:before="0" w:after="0"/>
              <w:jc w:val="left"/>
              <w:rPr>
                <w:rFonts w:ascii="Times New Roman" w:hAnsi="Times New Roman"/>
                <w:sz w:val="24"/>
              </w:rPr>
            </w:pPr>
          </w:p>
          <w:p w:rsidR="00FC6275" w:rsidRPr="00661595" w:rsidRDefault="00FC6275" w:rsidP="00923AB1">
            <w:pPr>
              <w:suppressAutoHyphens/>
              <w:spacing w:before="0" w:after="0"/>
              <w:jc w:val="left"/>
              <w:rPr>
                <w:rFonts w:ascii="Times New Roman" w:hAnsi="Times New Roman"/>
                <w:sz w:val="24"/>
              </w:rPr>
            </w:pPr>
            <w:r>
              <w:rPr>
                <w:rFonts w:ascii="Times New Roman" w:hAnsi="Times New Roman"/>
                <w:sz w:val="24"/>
              </w:rPr>
              <w:t>Si applicano gli stessi criteri utilizzati per le colonne 0230, 0240 e 0250 ai fini della classificazione nei segmenti.</w:t>
            </w:r>
          </w:p>
          <w:p w:rsidR="00FC6275" w:rsidRPr="00661595" w:rsidRDefault="00FC6275" w:rsidP="00923AB1">
            <w:pPr>
              <w:suppressAutoHyphens/>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923AB1">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0340-0361</w:t>
            </w:r>
          </w:p>
        </w:tc>
        <w:tc>
          <w:tcPr>
            <w:tcW w:w="7903" w:type="dxa"/>
          </w:tcPr>
          <w:p w:rsidR="00FC6275" w:rsidRPr="00661595" w:rsidRDefault="00FC6275" w:rsidP="00923AB1">
            <w:pPr>
              <w:suppressAutoHyphens/>
              <w:spacing w:before="0" w:after="0"/>
              <w:jc w:val="left"/>
              <w:rPr>
                <w:rFonts w:ascii="Times New Roman" w:hAnsi="Times New Roman"/>
                <w:b/>
                <w:sz w:val="24"/>
                <w:u w:val="single"/>
              </w:rPr>
            </w:pPr>
            <w:r>
              <w:rPr>
                <w:rFonts w:ascii="Times New Roman" w:hAnsi="Times New Roman"/>
                <w:b/>
                <w:sz w:val="24"/>
                <w:u w:val="single"/>
              </w:rPr>
              <w:t>ELEMENTI FUORI BILANCIO E DERIVATI</w:t>
            </w:r>
          </w:p>
          <w:p w:rsidR="00FC6275" w:rsidRPr="00661595" w:rsidRDefault="00FC6275" w:rsidP="00923AB1">
            <w:pPr>
              <w:suppressAutoHyphens/>
              <w:spacing w:before="0" w:after="0"/>
              <w:jc w:val="left"/>
              <w:rPr>
                <w:rFonts w:ascii="Times New Roman" w:hAnsi="Times New Roman"/>
                <w:sz w:val="24"/>
              </w:rPr>
            </w:pPr>
          </w:p>
          <w:p w:rsidR="00FC6275" w:rsidRPr="00661595" w:rsidRDefault="00FC6275" w:rsidP="00923AB1">
            <w:pPr>
              <w:suppressAutoHyphens/>
              <w:spacing w:before="0" w:after="0"/>
              <w:jc w:val="left"/>
              <w:rPr>
                <w:rFonts w:ascii="Times New Roman" w:hAnsi="Times New Roman"/>
                <w:sz w:val="24"/>
              </w:rPr>
            </w:pPr>
            <w:r>
              <w:rPr>
                <w:rFonts w:ascii="Times New Roman" w:hAnsi="Times New Roman"/>
                <w:sz w:val="24"/>
              </w:rPr>
              <w:t>Si applicano gli stessi criteri utilizzati per le colonne da 0260 a 0280 ai fini della classificazione nei segmenti.</w:t>
            </w:r>
          </w:p>
          <w:p w:rsidR="00FC6275" w:rsidRPr="00661595" w:rsidRDefault="00FC6275" w:rsidP="00923AB1">
            <w:pPr>
              <w:suppressAutoHyphens/>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923AB1">
            <w:pPr>
              <w:suppressAutoHyphens/>
              <w:autoSpaceDE w:val="0"/>
              <w:autoSpaceDN w:val="0"/>
              <w:adjustRightInd w:val="0"/>
              <w:spacing w:before="0" w:after="0"/>
              <w:rPr>
                <w:rFonts w:ascii="Times New Roman" w:hAnsi="Times New Roman"/>
                <w:sz w:val="24"/>
              </w:rPr>
            </w:pPr>
            <w:r>
              <w:rPr>
                <w:rFonts w:ascii="Times New Roman" w:hAnsi="Times New Roman"/>
                <w:sz w:val="24"/>
              </w:rPr>
              <w:t>0351 e 0361</w:t>
            </w:r>
          </w:p>
        </w:tc>
        <w:tc>
          <w:tcPr>
            <w:tcW w:w="7903" w:type="dxa"/>
          </w:tcPr>
          <w:p w:rsidR="00FC6275" w:rsidRPr="00661595" w:rsidRDefault="00FC6275" w:rsidP="00923AB1">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RW CORRISPONDENTE AL FORNITORE DELLA PROTEZIONE/ALLO STRUMENTO DI PROTEZIONE</w:t>
            </w:r>
          </w:p>
          <w:p w:rsidR="00FC6275" w:rsidRPr="00661595" w:rsidRDefault="00FC6275" w:rsidP="00923AB1">
            <w:pPr>
              <w:suppressAutoHyphens/>
              <w:autoSpaceDE w:val="0"/>
              <w:autoSpaceDN w:val="0"/>
              <w:adjustRightInd w:val="0"/>
              <w:spacing w:before="0" w:after="0"/>
              <w:jc w:val="left"/>
              <w:rPr>
                <w:rFonts w:ascii="Times New Roman" w:hAnsi="Times New Roman"/>
                <w:b/>
                <w:sz w:val="24"/>
                <w:u w:val="single"/>
              </w:rPr>
            </w:pPr>
          </w:p>
          <w:p w:rsidR="00FC6275" w:rsidRPr="00661595" w:rsidRDefault="00FC6275" w:rsidP="00923AB1">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 di ponderazione del rischio (RW) del garante ammissibile o % di ponderazione del rischio del corrispondente strumento che fornisce protezione del credito conformemente all</w:t>
            </w:r>
            <w:r w:rsidR="000878EC">
              <w:rPr>
                <w:rFonts w:ascii="Times New Roman" w:hAnsi="Times New Roman"/>
                <w:sz w:val="24"/>
              </w:rPr>
              <w:t>'</w:t>
            </w:r>
            <w:r>
              <w:rPr>
                <w:rFonts w:ascii="Times New Roman" w:hAnsi="Times New Roman"/>
                <w:sz w:val="24"/>
              </w:rPr>
              <w:t>articolo 249 del CRR.</w:t>
            </w:r>
          </w:p>
          <w:p w:rsidR="00FC6275" w:rsidRPr="00661595" w:rsidRDefault="00FC6275" w:rsidP="00923AB1">
            <w:pPr>
              <w:suppressAutoHyphens/>
              <w:autoSpaceDE w:val="0"/>
              <w:autoSpaceDN w:val="0"/>
              <w:adjustRightInd w:val="0"/>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923AB1">
            <w:pPr>
              <w:suppressAutoHyphens/>
              <w:autoSpaceDE w:val="0"/>
              <w:autoSpaceDN w:val="0"/>
              <w:adjustRightInd w:val="0"/>
              <w:spacing w:before="0" w:after="0"/>
              <w:rPr>
                <w:rFonts w:ascii="Times New Roman" w:hAnsi="Times New Roman"/>
                <w:sz w:val="24"/>
              </w:rPr>
            </w:pPr>
            <w:r>
              <w:rPr>
                <w:rFonts w:ascii="Times New Roman" w:hAnsi="Times New Roman"/>
                <w:sz w:val="24"/>
              </w:rPr>
              <w:t>0370-0400</w:t>
            </w:r>
          </w:p>
        </w:tc>
        <w:tc>
          <w:tcPr>
            <w:tcW w:w="7903" w:type="dxa"/>
          </w:tcPr>
          <w:p w:rsidR="00FC6275" w:rsidRPr="00661595" w:rsidRDefault="00FC6275" w:rsidP="00923AB1">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VOCI PER MEMORIA: ELEMENTI FUORI BILANCIO E DERIVATI PRIMA DELL</w:t>
            </w:r>
            <w:r w:rsidR="000878EC">
              <w:rPr>
                <w:rFonts w:ascii="Times New Roman" w:hAnsi="Times New Roman"/>
                <w:b/>
                <w:sz w:val="24"/>
                <w:u w:val="single"/>
              </w:rPr>
              <w:t>'</w:t>
            </w:r>
            <w:r>
              <w:rPr>
                <w:rFonts w:ascii="Times New Roman" w:hAnsi="Times New Roman"/>
                <w:b/>
                <w:sz w:val="24"/>
                <w:u w:val="single"/>
              </w:rPr>
              <w:t>APPLICAZIONE DEI FATTORI DI CONVERSIONE</w:t>
            </w:r>
          </w:p>
          <w:p w:rsidR="00FC6275" w:rsidRPr="00661595" w:rsidRDefault="00FC6275" w:rsidP="00923AB1">
            <w:pPr>
              <w:suppressAutoHyphens/>
              <w:autoSpaceDE w:val="0"/>
              <w:autoSpaceDN w:val="0"/>
              <w:adjustRightInd w:val="0"/>
              <w:spacing w:before="0" w:after="0"/>
              <w:jc w:val="left"/>
              <w:rPr>
                <w:rFonts w:ascii="Times New Roman" w:hAnsi="Times New Roman"/>
                <w:b/>
                <w:sz w:val="24"/>
                <w:u w:val="single"/>
              </w:rPr>
            </w:pPr>
          </w:p>
          <w:p w:rsidR="00FC6275" w:rsidRPr="00661595" w:rsidRDefault="00FC6275" w:rsidP="00923AB1">
            <w:pPr>
              <w:suppressAutoHyphens/>
              <w:autoSpaceDE w:val="0"/>
              <w:autoSpaceDN w:val="0"/>
              <w:adjustRightInd w:val="0"/>
              <w:spacing w:before="0" w:after="0"/>
              <w:rPr>
                <w:rFonts w:ascii="Times New Roman" w:hAnsi="Times New Roman"/>
                <w:sz w:val="24"/>
              </w:rPr>
            </w:pPr>
            <w:r>
              <w:rPr>
                <w:rFonts w:ascii="Times New Roman" w:hAnsi="Times New Roman"/>
                <w:sz w:val="24"/>
              </w:rPr>
              <w:t>Questo blocco di colonne contiene informazioni aggiuntive riguardanti gli elementi fuori bilancio e i derivati totali (già segnalati nelle colonne 0340-0361 in base a una ripartizione differente).</w:t>
            </w:r>
          </w:p>
          <w:p w:rsidR="00FC6275" w:rsidRPr="00661595" w:rsidRDefault="00FC6275" w:rsidP="00923AB1">
            <w:pPr>
              <w:suppressAutoHyphens/>
              <w:autoSpaceDE w:val="0"/>
              <w:autoSpaceDN w:val="0"/>
              <w:adjustRightInd w:val="0"/>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923AB1">
            <w:pPr>
              <w:suppressAutoHyphens/>
              <w:autoSpaceDE w:val="0"/>
              <w:autoSpaceDN w:val="0"/>
              <w:adjustRightInd w:val="0"/>
              <w:spacing w:before="0" w:after="0"/>
              <w:rPr>
                <w:rFonts w:ascii="Times New Roman" w:hAnsi="Times New Roman"/>
                <w:sz w:val="24"/>
              </w:rPr>
            </w:pPr>
            <w:r>
              <w:rPr>
                <w:rFonts w:ascii="Times New Roman" w:hAnsi="Times New Roman"/>
                <w:sz w:val="24"/>
              </w:rPr>
              <w:t>0370</w:t>
            </w:r>
          </w:p>
        </w:tc>
        <w:tc>
          <w:tcPr>
            <w:tcW w:w="7903" w:type="dxa"/>
          </w:tcPr>
          <w:p w:rsidR="00FC6275" w:rsidRPr="00661595" w:rsidRDefault="00FC6275" w:rsidP="00923AB1">
            <w:pPr>
              <w:suppressAutoHyphens/>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SOSTITUTI DEL CREDITO DIRETTI (DCS)</w:t>
            </w:r>
          </w:p>
          <w:p w:rsidR="00FC6275" w:rsidRPr="00661595" w:rsidRDefault="00FC6275" w:rsidP="00923AB1">
            <w:pPr>
              <w:suppressAutoHyphens/>
              <w:autoSpaceDE w:val="0"/>
              <w:autoSpaceDN w:val="0"/>
              <w:adjustRightInd w:val="0"/>
              <w:spacing w:before="0" w:after="0"/>
              <w:jc w:val="left"/>
              <w:rPr>
                <w:rFonts w:ascii="Times New Roman" w:hAnsi="Times New Roman"/>
                <w:b/>
                <w:sz w:val="24"/>
                <w:u w:val="single"/>
              </w:rPr>
            </w:pPr>
          </w:p>
          <w:p w:rsidR="00FC6275" w:rsidRPr="00661595" w:rsidRDefault="00FC6275" w:rsidP="00923AB1">
            <w:pPr>
              <w:suppressAutoHyphens/>
              <w:spacing w:before="0" w:after="0"/>
              <w:rPr>
                <w:rFonts w:ascii="Times New Roman" w:hAnsi="Times New Roman"/>
                <w:sz w:val="24"/>
              </w:rPr>
            </w:pPr>
            <w:r>
              <w:rPr>
                <w:rFonts w:ascii="Times New Roman" w:hAnsi="Times New Roman"/>
                <w:sz w:val="24"/>
              </w:rPr>
              <w:t>Questa colonna serve per le posizioni verso la cartolarizzazione detenute dal cedente e garantite tramite sostituti del credito diretti (direct credit substitutes, DCS).</w:t>
            </w:r>
          </w:p>
          <w:p w:rsidR="00FC6275" w:rsidRPr="00661595" w:rsidRDefault="00FC6275" w:rsidP="00923AB1">
            <w:pPr>
              <w:suppressAutoHyphens/>
              <w:spacing w:before="0" w:after="0"/>
              <w:rPr>
                <w:rFonts w:ascii="Times New Roman" w:hAnsi="Times New Roman"/>
                <w:sz w:val="24"/>
              </w:rPr>
            </w:pPr>
          </w:p>
          <w:p w:rsidR="00FC6275" w:rsidRPr="00661595" w:rsidRDefault="00BB22D4" w:rsidP="00923AB1">
            <w:pPr>
              <w:suppressAutoHyphens/>
              <w:spacing w:before="0" w:after="0"/>
              <w:rPr>
                <w:rFonts w:ascii="Times New Roman" w:hAnsi="Times New Roman"/>
                <w:sz w:val="24"/>
              </w:rPr>
            </w:pPr>
            <w:r>
              <w:rPr>
                <w:rFonts w:ascii="Times New Roman" w:hAnsi="Times New Roman"/>
                <w:sz w:val="24"/>
              </w:rPr>
              <w:t>Conformemente all</w:t>
            </w:r>
            <w:r w:rsidR="000878EC">
              <w:rPr>
                <w:rFonts w:ascii="Times New Roman" w:hAnsi="Times New Roman"/>
                <w:sz w:val="24"/>
              </w:rPr>
              <w:t>'</w:t>
            </w:r>
            <w:r>
              <w:rPr>
                <w:rFonts w:ascii="Times New Roman" w:hAnsi="Times New Roman"/>
                <w:sz w:val="24"/>
              </w:rPr>
              <w:t>allegato I del CRR sono considerati sostituti del credito diretti (DCS) i seguenti elementi fuori bilancio a rischio pieno:</w:t>
            </w:r>
          </w:p>
          <w:p w:rsidR="00FC6275" w:rsidRPr="00661595" w:rsidRDefault="00FC6275" w:rsidP="00923AB1">
            <w:pPr>
              <w:suppressAutoHyphens/>
              <w:spacing w:before="0" w:after="0"/>
              <w:rPr>
                <w:rFonts w:ascii="Times New Roman" w:hAnsi="Times New Roman"/>
                <w:sz w:val="24"/>
              </w:rPr>
            </w:pPr>
          </w:p>
          <w:p w:rsidR="00FC6275" w:rsidRPr="00661595" w:rsidRDefault="00FC6275" w:rsidP="00923AB1">
            <w:pPr>
              <w:suppressAutoHyphens/>
              <w:spacing w:before="0" w:after="0"/>
              <w:rPr>
                <w:rFonts w:ascii="Times New Roman" w:hAnsi="Times New Roman"/>
                <w:i/>
                <w:sz w:val="24"/>
              </w:rPr>
            </w:pPr>
            <w:r>
              <w:rPr>
                <w:rFonts w:ascii="Times New Roman" w:hAnsi="Times New Roman"/>
                <w:i/>
                <w:sz w:val="24"/>
              </w:rPr>
              <w:t>- garanzie che assumono la forma di sostituti del credito;</w:t>
            </w:r>
          </w:p>
          <w:p w:rsidR="00FC6275" w:rsidRPr="00661595" w:rsidRDefault="00FC6275" w:rsidP="00923AB1">
            <w:pPr>
              <w:suppressAutoHyphens/>
              <w:spacing w:before="0" w:after="0"/>
              <w:rPr>
                <w:rFonts w:ascii="Times New Roman" w:hAnsi="Times New Roman"/>
                <w:i/>
                <w:sz w:val="24"/>
              </w:rPr>
            </w:pPr>
            <w:r>
              <w:rPr>
                <w:rFonts w:ascii="Times New Roman" w:hAnsi="Times New Roman"/>
                <w:i/>
                <w:sz w:val="24"/>
              </w:rPr>
              <w:t>- lettere di credito standby irrevocabili che assumono la forma di sostituti del credito.</w:t>
            </w:r>
          </w:p>
          <w:p w:rsidR="00FC6275" w:rsidRPr="00661595" w:rsidRDefault="00FC6275" w:rsidP="00923AB1">
            <w:pPr>
              <w:suppressAutoHyphens/>
              <w:autoSpaceDE w:val="0"/>
              <w:autoSpaceDN w:val="0"/>
              <w:adjustRightInd w:val="0"/>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923AB1">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0380</w:t>
            </w:r>
          </w:p>
        </w:tc>
        <w:tc>
          <w:tcPr>
            <w:tcW w:w="7903" w:type="dxa"/>
          </w:tcPr>
          <w:p w:rsidR="00FC6275" w:rsidRPr="00661595" w:rsidRDefault="00FC6275" w:rsidP="00923AB1">
            <w:pPr>
              <w:suppressAutoHyphens/>
              <w:spacing w:before="0" w:after="0"/>
              <w:jc w:val="left"/>
              <w:rPr>
                <w:rFonts w:ascii="Times New Roman" w:hAnsi="Times New Roman"/>
                <w:b/>
                <w:sz w:val="24"/>
                <w:u w:val="single"/>
              </w:rPr>
            </w:pPr>
            <w:r>
              <w:rPr>
                <w:rFonts w:ascii="Times New Roman" w:hAnsi="Times New Roman"/>
                <w:b/>
                <w:sz w:val="24"/>
                <w:u w:val="single"/>
              </w:rPr>
              <w:t>IRS / CRS</w:t>
            </w:r>
          </w:p>
          <w:p w:rsidR="00FC6275" w:rsidRPr="00661595" w:rsidRDefault="00FC6275" w:rsidP="00923AB1">
            <w:pPr>
              <w:suppressAutoHyphens/>
              <w:spacing w:before="0" w:after="0"/>
              <w:jc w:val="left"/>
              <w:rPr>
                <w:rFonts w:ascii="Times New Roman" w:hAnsi="Times New Roman"/>
                <w:sz w:val="24"/>
              </w:rPr>
            </w:pPr>
          </w:p>
          <w:p w:rsidR="00FC6275" w:rsidRPr="00661595" w:rsidRDefault="00FC6275" w:rsidP="00923AB1">
            <w:pPr>
              <w:suppressAutoHyphens/>
              <w:spacing w:before="0" w:after="0"/>
              <w:rPr>
                <w:rFonts w:ascii="Times New Roman" w:hAnsi="Times New Roman"/>
                <w:sz w:val="24"/>
              </w:rPr>
            </w:pPr>
            <w:r>
              <w:rPr>
                <w:rFonts w:ascii="Times New Roman" w:hAnsi="Times New Roman"/>
                <w:sz w:val="24"/>
              </w:rPr>
              <w:t xml:space="preserve">IRS significa </w:t>
            </w:r>
            <w:r w:rsidR="000878EC">
              <w:rPr>
                <w:rFonts w:ascii="Times New Roman" w:hAnsi="Times New Roman"/>
                <w:sz w:val="24"/>
              </w:rPr>
              <w:t>"</w:t>
            </w:r>
            <w:r>
              <w:rPr>
                <w:rFonts w:ascii="Times New Roman" w:hAnsi="Times New Roman"/>
                <w:sz w:val="24"/>
              </w:rPr>
              <w:t>contratti swap su tassi di interesse</w:t>
            </w:r>
            <w:r w:rsidR="000878EC">
              <w:rPr>
                <w:rFonts w:ascii="Times New Roman" w:hAnsi="Times New Roman"/>
                <w:sz w:val="24"/>
              </w:rPr>
              <w:t>"</w:t>
            </w:r>
            <w:r>
              <w:rPr>
                <w:rFonts w:ascii="Times New Roman" w:hAnsi="Times New Roman"/>
                <w:sz w:val="24"/>
              </w:rPr>
              <w:t xml:space="preserve">; CRS significa </w:t>
            </w:r>
            <w:r w:rsidR="000878EC">
              <w:rPr>
                <w:rFonts w:ascii="Times New Roman" w:hAnsi="Times New Roman"/>
                <w:sz w:val="24"/>
              </w:rPr>
              <w:t>"</w:t>
            </w:r>
            <w:r>
              <w:rPr>
                <w:rFonts w:ascii="Times New Roman" w:hAnsi="Times New Roman"/>
                <w:sz w:val="24"/>
              </w:rPr>
              <w:t>contratti swap su valuta</w:t>
            </w:r>
            <w:r w:rsidR="000878EC">
              <w:rPr>
                <w:rFonts w:ascii="Times New Roman" w:hAnsi="Times New Roman"/>
                <w:sz w:val="24"/>
              </w:rPr>
              <w:t>"</w:t>
            </w:r>
            <w:r>
              <w:rPr>
                <w:rFonts w:ascii="Times New Roman" w:hAnsi="Times New Roman"/>
                <w:sz w:val="24"/>
              </w:rPr>
              <w:t>. Tali derivati sono elencati nell</w:t>
            </w:r>
            <w:r w:rsidR="000878EC">
              <w:rPr>
                <w:rFonts w:ascii="Times New Roman" w:hAnsi="Times New Roman"/>
                <w:sz w:val="24"/>
              </w:rPr>
              <w:t>'</w:t>
            </w:r>
            <w:r>
              <w:rPr>
                <w:rFonts w:ascii="Times New Roman" w:hAnsi="Times New Roman"/>
                <w:sz w:val="24"/>
              </w:rPr>
              <w:t>allegato II del CRR.</w:t>
            </w:r>
          </w:p>
          <w:p w:rsidR="00FC6275" w:rsidRPr="00661595" w:rsidRDefault="00FC6275" w:rsidP="00923AB1">
            <w:pPr>
              <w:suppressAutoHyphens/>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923AB1">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0390</w:t>
            </w:r>
          </w:p>
        </w:tc>
        <w:tc>
          <w:tcPr>
            <w:tcW w:w="7903" w:type="dxa"/>
          </w:tcPr>
          <w:p w:rsidR="00FC6275" w:rsidRPr="00661595" w:rsidRDefault="00FC6275" w:rsidP="00923AB1">
            <w:pPr>
              <w:suppressAutoHyphens/>
              <w:spacing w:before="0" w:after="0"/>
              <w:jc w:val="left"/>
              <w:rPr>
                <w:rFonts w:ascii="Times New Roman" w:hAnsi="Times New Roman"/>
                <w:b/>
                <w:sz w:val="24"/>
                <w:u w:val="single"/>
              </w:rPr>
            </w:pPr>
            <w:r>
              <w:rPr>
                <w:rFonts w:ascii="Times New Roman" w:hAnsi="Times New Roman"/>
                <w:b/>
                <w:sz w:val="24"/>
                <w:u w:val="single"/>
              </w:rPr>
              <w:t>LINEE DI LIQUIDITÀ</w:t>
            </w:r>
          </w:p>
          <w:p w:rsidR="00FC6275" w:rsidRPr="00661595" w:rsidRDefault="00FC6275" w:rsidP="00923AB1">
            <w:pPr>
              <w:suppressAutoHyphens/>
              <w:spacing w:before="0" w:after="0"/>
              <w:jc w:val="left"/>
              <w:rPr>
                <w:rFonts w:ascii="Times New Roman" w:hAnsi="Times New Roman"/>
                <w:sz w:val="24"/>
              </w:rPr>
            </w:pPr>
          </w:p>
          <w:p w:rsidR="00FC6275" w:rsidRPr="00661595" w:rsidRDefault="00FC6275" w:rsidP="00923AB1">
            <w:pPr>
              <w:suppressAutoHyphens/>
              <w:spacing w:before="0" w:after="0"/>
              <w:rPr>
                <w:rFonts w:ascii="Times New Roman" w:hAnsi="Times New Roman"/>
                <w:sz w:val="24"/>
              </w:rPr>
            </w:pPr>
            <w:r>
              <w:rPr>
                <w:rFonts w:ascii="Times New Roman" w:hAnsi="Times New Roman"/>
                <w:sz w:val="24"/>
              </w:rPr>
              <w:t>Linee di liquidità ai sensi dell</w:t>
            </w:r>
            <w:r w:rsidR="000878EC">
              <w:rPr>
                <w:rFonts w:ascii="Times New Roman" w:hAnsi="Times New Roman"/>
                <w:sz w:val="24"/>
              </w:rPr>
              <w:t>'</w:t>
            </w:r>
            <w:r>
              <w:rPr>
                <w:rFonts w:ascii="Times New Roman" w:hAnsi="Times New Roman"/>
                <w:sz w:val="24"/>
              </w:rPr>
              <w:t>articolo 242, punto 3, del CRR.</w:t>
            </w:r>
          </w:p>
          <w:p w:rsidR="00FC6275" w:rsidRPr="00661595" w:rsidRDefault="00FC6275" w:rsidP="00923AB1">
            <w:pPr>
              <w:suppressAutoHyphens/>
              <w:spacing w:before="0" w:after="0"/>
              <w:rPr>
                <w:rFonts w:ascii="Times New Roman" w:hAnsi="Times New Roman"/>
                <w:sz w:val="24"/>
              </w:rPr>
            </w:pPr>
          </w:p>
        </w:tc>
      </w:tr>
      <w:tr w:rsidR="00FC6275" w:rsidRPr="00661595" w:rsidTr="00E10B85">
        <w:tc>
          <w:tcPr>
            <w:tcW w:w="1101" w:type="dxa"/>
          </w:tcPr>
          <w:p w:rsidR="00FC6275" w:rsidRPr="00661595" w:rsidRDefault="00973973" w:rsidP="00923AB1">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0400</w:t>
            </w:r>
          </w:p>
        </w:tc>
        <w:tc>
          <w:tcPr>
            <w:tcW w:w="7903" w:type="dxa"/>
          </w:tcPr>
          <w:p w:rsidR="00FC6275" w:rsidRPr="00661595" w:rsidRDefault="00FC6275" w:rsidP="00923AB1">
            <w:pPr>
              <w:suppressAutoHyphens/>
              <w:spacing w:before="0" w:after="0"/>
              <w:jc w:val="left"/>
              <w:rPr>
                <w:rFonts w:ascii="Times New Roman" w:hAnsi="Times New Roman"/>
                <w:b/>
                <w:sz w:val="24"/>
                <w:u w:val="single"/>
              </w:rPr>
            </w:pPr>
            <w:r>
              <w:rPr>
                <w:rFonts w:ascii="Times New Roman" w:hAnsi="Times New Roman"/>
                <w:b/>
                <w:sz w:val="24"/>
                <w:u w:val="single"/>
              </w:rPr>
              <w:t xml:space="preserve">ALTRO </w:t>
            </w:r>
          </w:p>
          <w:p w:rsidR="00FC6275" w:rsidRPr="00661595" w:rsidRDefault="00FC6275" w:rsidP="00923AB1">
            <w:pPr>
              <w:suppressAutoHyphens/>
              <w:spacing w:before="0" w:after="0"/>
              <w:jc w:val="left"/>
              <w:rPr>
                <w:rFonts w:ascii="Times New Roman" w:hAnsi="Times New Roman"/>
                <w:sz w:val="24"/>
              </w:rPr>
            </w:pPr>
          </w:p>
          <w:p w:rsidR="00FC6275" w:rsidRPr="00661595" w:rsidRDefault="001C3443" w:rsidP="00923AB1">
            <w:pPr>
              <w:suppressAutoHyphens/>
              <w:spacing w:before="0" w:after="0"/>
              <w:rPr>
                <w:rFonts w:ascii="Times New Roman" w:hAnsi="Times New Roman"/>
                <w:sz w:val="24"/>
              </w:rPr>
            </w:pPr>
            <w:r>
              <w:rPr>
                <w:rFonts w:ascii="Times New Roman" w:hAnsi="Times New Roman"/>
                <w:sz w:val="24"/>
              </w:rPr>
              <w:t>Elementi fuori bilancio restanti.</w:t>
            </w:r>
          </w:p>
          <w:p w:rsidR="00FC6275" w:rsidRPr="00661595" w:rsidRDefault="00FC6275" w:rsidP="00923AB1">
            <w:pPr>
              <w:suppressAutoHyphens/>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923AB1">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0411</w:t>
            </w:r>
          </w:p>
        </w:tc>
        <w:tc>
          <w:tcPr>
            <w:tcW w:w="7903" w:type="dxa"/>
          </w:tcPr>
          <w:p w:rsidR="00FC6275" w:rsidRPr="00661595" w:rsidRDefault="00FC6275" w:rsidP="00923AB1">
            <w:pPr>
              <w:suppressAutoHyphens/>
              <w:spacing w:before="0" w:after="0"/>
              <w:jc w:val="left"/>
              <w:rPr>
                <w:rFonts w:ascii="Times New Roman" w:hAnsi="Times New Roman"/>
                <w:b/>
                <w:sz w:val="24"/>
                <w:u w:val="single"/>
              </w:rPr>
            </w:pPr>
            <w:r>
              <w:rPr>
                <w:rFonts w:ascii="Times New Roman" w:hAnsi="Times New Roman"/>
                <w:b/>
                <w:sz w:val="24"/>
                <w:u w:val="single"/>
              </w:rPr>
              <w:t>VALORE DELL</w:t>
            </w:r>
            <w:r w:rsidR="000878EC">
              <w:rPr>
                <w:rFonts w:ascii="Times New Roman" w:hAnsi="Times New Roman"/>
                <w:b/>
                <w:sz w:val="24"/>
                <w:u w:val="single"/>
              </w:rPr>
              <w:t>'</w:t>
            </w:r>
            <w:r>
              <w:rPr>
                <w:rFonts w:ascii="Times New Roman" w:hAnsi="Times New Roman"/>
                <w:b/>
                <w:sz w:val="24"/>
                <w:u w:val="single"/>
              </w:rPr>
              <w:t>ESPOSIZIONE</w:t>
            </w:r>
          </w:p>
          <w:p w:rsidR="00FC6275" w:rsidRPr="00661595" w:rsidRDefault="00FC6275" w:rsidP="00923AB1">
            <w:pPr>
              <w:suppressAutoHyphens/>
              <w:spacing w:before="0" w:after="0"/>
              <w:jc w:val="left"/>
              <w:rPr>
                <w:rFonts w:ascii="Times New Roman" w:hAnsi="Times New Roman"/>
                <w:b/>
                <w:sz w:val="24"/>
                <w:u w:val="single"/>
              </w:rPr>
            </w:pPr>
          </w:p>
          <w:p w:rsidR="00FC6275" w:rsidRPr="00661595" w:rsidRDefault="00FC6275" w:rsidP="00923AB1">
            <w:pPr>
              <w:suppressAutoHyphens/>
              <w:spacing w:before="0" w:after="0"/>
              <w:rPr>
                <w:rFonts w:ascii="Times New Roman" w:hAnsi="Times New Roman"/>
                <w:sz w:val="24"/>
              </w:rPr>
            </w:pPr>
            <w:r>
              <w:rPr>
                <w:rFonts w:ascii="Times New Roman" w:hAnsi="Times New Roman"/>
                <w:sz w:val="24"/>
              </w:rPr>
              <w:t>Questa informazione è correlata strettamente alla colonna 0180 del modello CR SEC.</w:t>
            </w:r>
          </w:p>
          <w:p w:rsidR="00FC6275" w:rsidRPr="00661595" w:rsidRDefault="00FC6275" w:rsidP="00923AB1">
            <w:pPr>
              <w:suppressAutoHyphens/>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923AB1">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0420</w:t>
            </w:r>
          </w:p>
        </w:tc>
        <w:tc>
          <w:tcPr>
            <w:tcW w:w="7903" w:type="dxa"/>
          </w:tcPr>
          <w:p w:rsidR="00FC6275" w:rsidRPr="00661595" w:rsidRDefault="00FC6275" w:rsidP="00923AB1">
            <w:pPr>
              <w:suppressAutoHyphens/>
              <w:spacing w:before="0" w:after="0"/>
              <w:jc w:val="left"/>
              <w:rPr>
                <w:rFonts w:ascii="Times New Roman" w:hAnsi="Times New Roman"/>
                <w:b/>
                <w:sz w:val="24"/>
                <w:u w:val="single"/>
              </w:rPr>
            </w:pPr>
            <w:r>
              <w:rPr>
                <w:rFonts w:ascii="Times New Roman" w:hAnsi="Times New Roman"/>
                <w:b/>
                <w:sz w:val="24"/>
                <w:u w:val="single"/>
              </w:rPr>
              <w:t>(-) VALORE DELL</w:t>
            </w:r>
            <w:r w:rsidR="000878EC">
              <w:rPr>
                <w:rFonts w:ascii="Times New Roman" w:hAnsi="Times New Roman"/>
                <w:b/>
                <w:sz w:val="24"/>
                <w:u w:val="single"/>
              </w:rPr>
              <w:t>'</w:t>
            </w:r>
            <w:r>
              <w:rPr>
                <w:rFonts w:ascii="Times New Roman" w:hAnsi="Times New Roman"/>
                <w:b/>
                <w:sz w:val="24"/>
                <w:u w:val="single"/>
              </w:rPr>
              <w:t>ESPOSIZIONE DEDOTTO DAI FONDI PROPRI</w:t>
            </w:r>
          </w:p>
          <w:p w:rsidR="00FC6275" w:rsidRPr="00661595" w:rsidRDefault="00FC6275" w:rsidP="00923AB1">
            <w:pPr>
              <w:suppressAutoHyphens/>
              <w:spacing w:before="0" w:after="0"/>
              <w:jc w:val="left"/>
              <w:rPr>
                <w:rFonts w:ascii="Times New Roman" w:hAnsi="Times New Roman"/>
                <w:sz w:val="24"/>
              </w:rPr>
            </w:pPr>
          </w:p>
          <w:p w:rsidR="00FC6275" w:rsidRPr="00661595" w:rsidRDefault="00FC6275" w:rsidP="00923AB1">
            <w:pPr>
              <w:suppressAutoHyphens/>
              <w:spacing w:before="0" w:after="0"/>
              <w:rPr>
                <w:rFonts w:ascii="Times New Roman" w:hAnsi="Times New Roman"/>
                <w:sz w:val="24"/>
              </w:rPr>
            </w:pPr>
            <w:r>
              <w:rPr>
                <w:rFonts w:ascii="Times New Roman" w:hAnsi="Times New Roman"/>
                <w:sz w:val="24"/>
              </w:rPr>
              <w:t>Questa informazione è correlata strettamente alla colonna 0190 del modello CR SEC.</w:t>
            </w:r>
          </w:p>
          <w:p w:rsidR="00FC6275" w:rsidRPr="00661595" w:rsidRDefault="00FC6275" w:rsidP="00923AB1">
            <w:pPr>
              <w:suppressAutoHyphens/>
              <w:spacing w:before="0" w:after="0"/>
              <w:rPr>
                <w:rFonts w:ascii="Times New Roman" w:hAnsi="Times New Roman"/>
                <w:sz w:val="24"/>
              </w:rPr>
            </w:pPr>
          </w:p>
          <w:p w:rsidR="00FC6275" w:rsidRPr="00661595" w:rsidRDefault="00FC6275" w:rsidP="00923AB1">
            <w:pPr>
              <w:suppressAutoHyphens/>
              <w:spacing w:before="0" w:after="0"/>
              <w:rPr>
                <w:rFonts w:ascii="Times New Roman" w:hAnsi="Times New Roman"/>
                <w:sz w:val="24"/>
              </w:rPr>
            </w:pPr>
            <w:r>
              <w:rPr>
                <w:rFonts w:ascii="Times New Roman" w:hAnsi="Times New Roman"/>
                <w:sz w:val="24"/>
              </w:rPr>
              <w:t>In questa colonna è segnalato un importo negativo.</w:t>
            </w:r>
          </w:p>
          <w:p w:rsidR="00FC6275" w:rsidRPr="00661595" w:rsidRDefault="00FC6275" w:rsidP="00923AB1">
            <w:pPr>
              <w:suppressAutoHyphens/>
              <w:spacing w:before="0" w:after="0"/>
              <w:jc w:val="left"/>
              <w:rPr>
                <w:rFonts w:ascii="Times New Roman" w:hAnsi="Times New Roman"/>
                <w:sz w:val="24"/>
              </w:rPr>
            </w:pPr>
          </w:p>
        </w:tc>
      </w:tr>
      <w:tr w:rsidR="00FC6275" w:rsidRPr="00661595" w:rsidTr="00E10B85">
        <w:tc>
          <w:tcPr>
            <w:tcW w:w="1101" w:type="dxa"/>
          </w:tcPr>
          <w:p w:rsidR="00FC6275" w:rsidRPr="00661595" w:rsidDel="00304CB1" w:rsidRDefault="00973973" w:rsidP="00923AB1">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0430</w:t>
            </w:r>
          </w:p>
        </w:tc>
        <w:tc>
          <w:tcPr>
            <w:tcW w:w="7903" w:type="dxa"/>
          </w:tcPr>
          <w:p w:rsidR="00FC6275" w:rsidRPr="00661595" w:rsidRDefault="00FC6275" w:rsidP="00923AB1">
            <w:pPr>
              <w:suppressAutoHyphens/>
              <w:spacing w:before="0" w:after="0"/>
              <w:jc w:val="left"/>
              <w:rPr>
                <w:rFonts w:ascii="Times New Roman" w:hAnsi="Times New Roman"/>
                <w:b/>
                <w:sz w:val="24"/>
                <w:u w:val="single"/>
              </w:rPr>
            </w:pPr>
            <w:r>
              <w:rPr>
                <w:rFonts w:ascii="Times New Roman" w:hAnsi="Times New Roman"/>
                <w:b/>
                <w:sz w:val="24"/>
                <w:u w:val="single"/>
              </w:rPr>
              <w:t>IMPORTO COMPLESSIVO DELL</w:t>
            </w:r>
            <w:r w:rsidR="000878EC">
              <w:rPr>
                <w:rFonts w:ascii="Times New Roman" w:hAnsi="Times New Roman"/>
                <w:b/>
                <w:sz w:val="24"/>
                <w:u w:val="single"/>
              </w:rPr>
              <w:t>'</w:t>
            </w:r>
            <w:r>
              <w:rPr>
                <w:rFonts w:ascii="Times New Roman" w:hAnsi="Times New Roman"/>
                <w:b/>
                <w:sz w:val="24"/>
                <w:u w:val="single"/>
              </w:rPr>
              <w:t>ESPOSIZIONE PONDERATO PER IL RISCHIO PRIMA DELL</w:t>
            </w:r>
            <w:r w:rsidR="000878EC">
              <w:rPr>
                <w:rFonts w:ascii="Times New Roman" w:hAnsi="Times New Roman"/>
                <w:b/>
                <w:sz w:val="24"/>
                <w:u w:val="single"/>
              </w:rPr>
              <w:t>'</w:t>
            </w:r>
            <w:r>
              <w:rPr>
                <w:rFonts w:ascii="Times New Roman" w:hAnsi="Times New Roman"/>
                <w:b/>
                <w:sz w:val="24"/>
                <w:u w:val="single"/>
              </w:rPr>
              <w:t>APPLICAZIONE DEL MASSIMALE</w:t>
            </w:r>
          </w:p>
          <w:p w:rsidR="00FC6275" w:rsidRPr="00661595" w:rsidRDefault="00FC6275" w:rsidP="00923AB1">
            <w:pPr>
              <w:suppressAutoHyphens/>
              <w:spacing w:before="0" w:after="0"/>
              <w:jc w:val="left"/>
              <w:rPr>
                <w:rFonts w:ascii="Times New Roman" w:hAnsi="Times New Roman"/>
                <w:sz w:val="24"/>
              </w:rPr>
            </w:pPr>
          </w:p>
          <w:p w:rsidR="00FC6275" w:rsidRPr="00661595" w:rsidRDefault="00FC6275" w:rsidP="00923AB1">
            <w:pPr>
              <w:suppressAutoHyphens/>
              <w:spacing w:before="0" w:after="0"/>
              <w:rPr>
                <w:rFonts w:ascii="Times New Roman" w:hAnsi="Times New Roman"/>
                <w:sz w:val="24"/>
              </w:rPr>
            </w:pPr>
            <w:r>
              <w:rPr>
                <w:rFonts w:ascii="Times New Roman" w:hAnsi="Times New Roman"/>
                <w:sz w:val="24"/>
              </w:rPr>
              <w:t>Questa colonna contiene informazioni riguardanti l</w:t>
            </w:r>
            <w:r w:rsidR="000878EC">
              <w:rPr>
                <w:rFonts w:ascii="Times New Roman" w:hAnsi="Times New Roman"/>
                <w:sz w:val="24"/>
              </w:rPr>
              <w:t>'</w:t>
            </w:r>
            <w:r>
              <w:rPr>
                <w:rFonts w:ascii="Times New Roman" w:hAnsi="Times New Roman"/>
                <w:sz w:val="24"/>
              </w:rPr>
              <w:t>importo dell</w:t>
            </w:r>
            <w:r w:rsidR="000878EC">
              <w:rPr>
                <w:rFonts w:ascii="Times New Roman" w:hAnsi="Times New Roman"/>
                <w:sz w:val="24"/>
              </w:rPr>
              <w:t>'</w:t>
            </w:r>
            <w:r>
              <w:rPr>
                <w:rFonts w:ascii="Times New Roman" w:hAnsi="Times New Roman"/>
                <w:sz w:val="24"/>
              </w:rPr>
              <w:t>esposizione ponderato per il rischio prima dell</w:t>
            </w:r>
            <w:r w:rsidR="000878EC">
              <w:rPr>
                <w:rFonts w:ascii="Times New Roman" w:hAnsi="Times New Roman"/>
                <w:sz w:val="24"/>
              </w:rPr>
              <w:t>'</w:t>
            </w:r>
            <w:r>
              <w:rPr>
                <w:rFonts w:ascii="Times New Roman" w:hAnsi="Times New Roman"/>
                <w:sz w:val="24"/>
              </w:rPr>
              <w:t>applicazione del massimale alle posizioni verso la cartolarizzazione (ossia per schemi di cartolarizzazione con trasferimento significativo del rischio). Per gli schemi di cartolarizzazione senza trasferimento significativo del rischio (cioè l</w:t>
            </w:r>
            <w:r w:rsidR="000878EC">
              <w:rPr>
                <w:rFonts w:ascii="Times New Roman" w:hAnsi="Times New Roman"/>
                <w:sz w:val="24"/>
              </w:rPr>
              <w:t>'</w:t>
            </w:r>
            <w:r>
              <w:rPr>
                <w:rFonts w:ascii="Times New Roman" w:hAnsi="Times New Roman"/>
                <w:sz w:val="24"/>
              </w:rPr>
              <w:t>importo dell</w:t>
            </w:r>
            <w:r w:rsidR="000878EC">
              <w:rPr>
                <w:rFonts w:ascii="Times New Roman" w:hAnsi="Times New Roman"/>
                <w:sz w:val="24"/>
              </w:rPr>
              <w:t>'</w:t>
            </w:r>
            <w:r>
              <w:rPr>
                <w:rFonts w:ascii="Times New Roman" w:hAnsi="Times New Roman"/>
                <w:sz w:val="24"/>
              </w:rPr>
              <w:t>esposizione ponderato per il rischio determinato sulla base delle esposizioni cartolarizzate), in questa colonna non sono segnalati dati.</w:t>
            </w:r>
          </w:p>
          <w:p w:rsidR="00FC6275" w:rsidRPr="00661595" w:rsidRDefault="00FC6275" w:rsidP="00923AB1">
            <w:pPr>
              <w:suppressAutoHyphens/>
              <w:spacing w:before="0" w:after="0"/>
              <w:jc w:val="left"/>
              <w:rPr>
                <w:rFonts w:ascii="Times New Roman" w:hAnsi="Times New Roman"/>
                <w:sz w:val="24"/>
              </w:rPr>
            </w:pPr>
          </w:p>
          <w:p w:rsidR="00FC6275" w:rsidRPr="00661595" w:rsidRDefault="00FC6275" w:rsidP="00923AB1">
            <w:pPr>
              <w:suppressAutoHyphens/>
              <w:spacing w:before="0" w:after="0"/>
              <w:jc w:val="left"/>
              <w:rPr>
                <w:rFonts w:ascii="Times New Roman" w:hAnsi="Times New Roman"/>
                <w:sz w:val="24"/>
              </w:rPr>
            </w:pPr>
            <w:r>
              <w:rPr>
                <w:rFonts w:ascii="Times New Roman" w:hAnsi="Times New Roman"/>
                <w:sz w:val="24"/>
              </w:rPr>
              <w:t xml:space="preserve">Questa colonna non è compilata per le cartolarizzazioni di passività. </w:t>
            </w:r>
          </w:p>
          <w:p w:rsidR="00FC6275" w:rsidRPr="00661595" w:rsidRDefault="00FC6275" w:rsidP="00923AB1">
            <w:pPr>
              <w:suppressAutoHyphens/>
              <w:spacing w:before="0" w:after="100"/>
              <w:jc w:val="left"/>
              <w:rPr>
                <w:rFonts w:ascii="Times New Roman" w:hAnsi="Times New Roman"/>
                <w:sz w:val="24"/>
              </w:rPr>
            </w:pPr>
          </w:p>
          <w:p w:rsidR="00FC6275" w:rsidRPr="00661595" w:rsidRDefault="00FC6275" w:rsidP="00923AB1">
            <w:pPr>
              <w:keepNext/>
              <w:keepLines/>
              <w:suppressAutoHyphens/>
              <w:spacing w:before="0" w:after="0"/>
              <w:jc w:val="left"/>
              <w:rPr>
                <w:rFonts w:ascii="Times New Roman" w:hAnsi="Times New Roman"/>
                <w:sz w:val="24"/>
              </w:rPr>
            </w:pPr>
            <w:r>
              <w:rPr>
                <w:rFonts w:ascii="Times New Roman" w:hAnsi="Times New Roman"/>
                <w:sz w:val="24"/>
              </w:rPr>
              <w:t>Per le cartolarizzazioni contenute nel portafoglio di negoziazione, è segnalato l</w:t>
            </w:r>
            <w:r w:rsidR="000878EC">
              <w:rPr>
                <w:rFonts w:ascii="Times New Roman" w:hAnsi="Times New Roman"/>
                <w:sz w:val="24"/>
              </w:rPr>
              <w:t>'</w:t>
            </w:r>
            <w:r>
              <w:rPr>
                <w:rFonts w:ascii="Times New Roman" w:hAnsi="Times New Roman"/>
                <w:sz w:val="24"/>
              </w:rPr>
              <w:t xml:space="preserve">RWEA relativo al rischio specifico. Cfr., rispettivamente, la colonna 0570 del MKR SA SEC o le colonne 0410 e 0420 (la pertinente per il requisito di fondi propri) del MKR SA CTP. </w:t>
            </w:r>
          </w:p>
          <w:p w:rsidR="00FC6275" w:rsidRPr="00661595" w:rsidRDefault="00FC6275" w:rsidP="00923AB1">
            <w:pPr>
              <w:suppressAutoHyphens/>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923AB1">
            <w:pPr>
              <w:suppressAutoHyphens/>
              <w:autoSpaceDE w:val="0"/>
              <w:autoSpaceDN w:val="0"/>
              <w:adjustRightInd w:val="0"/>
              <w:spacing w:before="0" w:after="0"/>
              <w:rPr>
                <w:rFonts w:ascii="Times New Roman" w:hAnsi="Times New Roman"/>
                <w:sz w:val="24"/>
              </w:rPr>
            </w:pPr>
            <w:r>
              <w:rPr>
                <w:rFonts w:ascii="Times New Roman" w:hAnsi="Times New Roman"/>
                <w:sz w:val="24"/>
              </w:rPr>
              <w:t>0431</w:t>
            </w:r>
          </w:p>
        </w:tc>
        <w:tc>
          <w:tcPr>
            <w:tcW w:w="7903" w:type="dxa"/>
          </w:tcPr>
          <w:p w:rsidR="00FC6275" w:rsidRPr="00661595" w:rsidRDefault="00FC6275" w:rsidP="00923AB1">
            <w:pPr>
              <w:suppressAutoHyphens/>
              <w:spacing w:before="0" w:after="0"/>
              <w:jc w:val="left"/>
              <w:rPr>
                <w:rFonts w:ascii="Times New Roman" w:hAnsi="Times New Roman"/>
                <w:b/>
                <w:sz w:val="24"/>
                <w:u w:val="single"/>
              </w:rPr>
            </w:pPr>
            <w:r>
              <w:rPr>
                <w:rFonts w:ascii="Times New Roman" w:hAnsi="Times New Roman"/>
                <w:b/>
                <w:sz w:val="24"/>
                <w:u w:val="single"/>
              </w:rPr>
              <w:t>(−) RIDUZIONE DOVUTA AL MASSIMALE DI PONDERAZIONE DEL RISCHIO</w:t>
            </w:r>
          </w:p>
          <w:p w:rsidR="00FC6275" w:rsidRPr="00661595" w:rsidRDefault="00FC6275" w:rsidP="00923AB1">
            <w:pPr>
              <w:suppressAutoHyphens/>
              <w:spacing w:before="0" w:after="0"/>
              <w:jc w:val="left"/>
              <w:rPr>
                <w:rFonts w:ascii="Times New Roman" w:hAnsi="Times New Roman"/>
                <w:b/>
                <w:sz w:val="24"/>
                <w:u w:val="single"/>
              </w:rPr>
            </w:pPr>
          </w:p>
          <w:p w:rsidR="00FC6275" w:rsidRPr="00661595" w:rsidRDefault="00FC6275" w:rsidP="00923AB1">
            <w:pPr>
              <w:suppressAutoHyphens/>
              <w:spacing w:before="0" w:after="0"/>
              <w:jc w:val="left"/>
              <w:rPr>
                <w:rFonts w:ascii="Times New Roman" w:hAnsi="Times New Roman"/>
                <w:sz w:val="24"/>
              </w:rPr>
            </w:pPr>
            <w:r>
              <w:rPr>
                <w:rFonts w:ascii="Times New Roman" w:hAnsi="Times New Roman"/>
                <w:sz w:val="24"/>
              </w:rPr>
              <w:t>Articolo 267 del CRR</w:t>
            </w:r>
          </w:p>
          <w:p w:rsidR="00FC6275" w:rsidRPr="00661595" w:rsidRDefault="00FC6275" w:rsidP="00923AB1">
            <w:pPr>
              <w:suppressAutoHyphens/>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923AB1">
            <w:pPr>
              <w:suppressAutoHyphens/>
              <w:autoSpaceDE w:val="0"/>
              <w:autoSpaceDN w:val="0"/>
              <w:adjustRightInd w:val="0"/>
              <w:spacing w:before="0" w:after="0"/>
              <w:rPr>
                <w:rFonts w:ascii="Times New Roman" w:hAnsi="Times New Roman"/>
                <w:sz w:val="24"/>
              </w:rPr>
            </w:pPr>
            <w:r>
              <w:rPr>
                <w:rFonts w:ascii="Times New Roman" w:hAnsi="Times New Roman"/>
                <w:sz w:val="24"/>
              </w:rPr>
              <w:t>0432</w:t>
            </w:r>
          </w:p>
        </w:tc>
        <w:tc>
          <w:tcPr>
            <w:tcW w:w="7903" w:type="dxa"/>
          </w:tcPr>
          <w:p w:rsidR="00FC6275" w:rsidRPr="00661595" w:rsidRDefault="00FC6275" w:rsidP="00923AB1">
            <w:pPr>
              <w:suppressAutoHyphens/>
              <w:spacing w:before="0" w:after="0"/>
              <w:jc w:val="left"/>
              <w:rPr>
                <w:rFonts w:ascii="Times New Roman" w:hAnsi="Times New Roman"/>
                <w:b/>
                <w:sz w:val="24"/>
                <w:u w:val="single"/>
              </w:rPr>
            </w:pPr>
            <w:r>
              <w:rPr>
                <w:rFonts w:ascii="Times New Roman" w:hAnsi="Times New Roman"/>
                <w:b/>
                <w:sz w:val="24"/>
                <w:u w:val="single"/>
              </w:rPr>
              <w:t>(−) RIDUZIONE DOVUTA AL MASSIMALE GENERALE</w:t>
            </w:r>
          </w:p>
          <w:p w:rsidR="00FC6275" w:rsidRPr="00661595" w:rsidRDefault="00FC6275" w:rsidP="00923AB1">
            <w:pPr>
              <w:suppressAutoHyphens/>
              <w:spacing w:before="0" w:after="0"/>
              <w:jc w:val="left"/>
              <w:rPr>
                <w:rFonts w:ascii="Times New Roman" w:hAnsi="Times New Roman"/>
                <w:b/>
                <w:sz w:val="24"/>
                <w:u w:val="single"/>
              </w:rPr>
            </w:pPr>
          </w:p>
          <w:p w:rsidR="00FC6275" w:rsidRPr="00661595" w:rsidRDefault="00FC6275" w:rsidP="00923AB1">
            <w:pPr>
              <w:suppressAutoHyphens/>
              <w:spacing w:before="0" w:after="0"/>
              <w:jc w:val="left"/>
              <w:rPr>
                <w:rFonts w:ascii="Times New Roman" w:hAnsi="Times New Roman"/>
                <w:sz w:val="24"/>
              </w:rPr>
            </w:pPr>
            <w:r>
              <w:rPr>
                <w:rFonts w:ascii="Times New Roman" w:hAnsi="Times New Roman"/>
                <w:sz w:val="24"/>
              </w:rPr>
              <w:t>Articolo 268 del CRR</w:t>
            </w:r>
          </w:p>
          <w:p w:rsidR="00FC6275" w:rsidRPr="00661595" w:rsidRDefault="00FC6275" w:rsidP="00923AB1">
            <w:pPr>
              <w:suppressAutoHyphens/>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923AB1">
            <w:pPr>
              <w:suppressAutoHyphens/>
              <w:autoSpaceDE w:val="0"/>
              <w:autoSpaceDN w:val="0"/>
              <w:adjustRightInd w:val="0"/>
              <w:spacing w:before="0" w:after="0"/>
              <w:rPr>
                <w:rFonts w:ascii="Times New Roman" w:hAnsi="Times New Roman"/>
                <w:bCs/>
                <w:sz w:val="24"/>
              </w:rPr>
            </w:pPr>
            <w:r>
              <w:rPr>
                <w:rFonts w:ascii="Times New Roman" w:hAnsi="Times New Roman"/>
                <w:sz w:val="24"/>
              </w:rPr>
              <w:t>0440</w:t>
            </w:r>
          </w:p>
        </w:tc>
        <w:tc>
          <w:tcPr>
            <w:tcW w:w="7903" w:type="dxa"/>
          </w:tcPr>
          <w:p w:rsidR="00FC6275" w:rsidRPr="00661595" w:rsidRDefault="00FC6275" w:rsidP="00923AB1">
            <w:pPr>
              <w:suppressAutoHyphens/>
              <w:spacing w:before="0" w:after="0"/>
              <w:jc w:val="left"/>
              <w:rPr>
                <w:rFonts w:ascii="Times New Roman" w:hAnsi="Times New Roman"/>
                <w:b/>
                <w:sz w:val="24"/>
                <w:u w:val="single"/>
              </w:rPr>
            </w:pPr>
            <w:r>
              <w:rPr>
                <w:rFonts w:ascii="Times New Roman" w:hAnsi="Times New Roman"/>
                <w:b/>
                <w:sz w:val="24"/>
                <w:u w:val="single"/>
              </w:rPr>
              <w:t>IMPORTO COMPLESSIVO DELL</w:t>
            </w:r>
            <w:r w:rsidR="000878EC">
              <w:rPr>
                <w:rFonts w:ascii="Times New Roman" w:hAnsi="Times New Roman"/>
                <w:b/>
                <w:sz w:val="24"/>
                <w:u w:val="single"/>
              </w:rPr>
              <w:t>'</w:t>
            </w:r>
            <w:r>
              <w:rPr>
                <w:rFonts w:ascii="Times New Roman" w:hAnsi="Times New Roman"/>
                <w:b/>
                <w:sz w:val="24"/>
                <w:u w:val="single"/>
              </w:rPr>
              <w:t>ESPOSIZIONE PONDERATO PER IL RISCHIO DOPO L</w:t>
            </w:r>
            <w:r w:rsidR="000878EC">
              <w:rPr>
                <w:rFonts w:ascii="Times New Roman" w:hAnsi="Times New Roman"/>
                <w:b/>
                <w:sz w:val="24"/>
                <w:u w:val="single"/>
              </w:rPr>
              <w:t>'</w:t>
            </w:r>
            <w:r>
              <w:rPr>
                <w:rFonts w:ascii="Times New Roman" w:hAnsi="Times New Roman"/>
                <w:b/>
                <w:sz w:val="24"/>
                <w:u w:val="single"/>
              </w:rPr>
              <w:t>APPLICAZIONE DEL MASSIMALE</w:t>
            </w:r>
          </w:p>
          <w:p w:rsidR="00FC6275" w:rsidRPr="00661595" w:rsidRDefault="00FC6275" w:rsidP="00923AB1">
            <w:pPr>
              <w:suppressAutoHyphens/>
              <w:spacing w:before="0" w:after="0"/>
              <w:jc w:val="left"/>
              <w:rPr>
                <w:rFonts w:ascii="Times New Roman" w:hAnsi="Times New Roman"/>
                <w:sz w:val="24"/>
              </w:rPr>
            </w:pPr>
          </w:p>
          <w:p w:rsidR="00FC6275" w:rsidRPr="00661595" w:rsidRDefault="00FC6275" w:rsidP="00923AB1">
            <w:pPr>
              <w:suppressAutoHyphens/>
              <w:spacing w:before="0" w:after="0"/>
              <w:rPr>
                <w:rFonts w:ascii="Times New Roman" w:hAnsi="Times New Roman"/>
                <w:sz w:val="24"/>
              </w:rPr>
            </w:pPr>
            <w:r>
              <w:rPr>
                <w:rFonts w:ascii="Times New Roman" w:hAnsi="Times New Roman"/>
                <w:sz w:val="24"/>
              </w:rPr>
              <w:t>Questa colonna contiene informazioni riguardanti l</w:t>
            </w:r>
            <w:r w:rsidR="000878EC">
              <w:rPr>
                <w:rFonts w:ascii="Times New Roman" w:hAnsi="Times New Roman"/>
                <w:sz w:val="24"/>
              </w:rPr>
              <w:t>'</w:t>
            </w:r>
            <w:r>
              <w:rPr>
                <w:rFonts w:ascii="Times New Roman" w:hAnsi="Times New Roman"/>
                <w:sz w:val="24"/>
              </w:rPr>
              <w:t>importo dell</w:t>
            </w:r>
            <w:r w:rsidR="000878EC">
              <w:rPr>
                <w:rFonts w:ascii="Times New Roman" w:hAnsi="Times New Roman"/>
                <w:sz w:val="24"/>
              </w:rPr>
              <w:t>'</w:t>
            </w:r>
            <w:r>
              <w:rPr>
                <w:rFonts w:ascii="Times New Roman" w:hAnsi="Times New Roman"/>
                <w:sz w:val="24"/>
              </w:rPr>
              <w:t>esposizione ponderato per il rischio dopo l</w:t>
            </w:r>
            <w:r w:rsidR="000878EC">
              <w:rPr>
                <w:rFonts w:ascii="Times New Roman" w:hAnsi="Times New Roman"/>
                <w:sz w:val="24"/>
              </w:rPr>
              <w:t>'</w:t>
            </w:r>
            <w:r>
              <w:rPr>
                <w:rFonts w:ascii="Times New Roman" w:hAnsi="Times New Roman"/>
                <w:sz w:val="24"/>
              </w:rPr>
              <w:t>applicazione del massimale alle posizioni verso la cartolarizzazione (ossia per schemi di cartolarizzazione con trasferimento significativo del rischio). Per gli schemi di cartolarizzazione senza trasferimento significativo del rischio (cioè i requisiti di fondi propri determinati sulla base delle esposizioni cartolarizzate), in questa colonna non sono segnalati dati.</w:t>
            </w:r>
          </w:p>
          <w:p w:rsidR="00FC6275" w:rsidRPr="00661595" w:rsidRDefault="00FC6275" w:rsidP="00923AB1">
            <w:pPr>
              <w:suppressAutoHyphens/>
              <w:spacing w:before="0" w:after="0"/>
              <w:rPr>
                <w:rFonts w:ascii="Times New Roman" w:hAnsi="Times New Roman"/>
                <w:sz w:val="24"/>
              </w:rPr>
            </w:pPr>
          </w:p>
          <w:p w:rsidR="00FC6275" w:rsidRPr="00661595" w:rsidRDefault="00FC6275" w:rsidP="00923AB1">
            <w:pPr>
              <w:suppressAutoHyphens/>
              <w:spacing w:before="0" w:after="0"/>
              <w:rPr>
                <w:rFonts w:ascii="Times New Roman" w:hAnsi="Times New Roman"/>
                <w:sz w:val="24"/>
              </w:rPr>
            </w:pPr>
            <w:r>
              <w:rPr>
                <w:rFonts w:ascii="Times New Roman" w:hAnsi="Times New Roman"/>
                <w:sz w:val="24"/>
              </w:rPr>
              <w:t xml:space="preserve">Questa colonna non è compilata per le cartolarizzazioni di passività. </w:t>
            </w:r>
          </w:p>
          <w:p w:rsidR="00FC6275" w:rsidRPr="00661595" w:rsidRDefault="00FC6275" w:rsidP="00923AB1">
            <w:pPr>
              <w:suppressAutoHyphens/>
              <w:spacing w:before="0" w:after="0"/>
              <w:rPr>
                <w:rFonts w:ascii="Times New Roman" w:hAnsi="Times New Roman"/>
                <w:sz w:val="24"/>
              </w:rPr>
            </w:pPr>
          </w:p>
          <w:p w:rsidR="00FC6275" w:rsidRPr="00661595" w:rsidRDefault="00FC6275" w:rsidP="00923AB1">
            <w:pPr>
              <w:suppressAutoHyphens/>
              <w:spacing w:before="0" w:after="0"/>
              <w:rPr>
                <w:rFonts w:ascii="Times New Roman" w:hAnsi="Times New Roman"/>
                <w:sz w:val="24"/>
              </w:rPr>
            </w:pPr>
            <w:r>
              <w:rPr>
                <w:rFonts w:ascii="Times New Roman" w:hAnsi="Times New Roman"/>
                <w:sz w:val="24"/>
              </w:rPr>
              <w:t>Per le cartolarizzazioni contenute nel portafoglio di negoziazione, è segnalato l</w:t>
            </w:r>
            <w:r w:rsidR="000878EC">
              <w:rPr>
                <w:rFonts w:ascii="Times New Roman" w:hAnsi="Times New Roman"/>
                <w:sz w:val="24"/>
              </w:rPr>
              <w:t>'</w:t>
            </w:r>
            <w:r>
              <w:rPr>
                <w:rFonts w:ascii="Times New Roman" w:hAnsi="Times New Roman"/>
                <w:sz w:val="24"/>
              </w:rPr>
              <w:t>RWEA relativo al rischio specifico. Cfr., rispettivamente, la colonna 0600 del MKR SA SEC o la colonna 0450 del MKR SA CTP.</w:t>
            </w:r>
          </w:p>
          <w:p w:rsidR="00FC6275" w:rsidRPr="00661595" w:rsidRDefault="00FC6275" w:rsidP="00923AB1">
            <w:pPr>
              <w:suppressAutoHyphens/>
              <w:spacing w:before="0" w:after="0"/>
              <w:jc w:val="left"/>
              <w:rPr>
                <w:rFonts w:ascii="Times New Roman" w:hAnsi="Times New Roman"/>
                <w:sz w:val="24"/>
              </w:rPr>
            </w:pPr>
          </w:p>
        </w:tc>
      </w:tr>
      <w:tr w:rsidR="00FC6275" w:rsidRPr="00661595" w:rsidTr="00E10B85">
        <w:tc>
          <w:tcPr>
            <w:tcW w:w="1101" w:type="dxa"/>
          </w:tcPr>
          <w:p w:rsidR="00FC6275" w:rsidRPr="00661595" w:rsidRDefault="00973973" w:rsidP="00923AB1">
            <w:pPr>
              <w:suppressAutoHyphens/>
              <w:autoSpaceDE w:val="0"/>
              <w:autoSpaceDN w:val="0"/>
              <w:adjustRightInd w:val="0"/>
              <w:spacing w:before="0" w:after="0"/>
              <w:rPr>
                <w:rFonts w:ascii="Times New Roman" w:hAnsi="Times New Roman"/>
                <w:sz w:val="24"/>
              </w:rPr>
            </w:pPr>
            <w:r>
              <w:rPr>
                <w:rFonts w:ascii="Times New Roman" w:hAnsi="Times New Roman"/>
                <w:sz w:val="24"/>
              </w:rPr>
              <w:t>0447-0448</w:t>
            </w:r>
          </w:p>
        </w:tc>
        <w:tc>
          <w:tcPr>
            <w:tcW w:w="7903" w:type="dxa"/>
          </w:tcPr>
          <w:p w:rsidR="00FC6275" w:rsidRPr="00661595" w:rsidRDefault="00FC6275" w:rsidP="00923AB1">
            <w:pPr>
              <w:suppressAutoHyphens/>
              <w:spacing w:before="0" w:after="0"/>
              <w:jc w:val="left"/>
              <w:rPr>
                <w:rFonts w:ascii="Times New Roman" w:hAnsi="Times New Roman"/>
                <w:b/>
                <w:sz w:val="24"/>
                <w:u w:val="single"/>
              </w:rPr>
            </w:pPr>
            <w:r>
              <w:rPr>
                <w:rFonts w:ascii="Times New Roman" w:hAnsi="Times New Roman"/>
                <w:b/>
                <w:sz w:val="24"/>
                <w:u w:val="single"/>
              </w:rPr>
              <w:t>VOCI PER MEMORIA</w:t>
            </w:r>
          </w:p>
        </w:tc>
      </w:tr>
      <w:tr w:rsidR="00FC6275" w:rsidRPr="00661595" w:rsidTr="00E10B85">
        <w:tc>
          <w:tcPr>
            <w:tcW w:w="1101" w:type="dxa"/>
          </w:tcPr>
          <w:p w:rsidR="00FC6275" w:rsidRPr="00661595" w:rsidRDefault="00973973" w:rsidP="00923AB1">
            <w:pPr>
              <w:suppressAutoHyphens/>
              <w:autoSpaceDE w:val="0"/>
              <w:autoSpaceDN w:val="0"/>
              <w:adjustRightInd w:val="0"/>
              <w:spacing w:before="0" w:after="0"/>
              <w:rPr>
                <w:rFonts w:ascii="Times New Roman" w:hAnsi="Times New Roman"/>
                <w:sz w:val="24"/>
              </w:rPr>
            </w:pPr>
            <w:r>
              <w:rPr>
                <w:rFonts w:ascii="Times New Roman" w:hAnsi="Times New Roman"/>
                <w:sz w:val="24"/>
              </w:rPr>
              <w:t>0447</w:t>
            </w:r>
          </w:p>
        </w:tc>
        <w:tc>
          <w:tcPr>
            <w:tcW w:w="7903" w:type="dxa"/>
          </w:tcPr>
          <w:p w:rsidR="00FC6275" w:rsidRPr="00661595" w:rsidRDefault="00FC6275" w:rsidP="00923AB1">
            <w:pPr>
              <w:suppressAutoHyphens/>
              <w:spacing w:before="0" w:after="0"/>
              <w:jc w:val="left"/>
              <w:rPr>
                <w:rFonts w:ascii="Times New Roman" w:hAnsi="Times New Roman"/>
                <w:b/>
                <w:sz w:val="24"/>
                <w:u w:val="single"/>
              </w:rPr>
            </w:pPr>
            <w:r>
              <w:rPr>
                <w:rFonts w:ascii="Times New Roman" w:hAnsi="Times New Roman"/>
                <w:b/>
                <w:sz w:val="24"/>
                <w:u w:val="single"/>
              </w:rPr>
              <w:t>IMPORTO DELLE ESPOSIZIONI PONDERATO PER IL RISCHIO SECONDO IL SEC-ERBA</w:t>
            </w:r>
          </w:p>
          <w:p w:rsidR="00FC6275" w:rsidRPr="00661595" w:rsidRDefault="00FC6275" w:rsidP="00923AB1">
            <w:pPr>
              <w:suppressAutoHyphens/>
              <w:spacing w:before="0" w:after="0"/>
              <w:jc w:val="left"/>
              <w:rPr>
                <w:rFonts w:ascii="Times New Roman" w:hAnsi="Times New Roman"/>
                <w:b/>
                <w:sz w:val="24"/>
                <w:u w:val="single"/>
              </w:rPr>
            </w:pPr>
          </w:p>
          <w:p w:rsidR="00FC6275" w:rsidRPr="00661595" w:rsidRDefault="00FC6275" w:rsidP="00923AB1">
            <w:pPr>
              <w:suppressAutoHyphens/>
              <w:spacing w:before="0" w:after="0"/>
              <w:jc w:val="left"/>
              <w:rPr>
                <w:rFonts w:ascii="Times New Roman" w:hAnsi="Times New Roman"/>
                <w:sz w:val="24"/>
              </w:rPr>
            </w:pPr>
            <w:r>
              <w:rPr>
                <w:rFonts w:ascii="Times New Roman" w:hAnsi="Times New Roman"/>
                <w:sz w:val="24"/>
              </w:rPr>
              <w:t>Articoli 263 e 264 del CRR Questa colonna è compilata solo per le operazioni con rating prima dell</w:t>
            </w:r>
            <w:r w:rsidR="000878EC">
              <w:rPr>
                <w:rFonts w:ascii="Times New Roman" w:hAnsi="Times New Roman"/>
                <w:sz w:val="24"/>
              </w:rPr>
              <w:t>'</w:t>
            </w:r>
            <w:r>
              <w:rPr>
                <w:rFonts w:ascii="Times New Roman" w:hAnsi="Times New Roman"/>
                <w:sz w:val="24"/>
              </w:rPr>
              <w:t>applicazione del massimale e non è compilata per le operazioni nell</w:t>
            </w:r>
            <w:r w:rsidR="000878EC">
              <w:rPr>
                <w:rFonts w:ascii="Times New Roman" w:hAnsi="Times New Roman"/>
                <w:sz w:val="24"/>
              </w:rPr>
              <w:t>'</w:t>
            </w:r>
            <w:r>
              <w:rPr>
                <w:rFonts w:ascii="Times New Roman" w:hAnsi="Times New Roman"/>
                <w:sz w:val="24"/>
              </w:rPr>
              <w:t xml:space="preserve">ambito del SEC-ERBA. </w:t>
            </w:r>
          </w:p>
          <w:p w:rsidR="00FC6275" w:rsidRPr="00661595" w:rsidRDefault="00FC6275" w:rsidP="00923AB1">
            <w:pPr>
              <w:suppressAutoHyphens/>
              <w:spacing w:before="0" w:after="0"/>
              <w:jc w:val="left"/>
              <w:rPr>
                <w:rFonts w:ascii="Times New Roman" w:hAnsi="Times New Roman"/>
                <w:b/>
                <w:sz w:val="24"/>
                <w:u w:val="single"/>
              </w:rPr>
            </w:pPr>
          </w:p>
        </w:tc>
      </w:tr>
      <w:tr w:rsidR="00FC6275" w:rsidRPr="00661595" w:rsidTr="00E10B85">
        <w:tc>
          <w:tcPr>
            <w:tcW w:w="1101" w:type="dxa"/>
          </w:tcPr>
          <w:p w:rsidR="00FC6275" w:rsidRPr="00661595" w:rsidRDefault="00973973" w:rsidP="00923AB1">
            <w:pPr>
              <w:suppressAutoHyphens/>
              <w:autoSpaceDE w:val="0"/>
              <w:autoSpaceDN w:val="0"/>
              <w:adjustRightInd w:val="0"/>
              <w:spacing w:before="0" w:after="0"/>
              <w:rPr>
                <w:rFonts w:ascii="Times New Roman" w:hAnsi="Times New Roman"/>
                <w:sz w:val="24"/>
              </w:rPr>
            </w:pPr>
            <w:r>
              <w:rPr>
                <w:rFonts w:ascii="Times New Roman" w:hAnsi="Times New Roman"/>
                <w:sz w:val="24"/>
              </w:rPr>
              <w:t>0448</w:t>
            </w:r>
          </w:p>
        </w:tc>
        <w:tc>
          <w:tcPr>
            <w:tcW w:w="7903" w:type="dxa"/>
          </w:tcPr>
          <w:p w:rsidR="00FC6275" w:rsidRPr="00661595" w:rsidRDefault="00FC6275" w:rsidP="00923AB1">
            <w:pPr>
              <w:suppressAutoHyphens/>
              <w:spacing w:before="0" w:after="0"/>
              <w:jc w:val="left"/>
              <w:rPr>
                <w:rFonts w:ascii="Times New Roman" w:hAnsi="Times New Roman"/>
                <w:b/>
                <w:sz w:val="24"/>
                <w:u w:val="single"/>
              </w:rPr>
            </w:pPr>
            <w:r>
              <w:rPr>
                <w:rFonts w:ascii="Times New Roman" w:hAnsi="Times New Roman"/>
                <w:b/>
                <w:sz w:val="24"/>
                <w:u w:val="single"/>
              </w:rPr>
              <w:t>IMPORTO DELLE ESPOSIZIONI PONDERATO PER IL RISCHIO SECONDO IL SEC-SA</w:t>
            </w:r>
          </w:p>
          <w:p w:rsidR="00FC6275" w:rsidRPr="00661595" w:rsidRDefault="00FC6275" w:rsidP="00923AB1">
            <w:pPr>
              <w:suppressAutoHyphens/>
              <w:spacing w:before="0" w:after="0"/>
              <w:jc w:val="left"/>
              <w:rPr>
                <w:rFonts w:ascii="Times New Roman" w:hAnsi="Times New Roman"/>
                <w:b/>
                <w:sz w:val="24"/>
                <w:u w:val="single"/>
              </w:rPr>
            </w:pPr>
          </w:p>
          <w:p w:rsidR="00FC6275" w:rsidRPr="00661595" w:rsidRDefault="00FC6275" w:rsidP="00923AB1">
            <w:pPr>
              <w:suppressAutoHyphens/>
              <w:spacing w:before="0" w:after="0"/>
              <w:jc w:val="left"/>
              <w:rPr>
                <w:rFonts w:ascii="Times New Roman" w:hAnsi="Times New Roman"/>
                <w:sz w:val="24"/>
              </w:rPr>
            </w:pPr>
            <w:r>
              <w:rPr>
                <w:rFonts w:ascii="Times New Roman" w:hAnsi="Times New Roman"/>
                <w:sz w:val="24"/>
              </w:rPr>
              <w:t>Articoli 261 e 262 del CRR Questa colonna è compilata prima dell</w:t>
            </w:r>
            <w:r w:rsidR="000878EC">
              <w:rPr>
                <w:rFonts w:ascii="Times New Roman" w:hAnsi="Times New Roman"/>
                <w:sz w:val="24"/>
              </w:rPr>
              <w:t>'</w:t>
            </w:r>
            <w:r>
              <w:rPr>
                <w:rFonts w:ascii="Times New Roman" w:hAnsi="Times New Roman"/>
                <w:sz w:val="24"/>
              </w:rPr>
              <w:t>applicazione del massimale e non è compilata per le operazioni nell</w:t>
            </w:r>
            <w:r w:rsidR="000878EC">
              <w:rPr>
                <w:rFonts w:ascii="Times New Roman" w:hAnsi="Times New Roman"/>
                <w:sz w:val="24"/>
              </w:rPr>
              <w:t>'</w:t>
            </w:r>
            <w:r>
              <w:rPr>
                <w:rFonts w:ascii="Times New Roman" w:hAnsi="Times New Roman"/>
                <w:sz w:val="24"/>
              </w:rPr>
              <w:t>ambito del SEC-SA.</w:t>
            </w:r>
          </w:p>
          <w:p w:rsidR="00FC6275" w:rsidRPr="00661595" w:rsidRDefault="00FC6275" w:rsidP="00923AB1">
            <w:pPr>
              <w:suppressAutoHyphens/>
              <w:spacing w:before="0" w:after="0"/>
              <w:jc w:val="left"/>
              <w:rPr>
                <w:rFonts w:ascii="Times New Roman" w:hAnsi="Times New Roman"/>
                <w:b/>
                <w:sz w:val="24"/>
                <w:u w:val="single"/>
              </w:rPr>
            </w:pPr>
          </w:p>
        </w:tc>
      </w:tr>
      <w:tr w:rsidR="00FC6275" w:rsidRPr="00661595" w:rsidTr="00E10B85">
        <w:tc>
          <w:tcPr>
            <w:tcW w:w="1101" w:type="dxa"/>
            <w:shd w:val="clear" w:color="auto" w:fill="auto"/>
          </w:tcPr>
          <w:p w:rsidR="00FC6275" w:rsidRPr="00661595" w:rsidRDefault="00973973" w:rsidP="00923AB1">
            <w:pPr>
              <w:suppressAutoHyphens/>
              <w:autoSpaceDE w:val="0"/>
              <w:autoSpaceDN w:val="0"/>
              <w:adjustRightInd w:val="0"/>
              <w:spacing w:before="0" w:after="0"/>
              <w:rPr>
                <w:rFonts w:ascii="Times New Roman" w:hAnsi="Times New Roman"/>
                <w:sz w:val="24"/>
              </w:rPr>
            </w:pPr>
            <w:r>
              <w:rPr>
                <w:rFonts w:ascii="Times New Roman" w:hAnsi="Times New Roman"/>
                <w:sz w:val="24"/>
              </w:rPr>
              <w:t>0450-0470</w:t>
            </w:r>
          </w:p>
        </w:tc>
        <w:tc>
          <w:tcPr>
            <w:tcW w:w="7903" w:type="dxa"/>
            <w:shd w:val="clear" w:color="auto" w:fill="auto"/>
          </w:tcPr>
          <w:p w:rsidR="00FC6275" w:rsidRPr="00661595" w:rsidRDefault="00FC6275" w:rsidP="00923AB1">
            <w:pPr>
              <w:suppressAutoHyphens/>
              <w:spacing w:before="0" w:after="0"/>
              <w:jc w:val="left"/>
              <w:rPr>
                <w:rFonts w:ascii="Times New Roman" w:hAnsi="Times New Roman"/>
                <w:b/>
                <w:sz w:val="24"/>
                <w:u w:val="single"/>
              </w:rPr>
            </w:pPr>
            <w:r>
              <w:rPr>
                <w:rFonts w:ascii="Times New Roman" w:hAnsi="Times New Roman"/>
                <w:b/>
                <w:sz w:val="24"/>
                <w:u w:val="single"/>
              </w:rPr>
              <w:t>POSIZIONI VERSO LA CARTOLARIZZAZIONE — PORTAFOGLIO DI NEGOZIAZIONE</w:t>
            </w:r>
          </w:p>
          <w:p w:rsidR="00FC6275" w:rsidRPr="00661595" w:rsidRDefault="00FC6275" w:rsidP="00923AB1">
            <w:pPr>
              <w:suppressAutoHyphens/>
              <w:spacing w:before="0" w:after="0"/>
              <w:jc w:val="left"/>
              <w:rPr>
                <w:rFonts w:ascii="Times New Roman" w:hAnsi="Times New Roman"/>
                <w:b/>
                <w:sz w:val="24"/>
                <w:u w:val="single"/>
              </w:rPr>
            </w:pPr>
          </w:p>
        </w:tc>
      </w:tr>
      <w:tr w:rsidR="00FC6275" w:rsidRPr="00661595"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Del="00304CB1" w:rsidRDefault="00973973" w:rsidP="00923AB1">
            <w:pPr>
              <w:keepNext/>
              <w:keepLines/>
              <w:suppressAutoHyphens/>
              <w:autoSpaceDE w:val="0"/>
              <w:autoSpaceDN w:val="0"/>
              <w:adjustRightInd w:val="0"/>
              <w:spacing w:before="0" w:after="0"/>
              <w:rPr>
                <w:rFonts w:ascii="Times New Roman" w:hAnsi="Times New Roman"/>
                <w:sz w:val="24"/>
              </w:rPr>
            </w:pPr>
            <w:r>
              <w:rPr>
                <w:rFonts w:ascii="Times New Roman" w:hAnsi="Times New Roman"/>
                <w:sz w:val="24"/>
              </w:rPr>
              <w:t>0450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RDefault="00FC6275" w:rsidP="00923AB1">
            <w:pPr>
              <w:keepNext/>
              <w:keepLines/>
              <w:suppressAutoHyphens/>
              <w:spacing w:before="0" w:after="0"/>
              <w:jc w:val="left"/>
              <w:rPr>
                <w:rFonts w:ascii="Times New Roman" w:hAnsi="Times New Roman"/>
                <w:b/>
                <w:sz w:val="24"/>
                <w:u w:val="single"/>
              </w:rPr>
            </w:pPr>
            <w:r>
              <w:rPr>
                <w:rFonts w:ascii="Times New Roman" w:hAnsi="Times New Roman"/>
                <w:b/>
                <w:sz w:val="24"/>
                <w:u w:val="single"/>
              </w:rPr>
              <w:t>CTP O NON CTP?</w:t>
            </w:r>
          </w:p>
          <w:p w:rsidR="00FC6275" w:rsidRPr="00661595" w:rsidRDefault="00FC6275" w:rsidP="00923AB1">
            <w:pPr>
              <w:keepNext/>
              <w:keepLines/>
              <w:suppressAutoHyphens/>
              <w:spacing w:before="0" w:after="0"/>
              <w:jc w:val="left"/>
              <w:rPr>
                <w:rStyle w:val="InstructionsTabelleText"/>
                <w:rFonts w:ascii="Times New Roman" w:hAnsi="Times New Roman"/>
                <w:sz w:val="24"/>
              </w:rPr>
            </w:pPr>
          </w:p>
          <w:p w:rsidR="00FC6275" w:rsidRPr="00661595" w:rsidRDefault="00037FCC" w:rsidP="00923AB1">
            <w:pPr>
              <w:keepNext/>
              <w:keepLines/>
              <w:suppressAutoHyphens/>
              <w:spacing w:before="0" w:after="0"/>
              <w:jc w:val="left"/>
              <w:rPr>
                <w:rStyle w:val="InstructionsTabelleText"/>
                <w:rFonts w:ascii="Times New Roman" w:hAnsi="Times New Roman"/>
                <w:sz w:val="24"/>
              </w:rPr>
            </w:pPr>
            <w:r>
              <w:rPr>
                <w:rStyle w:val="InstructionsTabelleText"/>
                <w:rFonts w:ascii="Times New Roman" w:hAnsi="Times New Roman"/>
                <w:sz w:val="24"/>
              </w:rPr>
              <w:t>Gli enti utilizzano le seguenti abbreviazioni:</w:t>
            </w:r>
          </w:p>
          <w:p w:rsidR="00FC6275" w:rsidRPr="00661595" w:rsidRDefault="00FC6275" w:rsidP="00923AB1">
            <w:pPr>
              <w:keepNext/>
              <w:keepLines/>
              <w:suppressAutoHyphens/>
              <w:spacing w:before="0" w:after="0"/>
              <w:jc w:val="left"/>
              <w:rPr>
                <w:rStyle w:val="InstructionsTabelleText"/>
                <w:rFonts w:ascii="Times New Roman" w:hAnsi="Times New Roman"/>
                <w:sz w:val="24"/>
              </w:rPr>
            </w:pPr>
            <w:r>
              <w:rPr>
                <w:rStyle w:val="InstructionsTabelleText"/>
                <w:rFonts w:ascii="Times New Roman" w:hAnsi="Times New Roman"/>
                <w:sz w:val="24"/>
              </w:rPr>
              <w:t>C — portafoglio di negoziazione di correlazione (CTP);</w:t>
            </w:r>
          </w:p>
          <w:p w:rsidR="00FC6275" w:rsidRPr="00661595" w:rsidRDefault="00FC6275" w:rsidP="00923AB1">
            <w:pPr>
              <w:keepNext/>
              <w:keepLines/>
              <w:suppressAutoHyphens/>
              <w:spacing w:before="0" w:after="0"/>
              <w:jc w:val="left"/>
              <w:rPr>
                <w:rStyle w:val="InstructionsTabelleText"/>
                <w:rFonts w:ascii="Times New Roman" w:hAnsi="Times New Roman"/>
                <w:sz w:val="24"/>
              </w:rPr>
            </w:pPr>
            <w:r>
              <w:rPr>
                <w:rStyle w:val="InstructionsTabelleText"/>
                <w:rFonts w:ascii="Times New Roman" w:hAnsi="Times New Roman"/>
                <w:sz w:val="24"/>
              </w:rPr>
              <w:t>N — non CTP.</w:t>
            </w:r>
          </w:p>
          <w:p w:rsidR="00FC6275" w:rsidRPr="00661595" w:rsidRDefault="00FC6275" w:rsidP="00923AB1">
            <w:pPr>
              <w:keepNext/>
              <w:keepLines/>
              <w:suppressAutoHyphens/>
              <w:spacing w:before="0" w:after="0"/>
              <w:jc w:val="left"/>
              <w:rPr>
                <w:rFonts w:ascii="Times New Roman" w:hAnsi="Times New Roman"/>
                <w:b/>
                <w:sz w:val="24"/>
                <w:u w:val="single"/>
              </w:rPr>
            </w:pPr>
          </w:p>
        </w:tc>
      </w:tr>
      <w:tr w:rsidR="00FC6275" w:rsidRPr="00661595" w:rsidTr="00E10B85">
        <w:tc>
          <w:tcPr>
            <w:tcW w:w="1101"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Del="00304CB1" w:rsidRDefault="00973973" w:rsidP="00923AB1">
            <w:pPr>
              <w:suppressAutoHyphens/>
              <w:autoSpaceDE w:val="0"/>
              <w:autoSpaceDN w:val="0"/>
              <w:adjustRightInd w:val="0"/>
              <w:spacing w:before="0" w:after="0"/>
              <w:rPr>
                <w:rFonts w:ascii="Times New Roman" w:hAnsi="Times New Roman"/>
                <w:sz w:val="24"/>
              </w:rPr>
            </w:pPr>
            <w:r>
              <w:rPr>
                <w:rFonts w:ascii="Times New Roman" w:hAnsi="Times New Roman"/>
                <w:sz w:val="24"/>
              </w:rPr>
              <w:t>0460-0470</w:t>
            </w:r>
          </w:p>
        </w:tc>
        <w:tc>
          <w:tcPr>
            <w:tcW w:w="7903" w:type="dxa"/>
            <w:tcBorders>
              <w:top w:val="single" w:sz="4" w:space="0" w:color="auto"/>
              <w:left w:val="single" w:sz="4" w:space="0" w:color="auto"/>
              <w:bottom w:val="single" w:sz="4" w:space="0" w:color="auto"/>
              <w:right w:val="single" w:sz="4" w:space="0" w:color="auto"/>
            </w:tcBorders>
            <w:shd w:val="clear" w:color="auto" w:fill="auto"/>
          </w:tcPr>
          <w:p w:rsidR="00FC6275" w:rsidRPr="00661595" w:rsidRDefault="00FC6275" w:rsidP="00923AB1">
            <w:pPr>
              <w:suppressAutoHyphens/>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POSIZIONI NETTE — LUNGHE/CORTE</w:t>
            </w:r>
          </w:p>
          <w:p w:rsidR="00FC6275" w:rsidRPr="00661595" w:rsidRDefault="00FC6275" w:rsidP="00923AB1">
            <w:pPr>
              <w:suppressAutoHyphens/>
              <w:spacing w:before="0" w:after="0"/>
              <w:jc w:val="left"/>
              <w:rPr>
                <w:rFonts w:ascii="Times New Roman" w:hAnsi="Times New Roman"/>
                <w:b/>
                <w:sz w:val="24"/>
                <w:u w:val="single"/>
              </w:rPr>
            </w:pPr>
          </w:p>
          <w:p w:rsidR="00FC6275" w:rsidRPr="00661595" w:rsidRDefault="00FC6275" w:rsidP="00923AB1">
            <w:pPr>
              <w:suppressAutoHyphens/>
              <w:spacing w:before="0" w:after="0"/>
              <w:jc w:val="left"/>
              <w:rPr>
                <w:rStyle w:val="InstructionsTabelleText"/>
                <w:rFonts w:ascii="Times New Roman" w:hAnsi="Times New Roman"/>
                <w:sz w:val="24"/>
              </w:rPr>
            </w:pPr>
            <w:r>
              <w:rPr>
                <w:rStyle w:val="InstructionsTabelleText"/>
                <w:rFonts w:ascii="Times New Roman" w:hAnsi="Times New Roman"/>
                <w:sz w:val="24"/>
              </w:rPr>
              <w:t xml:space="preserve">Cfr., rispettivamente, le colonne 0050/0060 del modello MKR SA SEC o del modello MKR SA CTP. </w:t>
            </w:r>
          </w:p>
          <w:p w:rsidR="00FC6275" w:rsidRPr="00661595" w:rsidRDefault="00FC6275" w:rsidP="00923AB1">
            <w:pPr>
              <w:suppressAutoHyphens/>
              <w:spacing w:before="0" w:after="0"/>
              <w:jc w:val="left"/>
              <w:rPr>
                <w:rFonts w:ascii="Times New Roman" w:hAnsi="Times New Roman"/>
                <w:b/>
                <w:sz w:val="24"/>
                <w:u w:val="single"/>
              </w:rPr>
            </w:pPr>
          </w:p>
        </w:tc>
      </w:tr>
    </w:tbl>
    <w:p w:rsidR="00595FAD" w:rsidRPr="00661595" w:rsidRDefault="00595FAD" w:rsidP="002F29AF">
      <w:pPr>
        <w:pStyle w:val="ListParagraph"/>
        <w:keepNext/>
        <w:numPr>
          <w:ilvl w:val="1"/>
          <w:numId w:val="48"/>
        </w:numPr>
        <w:spacing w:before="240" w:after="240"/>
        <w:outlineLvl w:val="1"/>
        <w:rPr>
          <w:rFonts w:ascii="Times New Roman" w:hAnsi="Times New Roman"/>
          <w:sz w:val="24"/>
        </w:rPr>
      </w:pPr>
      <w:bookmarkStart w:id="429" w:name="_Toc19715796"/>
      <w:bookmarkStart w:id="430" w:name="_Toc58915794"/>
      <w:r>
        <w:rPr>
          <w:rFonts w:ascii="Times New Roman" w:hAnsi="Times New Roman"/>
          <w:sz w:val="24"/>
        </w:rPr>
        <w:t>Rischio di controparte (CCR)</w:t>
      </w:r>
      <w:bookmarkEnd w:id="429"/>
      <w:bookmarkEnd w:id="430"/>
    </w:p>
    <w:p w:rsidR="00595FAD" w:rsidRPr="00661595" w:rsidRDefault="00595FAD" w:rsidP="002F29AF">
      <w:pPr>
        <w:pStyle w:val="Instructionsberschrift2"/>
        <w:numPr>
          <w:ilvl w:val="2"/>
          <w:numId w:val="48"/>
        </w:numPr>
        <w:rPr>
          <w:rFonts w:ascii="Times New Roman" w:hAnsi="Times New Roman" w:cs="Times New Roman"/>
          <w:sz w:val="24"/>
        </w:rPr>
      </w:pPr>
      <w:bookmarkStart w:id="431" w:name="_Toc19712307"/>
      <w:bookmarkStart w:id="432" w:name="_Toc19715797"/>
      <w:bookmarkStart w:id="433" w:name="_Toc19715798"/>
      <w:bookmarkStart w:id="434" w:name="_Toc19715799"/>
      <w:bookmarkStart w:id="435" w:name="_Toc19715800"/>
      <w:bookmarkStart w:id="436" w:name="_Toc19715801"/>
      <w:bookmarkStart w:id="437" w:name="_Toc5612629"/>
      <w:bookmarkStart w:id="438" w:name="_Toc19715802"/>
      <w:bookmarkStart w:id="439" w:name="_Toc58915795"/>
      <w:bookmarkEnd w:id="431"/>
      <w:bookmarkEnd w:id="432"/>
      <w:bookmarkEnd w:id="433"/>
      <w:bookmarkEnd w:id="434"/>
      <w:bookmarkEnd w:id="435"/>
      <w:bookmarkEnd w:id="436"/>
      <w:r>
        <w:rPr>
          <w:rFonts w:ascii="Times New Roman" w:hAnsi="Times New Roman"/>
          <w:sz w:val="24"/>
        </w:rPr>
        <w:t>Ambito di applicazione dei modelli per il rischio di controparte</w:t>
      </w:r>
      <w:bookmarkEnd w:id="437"/>
      <w:bookmarkEnd w:id="438"/>
      <w:bookmarkEnd w:id="439"/>
    </w:p>
    <w:p w:rsidR="00595FAD" w:rsidRPr="00661595" w:rsidRDefault="00A971CA" w:rsidP="00923AB1">
      <w:pPr>
        <w:pStyle w:val="InstructionsText2"/>
        <w:numPr>
          <w:ilvl w:val="0"/>
          <w:numId w:val="0"/>
        </w:numPr>
        <w:ind w:left="1800" w:hanging="600"/>
      </w:pPr>
      <w:r>
        <w:fldChar w:fldCharType="begin"/>
      </w:r>
      <w:r>
        <w:instrText xml:space="preserve"> seq paragraphs </w:instrText>
      </w:r>
      <w:r>
        <w:fldChar w:fldCharType="separate"/>
      </w:r>
      <w:r w:rsidR="00D11E4C">
        <w:rPr>
          <w:noProof/>
        </w:rPr>
        <w:t>119</w:t>
      </w:r>
      <w:r>
        <w:rPr>
          <w:noProof/>
        </w:rPr>
        <w:fldChar w:fldCharType="end"/>
      </w:r>
      <w:r w:rsidR="00923AB1">
        <w:t>.</w:t>
      </w:r>
      <w:r w:rsidR="00923AB1">
        <w:tab/>
      </w:r>
      <w:r w:rsidR="00D11E4C">
        <w:t>I modelli per il rischio di controparte riguardano le informazioni sulle esposizioni soggette al rischio di controparte in applicazione della parte tre, titolo II, capi 4 e 6, del CRR.</w:t>
      </w:r>
    </w:p>
    <w:p w:rsidR="00595FAD" w:rsidRPr="00661595" w:rsidRDefault="00A971CA" w:rsidP="00923AB1">
      <w:pPr>
        <w:pStyle w:val="InstructionsText2"/>
        <w:numPr>
          <w:ilvl w:val="0"/>
          <w:numId w:val="0"/>
        </w:numPr>
        <w:ind w:left="1800" w:hanging="600"/>
      </w:pPr>
      <w:r>
        <w:fldChar w:fldCharType="begin"/>
      </w:r>
      <w:r>
        <w:instrText xml:space="preserve"> seq paragraphs </w:instrText>
      </w:r>
      <w:r>
        <w:fldChar w:fldCharType="separate"/>
      </w:r>
      <w:r w:rsidR="00D11E4C">
        <w:rPr>
          <w:noProof/>
        </w:rPr>
        <w:t>120</w:t>
      </w:r>
      <w:r>
        <w:rPr>
          <w:noProof/>
        </w:rPr>
        <w:fldChar w:fldCharType="end"/>
      </w:r>
      <w:r w:rsidR="00923AB1">
        <w:t>.</w:t>
      </w:r>
      <w:r w:rsidR="00923AB1">
        <w:tab/>
      </w:r>
      <w:r w:rsidR="00D11E4C">
        <w:t xml:space="preserve">I modelli escludono i requisiti di fondi propri per il rischio di CVA (articolo 92, paragrafo 3, lettera d), e parte tre, titolo VI, del CRR), che sono segnalati nel modello per il rischio di CVA. </w:t>
      </w:r>
    </w:p>
    <w:p w:rsidR="00595FAD" w:rsidRPr="00661595" w:rsidRDefault="00A971CA" w:rsidP="00923AB1">
      <w:pPr>
        <w:pStyle w:val="InstructionsText2"/>
        <w:numPr>
          <w:ilvl w:val="0"/>
          <w:numId w:val="0"/>
        </w:numPr>
        <w:ind w:left="1800" w:hanging="600"/>
      </w:pPr>
      <w:r>
        <w:fldChar w:fldCharType="begin"/>
      </w:r>
      <w:r>
        <w:instrText xml:space="preserve"> seq paragraphs </w:instrText>
      </w:r>
      <w:r>
        <w:fldChar w:fldCharType="separate"/>
      </w:r>
      <w:r w:rsidR="00D11E4C">
        <w:rPr>
          <w:noProof/>
        </w:rPr>
        <w:t>121</w:t>
      </w:r>
      <w:r>
        <w:rPr>
          <w:noProof/>
        </w:rPr>
        <w:fldChar w:fldCharType="end"/>
      </w:r>
      <w:r w:rsidR="00923AB1">
        <w:t>.</w:t>
      </w:r>
      <w:r w:rsidR="00923AB1">
        <w:tab/>
      </w:r>
      <w:r w:rsidR="00D11E4C">
        <w:t>Salvo diversa indicazione, le esposizioni soggette al rischio di controparte verso controparti centrali (parte tre, titolo II, capo 4 e capo 6, sezione 9, del CRR) dovrebbero essere incluse nei dati del CCR. Tuttavia i contributi al fondo di garanzia calcolati conformemente agli articoli da 307 a 310 del CRR non sono segnalati nei modelli per il rischio di controparte, ad eccezione del modello C 34.10, in particolare delle righe corrispondenti. In generale gli importi delle esposizioni ponderati per il rischio dei contributi al fondo di garanzia sono segnalati direttamente nel modello C 02.00, riga 0460.</w:t>
      </w:r>
    </w:p>
    <w:p w:rsidR="00595FAD" w:rsidRPr="00661595" w:rsidRDefault="00595FAD" w:rsidP="002F29AF">
      <w:pPr>
        <w:pStyle w:val="Instructionsberschrift2"/>
        <w:numPr>
          <w:ilvl w:val="2"/>
          <w:numId w:val="48"/>
        </w:numPr>
        <w:rPr>
          <w:rFonts w:ascii="Times New Roman" w:hAnsi="Times New Roman" w:cs="Times New Roman"/>
          <w:sz w:val="24"/>
        </w:rPr>
      </w:pPr>
      <w:bookmarkStart w:id="440" w:name="_Toc19715803"/>
      <w:bookmarkStart w:id="441" w:name="_Toc516210659"/>
      <w:bookmarkStart w:id="442" w:name="_Toc58915796"/>
      <w:r>
        <w:rPr>
          <w:rFonts w:ascii="Times New Roman" w:hAnsi="Times New Roman"/>
          <w:sz w:val="24"/>
        </w:rPr>
        <w:t>C 34.01 - Entità delle operazioni su derivati</w:t>
      </w:r>
      <w:bookmarkEnd w:id="440"/>
      <w:bookmarkEnd w:id="442"/>
    </w:p>
    <w:p w:rsidR="00595FAD" w:rsidRPr="00661595" w:rsidRDefault="00595FAD" w:rsidP="002F29AF">
      <w:pPr>
        <w:pStyle w:val="Instructionsberschrift2"/>
        <w:numPr>
          <w:ilvl w:val="3"/>
          <w:numId w:val="48"/>
        </w:numPr>
        <w:rPr>
          <w:rFonts w:ascii="Times New Roman" w:hAnsi="Times New Roman" w:cs="Times New Roman"/>
          <w:sz w:val="24"/>
        </w:rPr>
      </w:pPr>
      <w:bookmarkStart w:id="443" w:name="_Toc19715804"/>
      <w:bookmarkStart w:id="444" w:name="_Toc58915797"/>
      <w:r>
        <w:rPr>
          <w:rFonts w:ascii="Times New Roman" w:hAnsi="Times New Roman"/>
          <w:sz w:val="24"/>
        </w:rPr>
        <w:t>Osservazioni di carattere generale</w:t>
      </w:r>
      <w:bookmarkEnd w:id="441"/>
      <w:bookmarkEnd w:id="443"/>
      <w:bookmarkEnd w:id="444"/>
    </w:p>
    <w:p w:rsidR="00595FAD" w:rsidRPr="00661595" w:rsidRDefault="00A971CA" w:rsidP="00923AB1">
      <w:pPr>
        <w:pStyle w:val="InstructionsText2"/>
        <w:numPr>
          <w:ilvl w:val="0"/>
          <w:numId w:val="0"/>
        </w:numPr>
        <w:ind w:left="1800" w:hanging="600"/>
      </w:pPr>
      <w:r>
        <w:fldChar w:fldCharType="begin"/>
      </w:r>
      <w:r>
        <w:instrText xml:space="preserve"> seq paragraphs </w:instrText>
      </w:r>
      <w:r>
        <w:fldChar w:fldCharType="separate"/>
      </w:r>
      <w:r w:rsidR="00D11E4C">
        <w:rPr>
          <w:noProof/>
        </w:rPr>
        <w:t>122</w:t>
      </w:r>
      <w:r>
        <w:rPr>
          <w:noProof/>
        </w:rPr>
        <w:fldChar w:fldCharType="end"/>
      </w:r>
      <w:r w:rsidR="00923AB1">
        <w:t>.</w:t>
      </w:r>
      <w:r w:rsidR="00923AB1">
        <w:tab/>
      </w:r>
      <w:r w:rsidR="00D11E4C">
        <w:t>Conformemente all</w:t>
      </w:r>
      <w:r w:rsidR="000878EC">
        <w:t>'</w:t>
      </w:r>
      <w:r w:rsidR="00D11E4C">
        <w:t>articolo 273 bis del CRR, un ente può calcolare il valore dell</w:t>
      </w:r>
      <w:r w:rsidR="000878EC">
        <w:t>'</w:t>
      </w:r>
      <w:r w:rsidR="00D11E4C">
        <w:t>esposizione delle sue posizioni in derivati conformemente al metodo di cui alla parte tre, titolo II, capo 6, sezione 4 o 5, del CRR, purché l</w:t>
      </w:r>
      <w:r w:rsidR="000878EC">
        <w:t>'</w:t>
      </w:r>
      <w:r w:rsidR="00D11E4C">
        <w:t>entità delle sue operazioni in bilancio e fuori bilancio su derivati sia rispettivamente pari o inferiore a soglie predefinite. La valutazione corrispondente deve essere effettuata mensilmente utilizzando i dati dell</w:t>
      </w:r>
      <w:r w:rsidR="000878EC">
        <w:t>'</w:t>
      </w:r>
      <w:r w:rsidR="00D11E4C">
        <w:t>ultimo giorno del mese. Questo modello fornisce le informazioni sul rispetto di tali soglie e, più in generale, informazioni importanti sull</w:t>
      </w:r>
      <w:r w:rsidR="000878EC">
        <w:t>'</w:t>
      </w:r>
      <w:r w:rsidR="00D11E4C">
        <w:t>entità delle operazioni su derivati.</w:t>
      </w:r>
    </w:p>
    <w:p w:rsidR="00595FAD" w:rsidRPr="00661595" w:rsidRDefault="00A971CA" w:rsidP="00923AB1">
      <w:pPr>
        <w:pStyle w:val="InstructionsText2"/>
        <w:numPr>
          <w:ilvl w:val="0"/>
          <w:numId w:val="0"/>
        </w:numPr>
        <w:ind w:left="1800" w:hanging="600"/>
      </w:pPr>
      <w:r>
        <w:fldChar w:fldCharType="begin"/>
      </w:r>
      <w:r>
        <w:instrText xml:space="preserve"> seq paragraphs </w:instrText>
      </w:r>
      <w:r>
        <w:fldChar w:fldCharType="separate"/>
      </w:r>
      <w:r w:rsidR="00D11E4C">
        <w:rPr>
          <w:noProof/>
        </w:rPr>
        <w:t>123</w:t>
      </w:r>
      <w:r>
        <w:rPr>
          <w:noProof/>
        </w:rPr>
        <w:fldChar w:fldCharType="end"/>
      </w:r>
      <w:r w:rsidR="00923AB1">
        <w:t>.</w:t>
      </w:r>
      <w:r w:rsidR="00923AB1">
        <w:tab/>
      </w:r>
      <w:r w:rsidR="00D11E4C">
        <w:t>Il mese 1, il mese 2 e il mese 3 si riferiscono rispettivamente al primo, al secondo e all</w:t>
      </w:r>
      <w:r w:rsidR="000878EC">
        <w:t>'</w:t>
      </w:r>
      <w:r w:rsidR="00D11E4C">
        <w:t>ultimo mese del trimestre segnalato. Le informazioni sono segnalate solo per i fine mese dopo il 28 giugno 2021.</w:t>
      </w:r>
    </w:p>
    <w:p w:rsidR="00595FAD" w:rsidRPr="00661595" w:rsidRDefault="00595FAD" w:rsidP="002F29AF">
      <w:pPr>
        <w:pStyle w:val="Instructionsberschrift2"/>
        <w:numPr>
          <w:ilvl w:val="3"/>
          <w:numId w:val="48"/>
        </w:numPr>
        <w:rPr>
          <w:rFonts w:ascii="Times New Roman" w:hAnsi="Times New Roman" w:cs="Times New Roman"/>
          <w:sz w:val="24"/>
        </w:rPr>
      </w:pPr>
      <w:bookmarkStart w:id="445" w:name="_Toc516210660"/>
      <w:bookmarkStart w:id="446" w:name="_Toc19715805"/>
      <w:bookmarkStart w:id="447" w:name="_Toc58915798"/>
      <w:r>
        <w:rPr>
          <w:rFonts w:ascii="Times New Roman" w:hAnsi="Times New Roman"/>
          <w:sz w:val="24"/>
        </w:rPr>
        <w:t>Istruzioni relative a posizioni specifiche</w:t>
      </w:r>
      <w:bookmarkEnd w:id="445"/>
      <w:bookmarkEnd w:id="446"/>
      <w:bookmarkEnd w:id="447"/>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
        <w:gridCol w:w="8206"/>
      </w:tblGrid>
      <w:tr w:rsidR="00595FAD" w:rsidRPr="00661595" w:rsidTr="00FF15C6">
        <w:tc>
          <w:tcPr>
            <w:tcW w:w="851" w:type="dxa"/>
            <w:gridSpan w:val="2"/>
            <w:shd w:val="clear" w:color="auto" w:fill="CCCCCC"/>
          </w:tcPr>
          <w:p w:rsidR="00595FAD" w:rsidRPr="00661595" w:rsidRDefault="00595FAD" w:rsidP="00923AB1">
            <w:pPr>
              <w:suppressAutoHyphens/>
              <w:spacing w:beforeLines="60" w:before="144" w:afterLines="60" w:after="144"/>
              <w:rPr>
                <w:rFonts w:ascii="Times New Roman" w:hAnsi="Times New Roman"/>
                <w:b/>
                <w:sz w:val="24"/>
              </w:rPr>
            </w:pPr>
            <w:r>
              <w:rPr>
                <w:rFonts w:ascii="Times New Roman" w:hAnsi="Times New Roman"/>
                <w:b/>
                <w:sz w:val="24"/>
              </w:rPr>
              <w:t>Colonne</w:t>
            </w:r>
          </w:p>
        </w:tc>
      </w:tr>
      <w:tr w:rsidR="00595FAD" w:rsidRPr="00661595" w:rsidTr="00FF15C6">
        <w:tc>
          <w:tcPr>
            <w:tcW w:w="851" w:type="dxa"/>
          </w:tcPr>
          <w:p w:rsidR="00595FAD" w:rsidRPr="00661595" w:rsidRDefault="00595FAD" w:rsidP="00923AB1">
            <w:pPr>
              <w:suppressAutoHyphens/>
              <w:spacing w:beforeLines="60" w:before="144" w:afterLines="60" w:after="144"/>
              <w:rPr>
                <w:rFonts w:ascii="Times New Roman" w:hAnsi="Times New Roman"/>
                <w:sz w:val="24"/>
              </w:rPr>
            </w:pPr>
            <w:r>
              <w:rPr>
                <w:rFonts w:ascii="Times New Roman" w:hAnsi="Times New Roman"/>
                <w:sz w:val="24"/>
              </w:rPr>
              <w:t>0010, 0040, 0070</w:t>
            </w:r>
          </w:p>
        </w:tc>
        <w:tc>
          <w:tcPr>
            <w:tcW w:w="8108" w:type="dxa"/>
          </w:tcPr>
          <w:p w:rsidR="00595FAD" w:rsidRPr="00661595" w:rsidRDefault="00595FAD" w:rsidP="00923AB1">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POSIZIONI LUNGHE IN DERIVATI</w:t>
            </w:r>
          </w:p>
          <w:p w:rsidR="00595FAD" w:rsidRPr="00661595" w:rsidRDefault="00595FAD" w:rsidP="00923AB1">
            <w:pPr>
              <w:suppressAutoHyphens/>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Articolo 273 bis, paragrafo 3, del CRR</w:t>
            </w:r>
          </w:p>
          <w:p w:rsidR="00595FAD" w:rsidRPr="00661595" w:rsidRDefault="00595FAD" w:rsidP="00923AB1">
            <w:pPr>
              <w:suppressAutoHyphens/>
              <w:spacing w:beforeLines="60" w:before="144" w:afterLines="60" w:after="144"/>
              <w:rPr>
                <w:rFonts w:ascii="Times New Roman" w:hAnsi="Times New Roman"/>
                <w:sz w:val="24"/>
              </w:rPr>
            </w:pPr>
            <w:r>
              <w:rPr>
                <w:rFonts w:ascii="Times New Roman" w:hAnsi="Times New Roman"/>
                <w:sz w:val="24"/>
              </w:rPr>
              <w:t>È segnalata la somma dei valori assoluti di mercato delle posizioni lunghe in derivati all</w:t>
            </w:r>
            <w:r w:rsidR="000878EC">
              <w:rPr>
                <w:rFonts w:ascii="Times New Roman" w:hAnsi="Times New Roman"/>
                <w:sz w:val="24"/>
              </w:rPr>
              <w:t>'</w:t>
            </w:r>
            <w:r>
              <w:rPr>
                <w:rFonts w:ascii="Times New Roman" w:hAnsi="Times New Roman"/>
                <w:sz w:val="24"/>
              </w:rPr>
              <w:t>ultimo giorno del mese.</w:t>
            </w:r>
          </w:p>
        </w:tc>
      </w:tr>
      <w:tr w:rsidR="00595FAD" w:rsidRPr="00661595" w:rsidTr="00FF15C6">
        <w:tc>
          <w:tcPr>
            <w:tcW w:w="851" w:type="dxa"/>
          </w:tcPr>
          <w:p w:rsidR="00595FAD" w:rsidRPr="00661595" w:rsidRDefault="00595FAD" w:rsidP="00923AB1">
            <w:pPr>
              <w:suppressAutoHyphens/>
              <w:spacing w:beforeLines="60" w:before="144" w:afterLines="60" w:after="144"/>
              <w:rPr>
                <w:rFonts w:ascii="Times New Roman" w:hAnsi="Times New Roman"/>
                <w:sz w:val="24"/>
              </w:rPr>
            </w:pPr>
            <w:r>
              <w:rPr>
                <w:rFonts w:ascii="Times New Roman" w:hAnsi="Times New Roman"/>
                <w:sz w:val="24"/>
              </w:rPr>
              <w:t>0020, 0050,</w:t>
            </w:r>
          </w:p>
          <w:p w:rsidR="00595FAD" w:rsidRPr="00661595" w:rsidRDefault="00595FAD" w:rsidP="00923AB1">
            <w:pPr>
              <w:suppressAutoHyphens/>
              <w:spacing w:beforeLines="60" w:before="144" w:afterLines="60" w:after="144"/>
              <w:rPr>
                <w:rFonts w:ascii="Times New Roman" w:hAnsi="Times New Roman"/>
                <w:sz w:val="24"/>
              </w:rPr>
            </w:pPr>
            <w:r>
              <w:rPr>
                <w:rFonts w:ascii="Times New Roman" w:hAnsi="Times New Roman"/>
                <w:sz w:val="24"/>
              </w:rPr>
              <w:t>0080</w:t>
            </w:r>
          </w:p>
        </w:tc>
        <w:tc>
          <w:tcPr>
            <w:tcW w:w="8108" w:type="dxa"/>
          </w:tcPr>
          <w:p w:rsidR="00595FAD" w:rsidRPr="00661595" w:rsidRDefault="00595FAD" w:rsidP="00923AB1">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POSIZIONI CORTE IN DERIVATI</w:t>
            </w:r>
          </w:p>
          <w:p w:rsidR="00595FAD" w:rsidRPr="00661595" w:rsidRDefault="00595FAD" w:rsidP="00923AB1">
            <w:pPr>
              <w:suppressAutoHyphens/>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sz w:val="24"/>
              </w:rPr>
              <w:t>Articolo 273 bis, paragrafo 3, del CRR</w:t>
            </w:r>
          </w:p>
          <w:p w:rsidR="00595FAD" w:rsidRPr="00661595" w:rsidRDefault="00595FAD" w:rsidP="00923AB1">
            <w:pPr>
              <w:suppressAutoHyphens/>
              <w:spacing w:beforeLines="60" w:before="144" w:afterLines="60" w:after="144"/>
              <w:rPr>
                <w:rFonts w:ascii="Times New Roman" w:hAnsi="Times New Roman"/>
                <w:sz w:val="24"/>
              </w:rPr>
            </w:pPr>
            <w:r>
              <w:rPr>
                <w:rFonts w:ascii="Times New Roman" w:hAnsi="Times New Roman"/>
                <w:sz w:val="24"/>
              </w:rPr>
              <w:t>È segnalata la somma dei valori assoluti di mercato delle posizioni corte in derivati all</w:t>
            </w:r>
            <w:r w:rsidR="000878EC">
              <w:rPr>
                <w:rFonts w:ascii="Times New Roman" w:hAnsi="Times New Roman"/>
                <w:sz w:val="24"/>
              </w:rPr>
              <w:t>'</w:t>
            </w:r>
            <w:r>
              <w:rPr>
                <w:rFonts w:ascii="Times New Roman" w:hAnsi="Times New Roman"/>
                <w:sz w:val="24"/>
              </w:rPr>
              <w:t>ultimo giorno del mese.</w:t>
            </w:r>
          </w:p>
        </w:tc>
      </w:tr>
      <w:tr w:rsidR="00595FAD" w:rsidRPr="00661595" w:rsidTr="00FF15C6">
        <w:tc>
          <w:tcPr>
            <w:tcW w:w="851" w:type="dxa"/>
          </w:tcPr>
          <w:p w:rsidR="00595FAD" w:rsidRPr="00661595" w:rsidRDefault="00595FAD" w:rsidP="00923AB1">
            <w:pPr>
              <w:suppressAutoHyphens/>
              <w:spacing w:beforeLines="60" w:before="144" w:afterLines="60" w:after="144"/>
              <w:rPr>
                <w:rFonts w:ascii="Times New Roman" w:hAnsi="Times New Roman"/>
                <w:sz w:val="24"/>
              </w:rPr>
            </w:pPr>
            <w:r>
              <w:rPr>
                <w:rFonts w:ascii="Times New Roman" w:hAnsi="Times New Roman"/>
                <w:sz w:val="24"/>
              </w:rPr>
              <w:t>0030, 0060,</w:t>
            </w:r>
          </w:p>
          <w:p w:rsidR="00595FAD" w:rsidRPr="00661595" w:rsidRDefault="00595FAD" w:rsidP="00923AB1">
            <w:pPr>
              <w:suppressAutoHyphens/>
              <w:spacing w:beforeLines="60" w:before="144" w:afterLines="60" w:after="144"/>
              <w:rPr>
                <w:rFonts w:ascii="Times New Roman" w:hAnsi="Times New Roman"/>
                <w:sz w:val="24"/>
              </w:rPr>
            </w:pPr>
            <w:r>
              <w:rPr>
                <w:rFonts w:ascii="Times New Roman" w:hAnsi="Times New Roman"/>
                <w:sz w:val="24"/>
              </w:rPr>
              <w:t>0090</w:t>
            </w:r>
          </w:p>
        </w:tc>
        <w:tc>
          <w:tcPr>
            <w:tcW w:w="8108" w:type="dxa"/>
          </w:tcPr>
          <w:p w:rsidR="00595FAD" w:rsidRPr="00661595" w:rsidRDefault="00595FAD" w:rsidP="00923AB1">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TOTALE</w:t>
            </w:r>
          </w:p>
          <w:p w:rsidR="00595FAD" w:rsidRPr="00661595" w:rsidRDefault="00595FAD" w:rsidP="00923AB1">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273 bis, paragrafo 3, lettera b), del CRR</w:t>
            </w:r>
          </w:p>
          <w:p w:rsidR="00595FAD" w:rsidRPr="00661595" w:rsidRDefault="00595FAD" w:rsidP="00923AB1">
            <w:pPr>
              <w:suppressAutoHyphens/>
              <w:spacing w:beforeLines="60" w:before="144" w:afterLines="60" w:after="144"/>
              <w:rPr>
                <w:rFonts w:ascii="Times New Roman" w:hAnsi="Times New Roman"/>
                <w:sz w:val="24"/>
              </w:rPr>
            </w:pPr>
            <w:r>
              <w:rPr>
                <w:rFonts w:ascii="Times New Roman" w:hAnsi="Times New Roman"/>
                <w:sz w:val="24"/>
              </w:rPr>
              <w:t>La somma del valore assoluto delle posizioni lunghe in derivati e del valore assoluto delle posizioni corte in derivati.</w:t>
            </w:r>
          </w:p>
        </w:tc>
      </w:tr>
    </w:tbl>
    <w:p w:rsidR="00595FAD" w:rsidRPr="00661595" w:rsidRDefault="00595FAD" w:rsidP="00595FAD">
      <w:pPr>
        <w:rPr>
          <w:rFonts w:ascii="Times New Roman" w:hAnsi="Times New Roman"/>
          <w:noProof/>
          <w:szCs w:val="22"/>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187"/>
      </w:tblGrid>
      <w:tr w:rsidR="00595FAD" w:rsidRPr="00661595" w:rsidTr="00FF15C6">
        <w:tc>
          <w:tcPr>
            <w:tcW w:w="9039" w:type="dxa"/>
            <w:gridSpan w:val="2"/>
            <w:shd w:val="clear" w:color="auto" w:fill="CCCCCC"/>
          </w:tcPr>
          <w:p w:rsidR="00595FAD" w:rsidRPr="00661595" w:rsidRDefault="00595FAD" w:rsidP="00923AB1">
            <w:pPr>
              <w:suppressAutoHyphens/>
              <w:spacing w:beforeLines="60" w:before="144" w:afterLines="60" w:after="144"/>
              <w:rPr>
                <w:rFonts w:ascii="Times New Roman" w:hAnsi="Times New Roman"/>
                <w:b/>
                <w:sz w:val="24"/>
              </w:rPr>
            </w:pPr>
            <w:r>
              <w:rPr>
                <w:rFonts w:ascii="Times New Roman" w:hAnsi="Times New Roman"/>
                <w:b/>
                <w:sz w:val="24"/>
              </w:rPr>
              <w:t>Righe</w:t>
            </w:r>
          </w:p>
        </w:tc>
      </w:tr>
      <w:tr w:rsidR="00595FAD" w:rsidRPr="00661595" w:rsidTr="00FF15C6">
        <w:tc>
          <w:tcPr>
            <w:tcW w:w="852" w:type="dxa"/>
          </w:tcPr>
          <w:p w:rsidR="00595FAD" w:rsidRPr="00661595" w:rsidRDefault="00595FAD" w:rsidP="00923AB1">
            <w:pPr>
              <w:suppressAutoHyphens/>
              <w:spacing w:beforeLines="60" w:before="144" w:afterLines="60" w:after="144"/>
              <w:rPr>
                <w:rFonts w:ascii="Times New Roman" w:hAnsi="Times New Roman"/>
                <w:sz w:val="24"/>
              </w:rPr>
            </w:pPr>
            <w:r>
              <w:rPr>
                <w:rFonts w:ascii="Times New Roman" w:hAnsi="Times New Roman"/>
                <w:sz w:val="24"/>
              </w:rPr>
              <w:t>0010</w:t>
            </w:r>
          </w:p>
        </w:tc>
        <w:tc>
          <w:tcPr>
            <w:tcW w:w="8187" w:type="dxa"/>
          </w:tcPr>
          <w:p w:rsidR="00595FAD" w:rsidRPr="00661595" w:rsidRDefault="00595FAD" w:rsidP="00923AB1">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Entità delle operazioni su derivati</w:t>
            </w:r>
          </w:p>
          <w:p w:rsidR="00595FAD" w:rsidRPr="00661595" w:rsidRDefault="00595FAD" w:rsidP="00923AB1">
            <w:pPr>
              <w:suppressAutoHyphens/>
              <w:spacing w:beforeLines="60" w:before="144" w:afterLines="60" w:after="144"/>
              <w:rPr>
                <w:rFonts w:ascii="Times New Roman" w:hAnsi="Times New Roman"/>
                <w:bCs/>
                <w:sz w:val="24"/>
              </w:rPr>
            </w:pPr>
            <w:r>
              <w:rPr>
                <w:rStyle w:val="InstructionsTabelleberschrift"/>
                <w:rFonts w:ascii="Times New Roman" w:hAnsi="Times New Roman"/>
                <w:b w:val="0"/>
                <w:sz w:val="24"/>
                <w:u w:val="none"/>
              </w:rPr>
              <w:t>Articolo 273 bis, paragrafo 3, del CRR</w:t>
            </w:r>
          </w:p>
          <w:p w:rsidR="00595FAD" w:rsidRPr="00661595" w:rsidRDefault="00595FAD" w:rsidP="00923AB1">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Sono inclusi tutti i derivati in bilancio e fuori bilancio, ad eccezione dei derivati su crediti che sono riconosciuti come coperture interne a fronte di esposizioni soggette al rischio di credito esterne al portafoglio di negoziazione.</w:t>
            </w:r>
          </w:p>
        </w:tc>
      </w:tr>
      <w:tr w:rsidR="00595FAD" w:rsidRPr="00661595" w:rsidTr="00FF15C6">
        <w:tc>
          <w:tcPr>
            <w:tcW w:w="852" w:type="dxa"/>
          </w:tcPr>
          <w:p w:rsidR="00595FAD" w:rsidRPr="00661595" w:rsidRDefault="00595FAD" w:rsidP="00923AB1">
            <w:pPr>
              <w:suppressAutoHyphens/>
              <w:spacing w:beforeLines="60" w:before="144" w:afterLines="60" w:after="144"/>
              <w:rPr>
                <w:rFonts w:ascii="Times New Roman" w:hAnsi="Times New Roman"/>
                <w:sz w:val="24"/>
              </w:rPr>
            </w:pPr>
            <w:r>
              <w:rPr>
                <w:rFonts w:ascii="Times New Roman" w:hAnsi="Times New Roman"/>
                <w:sz w:val="24"/>
              </w:rPr>
              <w:t xml:space="preserve">0020 </w:t>
            </w:r>
          </w:p>
        </w:tc>
        <w:tc>
          <w:tcPr>
            <w:tcW w:w="8187" w:type="dxa"/>
          </w:tcPr>
          <w:p w:rsidR="00595FAD" w:rsidRPr="00661595" w:rsidRDefault="00595FAD" w:rsidP="00923AB1">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Derivati in bilancio e fuori bilancio</w:t>
            </w:r>
          </w:p>
          <w:p w:rsidR="00595FAD" w:rsidRPr="00661595" w:rsidRDefault="00595FAD" w:rsidP="00923AB1">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273 bis, paragrafo 3, lettere a) e b), del CRR</w:t>
            </w:r>
          </w:p>
          <w:p w:rsidR="00595FAD" w:rsidRPr="00661595" w:rsidRDefault="00595FAD" w:rsidP="00923AB1">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È segnalato il valore di mercato totale delle posizioni in bilancio e fuori bilancio in strumenti derivati all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ultimo giorno del mese.</w:t>
            </w:r>
            <w:r>
              <w:rPr>
                <w:rFonts w:ascii="Times New Roman" w:hAnsi="Times New Roman"/>
                <w:sz w:val="24"/>
              </w:rPr>
              <w:t xml:space="preserve"> Se il valore di mercato di una posizione non è disponibile a tale data, gli enti adottano un fair value (valore equo) per la posizione a tale data; se il valore di mercato e il fair value (valore equo) di una posizione non sono disponibili a tale data, gli enti adottano il più recente tra il valore di mercato o il fair value (valore equo) per tale posizione.</w:t>
            </w:r>
          </w:p>
        </w:tc>
      </w:tr>
      <w:tr w:rsidR="00595FAD" w:rsidRPr="00661595" w:rsidTr="00FF15C6">
        <w:tc>
          <w:tcPr>
            <w:tcW w:w="852" w:type="dxa"/>
          </w:tcPr>
          <w:p w:rsidR="00595FAD" w:rsidRPr="00661595" w:rsidRDefault="00595FAD" w:rsidP="00923AB1">
            <w:pPr>
              <w:suppressAutoHyphens/>
              <w:spacing w:beforeLines="60" w:before="144" w:afterLines="60" w:after="144"/>
              <w:rPr>
                <w:rFonts w:ascii="Times New Roman" w:hAnsi="Times New Roman"/>
                <w:sz w:val="24"/>
              </w:rPr>
            </w:pPr>
            <w:r>
              <w:rPr>
                <w:rFonts w:ascii="Times New Roman" w:hAnsi="Times New Roman"/>
                <w:sz w:val="24"/>
              </w:rPr>
              <w:t xml:space="preserve">0030 </w:t>
            </w:r>
          </w:p>
        </w:tc>
        <w:tc>
          <w:tcPr>
            <w:tcW w:w="8187" w:type="dxa"/>
          </w:tcPr>
          <w:p w:rsidR="00595FAD" w:rsidRPr="00661595" w:rsidRDefault="00595FAD" w:rsidP="00923AB1">
            <w:pPr>
              <w:suppressAutoHyphens/>
              <w:spacing w:beforeLines="60" w:before="144" w:afterLines="60" w:after="144"/>
              <w:rPr>
                <w:rFonts w:ascii="Times New Roman" w:hAnsi="Times New Roman"/>
                <w:b/>
                <w:sz w:val="24"/>
                <w:u w:val="single"/>
              </w:rPr>
            </w:pPr>
            <w:r>
              <w:rPr>
                <w:rFonts w:ascii="Times New Roman" w:hAnsi="Times New Roman"/>
                <w:b/>
                <w:sz w:val="24"/>
                <w:u w:val="single"/>
              </w:rPr>
              <w:t>(-) Derivati su crediti che sono riconosciuti come coperture interne a fronte di esposizioni soggette al rischio di credito esterne al portafoglio di negoziazione</w:t>
            </w:r>
          </w:p>
          <w:p w:rsidR="00595FAD" w:rsidRPr="00661595" w:rsidRDefault="00595FAD" w:rsidP="00923AB1">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273 bis, paragrafo 3, lettera c), del CRR</w:t>
            </w:r>
          </w:p>
          <w:p w:rsidR="00595FAD" w:rsidRPr="00661595" w:rsidRDefault="00595FAD" w:rsidP="00923AB1">
            <w:pPr>
              <w:suppressAutoHyphens/>
              <w:spacing w:beforeLines="60" w:before="144" w:afterLines="60" w:after="144"/>
              <w:rPr>
                <w:rFonts w:ascii="Times New Roman" w:hAnsi="Times New Roman"/>
                <w:sz w:val="24"/>
              </w:rPr>
            </w:pPr>
            <w:r>
              <w:rPr>
                <w:rFonts w:ascii="Times New Roman" w:hAnsi="Times New Roman"/>
                <w:sz w:val="24"/>
              </w:rPr>
              <w:t>Il valore totale di mercato dei derivati su crediti che sono riconosciuti come coperture interne a fronte di esposizioni soggette al rischio di credito esterne al portafoglio di negoziazione.</w:t>
            </w:r>
          </w:p>
        </w:tc>
      </w:tr>
      <w:tr w:rsidR="00595FAD" w:rsidRPr="00661595" w:rsidTr="00FF15C6">
        <w:tc>
          <w:tcPr>
            <w:tcW w:w="852" w:type="dxa"/>
          </w:tcPr>
          <w:p w:rsidR="00595FAD" w:rsidRPr="00661595" w:rsidRDefault="00595FAD" w:rsidP="00923AB1">
            <w:pPr>
              <w:suppressAutoHyphens/>
              <w:spacing w:beforeLines="60" w:before="144" w:afterLines="60" w:after="144"/>
              <w:rPr>
                <w:rFonts w:ascii="Times New Roman" w:hAnsi="Times New Roman"/>
                <w:sz w:val="24"/>
              </w:rPr>
            </w:pPr>
            <w:r>
              <w:rPr>
                <w:rFonts w:ascii="Times New Roman" w:hAnsi="Times New Roman"/>
                <w:sz w:val="24"/>
              </w:rPr>
              <w:t>0040</w:t>
            </w:r>
          </w:p>
        </w:tc>
        <w:tc>
          <w:tcPr>
            <w:tcW w:w="8187" w:type="dxa"/>
          </w:tcPr>
          <w:p w:rsidR="00595FAD" w:rsidRPr="00661595" w:rsidRDefault="00595FAD" w:rsidP="00923AB1">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Attività totali</w:t>
            </w:r>
          </w:p>
          <w:p w:rsidR="00595FAD" w:rsidRPr="00661595" w:rsidRDefault="00595FAD" w:rsidP="00923AB1">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 attività totali conformemente ai principi contabili applicabili.</w:t>
            </w:r>
          </w:p>
          <w:p w:rsidR="00595FAD" w:rsidRPr="00661595" w:rsidRDefault="00595FAD" w:rsidP="00923AB1">
            <w:pPr>
              <w:suppressAutoHyphens/>
              <w:spacing w:beforeLines="60" w:before="144" w:afterLines="60" w:after="144"/>
              <w:rPr>
                <w:rStyle w:val="InstructionsTabelleberschrift"/>
                <w:rFonts w:ascii="Times New Roman" w:hAnsi="Times New Roman"/>
                <w:b w:val="0"/>
                <w:sz w:val="24"/>
              </w:rPr>
            </w:pPr>
            <w:r>
              <w:rPr>
                <w:rStyle w:val="InstructionsTabelleberschrift"/>
                <w:rFonts w:ascii="Times New Roman" w:hAnsi="Times New Roman"/>
                <w:b w:val="0"/>
                <w:sz w:val="24"/>
                <w:u w:val="none"/>
              </w:rPr>
              <w:t>Per la segnalazione su base consolidata 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segnala le attività totali secondo 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ambito del consolidamento prudenziale conformemente alla parte uno, titolo II, capo 2, sezione 2, del CRR.</w:t>
            </w:r>
          </w:p>
        </w:tc>
      </w:tr>
      <w:tr w:rsidR="00595FAD" w:rsidRPr="00661595" w:rsidTr="00FF15C6">
        <w:tc>
          <w:tcPr>
            <w:tcW w:w="852" w:type="dxa"/>
          </w:tcPr>
          <w:p w:rsidR="00595FAD" w:rsidRPr="00661595" w:rsidRDefault="00595FAD" w:rsidP="00923AB1">
            <w:pPr>
              <w:suppressAutoHyphens/>
              <w:spacing w:beforeLines="60" w:before="144" w:afterLines="60" w:after="144"/>
              <w:rPr>
                <w:rFonts w:ascii="Times New Roman" w:hAnsi="Times New Roman"/>
                <w:sz w:val="24"/>
              </w:rPr>
            </w:pPr>
            <w:r>
              <w:rPr>
                <w:rFonts w:ascii="Times New Roman" w:hAnsi="Times New Roman"/>
                <w:sz w:val="24"/>
              </w:rPr>
              <w:t>0050</w:t>
            </w:r>
          </w:p>
        </w:tc>
        <w:tc>
          <w:tcPr>
            <w:tcW w:w="8187" w:type="dxa"/>
          </w:tcPr>
          <w:p w:rsidR="00595FAD" w:rsidRPr="00661595" w:rsidRDefault="00595FAD" w:rsidP="00923AB1">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Percentuale delle attività totali</w:t>
            </w:r>
          </w:p>
          <w:p w:rsidR="00595FAD" w:rsidRPr="00661595" w:rsidRDefault="00595FAD" w:rsidP="00923AB1">
            <w:pPr>
              <w:suppressAutoHyphens/>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Rapporto da calcolare prendendo in considerazione 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entità delle operazioni su derivati (riga 0010) divisa per le attività totali (riga 0040). </w:t>
            </w:r>
          </w:p>
        </w:tc>
      </w:tr>
      <w:tr w:rsidR="00595FAD" w:rsidRPr="00661595" w:rsidTr="00FF15C6">
        <w:tc>
          <w:tcPr>
            <w:tcW w:w="9039" w:type="dxa"/>
            <w:gridSpan w:val="2"/>
            <w:shd w:val="clear" w:color="auto" w:fill="A6A6A6" w:themeFill="background1" w:themeFillShade="A6"/>
          </w:tcPr>
          <w:p w:rsidR="00595FAD" w:rsidRPr="00661595" w:rsidRDefault="00595FAD" w:rsidP="00923AB1">
            <w:pPr>
              <w:suppressAutoHyphens/>
              <w:spacing w:beforeLines="60" w:before="144" w:afterLines="60" w:after="144"/>
              <w:rPr>
                <w:rFonts w:ascii="Times New Roman" w:hAnsi="Times New Roman"/>
                <w:b/>
                <w:sz w:val="24"/>
              </w:rPr>
            </w:pPr>
            <w:r>
              <w:rPr>
                <w:rFonts w:ascii="Times New Roman" w:hAnsi="Times New Roman"/>
                <w:b/>
                <w:sz w:val="24"/>
              </w:rPr>
              <w:t>DEROGA A NORMA DELL</w:t>
            </w:r>
            <w:r w:rsidR="000878EC">
              <w:rPr>
                <w:rFonts w:ascii="Times New Roman" w:hAnsi="Times New Roman"/>
                <w:b/>
                <w:sz w:val="24"/>
              </w:rPr>
              <w:t>'</w:t>
            </w:r>
            <w:r>
              <w:rPr>
                <w:rFonts w:ascii="Times New Roman" w:hAnsi="Times New Roman"/>
                <w:b/>
                <w:sz w:val="24"/>
              </w:rPr>
              <w:t>ARTICOLO 273 BIS, PARAGRAFO 4, DEL CRR</w:t>
            </w:r>
          </w:p>
        </w:tc>
      </w:tr>
      <w:tr w:rsidR="00595FAD" w:rsidRPr="00661595" w:rsidTr="007063EE">
        <w:trPr>
          <w:trHeight w:val="3003"/>
        </w:trPr>
        <w:tc>
          <w:tcPr>
            <w:tcW w:w="852" w:type="dxa"/>
          </w:tcPr>
          <w:p w:rsidR="00595FAD" w:rsidRPr="00661595" w:rsidRDefault="00595FAD" w:rsidP="00923AB1">
            <w:pPr>
              <w:suppressAutoHyphens/>
              <w:spacing w:beforeLines="60" w:before="144" w:afterLines="60" w:after="144"/>
              <w:rPr>
                <w:rFonts w:ascii="Times New Roman" w:hAnsi="Times New Roman"/>
                <w:sz w:val="24"/>
              </w:rPr>
            </w:pPr>
            <w:r>
              <w:rPr>
                <w:rFonts w:ascii="Times New Roman" w:hAnsi="Times New Roman"/>
                <w:sz w:val="24"/>
              </w:rPr>
              <w:t>0060</w:t>
            </w:r>
          </w:p>
        </w:tc>
        <w:tc>
          <w:tcPr>
            <w:tcW w:w="8187" w:type="dxa"/>
          </w:tcPr>
          <w:p w:rsidR="00595FAD" w:rsidRPr="00661595" w:rsidRDefault="00595FAD" w:rsidP="00923AB1">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Sono soddisfatte le condizioni di cui all</w:t>
            </w:r>
            <w:r w:rsidR="000878EC">
              <w:rPr>
                <w:rStyle w:val="InstructionsTabelleberschrift"/>
                <w:rFonts w:ascii="Times New Roman" w:hAnsi="Times New Roman"/>
                <w:sz w:val="24"/>
              </w:rPr>
              <w:t>'</w:t>
            </w:r>
            <w:r>
              <w:rPr>
                <w:rStyle w:val="InstructionsTabelleberschrift"/>
                <w:rFonts w:ascii="Times New Roman" w:hAnsi="Times New Roman"/>
                <w:sz w:val="24"/>
              </w:rPr>
              <w:t>articolo 273 bis, paragrafo 4, del CRR, compresa l</w:t>
            </w:r>
            <w:r w:rsidR="000878EC">
              <w:rPr>
                <w:rStyle w:val="InstructionsTabelleberschrift"/>
                <w:rFonts w:ascii="Times New Roman" w:hAnsi="Times New Roman"/>
                <w:sz w:val="24"/>
              </w:rPr>
              <w:t>'</w:t>
            </w:r>
            <w:r>
              <w:rPr>
                <w:rStyle w:val="InstructionsTabelleberschrift"/>
                <w:rFonts w:ascii="Times New Roman" w:hAnsi="Times New Roman"/>
                <w:sz w:val="24"/>
              </w:rPr>
              <w:t>approvazione dell</w:t>
            </w:r>
            <w:r w:rsidR="000878EC">
              <w:rPr>
                <w:rStyle w:val="InstructionsTabelleberschrift"/>
                <w:rFonts w:ascii="Times New Roman" w:hAnsi="Times New Roman"/>
                <w:sz w:val="24"/>
              </w:rPr>
              <w:t>'</w:t>
            </w:r>
            <w:r>
              <w:rPr>
                <w:rStyle w:val="InstructionsTabelleberschrift"/>
                <w:rFonts w:ascii="Times New Roman" w:hAnsi="Times New Roman"/>
                <w:sz w:val="24"/>
              </w:rPr>
              <w:t>autorità competente?</w:t>
            </w:r>
          </w:p>
          <w:p w:rsidR="00595FAD" w:rsidRPr="00661595" w:rsidRDefault="00595FAD" w:rsidP="00923AB1">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273 bis, paragrafo 4, del CRR</w:t>
            </w:r>
          </w:p>
          <w:p w:rsidR="00595FAD" w:rsidRPr="00661595" w:rsidRDefault="00595FAD" w:rsidP="00923AB1">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Gli enti che superano le soglie per 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utilizzo di un metodo semplificato per il rischio di controparte ma che utilizzano ancora una di esse sulla base dell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articolo 273 bis, paragrafo 4, del CRR indicano (con Sì/No) se soddisfano tutte le condizioni di tale articolo.</w:t>
            </w:r>
          </w:p>
          <w:p w:rsidR="00595FAD" w:rsidRPr="00661595" w:rsidRDefault="00595FAD" w:rsidP="00923AB1">
            <w:pPr>
              <w:suppressAutoHyphens/>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Questa voce è segnalata solo dagli enti che applicano la deroga conformemente all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articolo 273 bis, paragrafo 4, del CRR.</w:t>
            </w:r>
          </w:p>
        </w:tc>
      </w:tr>
      <w:tr w:rsidR="00595FAD" w:rsidRPr="00661595" w:rsidTr="00FF15C6">
        <w:tc>
          <w:tcPr>
            <w:tcW w:w="852" w:type="dxa"/>
          </w:tcPr>
          <w:p w:rsidR="00595FAD" w:rsidRPr="00661595" w:rsidRDefault="00595FAD" w:rsidP="00923AB1">
            <w:pPr>
              <w:suppressAutoHyphens/>
              <w:spacing w:beforeLines="60" w:before="144" w:afterLines="60" w:after="144"/>
              <w:rPr>
                <w:rFonts w:ascii="Times New Roman" w:hAnsi="Times New Roman"/>
                <w:sz w:val="24"/>
              </w:rPr>
            </w:pPr>
            <w:r>
              <w:rPr>
                <w:rFonts w:ascii="Times New Roman" w:hAnsi="Times New Roman"/>
                <w:sz w:val="24"/>
              </w:rPr>
              <w:t>0070</w:t>
            </w:r>
          </w:p>
        </w:tc>
        <w:tc>
          <w:tcPr>
            <w:tcW w:w="8187" w:type="dxa"/>
          </w:tcPr>
          <w:p w:rsidR="00595FAD" w:rsidRPr="00661595" w:rsidRDefault="00595FAD" w:rsidP="00923AB1">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Metodo di calcolo dei valori dell</w:t>
            </w:r>
            <w:r w:rsidR="000878EC">
              <w:rPr>
                <w:rStyle w:val="InstructionsTabelleberschrift"/>
                <w:rFonts w:ascii="Times New Roman" w:hAnsi="Times New Roman"/>
                <w:sz w:val="24"/>
              </w:rPr>
              <w:t>'</w:t>
            </w:r>
            <w:r>
              <w:rPr>
                <w:rStyle w:val="InstructionsTabelleberschrift"/>
                <w:rFonts w:ascii="Times New Roman" w:hAnsi="Times New Roman"/>
                <w:sz w:val="24"/>
              </w:rPr>
              <w:t>esposizione a livello consolidato</w:t>
            </w:r>
          </w:p>
          <w:p w:rsidR="00595FAD" w:rsidRPr="00661595" w:rsidRDefault="00595FAD" w:rsidP="00923AB1">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273 bis, paragrafo 4, del CRR</w:t>
            </w:r>
          </w:p>
          <w:p w:rsidR="00595FAD" w:rsidRPr="00661595" w:rsidRDefault="00595FAD" w:rsidP="00923AB1">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Il metodo per calcolare i valori dell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esposizione delle posizioni in derivati su base consolidata, utilizzato anche a livello individuale a norma dell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articolo 273 bis, paragrafo 4, del CRR:</w:t>
            </w:r>
          </w:p>
          <w:p w:rsidR="00595FAD" w:rsidRPr="00661595" w:rsidRDefault="00595FAD" w:rsidP="00923AB1">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OEM: metodo dell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esposizione originaria</w:t>
            </w:r>
          </w:p>
          <w:p w:rsidR="00595FAD" w:rsidRPr="00661595" w:rsidRDefault="00595FAD" w:rsidP="00923AB1">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 SA-CCR semplificato: metodo standardizzato semplificato per il rischio di controparte </w:t>
            </w:r>
          </w:p>
          <w:p w:rsidR="00595FAD" w:rsidRPr="00661595" w:rsidRDefault="00595FAD" w:rsidP="00923AB1">
            <w:pPr>
              <w:suppressAutoHyphens/>
              <w:spacing w:beforeLines="60" w:before="144" w:afterLines="60" w:after="144"/>
              <w:rPr>
                <w:rFonts w:ascii="Times New Roman" w:hAnsi="Times New Roman"/>
                <w:b/>
                <w:sz w:val="24"/>
              </w:rPr>
            </w:pPr>
            <w:r>
              <w:rPr>
                <w:rStyle w:val="InstructionsTabelleberschrift"/>
                <w:rFonts w:ascii="Times New Roman" w:hAnsi="Times New Roman"/>
                <w:b w:val="0"/>
                <w:sz w:val="24"/>
                <w:u w:val="none"/>
              </w:rPr>
              <w:t>Questa voce è segnalata solo dagli enti che applicano la deroga conformemente all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articolo 273 bis, paragrafo 4, del CRR.</w:t>
            </w:r>
          </w:p>
        </w:tc>
      </w:tr>
    </w:tbl>
    <w:p w:rsidR="00595FAD" w:rsidRPr="00661595" w:rsidRDefault="00595FAD" w:rsidP="002F29AF">
      <w:pPr>
        <w:pStyle w:val="Instructionsberschrift2"/>
        <w:numPr>
          <w:ilvl w:val="2"/>
          <w:numId w:val="48"/>
        </w:numPr>
        <w:rPr>
          <w:rFonts w:ascii="Times New Roman" w:hAnsi="Times New Roman" w:cs="Times New Roman"/>
          <w:sz w:val="24"/>
        </w:rPr>
      </w:pPr>
      <w:bookmarkStart w:id="448" w:name="_Toc19715806"/>
      <w:bookmarkStart w:id="449" w:name="_Toc58915799"/>
      <w:r>
        <w:rPr>
          <w:rFonts w:ascii="Times New Roman" w:hAnsi="Times New Roman"/>
          <w:sz w:val="24"/>
        </w:rPr>
        <w:t>C 34.02 — Esposizioni soggette al CCR in base al metodo</w:t>
      </w:r>
      <w:bookmarkEnd w:id="448"/>
      <w:bookmarkEnd w:id="449"/>
      <w:r>
        <w:rPr>
          <w:rFonts w:ascii="Times New Roman" w:hAnsi="Times New Roman"/>
          <w:sz w:val="24"/>
        </w:rPr>
        <w:t xml:space="preserve"> </w:t>
      </w:r>
    </w:p>
    <w:p w:rsidR="00595FAD" w:rsidRPr="00661595" w:rsidRDefault="00595FAD" w:rsidP="002F29AF">
      <w:pPr>
        <w:pStyle w:val="Instructionsberschrift2"/>
        <w:numPr>
          <w:ilvl w:val="3"/>
          <w:numId w:val="48"/>
        </w:numPr>
        <w:rPr>
          <w:rFonts w:ascii="Times New Roman" w:hAnsi="Times New Roman" w:cs="Times New Roman"/>
          <w:sz w:val="24"/>
        </w:rPr>
      </w:pPr>
      <w:bookmarkStart w:id="450" w:name="_Toc19715807"/>
      <w:bookmarkStart w:id="451" w:name="_Toc58915800"/>
      <w:r>
        <w:rPr>
          <w:rFonts w:ascii="Times New Roman" w:hAnsi="Times New Roman"/>
          <w:sz w:val="24"/>
        </w:rPr>
        <w:t>Osservazioni di carattere generale</w:t>
      </w:r>
      <w:bookmarkEnd w:id="450"/>
      <w:bookmarkEnd w:id="451"/>
    </w:p>
    <w:p w:rsidR="00595FAD" w:rsidRPr="00661595" w:rsidRDefault="00A971CA" w:rsidP="00923AB1">
      <w:pPr>
        <w:pStyle w:val="InstructionsText2"/>
        <w:numPr>
          <w:ilvl w:val="0"/>
          <w:numId w:val="0"/>
        </w:numPr>
        <w:ind w:left="1560" w:hanging="480"/>
      </w:pPr>
      <w:r>
        <w:fldChar w:fldCharType="begin"/>
      </w:r>
      <w:r>
        <w:instrText xml:space="preserve"> seq paragraphs </w:instrText>
      </w:r>
      <w:r>
        <w:fldChar w:fldCharType="separate"/>
      </w:r>
      <w:r w:rsidR="00D11E4C">
        <w:rPr>
          <w:noProof/>
        </w:rPr>
        <w:t>124</w:t>
      </w:r>
      <w:r>
        <w:rPr>
          <w:noProof/>
        </w:rPr>
        <w:fldChar w:fldCharType="end"/>
      </w:r>
      <w:r w:rsidR="00923AB1">
        <w:t>.</w:t>
      </w:r>
      <w:r w:rsidR="00923AB1">
        <w:tab/>
      </w:r>
      <w:r w:rsidR="00D11E4C">
        <w:t>Gli enti compilano il modello separatamente per tutte le esposizioni soggette al CCR e per tutte le esposizioni soggette al CCR escluse le esposizioni verso controparti centrali (CCP) come definite ai fini del modello C 34.10.</w:t>
      </w:r>
    </w:p>
    <w:p w:rsidR="00595FAD" w:rsidRPr="00661595" w:rsidRDefault="00595FAD" w:rsidP="002F29AF">
      <w:pPr>
        <w:pStyle w:val="Instructionsberschrift2"/>
        <w:numPr>
          <w:ilvl w:val="3"/>
          <w:numId w:val="48"/>
        </w:numPr>
        <w:rPr>
          <w:rFonts w:ascii="Times New Roman" w:hAnsi="Times New Roman" w:cs="Times New Roman"/>
          <w:sz w:val="24"/>
        </w:rPr>
      </w:pPr>
      <w:bookmarkStart w:id="452" w:name="_Toc19715808"/>
      <w:bookmarkStart w:id="453" w:name="_Toc58915801"/>
      <w:r>
        <w:rPr>
          <w:rFonts w:ascii="Times New Roman" w:hAnsi="Times New Roman"/>
          <w:sz w:val="24"/>
        </w:rPr>
        <w:t>Istruzioni relative a posizioni specifiche</w:t>
      </w:r>
      <w:bookmarkEnd w:id="452"/>
      <w:bookmarkEnd w:id="45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751FBE">
        <w:trPr>
          <w:trHeight w:val="616"/>
        </w:trPr>
        <w:tc>
          <w:tcPr>
            <w:tcW w:w="9039" w:type="dxa"/>
            <w:gridSpan w:val="2"/>
            <w:tcBorders>
              <w:right w:val="single" w:sz="4" w:space="0" w:color="auto"/>
            </w:tcBorders>
            <w:shd w:val="clear" w:color="auto" w:fill="D9D9D9" w:themeFill="background1" w:themeFillShade="D9"/>
          </w:tcPr>
          <w:p w:rsidR="00595FAD" w:rsidRPr="00751FBE" w:rsidRDefault="00595FAD" w:rsidP="00923AB1">
            <w:pPr>
              <w:suppressAutoHyphens/>
              <w:autoSpaceDE w:val="0"/>
              <w:autoSpaceDN w:val="0"/>
              <w:adjustRightInd w:val="0"/>
              <w:rPr>
                <w:rFonts w:ascii="Times New Roman" w:hAnsi="Times New Roman"/>
                <w:b/>
                <w:sz w:val="24"/>
              </w:rPr>
            </w:pPr>
            <w:r>
              <w:rPr>
                <w:rFonts w:ascii="Times New Roman" w:hAnsi="Times New Roman"/>
                <w:b/>
                <w:sz w:val="24"/>
              </w:rPr>
              <w:t>Colonne</w:t>
            </w:r>
          </w:p>
        </w:tc>
      </w:tr>
      <w:tr w:rsidR="00595FAD" w:rsidRPr="00661595" w:rsidTr="00FF15C6">
        <w:trPr>
          <w:trHeight w:val="680"/>
        </w:trPr>
        <w:tc>
          <w:tcPr>
            <w:tcW w:w="1384" w:type="dxa"/>
          </w:tcPr>
          <w:p w:rsidR="00595FAD" w:rsidRPr="00661595" w:rsidRDefault="00595FAD" w:rsidP="00923AB1">
            <w:pPr>
              <w:pStyle w:val="Applicationdirecte"/>
              <w:suppressAutoHyphens/>
              <w:spacing w:before="0" w:after="0"/>
            </w:pPr>
            <w:r>
              <w:t>0010</w:t>
            </w:r>
          </w:p>
        </w:tc>
        <w:tc>
          <w:tcPr>
            <w:tcW w:w="7655" w:type="dxa"/>
            <w:vAlign w:val="center"/>
          </w:tcPr>
          <w:p w:rsidR="00595FAD" w:rsidRPr="00661595" w:rsidRDefault="00595FAD" w:rsidP="00923AB1">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NUMERO DI CONTROPARTI</w:t>
            </w:r>
          </w:p>
          <w:p w:rsidR="00595FAD" w:rsidRPr="00661595" w:rsidRDefault="00595FAD" w:rsidP="00923AB1">
            <w:pPr>
              <w:suppressAutoHyphens/>
              <w:autoSpaceDE w:val="0"/>
              <w:autoSpaceDN w:val="0"/>
              <w:adjustRightInd w:val="0"/>
              <w:spacing w:before="60"/>
              <w:rPr>
                <w:rFonts w:ascii="Times New Roman" w:hAnsi="Times New Roman"/>
                <w:i/>
                <w:sz w:val="24"/>
              </w:rPr>
            </w:pPr>
            <w:r>
              <w:rPr>
                <w:rFonts w:ascii="Times New Roman" w:hAnsi="Times New Roman"/>
                <w:sz w:val="24"/>
              </w:rPr>
              <w:t>Numero di singole controparti nei confronti delle quali l</w:t>
            </w:r>
            <w:r w:rsidR="000878EC">
              <w:rPr>
                <w:rFonts w:ascii="Times New Roman" w:hAnsi="Times New Roman"/>
                <w:sz w:val="24"/>
              </w:rPr>
              <w:t>'</w:t>
            </w:r>
            <w:r>
              <w:rPr>
                <w:rFonts w:ascii="Times New Roman" w:hAnsi="Times New Roman"/>
                <w:sz w:val="24"/>
              </w:rPr>
              <w:t>ente ha esposizioni soggette al CCR.</w:t>
            </w:r>
          </w:p>
        </w:tc>
      </w:tr>
      <w:tr w:rsidR="00595FAD" w:rsidRPr="00661595" w:rsidTr="00FF15C6">
        <w:trPr>
          <w:trHeight w:val="416"/>
        </w:trPr>
        <w:tc>
          <w:tcPr>
            <w:tcW w:w="1384" w:type="dxa"/>
          </w:tcPr>
          <w:p w:rsidR="00595FAD" w:rsidRPr="00661595" w:rsidRDefault="00595FAD" w:rsidP="00923AB1">
            <w:pPr>
              <w:pStyle w:val="Applicationdirecte"/>
              <w:suppressAutoHyphens/>
              <w:spacing w:before="0" w:after="0"/>
            </w:pPr>
            <w:r>
              <w:t>0020</w:t>
            </w:r>
          </w:p>
        </w:tc>
        <w:tc>
          <w:tcPr>
            <w:tcW w:w="7655" w:type="dxa"/>
            <w:vAlign w:val="center"/>
          </w:tcPr>
          <w:p w:rsidR="00595FAD" w:rsidRPr="00661595" w:rsidRDefault="00595FAD" w:rsidP="00923AB1">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NUMERO DI OPERAZIONI</w:t>
            </w:r>
          </w:p>
          <w:p w:rsidR="00595FAD" w:rsidRPr="00661595" w:rsidRDefault="00595FAD" w:rsidP="00923AB1">
            <w:pPr>
              <w:suppressAutoHyphens/>
              <w:autoSpaceDE w:val="0"/>
              <w:autoSpaceDN w:val="0"/>
              <w:adjustRightInd w:val="0"/>
              <w:spacing w:before="60"/>
              <w:rPr>
                <w:rFonts w:ascii="Times New Roman" w:hAnsi="Times New Roman"/>
                <w:sz w:val="24"/>
              </w:rPr>
            </w:pPr>
            <w:r>
              <w:rPr>
                <w:rFonts w:ascii="Times New Roman" w:hAnsi="Times New Roman"/>
                <w:sz w:val="24"/>
              </w:rPr>
              <w:t>Numero di operazioni soggette al rischio di controparte alla data di riferimento per le segnalazioni. Si noti che per le CCP i numeri riguardanti l</w:t>
            </w:r>
            <w:r w:rsidR="000878EC">
              <w:rPr>
                <w:rFonts w:ascii="Times New Roman" w:hAnsi="Times New Roman"/>
                <w:sz w:val="24"/>
              </w:rPr>
              <w:t>'</w:t>
            </w:r>
            <w:r>
              <w:rPr>
                <w:rFonts w:ascii="Times New Roman" w:hAnsi="Times New Roman"/>
                <w:sz w:val="24"/>
              </w:rPr>
              <w:t>attività non dovrebbero comprendere gli afflussi e i deflussi, bensì le posizioni complessive nel portafoglio CCR alla data di riferimento per le segnalazioni. Inoltre uno strumento derivato o una SFT che è suddiviso in due o più gambe (almeno) ai fini della modellizzazione è comunque considerato come un</w:t>
            </w:r>
            <w:r w:rsidR="000878EC">
              <w:rPr>
                <w:rFonts w:ascii="Times New Roman" w:hAnsi="Times New Roman"/>
                <w:sz w:val="24"/>
              </w:rPr>
              <w:t>'</w:t>
            </w:r>
            <w:r>
              <w:rPr>
                <w:rFonts w:ascii="Times New Roman" w:hAnsi="Times New Roman"/>
                <w:sz w:val="24"/>
              </w:rPr>
              <w:t>unica operazione.</w:t>
            </w:r>
          </w:p>
        </w:tc>
      </w:tr>
      <w:tr w:rsidR="00595FAD" w:rsidRPr="00661595" w:rsidTr="00FF15C6">
        <w:trPr>
          <w:trHeight w:val="680"/>
        </w:trPr>
        <w:tc>
          <w:tcPr>
            <w:tcW w:w="1384" w:type="dxa"/>
          </w:tcPr>
          <w:p w:rsidR="00595FAD" w:rsidRPr="00661595" w:rsidRDefault="00595FAD" w:rsidP="00923AB1">
            <w:pPr>
              <w:pStyle w:val="Applicationdirecte"/>
              <w:suppressAutoHyphens/>
              <w:spacing w:before="0" w:after="0"/>
            </w:pPr>
            <w:r>
              <w:t>0030</w:t>
            </w:r>
          </w:p>
        </w:tc>
        <w:tc>
          <w:tcPr>
            <w:tcW w:w="7655" w:type="dxa"/>
            <w:vAlign w:val="center"/>
          </w:tcPr>
          <w:p w:rsidR="00595FAD" w:rsidRPr="00661595" w:rsidRDefault="00595FAD" w:rsidP="00923AB1">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IMPORTI NOZIONALI</w:t>
            </w:r>
          </w:p>
          <w:p w:rsidR="00595FAD" w:rsidRPr="00661595" w:rsidRDefault="00595FAD" w:rsidP="00923AB1">
            <w:pPr>
              <w:keepNext/>
              <w:suppressAutoHyphens/>
              <w:spacing w:before="60"/>
              <w:rPr>
                <w:rFonts w:ascii="Times New Roman" w:hAnsi="Times New Roman"/>
                <w:sz w:val="24"/>
              </w:rPr>
            </w:pPr>
            <w:r>
              <w:rPr>
                <w:rFonts w:ascii="Times New Roman" w:hAnsi="Times New Roman"/>
                <w:sz w:val="24"/>
              </w:rPr>
              <w:t>Somma degli importi nozionali per i derivati e per le SFT prima di qualsiasi compensazione e senza rettifiche conformemente all</w:t>
            </w:r>
            <w:r w:rsidR="000878EC">
              <w:rPr>
                <w:rFonts w:ascii="Times New Roman" w:hAnsi="Times New Roman"/>
                <w:sz w:val="24"/>
              </w:rPr>
              <w:t>'</w:t>
            </w:r>
            <w:r>
              <w:rPr>
                <w:rFonts w:ascii="Times New Roman" w:hAnsi="Times New Roman"/>
                <w:sz w:val="24"/>
              </w:rPr>
              <w:t>articolo 279 ter del CRR.</w:t>
            </w:r>
          </w:p>
        </w:tc>
      </w:tr>
      <w:tr w:rsidR="00595FAD" w:rsidRPr="00661595" w:rsidTr="00FF15C6">
        <w:trPr>
          <w:trHeight w:val="680"/>
        </w:trPr>
        <w:tc>
          <w:tcPr>
            <w:tcW w:w="1384" w:type="dxa"/>
          </w:tcPr>
          <w:p w:rsidR="00595FAD" w:rsidRPr="00661595" w:rsidRDefault="00595FAD" w:rsidP="00923AB1">
            <w:pPr>
              <w:pStyle w:val="Applicationdirecte"/>
              <w:suppressAutoHyphens/>
              <w:spacing w:before="0" w:after="0"/>
            </w:pPr>
            <w:r>
              <w:t>0040</w:t>
            </w:r>
          </w:p>
        </w:tc>
        <w:tc>
          <w:tcPr>
            <w:tcW w:w="7655" w:type="dxa"/>
            <w:vAlign w:val="center"/>
          </w:tcPr>
          <w:p w:rsidR="00595FAD" w:rsidRPr="00661595" w:rsidRDefault="00595FAD" w:rsidP="00923AB1">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VALORE DI MERCATO CORRENTE (CMV), POSITIVO</w:t>
            </w:r>
          </w:p>
          <w:p w:rsidR="00595FAD" w:rsidRPr="00661595" w:rsidRDefault="00595FAD" w:rsidP="00923AB1">
            <w:pPr>
              <w:keepNext/>
              <w:suppressAutoHyphens/>
              <w:spacing w:before="60"/>
              <w:rPr>
                <w:rFonts w:ascii="Times New Roman" w:hAnsi="Times New Roman"/>
                <w:sz w:val="24"/>
              </w:rPr>
            </w:pPr>
            <w:r>
              <w:rPr>
                <w:rFonts w:ascii="Times New Roman" w:hAnsi="Times New Roman"/>
                <w:sz w:val="24"/>
              </w:rPr>
              <w:t>Articolo 272, punto 12, del CRR</w:t>
            </w:r>
          </w:p>
          <w:p w:rsidR="00595FAD" w:rsidRPr="00661595" w:rsidRDefault="00595FAD" w:rsidP="00923AB1">
            <w:pPr>
              <w:keepNext/>
              <w:suppressAutoHyphens/>
              <w:spacing w:before="60"/>
              <w:rPr>
                <w:rFonts w:ascii="Times New Roman" w:hAnsi="Times New Roman"/>
                <w:sz w:val="24"/>
              </w:rPr>
            </w:pPr>
            <w:r>
              <w:rPr>
                <w:rFonts w:ascii="Times New Roman" w:hAnsi="Times New Roman"/>
                <w:sz w:val="24"/>
              </w:rPr>
              <w:t>Somma dei valori di mercato correnti (CMV) di tutti gli insiemi di attività soggette a compensazione con CMV positivo ai sensi dell</w:t>
            </w:r>
            <w:r w:rsidR="000878EC">
              <w:rPr>
                <w:rFonts w:ascii="Times New Roman" w:hAnsi="Times New Roman"/>
                <w:sz w:val="24"/>
              </w:rPr>
              <w:t>'</w:t>
            </w:r>
            <w:r>
              <w:rPr>
                <w:rFonts w:ascii="Times New Roman" w:hAnsi="Times New Roman"/>
                <w:sz w:val="24"/>
              </w:rPr>
              <w:t xml:space="preserve">articolo 272, punto 12, del CRR. </w:t>
            </w:r>
          </w:p>
        </w:tc>
      </w:tr>
      <w:tr w:rsidR="00595FAD" w:rsidRPr="00661595" w:rsidTr="00FF15C6">
        <w:trPr>
          <w:trHeight w:val="680"/>
        </w:trPr>
        <w:tc>
          <w:tcPr>
            <w:tcW w:w="1384" w:type="dxa"/>
          </w:tcPr>
          <w:p w:rsidR="00595FAD" w:rsidRPr="00661595" w:rsidRDefault="00595FAD" w:rsidP="00923AB1">
            <w:pPr>
              <w:pStyle w:val="Applicationdirecte"/>
              <w:suppressAutoHyphens/>
              <w:spacing w:before="0" w:after="0"/>
            </w:pPr>
            <w:r>
              <w:t>0050</w:t>
            </w:r>
          </w:p>
        </w:tc>
        <w:tc>
          <w:tcPr>
            <w:tcW w:w="7655" w:type="dxa"/>
            <w:vAlign w:val="center"/>
          </w:tcPr>
          <w:p w:rsidR="00595FAD" w:rsidRPr="00661595" w:rsidRDefault="00595FAD" w:rsidP="00923AB1">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VALORE DI MERCATO CORRENTE (CMV), NEGATIVO</w:t>
            </w:r>
          </w:p>
          <w:p w:rsidR="00595FAD" w:rsidRPr="00661595" w:rsidRDefault="00595FAD" w:rsidP="00923AB1">
            <w:pPr>
              <w:keepNext/>
              <w:suppressAutoHyphens/>
              <w:spacing w:before="60"/>
              <w:rPr>
                <w:rFonts w:ascii="Times New Roman" w:hAnsi="Times New Roman"/>
                <w:sz w:val="24"/>
              </w:rPr>
            </w:pPr>
            <w:r>
              <w:rPr>
                <w:rFonts w:ascii="Times New Roman" w:hAnsi="Times New Roman"/>
                <w:sz w:val="24"/>
              </w:rPr>
              <w:t>Articolo 272, punto 12, del CRR</w:t>
            </w:r>
          </w:p>
          <w:p w:rsidR="00595FAD" w:rsidRPr="00661595" w:rsidRDefault="00595FAD" w:rsidP="00923AB1">
            <w:pPr>
              <w:keepNext/>
              <w:suppressAutoHyphens/>
              <w:spacing w:before="60"/>
              <w:rPr>
                <w:rStyle w:val="InstructionsTabelleberschrift"/>
                <w:rFonts w:ascii="Times New Roman" w:hAnsi="Times New Roman"/>
                <w:sz w:val="24"/>
              </w:rPr>
            </w:pPr>
            <w:r>
              <w:rPr>
                <w:rFonts w:ascii="Times New Roman" w:hAnsi="Times New Roman"/>
                <w:sz w:val="24"/>
              </w:rPr>
              <w:t>Somma dei valori di mercato correnti (CMV) assoluti di tutti gli insiemi di attività soggette a compensazione con CMV negativo ai sensi dell</w:t>
            </w:r>
            <w:r w:rsidR="000878EC">
              <w:rPr>
                <w:rFonts w:ascii="Times New Roman" w:hAnsi="Times New Roman"/>
                <w:sz w:val="24"/>
              </w:rPr>
              <w:t>'</w:t>
            </w:r>
            <w:r>
              <w:rPr>
                <w:rFonts w:ascii="Times New Roman" w:hAnsi="Times New Roman"/>
                <w:sz w:val="24"/>
              </w:rPr>
              <w:t>articolo 272, punto 12, del CRR.</w:t>
            </w:r>
          </w:p>
        </w:tc>
      </w:tr>
      <w:tr w:rsidR="00595FAD" w:rsidRPr="00661595" w:rsidTr="00FF15C6">
        <w:trPr>
          <w:trHeight w:val="680"/>
        </w:trPr>
        <w:tc>
          <w:tcPr>
            <w:tcW w:w="1384" w:type="dxa"/>
          </w:tcPr>
          <w:p w:rsidR="00595FAD" w:rsidRPr="00661595" w:rsidRDefault="00595FAD" w:rsidP="00923AB1">
            <w:pPr>
              <w:pStyle w:val="Fait"/>
              <w:keepNext w:val="0"/>
              <w:suppressAutoHyphens/>
            </w:pPr>
            <w:r>
              <w:t>0060</w:t>
            </w:r>
          </w:p>
        </w:tc>
        <w:tc>
          <w:tcPr>
            <w:tcW w:w="7655" w:type="dxa"/>
            <w:vAlign w:val="center"/>
          </w:tcPr>
          <w:p w:rsidR="00595FAD" w:rsidRPr="00661595" w:rsidRDefault="00595FAD" w:rsidP="00923AB1">
            <w:pPr>
              <w:suppressAutoHyphens/>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MARGINE DI VARIAZIONE (VM), RICEVUTO</w:t>
            </w:r>
          </w:p>
          <w:p w:rsidR="00595FAD" w:rsidRPr="00661595" w:rsidRDefault="00595FAD" w:rsidP="00923AB1">
            <w:pPr>
              <w:suppressAutoHyphens/>
              <w:spacing w:before="60"/>
              <w:rPr>
                <w:rFonts w:ascii="Times New Roman" w:hAnsi="Times New Roman"/>
                <w:sz w:val="24"/>
              </w:rPr>
            </w:pPr>
            <w:r>
              <w:rPr>
                <w:rFonts w:ascii="Times New Roman" w:hAnsi="Times New Roman"/>
                <w:sz w:val="24"/>
              </w:rPr>
              <w:t>Articolo 275, paragrafi 2 e 3, e articolo 276 del CRR.</w:t>
            </w:r>
          </w:p>
          <w:p w:rsidR="00595FAD" w:rsidRPr="00661595" w:rsidRDefault="00595FAD" w:rsidP="00923AB1">
            <w:pPr>
              <w:suppressAutoHyphens/>
              <w:spacing w:before="60"/>
              <w:rPr>
                <w:rFonts w:ascii="Times New Roman" w:hAnsi="Times New Roman"/>
                <w:sz w:val="24"/>
              </w:rPr>
            </w:pPr>
            <w:r>
              <w:rPr>
                <w:rFonts w:ascii="Times New Roman" w:hAnsi="Times New Roman"/>
                <w:sz w:val="24"/>
              </w:rPr>
              <w:t>Somma degli importi dei margini di variazione (VM) di tutti gli accordi di garanzia (margin agreement) per i quali è ricevuto il VM, calcolati conformemente all</w:t>
            </w:r>
            <w:r w:rsidR="000878EC">
              <w:rPr>
                <w:rFonts w:ascii="Times New Roman" w:hAnsi="Times New Roman"/>
                <w:sz w:val="24"/>
              </w:rPr>
              <w:t>'</w:t>
            </w:r>
            <w:r>
              <w:rPr>
                <w:rFonts w:ascii="Times New Roman" w:hAnsi="Times New Roman"/>
                <w:sz w:val="24"/>
              </w:rPr>
              <w:t>articolo 276 del CRR.</w:t>
            </w:r>
          </w:p>
        </w:tc>
      </w:tr>
      <w:tr w:rsidR="00595FAD" w:rsidRPr="00661595" w:rsidTr="00FF15C6">
        <w:trPr>
          <w:trHeight w:val="680"/>
        </w:trPr>
        <w:tc>
          <w:tcPr>
            <w:tcW w:w="1384" w:type="dxa"/>
          </w:tcPr>
          <w:p w:rsidR="00595FAD" w:rsidRPr="00661595" w:rsidRDefault="00595FAD" w:rsidP="00923AB1">
            <w:pPr>
              <w:pStyle w:val="Fait"/>
              <w:keepNext w:val="0"/>
              <w:suppressAutoHyphens/>
            </w:pPr>
            <w:r>
              <w:t>0070</w:t>
            </w:r>
          </w:p>
        </w:tc>
        <w:tc>
          <w:tcPr>
            <w:tcW w:w="7655" w:type="dxa"/>
            <w:vAlign w:val="center"/>
          </w:tcPr>
          <w:p w:rsidR="00595FAD" w:rsidRPr="00661595" w:rsidRDefault="00595FAD" w:rsidP="00923AB1">
            <w:pPr>
              <w:suppressAutoHyphens/>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MARGINE DI VARIAZIONE (VM), FORNITO</w:t>
            </w:r>
          </w:p>
          <w:p w:rsidR="00595FAD" w:rsidRPr="00661595" w:rsidRDefault="00595FAD" w:rsidP="00923AB1">
            <w:pPr>
              <w:suppressAutoHyphens/>
              <w:spacing w:before="60"/>
              <w:rPr>
                <w:rFonts w:ascii="Times New Roman" w:hAnsi="Times New Roman"/>
                <w:sz w:val="24"/>
              </w:rPr>
            </w:pPr>
            <w:r>
              <w:rPr>
                <w:rFonts w:ascii="Times New Roman" w:hAnsi="Times New Roman"/>
                <w:sz w:val="24"/>
              </w:rPr>
              <w:t>Articolo 275, paragrafi 2 e 3, e articolo 276 del CRR.</w:t>
            </w:r>
          </w:p>
          <w:p w:rsidR="00595FAD" w:rsidRPr="00661595" w:rsidRDefault="00595FAD" w:rsidP="00923AB1">
            <w:pPr>
              <w:suppressAutoHyphens/>
              <w:spacing w:before="60"/>
              <w:rPr>
                <w:rStyle w:val="InstructionsTabelleberschrift"/>
                <w:rFonts w:ascii="Times New Roman" w:hAnsi="Times New Roman"/>
                <w:sz w:val="24"/>
              </w:rPr>
            </w:pPr>
            <w:r>
              <w:rPr>
                <w:rFonts w:ascii="Times New Roman" w:hAnsi="Times New Roman"/>
                <w:sz w:val="24"/>
              </w:rPr>
              <w:t>Somma degli importi dei margini di variazione (VM) di tutti gli accordi di garanzia per i quali è fornito il VM, calcolati conformemente all</w:t>
            </w:r>
            <w:r w:rsidR="000878EC">
              <w:rPr>
                <w:rFonts w:ascii="Times New Roman" w:hAnsi="Times New Roman"/>
                <w:sz w:val="24"/>
              </w:rPr>
              <w:t>'</w:t>
            </w:r>
            <w:r>
              <w:rPr>
                <w:rFonts w:ascii="Times New Roman" w:hAnsi="Times New Roman"/>
                <w:sz w:val="24"/>
              </w:rPr>
              <w:t>articolo 276 del CRR.</w:t>
            </w:r>
          </w:p>
        </w:tc>
      </w:tr>
      <w:tr w:rsidR="00595FAD" w:rsidRPr="00661595" w:rsidTr="00FF15C6">
        <w:trPr>
          <w:trHeight w:val="680"/>
        </w:trPr>
        <w:tc>
          <w:tcPr>
            <w:tcW w:w="1384" w:type="dxa"/>
          </w:tcPr>
          <w:p w:rsidR="00595FAD" w:rsidRPr="00661595" w:rsidRDefault="00595FAD" w:rsidP="00923AB1">
            <w:pPr>
              <w:pStyle w:val="Applicationdirecte"/>
              <w:keepNext/>
              <w:keepLines/>
              <w:suppressAutoHyphens/>
              <w:spacing w:before="0" w:after="0"/>
            </w:pPr>
            <w:r>
              <w:t>0080</w:t>
            </w:r>
          </w:p>
        </w:tc>
        <w:tc>
          <w:tcPr>
            <w:tcW w:w="7655" w:type="dxa"/>
            <w:vAlign w:val="center"/>
          </w:tcPr>
          <w:p w:rsidR="00595FAD" w:rsidRPr="00661595" w:rsidRDefault="00595FAD" w:rsidP="00923AB1">
            <w:pPr>
              <w:keepNext/>
              <w:keepLines/>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 xml:space="preserve">IMPORTO NETTO INDIPENDENTE DELLA GARANZIA (NICA), RICEVUTO </w:t>
            </w:r>
          </w:p>
          <w:p w:rsidR="00595FAD" w:rsidRPr="00661595" w:rsidRDefault="00595FAD" w:rsidP="00923AB1">
            <w:pPr>
              <w:keepNext/>
              <w:keepLines/>
              <w:suppressAutoHyphens/>
              <w:spacing w:before="60"/>
              <w:rPr>
                <w:rFonts w:ascii="Times New Roman" w:hAnsi="Times New Roman"/>
                <w:sz w:val="24"/>
              </w:rPr>
            </w:pPr>
            <w:r>
              <w:rPr>
                <w:rFonts w:ascii="Times New Roman" w:hAnsi="Times New Roman"/>
                <w:sz w:val="24"/>
              </w:rPr>
              <w:t>Articoli 272, punto 12 bis, articolo 275, paragrafo 3, e articolo 276 del CRR.</w:t>
            </w:r>
          </w:p>
          <w:p w:rsidR="00595FAD" w:rsidRPr="00661595" w:rsidRDefault="00595FAD" w:rsidP="00923AB1">
            <w:pPr>
              <w:keepNext/>
              <w:keepLines/>
              <w:suppressAutoHyphens/>
              <w:spacing w:before="60"/>
              <w:rPr>
                <w:rFonts w:ascii="Times New Roman" w:hAnsi="Times New Roman"/>
                <w:sz w:val="24"/>
              </w:rPr>
            </w:pPr>
            <w:r>
              <w:rPr>
                <w:rFonts w:ascii="Times New Roman" w:hAnsi="Times New Roman"/>
                <w:sz w:val="24"/>
              </w:rPr>
              <w:t>Somma degli importi netti indipendenti delle garanzie (NICA) di tutti gli accordi di garanzia per i quali è ricevuto il NICA, calcolati conformemente all</w:t>
            </w:r>
            <w:r w:rsidR="000878EC">
              <w:rPr>
                <w:rFonts w:ascii="Times New Roman" w:hAnsi="Times New Roman"/>
                <w:sz w:val="24"/>
              </w:rPr>
              <w:t>'</w:t>
            </w:r>
            <w:r>
              <w:rPr>
                <w:rFonts w:ascii="Times New Roman" w:hAnsi="Times New Roman"/>
                <w:sz w:val="24"/>
              </w:rPr>
              <w:t>articolo 276 del CRR.</w:t>
            </w:r>
          </w:p>
        </w:tc>
      </w:tr>
      <w:tr w:rsidR="00595FAD" w:rsidRPr="00661595" w:rsidTr="00FF15C6">
        <w:trPr>
          <w:trHeight w:val="680"/>
        </w:trPr>
        <w:tc>
          <w:tcPr>
            <w:tcW w:w="1384" w:type="dxa"/>
          </w:tcPr>
          <w:p w:rsidR="00595FAD" w:rsidRPr="00661595" w:rsidRDefault="00595FAD" w:rsidP="00923AB1">
            <w:pPr>
              <w:pStyle w:val="Applicationdirecte"/>
              <w:suppressAutoHyphens/>
              <w:spacing w:before="0" w:after="0"/>
            </w:pPr>
            <w:r>
              <w:t>0090</w:t>
            </w:r>
          </w:p>
        </w:tc>
        <w:tc>
          <w:tcPr>
            <w:tcW w:w="7655" w:type="dxa"/>
            <w:vAlign w:val="center"/>
          </w:tcPr>
          <w:p w:rsidR="00595FAD" w:rsidRPr="00661595" w:rsidRDefault="00595FAD" w:rsidP="00923AB1">
            <w:pPr>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 xml:space="preserve">IMPORTO NETTO INDIPENDENTE DELLA GARANZIA (NICA), FORNITO </w:t>
            </w:r>
          </w:p>
          <w:p w:rsidR="00595FAD" w:rsidRPr="00661595" w:rsidRDefault="00595FAD" w:rsidP="00923AB1">
            <w:pPr>
              <w:keepNext/>
              <w:suppressAutoHyphens/>
              <w:spacing w:before="60"/>
              <w:rPr>
                <w:rFonts w:ascii="Times New Roman" w:hAnsi="Times New Roman"/>
                <w:sz w:val="24"/>
              </w:rPr>
            </w:pPr>
            <w:r>
              <w:rPr>
                <w:rFonts w:ascii="Times New Roman" w:hAnsi="Times New Roman"/>
                <w:sz w:val="24"/>
              </w:rPr>
              <w:t>Articoli 272, punto 12 bis, articolo 275, paragrafo 3, e articolo 276 del CRR.</w:t>
            </w:r>
          </w:p>
          <w:p w:rsidR="00595FAD" w:rsidRPr="00661595" w:rsidRDefault="00595FAD" w:rsidP="00923AB1">
            <w:pPr>
              <w:suppressAutoHyphens/>
              <w:spacing w:before="60"/>
              <w:rPr>
                <w:rStyle w:val="InstructionsTabelleberschrift"/>
                <w:rFonts w:ascii="Times New Roman" w:hAnsi="Times New Roman"/>
                <w:sz w:val="24"/>
              </w:rPr>
            </w:pPr>
            <w:r>
              <w:rPr>
                <w:rFonts w:ascii="Times New Roman" w:hAnsi="Times New Roman"/>
                <w:sz w:val="24"/>
              </w:rPr>
              <w:t>Somma degli importi netti indipendenti delle garanzie (NICA) di tutti gli accordi di garanzia per i quali è fornito il NICA, calcolati conformemente all</w:t>
            </w:r>
            <w:r w:rsidR="000878EC">
              <w:rPr>
                <w:rFonts w:ascii="Times New Roman" w:hAnsi="Times New Roman"/>
                <w:sz w:val="24"/>
              </w:rPr>
              <w:t>'</w:t>
            </w:r>
            <w:r>
              <w:rPr>
                <w:rFonts w:ascii="Times New Roman" w:hAnsi="Times New Roman"/>
                <w:sz w:val="24"/>
              </w:rPr>
              <w:t>articolo 276 del CRR.</w:t>
            </w:r>
          </w:p>
        </w:tc>
      </w:tr>
      <w:tr w:rsidR="00595FAD" w:rsidRPr="00661595" w:rsidTr="00FF15C6">
        <w:trPr>
          <w:trHeight w:val="680"/>
        </w:trPr>
        <w:tc>
          <w:tcPr>
            <w:tcW w:w="1384" w:type="dxa"/>
          </w:tcPr>
          <w:p w:rsidR="00595FAD" w:rsidRPr="00661595" w:rsidRDefault="00595FAD" w:rsidP="00923AB1">
            <w:pPr>
              <w:pStyle w:val="Applicationdirecte"/>
              <w:suppressAutoHyphens/>
              <w:spacing w:before="0" w:after="0"/>
            </w:pPr>
            <w:r>
              <w:t>0100</w:t>
            </w:r>
          </w:p>
        </w:tc>
        <w:tc>
          <w:tcPr>
            <w:tcW w:w="7655" w:type="dxa"/>
            <w:vAlign w:val="center"/>
          </w:tcPr>
          <w:p w:rsidR="00595FAD" w:rsidRPr="00661595" w:rsidRDefault="00595FAD" w:rsidP="00923AB1">
            <w:pPr>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 xml:space="preserve">COSTO DI SOSTITUZIONE (RC) </w:t>
            </w:r>
          </w:p>
          <w:p w:rsidR="00595FAD" w:rsidRPr="00661595" w:rsidRDefault="00595FAD" w:rsidP="00923AB1">
            <w:pPr>
              <w:suppressAutoHyphens/>
              <w:spacing w:before="60"/>
              <w:rPr>
                <w:rFonts w:ascii="Times New Roman" w:eastAsia="Calibri" w:hAnsi="Times New Roman"/>
                <w:sz w:val="24"/>
              </w:rPr>
            </w:pPr>
            <w:r>
              <w:rPr>
                <w:rFonts w:ascii="Times New Roman" w:hAnsi="Times New Roman"/>
                <w:sz w:val="24"/>
              </w:rPr>
              <w:t>Articoli 275, 281 e 282 del CRR</w:t>
            </w:r>
          </w:p>
          <w:p w:rsidR="00595FAD" w:rsidRPr="00661595" w:rsidRDefault="00595FAD" w:rsidP="00923AB1">
            <w:pPr>
              <w:pStyle w:val="TableMainHeading"/>
              <w:suppressAutoHyphens/>
              <w:spacing w:before="0" w:after="0"/>
              <w:jc w:val="both"/>
              <w:rPr>
                <w:rFonts w:ascii="Times New Roman" w:hAnsi="Times New Roman"/>
                <w:sz w:val="24"/>
                <w:szCs w:val="24"/>
              </w:rPr>
            </w:pPr>
            <w:r>
              <w:rPr>
                <w:rFonts w:ascii="Times New Roman" w:hAnsi="Times New Roman"/>
                <w:sz w:val="24"/>
                <w:szCs w:val="24"/>
              </w:rPr>
              <w:t xml:space="preserve">Il costo di sostituzione (RC) per insieme di attività soggette a compensazione è calcolato conformemente: </w:t>
            </w:r>
          </w:p>
          <w:p w:rsidR="00595FAD" w:rsidRPr="00661595" w:rsidRDefault="00595FAD" w:rsidP="00923AB1">
            <w:pPr>
              <w:suppressAutoHyphens/>
              <w:spacing w:before="60"/>
              <w:rPr>
                <w:rFonts w:ascii="Times New Roman" w:hAnsi="Times New Roman"/>
                <w:sz w:val="24"/>
              </w:rPr>
            </w:pPr>
            <w:r>
              <w:rPr>
                <w:rFonts w:ascii="Times New Roman" w:hAnsi="Times New Roman"/>
                <w:sz w:val="24"/>
              </w:rPr>
              <w:t>- all</w:t>
            </w:r>
            <w:r w:rsidR="000878EC">
              <w:rPr>
                <w:rFonts w:ascii="Times New Roman" w:hAnsi="Times New Roman"/>
                <w:sz w:val="24"/>
              </w:rPr>
              <w:t>'</w:t>
            </w:r>
            <w:r>
              <w:rPr>
                <w:rFonts w:ascii="Times New Roman" w:hAnsi="Times New Roman"/>
                <w:sz w:val="24"/>
              </w:rPr>
              <w:t>articolo 282, paragrafo 3, del CRR per il metodo dell</w:t>
            </w:r>
            <w:r w:rsidR="000878EC">
              <w:rPr>
                <w:rFonts w:ascii="Times New Roman" w:hAnsi="Times New Roman"/>
                <w:sz w:val="24"/>
              </w:rPr>
              <w:t>'</w:t>
            </w:r>
            <w:r>
              <w:rPr>
                <w:rFonts w:ascii="Times New Roman" w:hAnsi="Times New Roman"/>
                <w:sz w:val="24"/>
              </w:rPr>
              <w:t xml:space="preserve">esposizione originaria, </w:t>
            </w:r>
          </w:p>
          <w:p w:rsidR="00595FAD" w:rsidRPr="00661595" w:rsidRDefault="00595FAD" w:rsidP="00923AB1">
            <w:pPr>
              <w:suppressAutoHyphens/>
              <w:spacing w:before="60"/>
              <w:rPr>
                <w:rFonts w:ascii="Times New Roman" w:hAnsi="Times New Roman"/>
                <w:sz w:val="24"/>
              </w:rPr>
            </w:pPr>
            <w:r>
              <w:rPr>
                <w:rFonts w:ascii="Times New Roman" w:hAnsi="Times New Roman"/>
                <w:sz w:val="24"/>
              </w:rPr>
              <w:t>- all</w:t>
            </w:r>
            <w:r w:rsidR="000878EC">
              <w:rPr>
                <w:rFonts w:ascii="Times New Roman" w:hAnsi="Times New Roman"/>
                <w:sz w:val="24"/>
              </w:rPr>
              <w:t>'</w:t>
            </w:r>
            <w:r>
              <w:rPr>
                <w:rFonts w:ascii="Times New Roman" w:hAnsi="Times New Roman"/>
                <w:sz w:val="24"/>
              </w:rPr>
              <w:t>articolo 281 del CRR per il metodo SA-CCR semplificato,</w:t>
            </w:r>
          </w:p>
          <w:p w:rsidR="00595FAD" w:rsidRPr="00661595" w:rsidRDefault="00595FAD" w:rsidP="00923AB1">
            <w:pPr>
              <w:suppressAutoHyphens/>
              <w:spacing w:before="60"/>
              <w:rPr>
                <w:rFonts w:ascii="Times New Roman" w:hAnsi="Times New Roman"/>
                <w:sz w:val="24"/>
              </w:rPr>
            </w:pPr>
            <w:r>
              <w:rPr>
                <w:rFonts w:ascii="Times New Roman" w:hAnsi="Times New Roman"/>
                <w:sz w:val="24"/>
              </w:rPr>
              <w:t>- all</w:t>
            </w:r>
            <w:r w:rsidR="000878EC">
              <w:rPr>
                <w:rFonts w:ascii="Times New Roman" w:hAnsi="Times New Roman"/>
                <w:sz w:val="24"/>
              </w:rPr>
              <w:t>'</w:t>
            </w:r>
            <w:r>
              <w:rPr>
                <w:rFonts w:ascii="Times New Roman" w:hAnsi="Times New Roman"/>
                <w:sz w:val="24"/>
              </w:rPr>
              <w:t>articolo 275 del CRR per il metodo SA-CCR.</w:t>
            </w:r>
          </w:p>
          <w:p w:rsidR="00595FAD" w:rsidRPr="00661595" w:rsidRDefault="00595FAD" w:rsidP="00923AB1">
            <w:pPr>
              <w:suppressAutoHyphens/>
              <w:spacing w:before="60"/>
              <w:rPr>
                <w:rFonts w:ascii="Times New Roman" w:hAnsi="Times New Roman"/>
                <w:sz w:val="24"/>
              </w:rPr>
            </w:pPr>
            <w:r>
              <w:rPr>
                <w:rFonts w:ascii="Times New Roman" w:hAnsi="Times New Roman"/>
                <w:sz w:val="24"/>
              </w:rPr>
              <w:t>L</w:t>
            </w:r>
            <w:r w:rsidR="000878EC">
              <w:rPr>
                <w:rFonts w:ascii="Times New Roman" w:hAnsi="Times New Roman"/>
                <w:sz w:val="24"/>
              </w:rPr>
              <w:t>'</w:t>
            </w:r>
            <w:r>
              <w:rPr>
                <w:rFonts w:ascii="Times New Roman" w:hAnsi="Times New Roman"/>
                <w:sz w:val="24"/>
              </w:rPr>
              <w:t>ente segnala la somma dei costi di sostituzione degli insiemi di attività soggette a compensazione nella rispettiva riga.</w:t>
            </w:r>
          </w:p>
        </w:tc>
      </w:tr>
      <w:tr w:rsidR="00595FAD" w:rsidRPr="00661595" w:rsidTr="00FF15C6">
        <w:trPr>
          <w:trHeight w:val="680"/>
        </w:trPr>
        <w:tc>
          <w:tcPr>
            <w:tcW w:w="1384" w:type="dxa"/>
          </w:tcPr>
          <w:p w:rsidR="00595FAD" w:rsidRPr="00661595" w:rsidRDefault="00595FAD" w:rsidP="00923AB1">
            <w:pPr>
              <w:pStyle w:val="Applicationdirecte"/>
              <w:suppressAutoHyphens/>
              <w:spacing w:before="0" w:after="0"/>
            </w:pPr>
            <w:r>
              <w:t>0110</w:t>
            </w:r>
          </w:p>
        </w:tc>
        <w:tc>
          <w:tcPr>
            <w:tcW w:w="7655" w:type="dxa"/>
            <w:vAlign w:val="center"/>
          </w:tcPr>
          <w:p w:rsidR="00595FAD" w:rsidRPr="00661595" w:rsidRDefault="00595FAD" w:rsidP="00923AB1">
            <w:pPr>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ESPOSIZIONE POTENZIALE FUTURA (PFE)</w:t>
            </w:r>
          </w:p>
          <w:p w:rsidR="00595FAD" w:rsidRPr="00661595" w:rsidRDefault="00595FAD" w:rsidP="00923AB1">
            <w:pPr>
              <w:suppressAutoHyphens/>
              <w:spacing w:before="60"/>
              <w:rPr>
                <w:rFonts w:ascii="Times New Roman" w:eastAsia="Calibri" w:hAnsi="Times New Roman"/>
                <w:sz w:val="24"/>
              </w:rPr>
            </w:pPr>
            <w:r>
              <w:rPr>
                <w:rFonts w:ascii="Times New Roman" w:hAnsi="Times New Roman"/>
                <w:sz w:val="24"/>
              </w:rPr>
              <w:t>Articoli 278, 281 e 282 del CRR</w:t>
            </w:r>
          </w:p>
          <w:p w:rsidR="00595FAD" w:rsidRPr="00661595" w:rsidRDefault="00595FAD" w:rsidP="00923AB1">
            <w:pPr>
              <w:suppressAutoHyphens/>
              <w:spacing w:before="60"/>
              <w:rPr>
                <w:rFonts w:ascii="Times New Roman" w:hAnsi="Times New Roman"/>
                <w:sz w:val="24"/>
              </w:rPr>
            </w:pPr>
            <w:r>
              <w:rPr>
                <w:rFonts w:ascii="Times New Roman" w:hAnsi="Times New Roman"/>
                <w:sz w:val="24"/>
              </w:rPr>
              <w:t>L</w:t>
            </w:r>
            <w:r w:rsidR="000878EC">
              <w:rPr>
                <w:rFonts w:ascii="Times New Roman" w:hAnsi="Times New Roman"/>
                <w:sz w:val="24"/>
              </w:rPr>
              <w:t>'</w:t>
            </w:r>
            <w:r>
              <w:rPr>
                <w:rFonts w:ascii="Times New Roman" w:hAnsi="Times New Roman"/>
                <w:sz w:val="24"/>
              </w:rPr>
              <w:t xml:space="preserve">esposizione potenziale futura (PFE) per insieme di attività soggette a compensazione è calcolata conformemente: </w:t>
            </w:r>
          </w:p>
          <w:p w:rsidR="00595FAD" w:rsidRPr="00661595" w:rsidRDefault="00595FAD" w:rsidP="00923AB1">
            <w:pPr>
              <w:suppressAutoHyphens/>
              <w:spacing w:before="60"/>
              <w:rPr>
                <w:rFonts w:ascii="Times New Roman" w:hAnsi="Times New Roman"/>
                <w:sz w:val="24"/>
              </w:rPr>
            </w:pPr>
            <w:r>
              <w:rPr>
                <w:rFonts w:ascii="Times New Roman" w:hAnsi="Times New Roman"/>
                <w:sz w:val="24"/>
              </w:rPr>
              <w:t>- all</w:t>
            </w:r>
            <w:r w:rsidR="000878EC">
              <w:rPr>
                <w:rFonts w:ascii="Times New Roman" w:hAnsi="Times New Roman"/>
                <w:sz w:val="24"/>
              </w:rPr>
              <w:t>'</w:t>
            </w:r>
            <w:r>
              <w:rPr>
                <w:rFonts w:ascii="Times New Roman" w:hAnsi="Times New Roman"/>
                <w:sz w:val="24"/>
              </w:rPr>
              <w:t>articolo 282, paragrafo 4, del CRR per il metodo dell</w:t>
            </w:r>
            <w:r w:rsidR="000878EC">
              <w:rPr>
                <w:rFonts w:ascii="Times New Roman" w:hAnsi="Times New Roman"/>
                <w:sz w:val="24"/>
              </w:rPr>
              <w:t>'</w:t>
            </w:r>
            <w:r>
              <w:rPr>
                <w:rFonts w:ascii="Times New Roman" w:hAnsi="Times New Roman"/>
                <w:sz w:val="24"/>
              </w:rPr>
              <w:t xml:space="preserve">esposizione originaria, </w:t>
            </w:r>
          </w:p>
          <w:p w:rsidR="00595FAD" w:rsidRPr="00661595" w:rsidRDefault="00595FAD" w:rsidP="00923AB1">
            <w:pPr>
              <w:suppressAutoHyphens/>
              <w:spacing w:before="60"/>
              <w:rPr>
                <w:rFonts w:ascii="Times New Roman" w:hAnsi="Times New Roman"/>
                <w:sz w:val="24"/>
              </w:rPr>
            </w:pPr>
            <w:r>
              <w:rPr>
                <w:rFonts w:ascii="Times New Roman" w:hAnsi="Times New Roman"/>
                <w:sz w:val="24"/>
              </w:rPr>
              <w:t>- all</w:t>
            </w:r>
            <w:r w:rsidR="000878EC">
              <w:rPr>
                <w:rFonts w:ascii="Times New Roman" w:hAnsi="Times New Roman"/>
                <w:sz w:val="24"/>
              </w:rPr>
              <w:t>'</w:t>
            </w:r>
            <w:r>
              <w:rPr>
                <w:rFonts w:ascii="Times New Roman" w:hAnsi="Times New Roman"/>
                <w:sz w:val="24"/>
              </w:rPr>
              <w:t>articolo 281 del CRR per il metodo SA-CCR semplificato,</w:t>
            </w:r>
          </w:p>
          <w:p w:rsidR="00595FAD" w:rsidRPr="00661595" w:rsidRDefault="00595FAD" w:rsidP="00923AB1">
            <w:pPr>
              <w:suppressAutoHyphens/>
              <w:spacing w:before="60"/>
              <w:rPr>
                <w:rFonts w:ascii="Times New Roman" w:hAnsi="Times New Roman"/>
                <w:sz w:val="24"/>
              </w:rPr>
            </w:pPr>
            <w:r>
              <w:rPr>
                <w:rFonts w:ascii="Times New Roman" w:hAnsi="Times New Roman"/>
                <w:sz w:val="24"/>
              </w:rPr>
              <w:t>- all</w:t>
            </w:r>
            <w:r w:rsidR="000878EC">
              <w:rPr>
                <w:rFonts w:ascii="Times New Roman" w:hAnsi="Times New Roman"/>
                <w:sz w:val="24"/>
              </w:rPr>
              <w:t>'</w:t>
            </w:r>
            <w:r>
              <w:rPr>
                <w:rFonts w:ascii="Times New Roman" w:hAnsi="Times New Roman"/>
                <w:sz w:val="24"/>
              </w:rPr>
              <w:t>articolo 278 del CRR per il metodo SA-CCR.</w:t>
            </w:r>
          </w:p>
          <w:p w:rsidR="00595FAD" w:rsidRPr="00661595" w:rsidRDefault="00595FAD" w:rsidP="00923AB1">
            <w:pPr>
              <w:suppressAutoHyphens/>
              <w:spacing w:before="60"/>
              <w:rPr>
                <w:rFonts w:ascii="Times New Roman" w:hAnsi="Times New Roman"/>
                <w:i/>
                <w:sz w:val="24"/>
              </w:rPr>
            </w:pPr>
            <w:r>
              <w:rPr>
                <w:rFonts w:ascii="Times New Roman" w:hAnsi="Times New Roman"/>
                <w:sz w:val="24"/>
              </w:rPr>
              <w:t>L</w:t>
            </w:r>
            <w:r w:rsidR="000878EC">
              <w:rPr>
                <w:rFonts w:ascii="Times New Roman" w:hAnsi="Times New Roman"/>
                <w:sz w:val="24"/>
              </w:rPr>
              <w:t>'</w:t>
            </w:r>
            <w:r>
              <w:rPr>
                <w:rFonts w:ascii="Times New Roman" w:hAnsi="Times New Roman"/>
                <w:sz w:val="24"/>
              </w:rPr>
              <w:t>ente segnala la somma di tutte le esposizioni potenziali future degli insiemi di attività soggette a compensazione nella rispettiva riga.</w:t>
            </w:r>
          </w:p>
        </w:tc>
      </w:tr>
      <w:tr w:rsidR="00595FAD" w:rsidRPr="00661595" w:rsidTr="00FF15C6">
        <w:trPr>
          <w:trHeight w:val="680"/>
        </w:trPr>
        <w:tc>
          <w:tcPr>
            <w:tcW w:w="1384" w:type="dxa"/>
          </w:tcPr>
          <w:p w:rsidR="00595FAD" w:rsidRPr="00661595" w:rsidRDefault="00595FAD" w:rsidP="00923AB1">
            <w:pPr>
              <w:pStyle w:val="Applicationdirecte"/>
              <w:suppressAutoHyphens/>
              <w:spacing w:before="0" w:after="0"/>
            </w:pPr>
            <w:r>
              <w:t>0120</w:t>
            </w:r>
          </w:p>
        </w:tc>
        <w:tc>
          <w:tcPr>
            <w:tcW w:w="7655" w:type="dxa"/>
            <w:vAlign w:val="center"/>
          </w:tcPr>
          <w:p w:rsidR="00595FAD" w:rsidRPr="00661595" w:rsidRDefault="00595FAD" w:rsidP="00923AB1">
            <w:pPr>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ESPOSIZIONE CORRENTE</w:t>
            </w:r>
          </w:p>
          <w:p w:rsidR="00595FAD" w:rsidRPr="00661595" w:rsidRDefault="00595FAD" w:rsidP="00923AB1">
            <w:pPr>
              <w:suppressAutoHyphens/>
              <w:spacing w:before="60"/>
              <w:rPr>
                <w:rFonts w:ascii="Times New Roman" w:hAnsi="Times New Roman"/>
                <w:sz w:val="24"/>
              </w:rPr>
            </w:pPr>
            <w:r>
              <w:rPr>
                <w:rFonts w:ascii="Times New Roman" w:hAnsi="Times New Roman"/>
                <w:sz w:val="24"/>
              </w:rPr>
              <w:t xml:space="preserve">Articolo 272, punto 17, del CRR </w:t>
            </w:r>
          </w:p>
          <w:p w:rsidR="00595FAD" w:rsidRPr="00661595" w:rsidRDefault="00595FAD" w:rsidP="00923AB1">
            <w:pPr>
              <w:suppressAutoHyphens/>
              <w:spacing w:before="60"/>
              <w:rPr>
                <w:rFonts w:ascii="Times New Roman" w:hAnsi="Times New Roman"/>
                <w:sz w:val="24"/>
              </w:rPr>
            </w:pPr>
            <w:r>
              <w:rPr>
                <w:rFonts w:ascii="Times New Roman" w:hAnsi="Times New Roman"/>
                <w:sz w:val="24"/>
              </w:rPr>
              <w:t>L</w:t>
            </w:r>
            <w:r w:rsidR="000878EC">
              <w:rPr>
                <w:rFonts w:ascii="Times New Roman" w:hAnsi="Times New Roman"/>
                <w:sz w:val="24"/>
              </w:rPr>
              <w:t>'</w:t>
            </w:r>
            <w:r>
              <w:rPr>
                <w:rFonts w:ascii="Times New Roman" w:hAnsi="Times New Roman"/>
                <w:sz w:val="24"/>
              </w:rPr>
              <w:t>esposizione corrente per insieme di attività soggette a compensazione è pari al valore definito all</w:t>
            </w:r>
            <w:r w:rsidR="000878EC">
              <w:rPr>
                <w:rFonts w:ascii="Times New Roman" w:hAnsi="Times New Roman"/>
                <w:sz w:val="24"/>
              </w:rPr>
              <w:t>'</w:t>
            </w:r>
            <w:r>
              <w:rPr>
                <w:rFonts w:ascii="Times New Roman" w:hAnsi="Times New Roman"/>
                <w:sz w:val="24"/>
              </w:rPr>
              <w:t>articolo 272, punto 17, del CRR.</w:t>
            </w:r>
          </w:p>
          <w:p w:rsidR="00595FAD" w:rsidRPr="00661595" w:rsidRDefault="00595FAD" w:rsidP="00923AB1">
            <w:pPr>
              <w:suppressAutoHyphens/>
              <w:spacing w:before="60"/>
              <w:rPr>
                <w:rFonts w:ascii="Times New Roman" w:hAnsi="Times New Roman"/>
                <w:sz w:val="24"/>
              </w:rPr>
            </w:pPr>
            <w:r>
              <w:rPr>
                <w:rFonts w:ascii="Times New Roman" w:hAnsi="Times New Roman"/>
                <w:sz w:val="24"/>
              </w:rPr>
              <w:t>L</w:t>
            </w:r>
            <w:r w:rsidR="000878EC">
              <w:rPr>
                <w:rFonts w:ascii="Times New Roman" w:hAnsi="Times New Roman"/>
                <w:sz w:val="24"/>
              </w:rPr>
              <w:t>'</w:t>
            </w:r>
            <w:r>
              <w:rPr>
                <w:rFonts w:ascii="Times New Roman" w:hAnsi="Times New Roman"/>
                <w:sz w:val="24"/>
              </w:rPr>
              <w:t>ente segnala la somma di tutte le esposizioni correnti degli insiemi di attività soggette a compensazione nella rispettiva riga.</w:t>
            </w:r>
          </w:p>
        </w:tc>
      </w:tr>
      <w:tr w:rsidR="00595FAD" w:rsidRPr="00661595" w:rsidTr="00FF15C6">
        <w:trPr>
          <w:trHeight w:val="680"/>
        </w:trPr>
        <w:tc>
          <w:tcPr>
            <w:tcW w:w="1384" w:type="dxa"/>
          </w:tcPr>
          <w:p w:rsidR="00595FAD" w:rsidRPr="00661595" w:rsidRDefault="00595FAD" w:rsidP="00923AB1">
            <w:pPr>
              <w:pStyle w:val="Applicationdirecte"/>
              <w:suppressAutoHyphens/>
              <w:spacing w:before="0" w:after="0"/>
            </w:pPr>
            <w:r>
              <w:t>0130</w:t>
            </w:r>
          </w:p>
        </w:tc>
        <w:tc>
          <w:tcPr>
            <w:tcW w:w="7655" w:type="dxa"/>
            <w:vAlign w:val="center"/>
          </w:tcPr>
          <w:p w:rsidR="00595FAD" w:rsidRPr="00661595" w:rsidRDefault="00595FAD" w:rsidP="00923AB1">
            <w:pPr>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ESPOSIZIONE ATTESA POSITIVA EFFETTIVA (EPE EFFETTIVA)</w:t>
            </w:r>
          </w:p>
          <w:p w:rsidR="00595FAD" w:rsidRPr="00661595" w:rsidRDefault="00595FAD" w:rsidP="00923AB1">
            <w:pPr>
              <w:suppressAutoHyphens/>
              <w:spacing w:before="60"/>
              <w:rPr>
                <w:rFonts w:ascii="Times New Roman" w:eastAsia="Calibri" w:hAnsi="Times New Roman"/>
                <w:sz w:val="24"/>
              </w:rPr>
            </w:pPr>
            <w:r>
              <w:rPr>
                <w:rFonts w:ascii="Times New Roman" w:hAnsi="Times New Roman"/>
                <w:sz w:val="24"/>
              </w:rPr>
              <w:t>Articolo 272, punto 22, e articolo 284, paragrafi 3 e 6, del CRR</w:t>
            </w:r>
          </w:p>
          <w:p w:rsidR="00595FAD" w:rsidRPr="00661595" w:rsidRDefault="00595FAD" w:rsidP="00923AB1">
            <w:pPr>
              <w:pStyle w:val="Default"/>
              <w:suppressAutoHyphens/>
              <w:spacing w:after="120"/>
              <w:jc w:val="both"/>
              <w:rPr>
                <w:rFonts w:ascii="Times New Roman" w:hAnsi="Times New Roman" w:cs="Times New Roman"/>
                <w:color w:val="auto"/>
              </w:rPr>
            </w:pPr>
            <w:r>
              <w:rPr>
                <w:rFonts w:ascii="Times New Roman" w:hAnsi="Times New Roman"/>
                <w:color w:val="auto"/>
              </w:rPr>
              <w:t>L</w:t>
            </w:r>
            <w:r w:rsidR="000878EC">
              <w:rPr>
                <w:rFonts w:ascii="Times New Roman" w:hAnsi="Times New Roman"/>
                <w:color w:val="auto"/>
              </w:rPr>
              <w:t>'</w:t>
            </w:r>
            <w:r>
              <w:rPr>
                <w:rFonts w:ascii="Times New Roman" w:hAnsi="Times New Roman"/>
                <w:color w:val="auto"/>
              </w:rPr>
              <w:t>EPE effettiva per insieme di attività soggette a compensazione è definita all</w:t>
            </w:r>
            <w:r w:rsidR="000878EC">
              <w:rPr>
                <w:rFonts w:ascii="Times New Roman" w:hAnsi="Times New Roman"/>
                <w:color w:val="auto"/>
              </w:rPr>
              <w:t>'</w:t>
            </w:r>
            <w:r>
              <w:rPr>
                <w:rFonts w:ascii="Times New Roman" w:hAnsi="Times New Roman"/>
                <w:color w:val="auto"/>
              </w:rPr>
              <w:t>articolo 272, punto 22, del CRR ed è calcolata conformemente all</w:t>
            </w:r>
            <w:r w:rsidR="000878EC">
              <w:rPr>
                <w:rFonts w:ascii="Times New Roman" w:hAnsi="Times New Roman"/>
                <w:color w:val="auto"/>
              </w:rPr>
              <w:t>'</w:t>
            </w:r>
            <w:r>
              <w:rPr>
                <w:rFonts w:ascii="Times New Roman" w:hAnsi="Times New Roman"/>
                <w:color w:val="auto"/>
              </w:rPr>
              <w:t>articolo 284, paragrafo 6, del CRR.</w:t>
            </w:r>
          </w:p>
          <w:p w:rsidR="00595FAD" w:rsidRPr="00661595" w:rsidRDefault="00595FAD" w:rsidP="00923AB1">
            <w:pPr>
              <w:suppressAutoHyphens/>
              <w:spacing w:before="60"/>
              <w:rPr>
                <w:rFonts w:ascii="Times New Roman" w:eastAsia="Calibri" w:hAnsi="Times New Roman"/>
                <w:sz w:val="24"/>
              </w:rPr>
            </w:pPr>
            <w:r>
              <w:rPr>
                <w:rFonts w:ascii="Times New Roman" w:hAnsi="Times New Roman"/>
                <w:sz w:val="24"/>
              </w:rPr>
              <w:t>L</w:t>
            </w:r>
            <w:r w:rsidR="000878EC">
              <w:rPr>
                <w:rFonts w:ascii="Times New Roman" w:hAnsi="Times New Roman"/>
                <w:sz w:val="24"/>
              </w:rPr>
              <w:t>'</w:t>
            </w:r>
            <w:r>
              <w:rPr>
                <w:rFonts w:ascii="Times New Roman" w:hAnsi="Times New Roman"/>
                <w:sz w:val="24"/>
              </w:rPr>
              <w:t>ente segnala la somma di tutte le EPE effettive applicate per la determinazione dei requisiti di fondi propri conformemente all</w:t>
            </w:r>
            <w:r w:rsidR="000878EC">
              <w:rPr>
                <w:rFonts w:ascii="Times New Roman" w:hAnsi="Times New Roman"/>
                <w:sz w:val="24"/>
              </w:rPr>
              <w:t>'</w:t>
            </w:r>
            <w:r>
              <w:rPr>
                <w:rFonts w:ascii="Times New Roman" w:hAnsi="Times New Roman"/>
                <w:sz w:val="24"/>
              </w:rPr>
              <w:t>articolo 284, paragrafo 3, del CRR, ossia l</w:t>
            </w:r>
            <w:r w:rsidR="000878EC">
              <w:rPr>
                <w:rFonts w:ascii="Times New Roman" w:hAnsi="Times New Roman"/>
                <w:sz w:val="24"/>
              </w:rPr>
              <w:t>'</w:t>
            </w:r>
            <w:r>
              <w:rPr>
                <w:rFonts w:ascii="Times New Roman" w:hAnsi="Times New Roman"/>
                <w:sz w:val="24"/>
              </w:rPr>
              <w:t>EPE effettiva calcolata utilizzando i dati di mercato correnti, o l</w:t>
            </w:r>
            <w:r w:rsidR="000878EC">
              <w:rPr>
                <w:rFonts w:ascii="Times New Roman" w:hAnsi="Times New Roman"/>
                <w:sz w:val="24"/>
              </w:rPr>
              <w:t>'</w:t>
            </w:r>
            <w:r>
              <w:rPr>
                <w:rFonts w:ascii="Times New Roman" w:hAnsi="Times New Roman"/>
                <w:sz w:val="24"/>
              </w:rPr>
              <w:t>EPE effettiva calcolata utilizzando una calibrazione di stress, se ciò determina un requisito di fondi propri più elevato.</w:t>
            </w:r>
          </w:p>
        </w:tc>
      </w:tr>
      <w:tr w:rsidR="00595FAD" w:rsidRPr="00661595" w:rsidTr="00FF15C6">
        <w:trPr>
          <w:trHeight w:val="680"/>
        </w:trPr>
        <w:tc>
          <w:tcPr>
            <w:tcW w:w="1384" w:type="dxa"/>
          </w:tcPr>
          <w:p w:rsidR="00595FAD" w:rsidRPr="00661595" w:rsidRDefault="00595FAD" w:rsidP="00923AB1">
            <w:pPr>
              <w:pStyle w:val="Applicationdirecte"/>
              <w:suppressAutoHyphens/>
              <w:spacing w:before="0" w:after="0"/>
            </w:pPr>
            <w:r>
              <w:t>0140</w:t>
            </w:r>
          </w:p>
        </w:tc>
        <w:tc>
          <w:tcPr>
            <w:tcW w:w="7655" w:type="dxa"/>
            <w:vAlign w:val="center"/>
          </w:tcPr>
          <w:p w:rsidR="00595FAD" w:rsidRPr="00661595" w:rsidRDefault="00595FAD" w:rsidP="00923AB1">
            <w:pPr>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ALFA UTILIZZATA PER IL CALCOLO DEL VALORE DELL</w:t>
            </w:r>
            <w:r w:rsidR="000878EC">
              <w:rPr>
                <w:rStyle w:val="InstructionsTabelleberschrift"/>
                <w:rFonts w:ascii="Times New Roman" w:hAnsi="Times New Roman"/>
                <w:sz w:val="24"/>
              </w:rPr>
              <w:t>'</w:t>
            </w:r>
            <w:r>
              <w:rPr>
                <w:rStyle w:val="InstructionsTabelleberschrift"/>
                <w:rFonts w:ascii="Times New Roman" w:hAnsi="Times New Roman"/>
                <w:sz w:val="24"/>
              </w:rPr>
              <w:t xml:space="preserve">ESPOSIZIONE A FINI REGOLAMENTARI </w:t>
            </w:r>
          </w:p>
          <w:p w:rsidR="00595FAD" w:rsidRPr="00661595" w:rsidRDefault="00595FAD" w:rsidP="00923AB1">
            <w:pPr>
              <w:suppressAutoHyphens/>
              <w:spacing w:before="60"/>
              <w:rPr>
                <w:rFonts w:ascii="Times New Roman" w:hAnsi="Times New Roman"/>
                <w:i/>
                <w:sz w:val="24"/>
              </w:rPr>
            </w:pPr>
            <w:r>
              <w:rPr>
                <w:rFonts w:ascii="Times New Roman" w:hAnsi="Times New Roman"/>
                <w:sz w:val="24"/>
              </w:rPr>
              <w:t>Articolo 274, paragrafo 2, articolo 282, paragrafo 2, articolo 281, paragrafo 1, articolo 284, paragrafi 4 e 9, del CRR.</w:t>
            </w:r>
          </w:p>
          <w:p w:rsidR="00595FAD" w:rsidRPr="00661595" w:rsidRDefault="00595FAD" w:rsidP="00923AB1">
            <w:pPr>
              <w:suppressAutoHyphens/>
              <w:spacing w:before="60"/>
              <w:rPr>
                <w:rFonts w:ascii="Times New Roman" w:eastAsia="Calibri" w:hAnsi="Times New Roman"/>
                <w:i/>
                <w:sz w:val="24"/>
              </w:rPr>
            </w:pPr>
            <w:r>
              <w:rPr>
                <w:rFonts w:ascii="Times New Roman" w:hAnsi="Times New Roman"/>
                <w:sz w:val="24"/>
              </w:rPr>
              <w:t>Il valore di α è fissato a 1,4 nelle righe per OEM, SA-CCR semplificato e SA-CCR conformemente all</w:t>
            </w:r>
            <w:r w:rsidR="000878EC">
              <w:rPr>
                <w:rFonts w:ascii="Times New Roman" w:hAnsi="Times New Roman"/>
                <w:sz w:val="24"/>
              </w:rPr>
              <w:t>'</w:t>
            </w:r>
            <w:r>
              <w:rPr>
                <w:rFonts w:ascii="Times New Roman" w:hAnsi="Times New Roman"/>
                <w:sz w:val="24"/>
              </w:rPr>
              <w:t>articolo 282, paragrafo 2, all</w:t>
            </w:r>
            <w:r w:rsidR="000878EC">
              <w:rPr>
                <w:rFonts w:ascii="Times New Roman" w:hAnsi="Times New Roman"/>
                <w:sz w:val="24"/>
              </w:rPr>
              <w:t>'</w:t>
            </w:r>
            <w:r>
              <w:rPr>
                <w:rFonts w:ascii="Times New Roman" w:hAnsi="Times New Roman"/>
                <w:sz w:val="24"/>
              </w:rPr>
              <w:t>articolo 281, paragrafo 1, e all</w:t>
            </w:r>
            <w:r w:rsidR="000878EC">
              <w:rPr>
                <w:rFonts w:ascii="Times New Roman" w:hAnsi="Times New Roman"/>
                <w:sz w:val="24"/>
              </w:rPr>
              <w:t>'</w:t>
            </w:r>
            <w:r>
              <w:rPr>
                <w:rFonts w:ascii="Times New Roman" w:hAnsi="Times New Roman"/>
                <w:sz w:val="24"/>
              </w:rPr>
              <w:t>articolo 274, paragrafo 2, del CRR.</w:t>
            </w:r>
            <w:r w:rsidR="000878EC">
              <w:rPr>
                <w:rFonts w:ascii="Times New Roman" w:hAnsi="Times New Roman"/>
                <w:sz w:val="24"/>
              </w:rPr>
              <w:t xml:space="preserve"> </w:t>
            </w:r>
            <w:r>
              <w:rPr>
                <w:rFonts w:ascii="Times New Roman" w:hAnsi="Times New Roman"/>
                <w:sz w:val="24"/>
              </w:rPr>
              <w:t>Ai fini del metodo dei modelli interni, il valore α può essere o 1,4 o diverso quando le autorità competenti richiedono un α più elevato conformemente all</w:t>
            </w:r>
            <w:r w:rsidR="000878EC">
              <w:rPr>
                <w:rFonts w:ascii="Times New Roman" w:hAnsi="Times New Roman"/>
                <w:sz w:val="24"/>
              </w:rPr>
              <w:t>'</w:t>
            </w:r>
            <w:r>
              <w:rPr>
                <w:rFonts w:ascii="Times New Roman" w:hAnsi="Times New Roman"/>
                <w:sz w:val="24"/>
              </w:rPr>
              <w:t>articolo 284, paragrafo 4, del CRR o consentono agli enti di utilizzare stime interne conformemente all</w:t>
            </w:r>
            <w:r w:rsidR="000878EC">
              <w:rPr>
                <w:rFonts w:ascii="Times New Roman" w:hAnsi="Times New Roman"/>
                <w:sz w:val="24"/>
              </w:rPr>
              <w:t>'</w:t>
            </w:r>
            <w:r>
              <w:rPr>
                <w:rFonts w:ascii="Times New Roman" w:hAnsi="Times New Roman"/>
                <w:sz w:val="24"/>
              </w:rPr>
              <w:t>articolo 284, paragrafo 9, del CRR.</w:t>
            </w:r>
          </w:p>
        </w:tc>
      </w:tr>
      <w:tr w:rsidR="00595FAD" w:rsidRPr="00661595" w:rsidTr="00FF15C6">
        <w:trPr>
          <w:trHeight w:val="680"/>
        </w:trPr>
        <w:tc>
          <w:tcPr>
            <w:tcW w:w="1384" w:type="dxa"/>
          </w:tcPr>
          <w:p w:rsidR="00595FAD" w:rsidRPr="00661595" w:rsidRDefault="00595FAD" w:rsidP="00923AB1">
            <w:pPr>
              <w:pStyle w:val="Applicationdirecte"/>
              <w:suppressAutoHyphens/>
              <w:spacing w:before="0" w:after="0"/>
            </w:pPr>
            <w:r>
              <w:t>0150</w:t>
            </w:r>
          </w:p>
        </w:tc>
        <w:tc>
          <w:tcPr>
            <w:tcW w:w="7655" w:type="dxa"/>
          </w:tcPr>
          <w:p w:rsidR="00595FAD" w:rsidRPr="00661595" w:rsidRDefault="00595FAD" w:rsidP="00923AB1">
            <w:pPr>
              <w:pStyle w:val="TableMainHeading"/>
              <w:suppressAutoHyphens/>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VALORE DELL</w:t>
            </w:r>
            <w:r w:rsidR="000878EC">
              <w:rPr>
                <w:rStyle w:val="InstructionsTabelleberschrift"/>
                <w:rFonts w:ascii="Times New Roman" w:hAnsi="Times New Roman"/>
                <w:sz w:val="24"/>
                <w:szCs w:val="24"/>
              </w:rPr>
              <w:t>'</w:t>
            </w:r>
            <w:r>
              <w:rPr>
                <w:rStyle w:val="InstructionsTabelleberschrift"/>
                <w:rFonts w:ascii="Times New Roman" w:hAnsi="Times New Roman"/>
                <w:sz w:val="24"/>
                <w:szCs w:val="24"/>
              </w:rPr>
              <w:t xml:space="preserve">ESPOSIZIONE PRE-CRM </w:t>
            </w:r>
          </w:p>
          <w:p w:rsidR="00595FAD" w:rsidRPr="00661595" w:rsidRDefault="00595FAD" w:rsidP="00923AB1">
            <w:pPr>
              <w:pStyle w:val="TableMainHeading"/>
              <w:suppressAutoHyphens/>
              <w:spacing w:before="60"/>
              <w:jc w:val="both"/>
              <w:rPr>
                <w:rFonts w:ascii="Times New Roman" w:hAnsi="Times New Roman"/>
                <w:sz w:val="24"/>
                <w:szCs w:val="24"/>
              </w:rPr>
            </w:pPr>
            <w:r>
              <w:rPr>
                <w:rFonts w:ascii="Times New Roman" w:hAnsi="Times New Roman"/>
                <w:sz w:val="24"/>
                <w:szCs w:val="24"/>
              </w:rPr>
              <w:t>Il valore dell</w:t>
            </w:r>
            <w:r w:rsidR="000878EC">
              <w:rPr>
                <w:rFonts w:ascii="Times New Roman" w:hAnsi="Times New Roman"/>
                <w:sz w:val="24"/>
                <w:szCs w:val="24"/>
              </w:rPr>
              <w:t>'</w:t>
            </w:r>
            <w:r>
              <w:rPr>
                <w:rFonts w:ascii="Times New Roman" w:hAnsi="Times New Roman"/>
                <w:sz w:val="24"/>
                <w:szCs w:val="24"/>
              </w:rPr>
              <w:t>esposizione pre-CRM per gli insiemi di attività soggette a compensazione del CCR è calcolato conformemente ai metodi di cui alla parte tre, titolo II, capi 4 e 6, del CRR, tenendo conto dell</w:t>
            </w:r>
            <w:r w:rsidR="000878EC">
              <w:rPr>
                <w:rFonts w:ascii="Times New Roman" w:hAnsi="Times New Roman"/>
                <w:sz w:val="24"/>
                <w:szCs w:val="24"/>
              </w:rPr>
              <w:t>'</w:t>
            </w:r>
            <w:r>
              <w:rPr>
                <w:rFonts w:ascii="Times New Roman" w:hAnsi="Times New Roman"/>
                <w:sz w:val="24"/>
                <w:szCs w:val="24"/>
              </w:rPr>
              <w:t xml:space="preserve">effetto della compensazione, ma senza tener conto di eventuali altre tecniche di attenuazione del rischio di credito (ad esempio garanzie fornite come margine). </w:t>
            </w:r>
          </w:p>
          <w:p w:rsidR="00595FAD" w:rsidRPr="00661595" w:rsidRDefault="00595FAD" w:rsidP="00923AB1">
            <w:pPr>
              <w:pStyle w:val="TableMainHeading"/>
              <w:suppressAutoHyphens/>
              <w:spacing w:before="60"/>
              <w:jc w:val="both"/>
              <w:rPr>
                <w:rFonts w:ascii="Times New Roman" w:hAnsi="Times New Roman"/>
                <w:sz w:val="24"/>
                <w:szCs w:val="24"/>
              </w:rPr>
            </w:pPr>
            <w:r>
              <w:rPr>
                <w:rFonts w:ascii="Times New Roman" w:hAnsi="Times New Roman"/>
                <w:sz w:val="24"/>
                <w:szCs w:val="24"/>
              </w:rPr>
              <w:t>Nel caso delle SFT, la componente in titoli non è presa in considerazione nella determinazione del valore dell</w:t>
            </w:r>
            <w:r w:rsidR="000878EC">
              <w:rPr>
                <w:rFonts w:ascii="Times New Roman" w:hAnsi="Times New Roman"/>
                <w:sz w:val="24"/>
                <w:szCs w:val="24"/>
              </w:rPr>
              <w:t>'</w:t>
            </w:r>
            <w:r>
              <w:rPr>
                <w:rFonts w:ascii="Times New Roman" w:hAnsi="Times New Roman"/>
                <w:sz w:val="24"/>
                <w:szCs w:val="24"/>
              </w:rPr>
              <w:t>esposizione pre-CRM in caso di ricevimento di una garanzia reale e pertanto non diminuisce il valore dell</w:t>
            </w:r>
            <w:r w:rsidR="000878EC">
              <w:rPr>
                <w:rFonts w:ascii="Times New Roman" w:hAnsi="Times New Roman"/>
                <w:sz w:val="24"/>
                <w:szCs w:val="24"/>
              </w:rPr>
              <w:t>'</w:t>
            </w:r>
            <w:r>
              <w:rPr>
                <w:rFonts w:ascii="Times New Roman" w:hAnsi="Times New Roman"/>
                <w:sz w:val="24"/>
                <w:szCs w:val="24"/>
              </w:rPr>
              <w:t>esposizione. Al contrario la componente in titoli delle SFT è presa in considerazione nella determinazione del valore dell</w:t>
            </w:r>
            <w:r w:rsidR="000878EC">
              <w:rPr>
                <w:rFonts w:ascii="Times New Roman" w:hAnsi="Times New Roman"/>
                <w:sz w:val="24"/>
                <w:szCs w:val="24"/>
              </w:rPr>
              <w:t>'</w:t>
            </w:r>
            <w:r>
              <w:rPr>
                <w:rFonts w:ascii="Times New Roman" w:hAnsi="Times New Roman"/>
                <w:sz w:val="24"/>
                <w:szCs w:val="24"/>
              </w:rPr>
              <w:t xml:space="preserve">esposizione pre-CRM in modo regolare in caso di fornitura di una garanzia reale. </w:t>
            </w:r>
          </w:p>
          <w:p w:rsidR="00595FAD" w:rsidRPr="00661595" w:rsidRDefault="00595FAD" w:rsidP="00923AB1">
            <w:pPr>
              <w:pStyle w:val="TableMainHeading"/>
              <w:suppressAutoHyphens/>
              <w:spacing w:before="60"/>
              <w:jc w:val="both"/>
              <w:rPr>
                <w:rFonts w:ascii="Times New Roman" w:hAnsi="Times New Roman"/>
                <w:sz w:val="24"/>
                <w:szCs w:val="24"/>
              </w:rPr>
            </w:pPr>
            <w:r>
              <w:rPr>
                <w:rFonts w:ascii="Times New Roman" w:hAnsi="Times New Roman"/>
                <w:sz w:val="24"/>
                <w:szCs w:val="24"/>
              </w:rPr>
              <w:t>Inoltre le operazioni assistite da garanzia reale sono trattate come non garantite, ossia non si applicano effetti di marginazione.</w:t>
            </w:r>
            <w:r w:rsidR="000878EC">
              <w:rPr>
                <w:rFonts w:ascii="Times New Roman" w:hAnsi="Times New Roman"/>
                <w:sz w:val="24"/>
                <w:szCs w:val="24"/>
              </w:rPr>
              <w:t xml:space="preserve"> </w:t>
            </w:r>
          </w:p>
          <w:p w:rsidR="00595FAD" w:rsidRPr="00661595" w:rsidRDefault="00595FAD" w:rsidP="00923AB1">
            <w:pPr>
              <w:suppressAutoHyphens/>
              <w:spacing w:before="60"/>
              <w:rPr>
                <w:rFonts w:ascii="Times New Roman" w:hAnsi="Times New Roman"/>
                <w:sz w:val="24"/>
              </w:rPr>
            </w:pPr>
            <w:r>
              <w:rPr>
                <w:rFonts w:ascii="Times New Roman" w:hAnsi="Times New Roman"/>
                <w:sz w:val="24"/>
              </w:rPr>
              <w:t>Il valore dell</w:t>
            </w:r>
            <w:r w:rsidR="000878EC">
              <w:rPr>
                <w:rFonts w:ascii="Times New Roman" w:hAnsi="Times New Roman"/>
                <w:sz w:val="24"/>
              </w:rPr>
              <w:t>'</w:t>
            </w:r>
            <w:r>
              <w:rPr>
                <w:rFonts w:ascii="Times New Roman" w:hAnsi="Times New Roman"/>
                <w:sz w:val="24"/>
              </w:rPr>
              <w:t>esposizione pre-CRM per le operazioni per le quali è stato individuato uno specifico rischio di correlazione sfavorevole deve essere determinato conformemente all</w:t>
            </w:r>
            <w:r w:rsidR="000878EC">
              <w:rPr>
                <w:rFonts w:ascii="Times New Roman" w:hAnsi="Times New Roman"/>
                <w:sz w:val="24"/>
              </w:rPr>
              <w:t>'</w:t>
            </w:r>
            <w:r>
              <w:rPr>
                <w:rFonts w:ascii="Times New Roman" w:hAnsi="Times New Roman"/>
                <w:sz w:val="24"/>
              </w:rPr>
              <w:t xml:space="preserve">articolo 291 del CRR. </w:t>
            </w:r>
          </w:p>
          <w:p w:rsidR="00595FAD" w:rsidRPr="00661595" w:rsidRDefault="00595FAD" w:rsidP="00923AB1">
            <w:pPr>
              <w:suppressAutoHyphens/>
              <w:spacing w:before="60"/>
              <w:rPr>
                <w:rFonts w:ascii="Times New Roman" w:hAnsi="Times New Roman"/>
                <w:sz w:val="24"/>
              </w:rPr>
            </w:pPr>
            <w:r>
              <w:rPr>
                <w:rFonts w:ascii="Times New Roman" w:hAnsi="Times New Roman"/>
                <w:sz w:val="24"/>
              </w:rPr>
              <w:t>Il valore dell</w:t>
            </w:r>
            <w:r w:rsidR="000878EC">
              <w:rPr>
                <w:rFonts w:ascii="Times New Roman" w:hAnsi="Times New Roman"/>
                <w:sz w:val="24"/>
              </w:rPr>
              <w:t>'</w:t>
            </w:r>
            <w:r>
              <w:rPr>
                <w:rFonts w:ascii="Times New Roman" w:hAnsi="Times New Roman"/>
                <w:sz w:val="24"/>
              </w:rPr>
              <w:t>esposizione pre-CRM non tiene conto della deduzione della perdita per CVA sostenuta conformemente all</w:t>
            </w:r>
            <w:r w:rsidR="000878EC">
              <w:rPr>
                <w:rFonts w:ascii="Times New Roman" w:hAnsi="Times New Roman"/>
                <w:sz w:val="24"/>
              </w:rPr>
              <w:t>'</w:t>
            </w:r>
            <w:r>
              <w:rPr>
                <w:rFonts w:ascii="Times New Roman" w:hAnsi="Times New Roman"/>
                <w:sz w:val="24"/>
              </w:rPr>
              <w:t xml:space="preserve">articolo 273, paragrafo 6, del CRR. </w:t>
            </w:r>
          </w:p>
          <w:p w:rsidR="00595FAD" w:rsidRPr="00661595" w:rsidRDefault="00595FAD" w:rsidP="00923AB1">
            <w:pPr>
              <w:suppressAutoHyphens/>
              <w:spacing w:before="60"/>
              <w:rPr>
                <w:rFonts w:ascii="Times New Roman" w:hAnsi="Times New Roman"/>
                <w:i/>
                <w:sz w:val="24"/>
              </w:rPr>
            </w:pPr>
            <w:r>
              <w:rPr>
                <w:rFonts w:ascii="Times New Roman" w:hAnsi="Times New Roman"/>
                <w:sz w:val="24"/>
              </w:rPr>
              <w:t>L</w:t>
            </w:r>
            <w:r w:rsidR="000878EC">
              <w:rPr>
                <w:rFonts w:ascii="Times New Roman" w:hAnsi="Times New Roman"/>
                <w:sz w:val="24"/>
              </w:rPr>
              <w:t>'</w:t>
            </w:r>
            <w:r>
              <w:rPr>
                <w:rFonts w:ascii="Times New Roman" w:hAnsi="Times New Roman"/>
                <w:sz w:val="24"/>
              </w:rPr>
              <w:t>ente segnala la somma di tutti i valori delle esposizioni pre-CRM nella rispettiva riga.</w:t>
            </w:r>
          </w:p>
        </w:tc>
      </w:tr>
      <w:tr w:rsidR="00595FAD" w:rsidRPr="00661595" w:rsidTr="00FF15C6">
        <w:trPr>
          <w:trHeight w:val="680"/>
        </w:trPr>
        <w:tc>
          <w:tcPr>
            <w:tcW w:w="1384" w:type="dxa"/>
          </w:tcPr>
          <w:p w:rsidR="00595FAD" w:rsidRPr="00661595" w:rsidRDefault="00595FAD" w:rsidP="00923AB1">
            <w:pPr>
              <w:pStyle w:val="Applicationdirecte"/>
              <w:suppressAutoHyphens/>
              <w:spacing w:before="0" w:after="0"/>
            </w:pPr>
            <w:r>
              <w:t>0160</w:t>
            </w:r>
          </w:p>
        </w:tc>
        <w:tc>
          <w:tcPr>
            <w:tcW w:w="7655" w:type="dxa"/>
          </w:tcPr>
          <w:p w:rsidR="00595FAD" w:rsidRPr="00661595" w:rsidRDefault="00595FAD" w:rsidP="00923AB1">
            <w:pPr>
              <w:pStyle w:val="TableMainHeading"/>
              <w:suppressAutoHyphens/>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VALORE DELL</w:t>
            </w:r>
            <w:r w:rsidR="000878EC">
              <w:rPr>
                <w:rStyle w:val="InstructionsTabelleberschrift"/>
                <w:rFonts w:ascii="Times New Roman" w:hAnsi="Times New Roman"/>
                <w:sz w:val="24"/>
                <w:szCs w:val="24"/>
              </w:rPr>
              <w:t>'</w:t>
            </w:r>
            <w:r>
              <w:rPr>
                <w:rStyle w:val="InstructionsTabelleberschrift"/>
                <w:rFonts w:ascii="Times New Roman" w:hAnsi="Times New Roman"/>
                <w:sz w:val="24"/>
                <w:szCs w:val="24"/>
              </w:rPr>
              <w:t xml:space="preserve">ESPOSIZIONE POST-CRM </w:t>
            </w:r>
          </w:p>
          <w:p w:rsidR="00595FAD" w:rsidRPr="00661595" w:rsidRDefault="00595FAD" w:rsidP="00923AB1">
            <w:pPr>
              <w:pStyle w:val="TableMainHeading"/>
              <w:suppressAutoHyphens/>
              <w:spacing w:before="60"/>
              <w:jc w:val="both"/>
              <w:rPr>
                <w:rFonts w:ascii="Times New Roman" w:hAnsi="Times New Roman"/>
                <w:sz w:val="24"/>
                <w:szCs w:val="24"/>
              </w:rPr>
            </w:pPr>
            <w:r>
              <w:rPr>
                <w:rFonts w:ascii="Times New Roman" w:hAnsi="Times New Roman"/>
                <w:sz w:val="24"/>
                <w:szCs w:val="24"/>
              </w:rPr>
              <w:t>Il valore dell</w:t>
            </w:r>
            <w:r w:rsidR="000878EC">
              <w:rPr>
                <w:rFonts w:ascii="Times New Roman" w:hAnsi="Times New Roman"/>
                <w:sz w:val="24"/>
                <w:szCs w:val="24"/>
              </w:rPr>
              <w:t>'</w:t>
            </w:r>
            <w:r>
              <w:rPr>
                <w:rFonts w:ascii="Times New Roman" w:hAnsi="Times New Roman"/>
                <w:sz w:val="24"/>
                <w:szCs w:val="24"/>
              </w:rPr>
              <w:t>esposizione post-CRM per gli insiemi di attività soggette a compensazione CCR è calcolato conformemente ai metodi di cui alla parte tre, titolo II, capi 4 e 6, del CRR, avendo applicato tecniche CRM a norma della parte tre, titolo II, capi 4 e 6.</w:t>
            </w:r>
          </w:p>
          <w:p w:rsidR="00595FAD" w:rsidRPr="00661595" w:rsidRDefault="00595FAD" w:rsidP="00923AB1">
            <w:pPr>
              <w:suppressAutoHyphens/>
              <w:spacing w:before="60"/>
              <w:rPr>
                <w:rFonts w:ascii="Times New Roman" w:hAnsi="Times New Roman"/>
                <w:sz w:val="24"/>
              </w:rPr>
            </w:pPr>
            <w:r>
              <w:rPr>
                <w:rFonts w:ascii="Times New Roman" w:hAnsi="Times New Roman"/>
                <w:sz w:val="24"/>
              </w:rPr>
              <w:t>Il valore dell</w:t>
            </w:r>
            <w:r w:rsidR="000878EC">
              <w:rPr>
                <w:rFonts w:ascii="Times New Roman" w:hAnsi="Times New Roman"/>
                <w:sz w:val="24"/>
              </w:rPr>
              <w:t>'</w:t>
            </w:r>
            <w:r>
              <w:rPr>
                <w:rFonts w:ascii="Times New Roman" w:hAnsi="Times New Roman"/>
                <w:sz w:val="24"/>
              </w:rPr>
              <w:t>esposizione post-CRM per le operazioni per le quali è stato individuato uno specifico rischio di correlazione sfavorevole deve essere determinato conformemente all</w:t>
            </w:r>
            <w:r w:rsidR="000878EC">
              <w:rPr>
                <w:rFonts w:ascii="Times New Roman" w:hAnsi="Times New Roman"/>
                <w:sz w:val="24"/>
              </w:rPr>
              <w:t>'</w:t>
            </w:r>
            <w:r>
              <w:rPr>
                <w:rFonts w:ascii="Times New Roman" w:hAnsi="Times New Roman"/>
                <w:sz w:val="24"/>
              </w:rPr>
              <w:t xml:space="preserve">articolo 291 del CRR. </w:t>
            </w:r>
          </w:p>
          <w:p w:rsidR="00595FAD" w:rsidRPr="00661595" w:rsidRDefault="00595FAD" w:rsidP="00923AB1">
            <w:pPr>
              <w:suppressAutoHyphens/>
              <w:spacing w:before="60"/>
              <w:rPr>
                <w:rFonts w:ascii="Times New Roman" w:hAnsi="Times New Roman"/>
                <w:sz w:val="24"/>
              </w:rPr>
            </w:pPr>
            <w:r>
              <w:rPr>
                <w:rFonts w:ascii="Times New Roman" w:hAnsi="Times New Roman"/>
                <w:sz w:val="24"/>
              </w:rPr>
              <w:t>Il valore dell</w:t>
            </w:r>
            <w:r w:rsidR="000878EC">
              <w:rPr>
                <w:rFonts w:ascii="Times New Roman" w:hAnsi="Times New Roman"/>
                <w:sz w:val="24"/>
              </w:rPr>
              <w:t>'</w:t>
            </w:r>
            <w:r>
              <w:rPr>
                <w:rFonts w:ascii="Times New Roman" w:hAnsi="Times New Roman"/>
                <w:sz w:val="24"/>
              </w:rPr>
              <w:t>esposizione post-CRM non tiene conto della deduzione della perdita per CVA sostenuta conformemente all</w:t>
            </w:r>
            <w:r w:rsidR="000878EC">
              <w:rPr>
                <w:rFonts w:ascii="Times New Roman" w:hAnsi="Times New Roman"/>
                <w:sz w:val="24"/>
              </w:rPr>
              <w:t>'</w:t>
            </w:r>
            <w:r>
              <w:rPr>
                <w:rFonts w:ascii="Times New Roman" w:hAnsi="Times New Roman"/>
                <w:sz w:val="24"/>
              </w:rPr>
              <w:t>articolo 273, paragrafo 6, del CRR.</w:t>
            </w:r>
          </w:p>
          <w:p w:rsidR="00595FAD" w:rsidRPr="00661595" w:rsidRDefault="00595FAD" w:rsidP="00923AB1">
            <w:pPr>
              <w:suppressAutoHyphens/>
              <w:spacing w:before="60"/>
              <w:rPr>
                <w:rFonts w:ascii="Times New Roman" w:hAnsi="Times New Roman"/>
                <w:i/>
                <w:sz w:val="24"/>
              </w:rPr>
            </w:pPr>
            <w:r>
              <w:rPr>
                <w:rFonts w:ascii="Times New Roman" w:hAnsi="Times New Roman"/>
                <w:sz w:val="24"/>
              </w:rPr>
              <w:t>L</w:t>
            </w:r>
            <w:r w:rsidR="000878EC">
              <w:rPr>
                <w:rFonts w:ascii="Times New Roman" w:hAnsi="Times New Roman"/>
                <w:sz w:val="24"/>
              </w:rPr>
              <w:t>'</w:t>
            </w:r>
            <w:r>
              <w:rPr>
                <w:rFonts w:ascii="Times New Roman" w:hAnsi="Times New Roman"/>
                <w:sz w:val="24"/>
              </w:rPr>
              <w:t>ente segnala la somma di tutti i valori delle esposizioni post-CRM nella rispettiva riga.</w:t>
            </w:r>
          </w:p>
        </w:tc>
      </w:tr>
      <w:tr w:rsidR="00595FAD" w:rsidRPr="00661595" w:rsidTr="00FF15C6">
        <w:trPr>
          <w:trHeight w:val="680"/>
        </w:trPr>
        <w:tc>
          <w:tcPr>
            <w:tcW w:w="1384" w:type="dxa"/>
          </w:tcPr>
          <w:p w:rsidR="00595FAD" w:rsidRPr="00661595" w:rsidRDefault="00595FAD" w:rsidP="00923AB1">
            <w:pPr>
              <w:pStyle w:val="Applicationdirecte"/>
              <w:suppressAutoHyphens/>
              <w:spacing w:before="0" w:after="0"/>
            </w:pPr>
            <w:r>
              <w:t>0170</w:t>
            </w:r>
          </w:p>
        </w:tc>
        <w:tc>
          <w:tcPr>
            <w:tcW w:w="7655" w:type="dxa"/>
            <w:vAlign w:val="center"/>
          </w:tcPr>
          <w:p w:rsidR="00595FAD" w:rsidRPr="00661595" w:rsidRDefault="00595FAD" w:rsidP="00923AB1">
            <w:pPr>
              <w:pStyle w:val="TableMainHeading"/>
              <w:suppressAutoHyphens/>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VALORE DELL</w:t>
            </w:r>
            <w:r w:rsidR="000878EC">
              <w:rPr>
                <w:rStyle w:val="InstructionsTabelleberschrift"/>
                <w:rFonts w:ascii="Times New Roman" w:hAnsi="Times New Roman"/>
                <w:sz w:val="24"/>
                <w:szCs w:val="24"/>
              </w:rPr>
              <w:t>'</w:t>
            </w:r>
            <w:r>
              <w:rPr>
                <w:rStyle w:val="InstructionsTabelleberschrift"/>
                <w:rFonts w:ascii="Times New Roman" w:hAnsi="Times New Roman"/>
                <w:sz w:val="24"/>
                <w:szCs w:val="24"/>
              </w:rPr>
              <w:t>ESPOSIZIONE</w:t>
            </w:r>
          </w:p>
          <w:p w:rsidR="00595FAD" w:rsidRPr="00661595" w:rsidRDefault="00595FAD" w:rsidP="00923AB1">
            <w:pPr>
              <w:pStyle w:val="TableMainHeading"/>
              <w:suppressAutoHyphens/>
              <w:spacing w:before="60"/>
              <w:jc w:val="both"/>
              <w:rPr>
                <w:rFonts w:ascii="Times New Roman" w:hAnsi="Times New Roman"/>
                <w:sz w:val="24"/>
                <w:szCs w:val="24"/>
              </w:rPr>
            </w:pPr>
            <w:r>
              <w:rPr>
                <w:rFonts w:ascii="Times New Roman" w:hAnsi="Times New Roman"/>
                <w:sz w:val="24"/>
                <w:szCs w:val="24"/>
              </w:rPr>
              <w:t>Valore dell</w:t>
            </w:r>
            <w:r w:rsidR="000878EC">
              <w:rPr>
                <w:rFonts w:ascii="Times New Roman" w:hAnsi="Times New Roman"/>
                <w:sz w:val="24"/>
                <w:szCs w:val="24"/>
              </w:rPr>
              <w:t>'</w:t>
            </w:r>
            <w:r>
              <w:rPr>
                <w:rFonts w:ascii="Times New Roman" w:hAnsi="Times New Roman"/>
                <w:sz w:val="24"/>
                <w:szCs w:val="24"/>
              </w:rPr>
              <w:t>esposizione per gli insiemi di attività soggette a compensazione CCR calcolato conformemente ai metodi di cui alla parte tre, titolo II, capi 4 e 6, del CRR, che è l</w:t>
            </w:r>
            <w:r w:rsidR="000878EC">
              <w:rPr>
                <w:rFonts w:ascii="Times New Roman" w:hAnsi="Times New Roman"/>
                <w:sz w:val="24"/>
                <w:szCs w:val="24"/>
              </w:rPr>
              <w:t>'</w:t>
            </w:r>
            <w:r>
              <w:rPr>
                <w:rFonts w:ascii="Times New Roman" w:hAnsi="Times New Roman"/>
                <w:sz w:val="24"/>
                <w:szCs w:val="24"/>
              </w:rPr>
              <w:t xml:space="preserve">importo rilevante per il calcolo degli importi delle esposizioni ponderati per il rischio, vale a dire avendo applicato tecniche di attenuazione del rischio di credito conformemente </w:t>
            </w:r>
            <w:r w:rsidR="00923AB1">
              <w:rPr>
                <w:rFonts w:ascii="Times New Roman" w:hAnsi="Times New Roman"/>
                <w:sz w:val="24"/>
                <w:szCs w:val="24"/>
              </w:rPr>
              <w:t>alla parte tre, titolo II, capi </w:t>
            </w:r>
            <w:r>
              <w:rPr>
                <w:rFonts w:ascii="Times New Roman" w:hAnsi="Times New Roman"/>
                <w:sz w:val="24"/>
                <w:szCs w:val="24"/>
              </w:rPr>
              <w:t>4 e 6, del CRR e considerando la deduzione della perdita per CVA sostenuta di cui all</w:t>
            </w:r>
            <w:r w:rsidR="000878EC">
              <w:rPr>
                <w:rFonts w:ascii="Times New Roman" w:hAnsi="Times New Roman"/>
                <w:sz w:val="24"/>
                <w:szCs w:val="24"/>
              </w:rPr>
              <w:t>'</w:t>
            </w:r>
            <w:r>
              <w:rPr>
                <w:rFonts w:ascii="Times New Roman" w:hAnsi="Times New Roman"/>
                <w:sz w:val="24"/>
                <w:szCs w:val="24"/>
              </w:rPr>
              <w:t xml:space="preserve">articolo 273, paragrafo 6, del CRR. </w:t>
            </w:r>
          </w:p>
          <w:p w:rsidR="00595FAD" w:rsidRPr="00661595" w:rsidRDefault="00595FAD" w:rsidP="00923AB1">
            <w:pPr>
              <w:suppressAutoHyphens/>
              <w:rPr>
                <w:rFonts w:ascii="Times New Roman" w:hAnsi="Times New Roman"/>
                <w:sz w:val="24"/>
              </w:rPr>
            </w:pPr>
            <w:r>
              <w:rPr>
                <w:rFonts w:ascii="Times New Roman" w:hAnsi="Times New Roman"/>
                <w:sz w:val="24"/>
              </w:rPr>
              <w:t>Il valore dell</w:t>
            </w:r>
            <w:r w:rsidR="000878EC">
              <w:rPr>
                <w:rFonts w:ascii="Times New Roman" w:hAnsi="Times New Roman"/>
                <w:sz w:val="24"/>
              </w:rPr>
              <w:t>'</w:t>
            </w:r>
            <w:r>
              <w:rPr>
                <w:rFonts w:ascii="Times New Roman" w:hAnsi="Times New Roman"/>
                <w:sz w:val="24"/>
              </w:rPr>
              <w:t>esposizione per le operazioni per le quali è stato individuato uno specifico rischio di correlazione sfavorevole deve essere determinato conformemente all</w:t>
            </w:r>
            <w:r w:rsidR="000878EC">
              <w:rPr>
                <w:rFonts w:ascii="Times New Roman" w:hAnsi="Times New Roman"/>
                <w:sz w:val="24"/>
              </w:rPr>
              <w:t>'</w:t>
            </w:r>
            <w:r>
              <w:rPr>
                <w:rFonts w:ascii="Times New Roman" w:hAnsi="Times New Roman"/>
                <w:sz w:val="24"/>
              </w:rPr>
              <w:t>articolo 291 del CRR.</w:t>
            </w:r>
          </w:p>
          <w:p w:rsidR="00595FAD" w:rsidRPr="00661595" w:rsidRDefault="00595FAD" w:rsidP="00923AB1">
            <w:pPr>
              <w:pStyle w:val="TableMainHeading"/>
              <w:suppressAutoHyphens/>
              <w:spacing w:before="60"/>
              <w:jc w:val="both"/>
              <w:rPr>
                <w:rFonts w:ascii="Times New Roman" w:hAnsi="Times New Roman"/>
                <w:sz w:val="24"/>
                <w:szCs w:val="24"/>
              </w:rPr>
            </w:pPr>
            <w:r>
              <w:rPr>
                <w:rFonts w:ascii="Times New Roman" w:hAnsi="Times New Roman"/>
                <w:sz w:val="24"/>
                <w:szCs w:val="24"/>
              </w:rPr>
              <w:t>Nei casi in cui per una singola controparte sia utilizzato più di un metodo per il CCR, la perdita per CVA sostenuta, dedotta a livello di controparte, è assegnata al valore dell</w:t>
            </w:r>
            <w:r w:rsidR="000878EC">
              <w:rPr>
                <w:rFonts w:ascii="Times New Roman" w:hAnsi="Times New Roman"/>
                <w:sz w:val="24"/>
                <w:szCs w:val="24"/>
              </w:rPr>
              <w:t>'</w:t>
            </w:r>
            <w:r>
              <w:rPr>
                <w:rFonts w:ascii="Times New Roman" w:hAnsi="Times New Roman"/>
                <w:sz w:val="24"/>
                <w:szCs w:val="24"/>
              </w:rPr>
              <w:t>esposizione dei diversi insiemi di attività soggette a compensazione in ogni metodo CCR che riflettono la proporzione del valore dell</w:t>
            </w:r>
            <w:r w:rsidR="000878EC">
              <w:rPr>
                <w:rFonts w:ascii="Times New Roman" w:hAnsi="Times New Roman"/>
                <w:sz w:val="24"/>
                <w:szCs w:val="24"/>
              </w:rPr>
              <w:t>'</w:t>
            </w:r>
            <w:r>
              <w:rPr>
                <w:rFonts w:ascii="Times New Roman" w:hAnsi="Times New Roman"/>
                <w:sz w:val="24"/>
                <w:szCs w:val="24"/>
              </w:rPr>
              <w:t>esposizione post-CRM dei rispettivi insiemi di attività soggette a compensazione rispetto al valore dell</w:t>
            </w:r>
            <w:r w:rsidR="000878EC">
              <w:rPr>
                <w:rFonts w:ascii="Times New Roman" w:hAnsi="Times New Roman"/>
                <w:sz w:val="24"/>
                <w:szCs w:val="24"/>
              </w:rPr>
              <w:t>'</w:t>
            </w:r>
            <w:r>
              <w:rPr>
                <w:rFonts w:ascii="Times New Roman" w:hAnsi="Times New Roman"/>
                <w:sz w:val="24"/>
                <w:szCs w:val="24"/>
              </w:rPr>
              <w:t>esposizione complessiva post-CRM della controparte.</w:t>
            </w:r>
          </w:p>
          <w:p w:rsidR="00595FAD" w:rsidRPr="00661595" w:rsidRDefault="00595FAD" w:rsidP="00923AB1">
            <w:pPr>
              <w:suppressAutoHyphens/>
            </w:pPr>
            <w:r>
              <w:rPr>
                <w:rFonts w:ascii="Times New Roman" w:hAnsi="Times New Roman"/>
                <w:sz w:val="24"/>
              </w:rPr>
              <w:t>L</w:t>
            </w:r>
            <w:r w:rsidR="000878EC">
              <w:rPr>
                <w:rFonts w:ascii="Times New Roman" w:hAnsi="Times New Roman"/>
                <w:sz w:val="24"/>
              </w:rPr>
              <w:t>'</w:t>
            </w:r>
            <w:r>
              <w:rPr>
                <w:rFonts w:ascii="Times New Roman" w:hAnsi="Times New Roman"/>
                <w:sz w:val="24"/>
              </w:rPr>
              <w:t>ente segnala la somma di tutti i valori delle esposizioni nella rispettiva riga.</w:t>
            </w:r>
          </w:p>
        </w:tc>
      </w:tr>
      <w:tr w:rsidR="00595FAD" w:rsidRPr="00661595" w:rsidTr="00FF15C6">
        <w:trPr>
          <w:trHeight w:val="680"/>
        </w:trPr>
        <w:tc>
          <w:tcPr>
            <w:tcW w:w="1384" w:type="dxa"/>
          </w:tcPr>
          <w:p w:rsidR="00595FAD" w:rsidRPr="00661595" w:rsidRDefault="00595FAD" w:rsidP="00923AB1">
            <w:pPr>
              <w:pStyle w:val="Applicationdirecte"/>
              <w:suppressAutoHyphens/>
              <w:spacing w:before="0" w:after="0"/>
            </w:pPr>
            <w:r>
              <w:t>0180</w:t>
            </w:r>
          </w:p>
        </w:tc>
        <w:tc>
          <w:tcPr>
            <w:tcW w:w="7655" w:type="dxa"/>
          </w:tcPr>
          <w:p w:rsidR="00595FAD" w:rsidRPr="00661595" w:rsidRDefault="00595FAD" w:rsidP="00923AB1">
            <w:pPr>
              <w:pStyle w:val="TableMainHeading"/>
              <w:suppressAutoHyphens/>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Posizioni trattate con il metodo standardizzato CR</w:t>
            </w:r>
          </w:p>
          <w:p w:rsidR="00595FAD" w:rsidRPr="00661595" w:rsidRDefault="00595FAD" w:rsidP="00923AB1">
            <w:pPr>
              <w:suppressAutoHyphens/>
              <w:spacing w:before="60"/>
              <w:rPr>
                <w:rFonts w:ascii="Times New Roman" w:hAnsi="Times New Roman"/>
                <w:i/>
                <w:sz w:val="24"/>
              </w:rPr>
            </w:pPr>
            <w:r>
              <w:rPr>
                <w:rFonts w:ascii="Times New Roman" w:hAnsi="Times New Roman"/>
                <w:sz w:val="24"/>
              </w:rPr>
              <w:t>Valore dell</w:t>
            </w:r>
            <w:r w:rsidR="000878EC">
              <w:rPr>
                <w:rFonts w:ascii="Times New Roman" w:hAnsi="Times New Roman"/>
                <w:sz w:val="24"/>
              </w:rPr>
              <w:t>'</w:t>
            </w:r>
            <w:r>
              <w:rPr>
                <w:rFonts w:ascii="Times New Roman" w:hAnsi="Times New Roman"/>
                <w:sz w:val="24"/>
              </w:rPr>
              <w:t>esposizione per il CCR delle posizioni trattate con il metodo standardizzato per il rischio di credito conformemente alla parte tre, titolo II, capo 2, del CRR.</w:t>
            </w:r>
          </w:p>
        </w:tc>
      </w:tr>
      <w:tr w:rsidR="00595FAD" w:rsidRPr="00661595" w:rsidTr="00FF15C6">
        <w:trPr>
          <w:trHeight w:val="557"/>
        </w:trPr>
        <w:tc>
          <w:tcPr>
            <w:tcW w:w="1384" w:type="dxa"/>
          </w:tcPr>
          <w:p w:rsidR="00595FAD" w:rsidRPr="00661595" w:rsidRDefault="00595FAD" w:rsidP="00923AB1">
            <w:pPr>
              <w:pStyle w:val="Applicationdirecte"/>
              <w:suppressAutoHyphens/>
              <w:spacing w:before="0" w:after="0"/>
            </w:pPr>
            <w:r>
              <w:t>0190</w:t>
            </w:r>
          </w:p>
        </w:tc>
        <w:tc>
          <w:tcPr>
            <w:tcW w:w="7655" w:type="dxa"/>
          </w:tcPr>
          <w:p w:rsidR="00595FAD" w:rsidRPr="00661595" w:rsidRDefault="00595FAD" w:rsidP="00923AB1">
            <w:pPr>
              <w:pStyle w:val="TableMainHeading"/>
              <w:suppressAutoHyphens/>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Posizioni trattate con il metodo CR IRB</w:t>
            </w:r>
          </w:p>
          <w:p w:rsidR="00595FAD" w:rsidRPr="00661595" w:rsidRDefault="00595FAD" w:rsidP="00923AB1">
            <w:pPr>
              <w:suppressAutoHyphens/>
              <w:rPr>
                <w:rFonts w:ascii="Times New Roman" w:hAnsi="Times New Roman"/>
                <w:sz w:val="24"/>
              </w:rPr>
            </w:pPr>
            <w:r>
              <w:rPr>
                <w:rFonts w:ascii="Times New Roman" w:hAnsi="Times New Roman"/>
                <w:sz w:val="24"/>
              </w:rPr>
              <w:t>Valore dell</w:t>
            </w:r>
            <w:r w:rsidR="000878EC">
              <w:rPr>
                <w:rFonts w:ascii="Times New Roman" w:hAnsi="Times New Roman"/>
                <w:sz w:val="24"/>
              </w:rPr>
              <w:t>'</w:t>
            </w:r>
            <w:r>
              <w:rPr>
                <w:rFonts w:ascii="Times New Roman" w:hAnsi="Times New Roman"/>
                <w:sz w:val="24"/>
              </w:rPr>
              <w:t>esposizione per il CCR delle posizioni trattate con il metodo IRB per il rischio di credito conformemente alla parte tre, titolo II, capo 3, del CRR.</w:t>
            </w:r>
          </w:p>
        </w:tc>
      </w:tr>
      <w:tr w:rsidR="00595FAD" w:rsidRPr="00661595" w:rsidTr="00FF15C6">
        <w:trPr>
          <w:trHeight w:val="680"/>
        </w:trPr>
        <w:tc>
          <w:tcPr>
            <w:tcW w:w="1384" w:type="dxa"/>
          </w:tcPr>
          <w:p w:rsidR="00595FAD" w:rsidRPr="00661595" w:rsidRDefault="00595FAD" w:rsidP="00923AB1">
            <w:pPr>
              <w:pStyle w:val="Applicationdirecte"/>
              <w:suppressAutoHyphens/>
              <w:spacing w:before="0" w:after="0"/>
            </w:pPr>
            <w:r>
              <w:t>0200</w:t>
            </w:r>
          </w:p>
        </w:tc>
        <w:tc>
          <w:tcPr>
            <w:tcW w:w="7655" w:type="dxa"/>
          </w:tcPr>
          <w:p w:rsidR="00595FAD" w:rsidRPr="00661595" w:rsidRDefault="00595FAD" w:rsidP="00923AB1">
            <w:pPr>
              <w:pStyle w:val="TableMainHeading"/>
              <w:suppressAutoHyphens/>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IMPORTI DELLE ESPOSIZIONI PONDERATI PER IL RISCHIO</w:t>
            </w:r>
          </w:p>
          <w:p w:rsidR="00595FAD" w:rsidRPr="00661595" w:rsidRDefault="00595FAD" w:rsidP="00923AB1">
            <w:pPr>
              <w:pStyle w:val="TableMainHeading"/>
              <w:suppressAutoHyphens/>
              <w:spacing w:before="60"/>
              <w:jc w:val="both"/>
              <w:rPr>
                <w:rFonts w:ascii="Times New Roman" w:hAnsi="Times New Roman"/>
                <w:sz w:val="24"/>
                <w:szCs w:val="24"/>
              </w:rPr>
            </w:pPr>
            <w:r>
              <w:rPr>
                <w:rFonts w:ascii="Times New Roman" w:hAnsi="Times New Roman"/>
                <w:sz w:val="24"/>
                <w:szCs w:val="24"/>
              </w:rPr>
              <w:t>Importi delle esposizioni ponderati per il rischio per il CCR di cui all</w:t>
            </w:r>
            <w:r w:rsidR="000878EC">
              <w:rPr>
                <w:rFonts w:ascii="Times New Roman" w:hAnsi="Times New Roman"/>
                <w:sz w:val="24"/>
                <w:szCs w:val="24"/>
              </w:rPr>
              <w:t>'</w:t>
            </w:r>
            <w:r>
              <w:rPr>
                <w:rFonts w:ascii="Times New Roman" w:hAnsi="Times New Roman"/>
                <w:sz w:val="24"/>
                <w:szCs w:val="24"/>
              </w:rPr>
              <w:t>articolo 92, paragrafi 3 e 4, del CRR, calcolati conformemente ai metodi di cui alla parte tre, titolo II, capi 2 e 3.</w:t>
            </w:r>
          </w:p>
          <w:p w:rsidR="00595FAD" w:rsidRPr="00661595" w:rsidRDefault="00595FAD" w:rsidP="00923AB1">
            <w:pPr>
              <w:suppressAutoHyphens/>
              <w:rPr>
                <w:rFonts w:ascii="Times New Roman" w:hAnsi="Times New Roman"/>
                <w:sz w:val="24"/>
              </w:rPr>
            </w:pPr>
            <w:r>
              <w:rPr>
                <w:rFonts w:ascii="Times New Roman" w:hAnsi="Times New Roman"/>
                <w:sz w:val="24"/>
              </w:rPr>
              <w:t xml:space="preserve">Si tiene conto dei fattori di sostegno alle PMI e alle infrastrutture di cui agli articoli 501 e 501 bis del CRR.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923AB1">
            <w:pPr>
              <w:pStyle w:val="Applicationdirecte"/>
              <w:suppressAutoHyphens/>
              <w:spacing w:before="0"/>
              <w:jc w:val="left"/>
            </w:pPr>
            <w:r>
              <w:t>0210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923AB1">
            <w:pPr>
              <w:pStyle w:val="TableMainHeading"/>
              <w:suppressAutoHyphens/>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Posizioni trattate con il metodo standardizzato CR</w:t>
            </w:r>
          </w:p>
          <w:p w:rsidR="00595FAD" w:rsidRPr="00661595" w:rsidRDefault="00595FAD" w:rsidP="00923AB1">
            <w:pPr>
              <w:suppressAutoHyphens/>
              <w:spacing w:before="60"/>
              <w:rPr>
                <w:rFonts w:ascii="Times New Roman" w:hAnsi="Times New Roman"/>
                <w:sz w:val="24"/>
              </w:rPr>
            </w:pPr>
            <w:r>
              <w:rPr>
                <w:rFonts w:ascii="Times New Roman" w:hAnsi="Times New Roman"/>
                <w:sz w:val="24"/>
              </w:rPr>
              <w:t xml:space="preserve">Importi ponderati per il rischio delle esposizioni soggette al CCR trattate con il metodo standardizzato per il rischio di credito conformemente alla parte tre, titolo II, capo 2, del CRR. </w:t>
            </w:r>
          </w:p>
          <w:p w:rsidR="00595FAD" w:rsidRPr="00661595" w:rsidRDefault="00595FAD" w:rsidP="00923AB1">
            <w:pPr>
              <w:suppressAutoHyphens/>
              <w:rPr>
                <w:rFonts w:ascii="Times New Roman" w:hAnsi="Times New Roman"/>
                <w:sz w:val="24"/>
              </w:rPr>
            </w:pPr>
            <w:r>
              <w:rPr>
                <w:rFonts w:ascii="Times New Roman" w:hAnsi="Times New Roman"/>
                <w:sz w:val="24"/>
              </w:rPr>
              <w:t>L</w:t>
            </w:r>
            <w:r w:rsidR="000878EC">
              <w:rPr>
                <w:rFonts w:ascii="Times New Roman" w:hAnsi="Times New Roman"/>
                <w:sz w:val="24"/>
              </w:rPr>
              <w:t>'</w:t>
            </w:r>
            <w:r>
              <w:rPr>
                <w:rFonts w:ascii="Times New Roman" w:hAnsi="Times New Roman"/>
                <w:sz w:val="24"/>
              </w:rPr>
              <w:t>importo corrisponde a quello da includere nella colonna 0220 del modello C 07.00 per le posizioni soggette a CCR.</w:t>
            </w:r>
          </w:p>
        </w:tc>
      </w:tr>
      <w:tr w:rsidR="00595FAD" w:rsidRPr="00661595" w:rsidTr="00FF15C6">
        <w:trPr>
          <w:trHeight w:val="426"/>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923AB1">
            <w:pPr>
              <w:pStyle w:val="Applicationdirecte"/>
              <w:suppressAutoHyphens/>
              <w:spacing w:before="0"/>
              <w:jc w:val="left"/>
            </w:pPr>
            <w:r>
              <w:t>0220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923AB1">
            <w:pPr>
              <w:pStyle w:val="TableMainHeading"/>
              <w:suppressAutoHyphens/>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Posizioni trattate con il metodo CR IRB</w:t>
            </w:r>
          </w:p>
          <w:p w:rsidR="00595FAD" w:rsidRPr="00661595" w:rsidRDefault="00595FAD" w:rsidP="00923AB1">
            <w:pPr>
              <w:pStyle w:val="TableMainHeading"/>
              <w:suppressAutoHyphens/>
              <w:spacing w:before="60"/>
              <w:jc w:val="both"/>
              <w:rPr>
                <w:rFonts w:ascii="Times New Roman" w:hAnsi="Times New Roman"/>
                <w:sz w:val="24"/>
              </w:rPr>
            </w:pPr>
            <w:r>
              <w:rPr>
                <w:rFonts w:ascii="Times New Roman" w:hAnsi="Times New Roman"/>
                <w:sz w:val="24"/>
              </w:rPr>
              <w:t>Importi ponderati per il rischio delle esposizioni soggette al CCR trattate con il metodo IRB per il rischio di credito conformemente alla parte tre, titolo II, capo 3, del CRR.</w:t>
            </w:r>
          </w:p>
          <w:p w:rsidR="00595FAD" w:rsidRPr="00661595" w:rsidRDefault="00595FAD" w:rsidP="00923AB1">
            <w:pPr>
              <w:suppressAutoHyphens/>
              <w:rPr>
                <w:rFonts w:ascii="Times New Roman" w:hAnsi="Times New Roman"/>
                <w:sz w:val="24"/>
              </w:rPr>
            </w:pPr>
            <w:r>
              <w:rPr>
                <w:rFonts w:ascii="Times New Roman" w:hAnsi="Times New Roman"/>
                <w:sz w:val="24"/>
              </w:rPr>
              <w:t>L</w:t>
            </w:r>
            <w:r w:rsidR="000878EC">
              <w:rPr>
                <w:rFonts w:ascii="Times New Roman" w:hAnsi="Times New Roman"/>
                <w:sz w:val="24"/>
              </w:rPr>
              <w:t>'</w:t>
            </w:r>
            <w:r>
              <w:rPr>
                <w:rFonts w:ascii="Times New Roman" w:hAnsi="Times New Roman"/>
                <w:sz w:val="24"/>
              </w:rPr>
              <w:t>importo corrisponde a quello da includere nella colonna 0260 del modello C 08.01 per le posizioni soggette a CCR.</w:t>
            </w:r>
          </w:p>
        </w:tc>
      </w:tr>
      <w:tr w:rsidR="00595FAD" w:rsidRPr="00661595" w:rsidTr="00FF15C6">
        <w:trPr>
          <w:trHeight w:val="680"/>
        </w:trPr>
        <w:tc>
          <w:tcPr>
            <w:tcW w:w="9039" w:type="dxa"/>
            <w:gridSpan w:val="2"/>
            <w:tcBorders>
              <w:top w:val="single" w:sz="4" w:space="0" w:color="auto"/>
              <w:left w:val="nil"/>
              <w:bottom w:val="single" w:sz="4" w:space="0" w:color="auto"/>
              <w:right w:val="nil"/>
            </w:tcBorders>
            <w:shd w:val="clear" w:color="auto" w:fill="auto"/>
          </w:tcPr>
          <w:p w:rsidR="00595FAD" w:rsidRPr="00661595" w:rsidRDefault="00595FAD" w:rsidP="00923AB1">
            <w:pPr>
              <w:pStyle w:val="TableMainHeading"/>
              <w:suppressAutoHyphens/>
              <w:spacing w:before="60"/>
              <w:rPr>
                <w:rFonts w:ascii="Times New Roman" w:hAnsi="Times New Roman"/>
                <w:i/>
                <w:sz w:val="24"/>
                <w:szCs w:val="24"/>
              </w:rPr>
            </w:pPr>
          </w:p>
        </w:tc>
      </w:tr>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923AB1">
            <w:pPr>
              <w:pStyle w:val="TableMainHeading"/>
              <w:suppressAutoHyphens/>
              <w:spacing w:before="60"/>
              <w:rPr>
                <w:rFonts w:ascii="Times New Roman" w:hAnsi="Times New Roman"/>
                <w:b/>
                <w:sz w:val="24"/>
                <w:szCs w:val="24"/>
              </w:rPr>
            </w:pPr>
            <w:r>
              <w:rPr>
                <w:rFonts w:ascii="Times New Roman" w:hAnsi="Times New Roman"/>
                <w:b/>
                <w:sz w:val="24"/>
                <w:szCs w:val="24"/>
              </w:rPr>
              <w:t xml:space="preserve">Riga </w:t>
            </w:r>
          </w:p>
        </w:tc>
      </w:tr>
      <w:tr w:rsidR="00595FAD" w:rsidRPr="00661595" w:rsidTr="00FF15C6">
        <w:trPr>
          <w:trHeight w:val="680"/>
        </w:trPr>
        <w:tc>
          <w:tcPr>
            <w:tcW w:w="1384" w:type="dxa"/>
          </w:tcPr>
          <w:p w:rsidR="00595FAD" w:rsidRPr="00661595" w:rsidRDefault="00595FAD" w:rsidP="00923AB1">
            <w:pPr>
              <w:pStyle w:val="Applicationdirecte"/>
              <w:suppressAutoHyphens/>
              <w:spacing w:before="0" w:after="0"/>
            </w:pPr>
            <w:r>
              <w:t>0010</w:t>
            </w:r>
          </w:p>
        </w:tc>
        <w:tc>
          <w:tcPr>
            <w:tcW w:w="7655" w:type="dxa"/>
          </w:tcPr>
          <w:p w:rsidR="00595FAD" w:rsidRPr="00661595" w:rsidRDefault="00595FAD" w:rsidP="00923AB1">
            <w:pPr>
              <w:pStyle w:val="TableMainHeading"/>
              <w:suppressAutoHyphens/>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METODO DELL</w:t>
            </w:r>
            <w:r w:rsidR="000878EC">
              <w:rPr>
                <w:rStyle w:val="InstructionsTabelleberschrift"/>
                <w:rFonts w:ascii="Times New Roman" w:hAnsi="Times New Roman"/>
                <w:sz w:val="24"/>
                <w:szCs w:val="24"/>
              </w:rPr>
              <w:t>'</w:t>
            </w:r>
            <w:r>
              <w:rPr>
                <w:rStyle w:val="InstructionsTabelleberschrift"/>
                <w:rFonts w:ascii="Times New Roman" w:hAnsi="Times New Roman"/>
                <w:sz w:val="24"/>
                <w:szCs w:val="24"/>
              </w:rPr>
              <w:t xml:space="preserve">ESPOSIZIONE ORIGINARIA (PER DERIVATI) </w:t>
            </w:r>
          </w:p>
          <w:p w:rsidR="00595FAD" w:rsidRPr="00661595" w:rsidRDefault="00595FAD" w:rsidP="00923AB1">
            <w:pPr>
              <w:pStyle w:val="TableMainHeading"/>
              <w:suppressAutoHyphens/>
              <w:spacing w:before="60"/>
              <w:rPr>
                <w:rFonts w:ascii="Times New Roman" w:hAnsi="Times New Roman"/>
                <w:i/>
                <w:sz w:val="24"/>
                <w:szCs w:val="24"/>
              </w:rPr>
            </w:pPr>
            <w:r>
              <w:rPr>
                <w:rFonts w:ascii="Times New Roman" w:hAnsi="Times New Roman"/>
                <w:sz w:val="24"/>
                <w:szCs w:val="24"/>
              </w:rPr>
              <w:t>Derivati e operazioni con regolamento a lungo termine per i quali l</w:t>
            </w:r>
            <w:r w:rsidR="000878EC">
              <w:rPr>
                <w:rFonts w:ascii="Times New Roman" w:hAnsi="Times New Roman"/>
                <w:sz w:val="24"/>
                <w:szCs w:val="24"/>
              </w:rPr>
              <w:t>'</w:t>
            </w:r>
            <w:r>
              <w:rPr>
                <w:rFonts w:ascii="Times New Roman" w:hAnsi="Times New Roman"/>
                <w:sz w:val="24"/>
                <w:szCs w:val="24"/>
              </w:rPr>
              <w:t>ente calcola il valore dell</w:t>
            </w:r>
            <w:r w:rsidR="000878EC">
              <w:rPr>
                <w:rFonts w:ascii="Times New Roman" w:hAnsi="Times New Roman"/>
                <w:sz w:val="24"/>
                <w:szCs w:val="24"/>
              </w:rPr>
              <w:t>'</w:t>
            </w:r>
            <w:r>
              <w:rPr>
                <w:rFonts w:ascii="Times New Roman" w:hAnsi="Times New Roman"/>
                <w:sz w:val="24"/>
                <w:szCs w:val="24"/>
              </w:rPr>
              <w:t>esposizione conformemente a</w:t>
            </w:r>
            <w:r w:rsidR="00923AB1">
              <w:rPr>
                <w:rFonts w:ascii="Times New Roman" w:hAnsi="Times New Roman"/>
                <w:sz w:val="24"/>
                <w:szCs w:val="24"/>
              </w:rPr>
              <w:t>lla parte tre, titolo II, capo </w:t>
            </w:r>
            <w:r>
              <w:rPr>
                <w:rFonts w:ascii="Times New Roman" w:hAnsi="Times New Roman"/>
                <w:sz w:val="24"/>
                <w:szCs w:val="24"/>
              </w:rPr>
              <w:t>6, sezione 5, del CRR. Questo metodo semplificato per il calcolo del valore dell</w:t>
            </w:r>
            <w:r w:rsidR="000878EC">
              <w:rPr>
                <w:rFonts w:ascii="Times New Roman" w:hAnsi="Times New Roman"/>
                <w:sz w:val="24"/>
                <w:szCs w:val="24"/>
              </w:rPr>
              <w:t>'</w:t>
            </w:r>
            <w:r>
              <w:rPr>
                <w:rFonts w:ascii="Times New Roman" w:hAnsi="Times New Roman"/>
                <w:sz w:val="24"/>
                <w:szCs w:val="24"/>
              </w:rPr>
              <w:t>esposizione può essere utilizzato solo dagli enti che soddisfano le condizioni di cui all</w:t>
            </w:r>
            <w:r w:rsidR="000878EC">
              <w:rPr>
                <w:rFonts w:ascii="Times New Roman" w:hAnsi="Times New Roman"/>
                <w:sz w:val="24"/>
                <w:szCs w:val="24"/>
              </w:rPr>
              <w:t>'</w:t>
            </w:r>
            <w:r>
              <w:rPr>
                <w:rFonts w:ascii="Times New Roman" w:hAnsi="Times New Roman"/>
                <w:sz w:val="24"/>
                <w:szCs w:val="24"/>
              </w:rPr>
              <w:t>articolo 273 bis, paragrafo 2 o 4, del CRR.</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923AB1">
            <w:pPr>
              <w:pStyle w:val="Applicationdirecte"/>
              <w:suppressAutoHyphens/>
              <w:spacing w:before="0" w:after="0"/>
            </w:pPr>
            <w:r>
              <w:t>0020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923AB1">
            <w:pPr>
              <w:pStyle w:val="TableMainHeading"/>
              <w:suppressAutoHyphens/>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METODO STANDARDIZZATO SEMPLIFICATO PER IL CCR (SA-CCR SEMPLIFICATO PER I DERIVATI)</w:t>
            </w:r>
          </w:p>
          <w:p w:rsidR="00595FAD" w:rsidRPr="00661595" w:rsidRDefault="00595FAD" w:rsidP="00923AB1">
            <w:pPr>
              <w:pStyle w:val="TableMainHeading"/>
              <w:suppressAutoHyphens/>
              <w:spacing w:before="60"/>
              <w:jc w:val="both"/>
              <w:rPr>
                <w:rFonts w:ascii="Times New Roman" w:hAnsi="Times New Roman"/>
                <w:sz w:val="24"/>
                <w:szCs w:val="24"/>
              </w:rPr>
            </w:pPr>
            <w:r>
              <w:rPr>
                <w:rFonts w:ascii="Times New Roman" w:hAnsi="Times New Roman"/>
                <w:sz w:val="24"/>
                <w:szCs w:val="24"/>
              </w:rPr>
              <w:t>Derivati e operazioni con regolamento a lungo termine per i quali l</w:t>
            </w:r>
            <w:r w:rsidR="000878EC">
              <w:rPr>
                <w:rFonts w:ascii="Times New Roman" w:hAnsi="Times New Roman"/>
                <w:sz w:val="24"/>
                <w:szCs w:val="24"/>
              </w:rPr>
              <w:t>'</w:t>
            </w:r>
            <w:r>
              <w:rPr>
                <w:rFonts w:ascii="Times New Roman" w:hAnsi="Times New Roman"/>
                <w:sz w:val="24"/>
                <w:szCs w:val="24"/>
              </w:rPr>
              <w:t>ente calcola il valore dell</w:t>
            </w:r>
            <w:r w:rsidR="000878EC">
              <w:rPr>
                <w:rFonts w:ascii="Times New Roman" w:hAnsi="Times New Roman"/>
                <w:sz w:val="24"/>
                <w:szCs w:val="24"/>
              </w:rPr>
              <w:t>'</w:t>
            </w:r>
            <w:r>
              <w:rPr>
                <w:rFonts w:ascii="Times New Roman" w:hAnsi="Times New Roman"/>
                <w:sz w:val="24"/>
                <w:szCs w:val="24"/>
              </w:rPr>
              <w:t>esposizione conformemente alla parte tre, titolo II, capo 6, sezione 4, del CRR. Questo metodo standardizzato semplificato per il calcolo del valore dell</w:t>
            </w:r>
            <w:r w:rsidR="000878EC">
              <w:rPr>
                <w:rFonts w:ascii="Times New Roman" w:hAnsi="Times New Roman"/>
                <w:sz w:val="24"/>
                <w:szCs w:val="24"/>
              </w:rPr>
              <w:t>'</w:t>
            </w:r>
            <w:r>
              <w:rPr>
                <w:rFonts w:ascii="Times New Roman" w:hAnsi="Times New Roman"/>
                <w:sz w:val="24"/>
                <w:szCs w:val="24"/>
              </w:rPr>
              <w:t>esposizione può essere utilizzato solo dagli enti che soddisfano le condizioni di cui all</w:t>
            </w:r>
            <w:r w:rsidR="000878EC">
              <w:rPr>
                <w:rFonts w:ascii="Times New Roman" w:hAnsi="Times New Roman"/>
                <w:sz w:val="24"/>
                <w:szCs w:val="24"/>
              </w:rPr>
              <w:t>'</w:t>
            </w:r>
            <w:r>
              <w:rPr>
                <w:rFonts w:ascii="Times New Roman" w:hAnsi="Times New Roman"/>
                <w:sz w:val="24"/>
                <w:szCs w:val="24"/>
              </w:rPr>
              <w:t xml:space="preserve">articolo 273 bis, paragrafo 1 o 4, del CRR.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923AB1">
            <w:pPr>
              <w:pStyle w:val="Applicationdirecte"/>
              <w:suppressAutoHyphens/>
              <w:spacing w:before="0" w:after="0"/>
            </w:pPr>
            <w:r>
              <w:t>0030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923AB1">
            <w:pPr>
              <w:pStyle w:val="TableMainHeading"/>
              <w:suppressAutoHyphens/>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METODO STANDARDIZZATO PER IL CCR (SA-CCR PER I DERIVATI)</w:t>
            </w:r>
          </w:p>
          <w:p w:rsidR="00595FAD" w:rsidRPr="00661595" w:rsidRDefault="00595FAD" w:rsidP="00923AB1">
            <w:pPr>
              <w:pStyle w:val="TableMainHeading"/>
              <w:suppressAutoHyphens/>
              <w:spacing w:before="60"/>
              <w:rPr>
                <w:rFonts w:ascii="Times New Roman" w:hAnsi="Times New Roman"/>
                <w:sz w:val="24"/>
                <w:szCs w:val="24"/>
              </w:rPr>
            </w:pPr>
            <w:r>
              <w:rPr>
                <w:rFonts w:ascii="Times New Roman" w:hAnsi="Times New Roman"/>
                <w:sz w:val="24"/>
                <w:szCs w:val="24"/>
              </w:rPr>
              <w:t>Derivati e operazioni con regolamento a lungo termine per i quali l</w:t>
            </w:r>
            <w:r w:rsidR="000878EC">
              <w:rPr>
                <w:rFonts w:ascii="Times New Roman" w:hAnsi="Times New Roman"/>
                <w:sz w:val="24"/>
                <w:szCs w:val="24"/>
              </w:rPr>
              <w:t>'</w:t>
            </w:r>
            <w:r>
              <w:rPr>
                <w:rFonts w:ascii="Times New Roman" w:hAnsi="Times New Roman"/>
                <w:sz w:val="24"/>
                <w:szCs w:val="24"/>
              </w:rPr>
              <w:t>ente calcola il valore dell</w:t>
            </w:r>
            <w:r w:rsidR="000878EC">
              <w:rPr>
                <w:rFonts w:ascii="Times New Roman" w:hAnsi="Times New Roman"/>
                <w:sz w:val="24"/>
                <w:szCs w:val="24"/>
              </w:rPr>
              <w:t>'</w:t>
            </w:r>
            <w:r>
              <w:rPr>
                <w:rFonts w:ascii="Times New Roman" w:hAnsi="Times New Roman"/>
                <w:sz w:val="24"/>
                <w:szCs w:val="24"/>
              </w:rPr>
              <w:t xml:space="preserve">esposizione conformemente </w:t>
            </w:r>
            <w:r w:rsidR="00923AB1">
              <w:rPr>
                <w:rFonts w:ascii="Times New Roman" w:hAnsi="Times New Roman"/>
                <w:sz w:val="24"/>
                <w:szCs w:val="24"/>
              </w:rPr>
              <w:t>alla parte tre, titolo II, capo </w:t>
            </w:r>
            <w:r>
              <w:rPr>
                <w:rFonts w:ascii="Times New Roman" w:hAnsi="Times New Roman"/>
                <w:sz w:val="24"/>
                <w:szCs w:val="24"/>
              </w:rPr>
              <w:t>6, sezione 3, del CRR.</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923AB1">
            <w:pPr>
              <w:pStyle w:val="Applicationdirecte"/>
              <w:suppressAutoHyphens/>
              <w:spacing w:before="0" w:after="0"/>
            </w:pPr>
            <w:r>
              <w:t>0040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923AB1">
            <w:pPr>
              <w:pStyle w:val="TableMainHeading"/>
              <w:suppressAutoHyphens/>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METODO DEI MODELLI INTERNI (PER DERIVATI E OPERAZIONI DI FINANZIAMENTO TRAMITE TITOLI (SFT))</w:t>
            </w:r>
          </w:p>
          <w:p w:rsidR="00595FAD" w:rsidRPr="00661595" w:rsidRDefault="00595FAD" w:rsidP="00923AB1">
            <w:pPr>
              <w:pStyle w:val="TableMainHeading"/>
              <w:suppressAutoHyphens/>
              <w:spacing w:before="60"/>
              <w:rPr>
                <w:rFonts w:ascii="Times New Roman" w:hAnsi="Times New Roman"/>
                <w:sz w:val="24"/>
                <w:szCs w:val="24"/>
              </w:rPr>
            </w:pPr>
            <w:r>
              <w:rPr>
                <w:rFonts w:ascii="Times New Roman" w:hAnsi="Times New Roman"/>
                <w:sz w:val="24"/>
                <w:szCs w:val="24"/>
              </w:rPr>
              <w:t>Derivati, operazioni con regolamento a lungo termine e SFT per i quali l</w:t>
            </w:r>
            <w:r w:rsidR="000878EC">
              <w:rPr>
                <w:rFonts w:ascii="Times New Roman" w:hAnsi="Times New Roman"/>
                <w:sz w:val="24"/>
                <w:szCs w:val="24"/>
              </w:rPr>
              <w:t>'</w:t>
            </w:r>
            <w:r>
              <w:rPr>
                <w:rFonts w:ascii="Times New Roman" w:hAnsi="Times New Roman"/>
                <w:sz w:val="24"/>
                <w:szCs w:val="24"/>
              </w:rPr>
              <w:t>ente è stato autorizzato a calcolare il valore dell</w:t>
            </w:r>
            <w:r w:rsidR="000878EC">
              <w:rPr>
                <w:rFonts w:ascii="Times New Roman" w:hAnsi="Times New Roman"/>
                <w:sz w:val="24"/>
                <w:szCs w:val="24"/>
              </w:rPr>
              <w:t>'</w:t>
            </w:r>
            <w:r>
              <w:rPr>
                <w:rFonts w:ascii="Times New Roman" w:hAnsi="Times New Roman"/>
                <w:sz w:val="24"/>
                <w:szCs w:val="24"/>
              </w:rPr>
              <w:t>esposizione utilizzando il metodo dei modelli interni (IMM) conformemente alla parte tre, titolo II, capo 6, sezione 6, del CRR.</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923AB1">
            <w:pPr>
              <w:pStyle w:val="Applicationdirecte"/>
              <w:suppressAutoHyphens/>
              <w:spacing w:before="0" w:after="0"/>
            </w:pPr>
            <w:r>
              <w:t>0050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923AB1">
            <w:pPr>
              <w:pStyle w:val="TableMainHeading"/>
              <w:suppressAutoHyphens/>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Insiemi di attività soggette a compensazione contenenti operazioni di finanziamento tramite titoli</w:t>
            </w:r>
          </w:p>
          <w:p w:rsidR="00595FAD" w:rsidRPr="00661595" w:rsidRDefault="00595FAD" w:rsidP="00923AB1">
            <w:pPr>
              <w:pStyle w:val="TableMainHeading"/>
              <w:suppressAutoHyphens/>
              <w:spacing w:before="60"/>
              <w:jc w:val="both"/>
              <w:rPr>
                <w:rFonts w:ascii="Times New Roman" w:hAnsi="Times New Roman"/>
                <w:sz w:val="24"/>
                <w:szCs w:val="24"/>
              </w:rPr>
            </w:pPr>
            <w:r>
              <w:rPr>
                <w:rFonts w:ascii="Times New Roman" w:hAnsi="Times New Roman"/>
                <w:sz w:val="24"/>
                <w:szCs w:val="24"/>
              </w:rPr>
              <w:t>Insiemi di attività soggette a compensazione contenenti solo SFT ai sensi dell</w:t>
            </w:r>
            <w:r w:rsidR="000878EC">
              <w:rPr>
                <w:rFonts w:ascii="Times New Roman" w:hAnsi="Times New Roman"/>
                <w:sz w:val="24"/>
                <w:szCs w:val="24"/>
              </w:rPr>
              <w:t>'</w:t>
            </w:r>
            <w:r>
              <w:rPr>
                <w:rFonts w:ascii="Times New Roman" w:hAnsi="Times New Roman"/>
                <w:sz w:val="24"/>
                <w:szCs w:val="24"/>
              </w:rPr>
              <w:t>articolo 4, paragrafo 1, punto 139, del CRR, per i quali l</w:t>
            </w:r>
            <w:r w:rsidR="000878EC">
              <w:rPr>
                <w:rFonts w:ascii="Times New Roman" w:hAnsi="Times New Roman"/>
                <w:sz w:val="24"/>
                <w:szCs w:val="24"/>
              </w:rPr>
              <w:t>'</w:t>
            </w:r>
            <w:r>
              <w:rPr>
                <w:rFonts w:ascii="Times New Roman" w:hAnsi="Times New Roman"/>
                <w:sz w:val="24"/>
                <w:szCs w:val="24"/>
              </w:rPr>
              <w:t>ente è stato autorizzato a determinare il valore dell</w:t>
            </w:r>
            <w:r w:rsidR="000878EC">
              <w:rPr>
                <w:rFonts w:ascii="Times New Roman" w:hAnsi="Times New Roman"/>
                <w:sz w:val="24"/>
                <w:szCs w:val="24"/>
              </w:rPr>
              <w:t>'</w:t>
            </w:r>
            <w:r>
              <w:rPr>
                <w:rFonts w:ascii="Times New Roman" w:hAnsi="Times New Roman"/>
                <w:sz w:val="24"/>
                <w:szCs w:val="24"/>
              </w:rPr>
              <w:t>esposizione utilizzando l</w:t>
            </w:r>
            <w:r w:rsidR="000878EC">
              <w:rPr>
                <w:rFonts w:ascii="Times New Roman" w:hAnsi="Times New Roman"/>
                <w:sz w:val="24"/>
                <w:szCs w:val="24"/>
              </w:rPr>
              <w:t>'</w:t>
            </w:r>
            <w:r>
              <w:rPr>
                <w:rFonts w:ascii="Times New Roman" w:hAnsi="Times New Roman"/>
                <w:sz w:val="24"/>
                <w:szCs w:val="24"/>
              </w:rPr>
              <w:t>IMM</w:t>
            </w:r>
            <w:r>
              <w:t>.</w:t>
            </w:r>
          </w:p>
          <w:p w:rsidR="00B3602B" w:rsidRPr="00661595" w:rsidRDefault="00B3602B" w:rsidP="00923AB1">
            <w:pPr>
              <w:pStyle w:val="TableMainHeading"/>
              <w:suppressAutoHyphens/>
              <w:spacing w:before="60"/>
              <w:jc w:val="both"/>
              <w:rPr>
                <w:rFonts w:ascii="Times New Roman" w:hAnsi="Times New Roman"/>
                <w:sz w:val="24"/>
                <w:szCs w:val="24"/>
              </w:rPr>
            </w:pPr>
            <w:r>
              <w:rPr>
                <w:rFonts w:ascii="Times New Roman" w:hAnsi="Times New Roman"/>
                <w:sz w:val="24"/>
                <w:szCs w:val="24"/>
              </w:rPr>
              <w:t>Le operazioni di finanziamento tramite titoli comprese in un insieme di attività soggette ad accordo di compensazione contrattuale tra prodotti differenti sono segnalate nella riga 0070 e pertanto non figurano in questa riga.</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923AB1">
            <w:pPr>
              <w:pStyle w:val="Applicationdirecte"/>
              <w:suppressAutoHyphens/>
              <w:spacing w:before="0" w:after="0"/>
            </w:pPr>
            <w:r>
              <w:t>0060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923AB1">
            <w:pPr>
              <w:pStyle w:val="TableMainHeading"/>
              <w:suppressAutoHyphens/>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Insiemi di attività soggette a compensazione contenenti derivati e operazioni con regolamento a lungo termine</w:t>
            </w:r>
          </w:p>
          <w:p w:rsidR="00595FAD" w:rsidRPr="00661595" w:rsidRDefault="00595FAD" w:rsidP="00923AB1">
            <w:pPr>
              <w:pStyle w:val="TableMainHeading"/>
              <w:suppressAutoHyphens/>
              <w:spacing w:before="60"/>
              <w:jc w:val="both"/>
              <w:rPr>
                <w:rFonts w:ascii="Times New Roman" w:hAnsi="Times New Roman"/>
                <w:sz w:val="24"/>
                <w:szCs w:val="24"/>
              </w:rPr>
            </w:pPr>
            <w:r>
              <w:rPr>
                <w:rFonts w:ascii="Times New Roman" w:hAnsi="Times New Roman"/>
                <w:sz w:val="24"/>
                <w:szCs w:val="24"/>
              </w:rPr>
              <w:t>Insiemi di attività soggette a compensazione contenenti solo strumenti derivati di cui all</w:t>
            </w:r>
            <w:r w:rsidR="000878EC">
              <w:rPr>
                <w:rFonts w:ascii="Times New Roman" w:hAnsi="Times New Roman"/>
                <w:sz w:val="24"/>
                <w:szCs w:val="24"/>
              </w:rPr>
              <w:t>'</w:t>
            </w:r>
            <w:r>
              <w:rPr>
                <w:rFonts w:ascii="Times New Roman" w:hAnsi="Times New Roman"/>
                <w:sz w:val="24"/>
                <w:szCs w:val="24"/>
              </w:rPr>
              <w:t>allegato II del CRR e operazioni con regolamento a lungo termine ai sensi dell</w:t>
            </w:r>
            <w:r w:rsidR="000878EC">
              <w:rPr>
                <w:rFonts w:ascii="Times New Roman" w:hAnsi="Times New Roman"/>
                <w:sz w:val="24"/>
                <w:szCs w:val="24"/>
              </w:rPr>
              <w:t>'</w:t>
            </w:r>
            <w:r>
              <w:rPr>
                <w:rFonts w:ascii="Times New Roman" w:hAnsi="Times New Roman"/>
                <w:sz w:val="24"/>
                <w:szCs w:val="24"/>
              </w:rPr>
              <w:t>articolo 272, punto 2, del CRR, per i quali l</w:t>
            </w:r>
            <w:r w:rsidR="000878EC">
              <w:rPr>
                <w:rFonts w:ascii="Times New Roman" w:hAnsi="Times New Roman"/>
                <w:sz w:val="24"/>
                <w:szCs w:val="24"/>
              </w:rPr>
              <w:t>'</w:t>
            </w:r>
            <w:r>
              <w:rPr>
                <w:rFonts w:ascii="Times New Roman" w:hAnsi="Times New Roman"/>
                <w:sz w:val="24"/>
                <w:szCs w:val="24"/>
              </w:rPr>
              <w:t>ente è stato autorizzato a determinare il valore dell</w:t>
            </w:r>
            <w:r w:rsidR="000878EC">
              <w:rPr>
                <w:rFonts w:ascii="Times New Roman" w:hAnsi="Times New Roman"/>
                <w:sz w:val="24"/>
                <w:szCs w:val="24"/>
              </w:rPr>
              <w:t>'</w:t>
            </w:r>
            <w:r>
              <w:rPr>
                <w:rFonts w:ascii="Times New Roman" w:hAnsi="Times New Roman"/>
                <w:sz w:val="24"/>
                <w:szCs w:val="24"/>
              </w:rPr>
              <w:t>esposizione utilizzando l</w:t>
            </w:r>
            <w:r w:rsidR="000878EC">
              <w:rPr>
                <w:rFonts w:ascii="Times New Roman" w:hAnsi="Times New Roman"/>
                <w:sz w:val="24"/>
                <w:szCs w:val="24"/>
              </w:rPr>
              <w:t>'</w:t>
            </w:r>
            <w:r>
              <w:rPr>
                <w:rFonts w:ascii="Times New Roman" w:hAnsi="Times New Roman"/>
                <w:sz w:val="24"/>
                <w:szCs w:val="24"/>
              </w:rPr>
              <w:t>IMM</w:t>
            </w:r>
            <w:r>
              <w:t>.</w:t>
            </w:r>
          </w:p>
          <w:p w:rsidR="00B3602B" w:rsidRPr="00661595" w:rsidRDefault="00B3602B" w:rsidP="00923AB1">
            <w:pPr>
              <w:pStyle w:val="TableMainHeading"/>
              <w:suppressAutoHyphens/>
              <w:spacing w:before="60"/>
              <w:jc w:val="both"/>
              <w:rPr>
                <w:rFonts w:ascii="Times New Roman" w:hAnsi="Times New Roman"/>
                <w:sz w:val="24"/>
                <w:szCs w:val="24"/>
              </w:rPr>
            </w:pPr>
            <w:r>
              <w:rPr>
                <w:rFonts w:ascii="Times New Roman" w:hAnsi="Times New Roman"/>
                <w:sz w:val="24"/>
                <w:szCs w:val="24"/>
              </w:rPr>
              <w:t>I derivati e le operazioni con regolamento a lungo termine che sono compresi in un insieme di attività soggette ad accordo di compensazione contrattuale tra prodotti differenti sono segnalati nella riga 0070; pertanto non sono inclusi in questa riga.</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923AB1">
            <w:pPr>
              <w:pStyle w:val="Applicationdirecte"/>
              <w:suppressAutoHyphens/>
              <w:spacing w:before="0" w:after="0"/>
            </w:pPr>
            <w:r>
              <w:t>0070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923AB1">
            <w:pPr>
              <w:pStyle w:val="TableMainHeading"/>
              <w:suppressAutoHyphens/>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Da insiemi di attività soggette ad accordo di compensazione contrattuale tra prodotti differenti</w:t>
            </w:r>
          </w:p>
          <w:p w:rsidR="00595FAD" w:rsidRPr="00661595" w:rsidRDefault="00595FAD" w:rsidP="00923AB1">
            <w:pPr>
              <w:suppressAutoHyphens/>
              <w:rPr>
                <w:rFonts w:ascii="Times New Roman" w:hAnsi="Times New Roman"/>
                <w:sz w:val="24"/>
              </w:rPr>
            </w:pPr>
            <w:r>
              <w:rPr>
                <w:rFonts w:ascii="Times New Roman" w:hAnsi="Times New Roman"/>
                <w:sz w:val="24"/>
              </w:rPr>
              <w:t>Articolo 272, paragrafi 11 e 25, del CRR</w:t>
            </w:r>
          </w:p>
          <w:p w:rsidR="00595FAD" w:rsidRPr="00661595" w:rsidRDefault="00595FAD" w:rsidP="00923AB1">
            <w:pPr>
              <w:pStyle w:val="TableMainHeading"/>
              <w:suppressAutoHyphens/>
              <w:spacing w:before="60"/>
              <w:jc w:val="both"/>
              <w:rPr>
                <w:rFonts w:ascii="Times New Roman" w:hAnsi="Times New Roman"/>
                <w:sz w:val="24"/>
                <w:szCs w:val="24"/>
              </w:rPr>
            </w:pPr>
            <w:r>
              <w:rPr>
                <w:rFonts w:ascii="Times New Roman" w:hAnsi="Times New Roman"/>
                <w:sz w:val="24"/>
                <w:szCs w:val="24"/>
              </w:rPr>
              <w:t>Insiemi di attività soggette a compensazione contenenti operazioni di diverse categorie di prodotti (articolo 272, punto 11, del CRR), ossia derivati e SFT, per i quali esiste un accordo di compensazione contrattuale tra prodotti differenti ai sensi dell</w:t>
            </w:r>
            <w:r w:rsidR="000878EC">
              <w:rPr>
                <w:rFonts w:ascii="Times New Roman" w:hAnsi="Times New Roman"/>
                <w:sz w:val="24"/>
                <w:szCs w:val="24"/>
              </w:rPr>
              <w:t>'</w:t>
            </w:r>
            <w:r>
              <w:rPr>
                <w:rFonts w:ascii="Times New Roman" w:hAnsi="Times New Roman"/>
                <w:sz w:val="24"/>
                <w:szCs w:val="24"/>
              </w:rPr>
              <w:t>articolo 272, punto 25, del CRR e per i quali l</w:t>
            </w:r>
            <w:r w:rsidR="000878EC">
              <w:rPr>
                <w:rFonts w:ascii="Times New Roman" w:hAnsi="Times New Roman"/>
                <w:sz w:val="24"/>
                <w:szCs w:val="24"/>
              </w:rPr>
              <w:t>'</w:t>
            </w:r>
            <w:r>
              <w:rPr>
                <w:rFonts w:ascii="Times New Roman" w:hAnsi="Times New Roman"/>
                <w:sz w:val="24"/>
                <w:szCs w:val="24"/>
              </w:rPr>
              <w:t>ente è stato autorizzato a determinare il valore dell</w:t>
            </w:r>
            <w:r w:rsidR="000878EC">
              <w:rPr>
                <w:rFonts w:ascii="Times New Roman" w:hAnsi="Times New Roman"/>
                <w:sz w:val="24"/>
                <w:szCs w:val="24"/>
              </w:rPr>
              <w:t>'</w:t>
            </w:r>
            <w:r>
              <w:rPr>
                <w:rFonts w:ascii="Times New Roman" w:hAnsi="Times New Roman"/>
                <w:sz w:val="24"/>
                <w:szCs w:val="24"/>
              </w:rPr>
              <w:t>esposizione utilizzando l</w:t>
            </w:r>
            <w:r w:rsidR="000878EC">
              <w:rPr>
                <w:rFonts w:ascii="Times New Roman" w:hAnsi="Times New Roman"/>
                <w:sz w:val="24"/>
                <w:szCs w:val="24"/>
              </w:rPr>
              <w:t>'</w:t>
            </w:r>
            <w:r>
              <w:rPr>
                <w:rFonts w:ascii="Times New Roman" w:hAnsi="Times New Roman"/>
                <w:sz w:val="24"/>
                <w:szCs w:val="24"/>
              </w:rPr>
              <w:t>IMM.</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923AB1">
            <w:pPr>
              <w:pStyle w:val="Applicationdirecte"/>
              <w:suppressAutoHyphens/>
              <w:spacing w:before="0" w:after="0"/>
            </w:pPr>
            <w:r>
              <w:t>0080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923AB1">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 xml:space="preserve">METODO SEMPLIFICATO PER IL TRATTAMENTO DELLE GARANZIE REALI FINANZIARIE (PER LE SFT) </w:t>
            </w:r>
          </w:p>
          <w:p w:rsidR="00595FAD" w:rsidRPr="00661595" w:rsidRDefault="00595FAD" w:rsidP="00923AB1">
            <w:pPr>
              <w:suppressAutoHyphens/>
              <w:rPr>
                <w:rFonts w:ascii="Times New Roman" w:hAnsi="Times New Roman"/>
                <w:sz w:val="24"/>
              </w:rPr>
            </w:pPr>
            <w:r>
              <w:rPr>
                <w:rFonts w:ascii="Times New Roman" w:hAnsi="Times New Roman"/>
                <w:sz w:val="24"/>
              </w:rPr>
              <w:t>Articolo 222 del CRR</w:t>
            </w:r>
          </w:p>
          <w:p w:rsidR="00595FAD" w:rsidRPr="00661595" w:rsidRDefault="00595FAD" w:rsidP="00923AB1">
            <w:pPr>
              <w:pStyle w:val="TableMainHeading"/>
              <w:suppressAutoHyphens/>
              <w:spacing w:before="60"/>
              <w:jc w:val="both"/>
              <w:rPr>
                <w:rFonts w:ascii="Times New Roman" w:hAnsi="Times New Roman"/>
                <w:sz w:val="24"/>
                <w:szCs w:val="24"/>
              </w:rPr>
            </w:pPr>
            <w:r>
              <w:rPr>
                <w:rFonts w:ascii="Times New Roman" w:hAnsi="Times New Roman"/>
                <w:sz w:val="24"/>
                <w:szCs w:val="24"/>
              </w:rPr>
              <w:t>Operazioni di vendita con patto di riacquisto, operazioni di concessione e assunzione di titoli o di merci in prestito, operazioni con regolamento a lungo termine e finanziamenti con margini per le quali l</w:t>
            </w:r>
            <w:r w:rsidR="000878EC">
              <w:rPr>
                <w:rFonts w:ascii="Times New Roman" w:hAnsi="Times New Roman"/>
                <w:sz w:val="24"/>
                <w:szCs w:val="24"/>
              </w:rPr>
              <w:t>'</w:t>
            </w:r>
            <w:r>
              <w:rPr>
                <w:rFonts w:ascii="Times New Roman" w:hAnsi="Times New Roman"/>
                <w:sz w:val="24"/>
                <w:szCs w:val="24"/>
              </w:rPr>
              <w:t>ente ha scelto di determinare il valore dell</w:t>
            </w:r>
            <w:r w:rsidR="000878EC">
              <w:rPr>
                <w:rFonts w:ascii="Times New Roman" w:hAnsi="Times New Roman"/>
                <w:sz w:val="24"/>
                <w:szCs w:val="24"/>
              </w:rPr>
              <w:t>'</w:t>
            </w:r>
            <w:r>
              <w:rPr>
                <w:rFonts w:ascii="Times New Roman" w:hAnsi="Times New Roman"/>
                <w:sz w:val="24"/>
                <w:szCs w:val="24"/>
              </w:rPr>
              <w:t>esposizione conformemente all</w:t>
            </w:r>
            <w:r w:rsidR="000878EC">
              <w:rPr>
                <w:rFonts w:ascii="Times New Roman" w:hAnsi="Times New Roman"/>
                <w:sz w:val="24"/>
                <w:szCs w:val="24"/>
              </w:rPr>
              <w:t>'</w:t>
            </w:r>
            <w:r>
              <w:rPr>
                <w:rFonts w:ascii="Times New Roman" w:hAnsi="Times New Roman"/>
                <w:sz w:val="24"/>
                <w:szCs w:val="24"/>
              </w:rPr>
              <w:t>articolo 222 del CRR anziché alla parte tre, titolo II, capo 6, del CRR, precisamente all</w:t>
            </w:r>
            <w:r w:rsidR="000878EC">
              <w:rPr>
                <w:rFonts w:ascii="Times New Roman" w:hAnsi="Times New Roman"/>
                <w:sz w:val="24"/>
                <w:szCs w:val="24"/>
              </w:rPr>
              <w:t>'</w:t>
            </w:r>
            <w:r>
              <w:rPr>
                <w:rFonts w:ascii="Times New Roman" w:hAnsi="Times New Roman"/>
                <w:sz w:val="24"/>
                <w:szCs w:val="24"/>
              </w:rPr>
              <w:t>articolo 271, paragrafo 2.</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923AB1">
            <w:pPr>
              <w:pStyle w:val="Applicationdirecte"/>
              <w:suppressAutoHyphens/>
              <w:spacing w:before="0" w:after="0"/>
            </w:pPr>
            <w:r>
              <w:t>0090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923AB1">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METODO INTEGRALE PER IL TRATTAMENTO DELLE GARANZIE REALI FINANZIARIE (PER LE SFT)</w:t>
            </w:r>
          </w:p>
          <w:p w:rsidR="00595FAD" w:rsidRPr="00661595" w:rsidRDefault="00595FAD" w:rsidP="00923AB1">
            <w:pPr>
              <w:suppressAutoHyphens/>
              <w:rPr>
                <w:rFonts w:ascii="Times New Roman" w:hAnsi="Times New Roman"/>
                <w:sz w:val="24"/>
              </w:rPr>
            </w:pPr>
            <w:r>
              <w:rPr>
                <w:rFonts w:ascii="Times New Roman" w:hAnsi="Times New Roman"/>
                <w:sz w:val="24"/>
              </w:rPr>
              <w:t>Articoli 220 e 223 del CRR</w:t>
            </w:r>
          </w:p>
          <w:p w:rsidR="00595FAD" w:rsidRPr="00661595" w:rsidRDefault="00595FAD" w:rsidP="00923AB1">
            <w:pPr>
              <w:pStyle w:val="TableMainHeading"/>
              <w:suppressAutoHyphens/>
              <w:spacing w:before="60"/>
              <w:jc w:val="both"/>
              <w:rPr>
                <w:rFonts w:ascii="Times New Roman" w:hAnsi="Times New Roman"/>
                <w:i/>
                <w:sz w:val="24"/>
                <w:szCs w:val="24"/>
              </w:rPr>
            </w:pPr>
            <w:r>
              <w:rPr>
                <w:rFonts w:ascii="Times New Roman" w:hAnsi="Times New Roman"/>
                <w:sz w:val="24"/>
                <w:szCs w:val="24"/>
              </w:rPr>
              <w:t>Operazioni di vendita con patto di riacquisto, operazioni di concessione e assunzione di titoli o di merci in prestito, operazioni con regolamento a lungo termine e finanziamenti con margini per le quali l</w:t>
            </w:r>
            <w:r w:rsidR="000878EC">
              <w:rPr>
                <w:rFonts w:ascii="Times New Roman" w:hAnsi="Times New Roman"/>
                <w:sz w:val="24"/>
                <w:szCs w:val="24"/>
              </w:rPr>
              <w:t>'</w:t>
            </w:r>
            <w:r>
              <w:rPr>
                <w:rFonts w:ascii="Times New Roman" w:hAnsi="Times New Roman"/>
                <w:sz w:val="24"/>
                <w:szCs w:val="24"/>
              </w:rPr>
              <w:t>ente ha scelto di determinare il valore dell</w:t>
            </w:r>
            <w:r w:rsidR="000878EC">
              <w:rPr>
                <w:rFonts w:ascii="Times New Roman" w:hAnsi="Times New Roman"/>
                <w:sz w:val="24"/>
                <w:szCs w:val="24"/>
              </w:rPr>
              <w:t>'</w:t>
            </w:r>
            <w:r>
              <w:rPr>
                <w:rFonts w:ascii="Times New Roman" w:hAnsi="Times New Roman"/>
                <w:sz w:val="24"/>
                <w:szCs w:val="24"/>
              </w:rPr>
              <w:t>esposizione conformemente all</w:t>
            </w:r>
            <w:r w:rsidR="000878EC">
              <w:rPr>
                <w:rFonts w:ascii="Times New Roman" w:hAnsi="Times New Roman"/>
                <w:sz w:val="24"/>
                <w:szCs w:val="24"/>
              </w:rPr>
              <w:t>'</w:t>
            </w:r>
            <w:r>
              <w:rPr>
                <w:rFonts w:ascii="Times New Roman" w:hAnsi="Times New Roman"/>
                <w:sz w:val="24"/>
                <w:szCs w:val="24"/>
              </w:rPr>
              <w:t>articolo 223 del CRR anziché alla parte tre, titolo II, capo 6, del CRR, precisamente all</w:t>
            </w:r>
            <w:r w:rsidR="000878EC">
              <w:rPr>
                <w:rFonts w:ascii="Times New Roman" w:hAnsi="Times New Roman"/>
                <w:sz w:val="24"/>
                <w:szCs w:val="24"/>
              </w:rPr>
              <w:t>'</w:t>
            </w:r>
            <w:r>
              <w:rPr>
                <w:rFonts w:ascii="Times New Roman" w:hAnsi="Times New Roman"/>
                <w:sz w:val="24"/>
                <w:szCs w:val="24"/>
              </w:rPr>
              <w:t>articolo 271, paragrafo 2.</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923AB1">
            <w:pPr>
              <w:pStyle w:val="Applicationdirecte"/>
              <w:suppressAutoHyphens/>
              <w:spacing w:before="0" w:after="0"/>
            </w:pPr>
            <w:r>
              <w:t>0100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923AB1">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VAR PER LE SFT</w:t>
            </w:r>
          </w:p>
          <w:p w:rsidR="00595FAD" w:rsidRPr="00661595" w:rsidRDefault="00595FAD" w:rsidP="00923AB1">
            <w:pPr>
              <w:suppressAutoHyphens/>
              <w:rPr>
                <w:rFonts w:ascii="Times New Roman" w:hAnsi="Times New Roman"/>
                <w:sz w:val="24"/>
              </w:rPr>
            </w:pPr>
            <w:r>
              <w:rPr>
                <w:rFonts w:ascii="Times New Roman" w:hAnsi="Times New Roman"/>
                <w:sz w:val="24"/>
              </w:rPr>
              <w:t>Articolo 221 del CRR</w:t>
            </w:r>
          </w:p>
          <w:p w:rsidR="00595FAD" w:rsidRPr="00661595" w:rsidRDefault="00595FAD" w:rsidP="00923AB1">
            <w:pPr>
              <w:pStyle w:val="TableMainHeading"/>
              <w:suppressAutoHyphens/>
              <w:spacing w:before="60"/>
              <w:jc w:val="both"/>
              <w:rPr>
                <w:rFonts w:ascii="Times New Roman" w:hAnsi="Times New Roman"/>
                <w:sz w:val="24"/>
                <w:szCs w:val="24"/>
              </w:rPr>
            </w:pPr>
            <w:r>
              <w:rPr>
                <w:rFonts w:ascii="Times New Roman" w:hAnsi="Times New Roman"/>
                <w:sz w:val="24"/>
                <w:szCs w:val="24"/>
              </w:rPr>
              <w:t>Operazioni di vendita con patto di riacquisto, operazioni di concessione e assunzione di titoli o di merci in prestito o operazioni di marginazione, o altre operazioni correlate ai mercati finanziari diverse dalle operazioni su derivati per le quali, conformemente all</w:t>
            </w:r>
            <w:r w:rsidR="000878EC">
              <w:rPr>
                <w:rFonts w:ascii="Times New Roman" w:hAnsi="Times New Roman"/>
                <w:sz w:val="24"/>
                <w:szCs w:val="24"/>
              </w:rPr>
              <w:t>'</w:t>
            </w:r>
            <w:r>
              <w:rPr>
                <w:rFonts w:ascii="Times New Roman" w:hAnsi="Times New Roman"/>
                <w:sz w:val="24"/>
                <w:szCs w:val="24"/>
              </w:rPr>
              <w:t>articolo 221 del CRR e previa autorizzazione dell</w:t>
            </w:r>
            <w:r w:rsidR="000878EC">
              <w:rPr>
                <w:rFonts w:ascii="Times New Roman" w:hAnsi="Times New Roman"/>
                <w:sz w:val="24"/>
                <w:szCs w:val="24"/>
              </w:rPr>
              <w:t>'</w:t>
            </w:r>
            <w:r>
              <w:rPr>
                <w:rFonts w:ascii="Times New Roman" w:hAnsi="Times New Roman"/>
                <w:sz w:val="24"/>
                <w:szCs w:val="24"/>
              </w:rPr>
              <w:t>autorità competente, il valore dell</w:t>
            </w:r>
            <w:r w:rsidR="000878EC">
              <w:rPr>
                <w:rFonts w:ascii="Times New Roman" w:hAnsi="Times New Roman"/>
                <w:sz w:val="24"/>
                <w:szCs w:val="24"/>
              </w:rPr>
              <w:t>'</w:t>
            </w:r>
            <w:r>
              <w:rPr>
                <w:rFonts w:ascii="Times New Roman" w:hAnsi="Times New Roman"/>
                <w:sz w:val="24"/>
                <w:szCs w:val="24"/>
              </w:rPr>
              <w:t>esposizione è calcolato utilizzando un metodo basato su modelli interni che tiene conto degli effetti di correlazione tra posizioni in titoli soggette all</w:t>
            </w:r>
            <w:r w:rsidR="000878EC">
              <w:rPr>
                <w:rFonts w:ascii="Times New Roman" w:hAnsi="Times New Roman"/>
                <w:sz w:val="24"/>
                <w:szCs w:val="24"/>
              </w:rPr>
              <w:t>'</w:t>
            </w:r>
            <w:r>
              <w:rPr>
                <w:rFonts w:ascii="Times New Roman" w:hAnsi="Times New Roman"/>
                <w:sz w:val="24"/>
                <w:szCs w:val="24"/>
              </w:rPr>
              <w:t xml:space="preserve">accordo quadro di compensazione, nonché della liquidità degli strumenti in questione.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923AB1">
            <w:pPr>
              <w:pStyle w:val="Applicationdirecte"/>
              <w:suppressAutoHyphens/>
              <w:spacing w:before="0" w:after="0"/>
            </w:pPr>
            <w:r>
              <w:t>0110</w:t>
            </w:r>
          </w:p>
        </w:tc>
        <w:tc>
          <w:tcPr>
            <w:tcW w:w="7655" w:type="dxa"/>
            <w:tcBorders>
              <w:top w:val="single" w:sz="4" w:space="0" w:color="auto"/>
              <w:left w:val="single" w:sz="4" w:space="0" w:color="auto"/>
              <w:bottom w:val="single" w:sz="4" w:space="0" w:color="auto"/>
              <w:right w:val="single" w:sz="4" w:space="0" w:color="auto"/>
            </w:tcBorders>
          </w:tcPr>
          <w:p w:rsidR="00595FAD" w:rsidRPr="00661595" w:rsidRDefault="00595FAD" w:rsidP="00923AB1">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TOTALE</w:t>
            </w:r>
          </w:p>
          <w:p w:rsidR="00595FAD" w:rsidRPr="00661595" w:rsidRDefault="00595FAD" w:rsidP="00923AB1">
            <w:pPr>
              <w:keepNext/>
              <w:suppressAutoHyphens/>
              <w:spacing w:before="60"/>
              <w:rPr>
                <w:rStyle w:val="InstructionsTabelleberschrift"/>
                <w:rFonts w:ascii="Times New Roman" w:hAnsi="Times New Roman"/>
                <w:sz w:val="24"/>
              </w:rPr>
            </w:pPr>
          </w:p>
        </w:tc>
      </w:tr>
      <w:tr w:rsidR="00595FAD" w:rsidRPr="00661595" w:rsidTr="00FF15C6">
        <w:trPr>
          <w:trHeight w:val="1502"/>
        </w:trPr>
        <w:tc>
          <w:tcPr>
            <w:tcW w:w="1384" w:type="dxa"/>
          </w:tcPr>
          <w:p w:rsidR="00595FAD" w:rsidRPr="00661595" w:rsidDel="003E0C6A" w:rsidRDefault="00595FAD" w:rsidP="00923AB1">
            <w:pPr>
              <w:pStyle w:val="Applicationdirecte"/>
              <w:suppressAutoHyphens/>
              <w:spacing w:before="60" w:after="0"/>
              <w:jc w:val="left"/>
            </w:pPr>
            <w:r>
              <w:t>0120</w:t>
            </w:r>
          </w:p>
        </w:tc>
        <w:tc>
          <w:tcPr>
            <w:tcW w:w="7655" w:type="dxa"/>
          </w:tcPr>
          <w:p w:rsidR="00595FAD" w:rsidRPr="00661595" w:rsidRDefault="00595FAD" w:rsidP="00923AB1">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di cui: Posizioni con SWWR</w:t>
            </w:r>
          </w:p>
          <w:p w:rsidR="00595FAD" w:rsidRPr="00661595" w:rsidRDefault="00595FAD" w:rsidP="00923AB1">
            <w:pPr>
              <w:keepNext/>
              <w:suppressAutoHyphens/>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291 del CRR</w:t>
            </w:r>
          </w:p>
          <w:p w:rsidR="00595FAD" w:rsidRPr="00661595" w:rsidDel="003E0C6A" w:rsidRDefault="00595FAD" w:rsidP="00923AB1">
            <w:pPr>
              <w:keepNext/>
              <w:suppressAutoHyphens/>
              <w:spacing w:before="60"/>
              <w:rPr>
                <w:rFonts w:ascii="Times New Roman" w:hAnsi="Times New Roman"/>
                <w:bCs/>
                <w:sz w:val="24"/>
              </w:rPr>
            </w:pPr>
            <w:r>
              <w:rPr>
                <w:rStyle w:val="InstructionsTabelleberschrift"/>
                <w:rFonts w:ascii="Times New Roman" w:hAnsi="Times New Roman"/>
                <w:b w:val="0"/>
                <w:sz w:val="24"/>
                <w:u w:val="none"/>
              </w:rPr>
              <w:t>Esposizioni soggette al CCR per le quali è stato individuato un rischio specifico di correlazione sfavorevole (SWWR) conformemente all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articolo 291 del CRR.</w:t>
            </w:r>
          </w:p>
        </w:tc>
      </w:tr>
      <w:tr w:rsidR="00595FAD" w:rsidRPr="00661595" w:rsidTr="00FF15C6">
        <w:trPr>
          <w:trHeight w:val="426"/>
        </w:trPr>
        <w:tc>
          <w:tcPr>
            <w:tcW w:w="1384" w:type="dxa"/>
          </w:tcPr>
          <w:p w:rsidR="00595FAD" w:rsidRPr="00661595" w:rsidDel="003E0C6A" w:rsidRDefault="00595FAD" w:rsidP="00923AB1">
            <w:pPr>
              <w:pStyle w:val="Applicationdirecte"/>
              <w:suppressAutoHyphens/>
              <w:spacing w:before="60" w:after="0"/>
              <w:jc w:val="left"/>
            </w:pPr>
            <w:r>
              <w:t>0130</w:t>
            </w:r>
          </w:p>
        </w:tc>
        <w:tc>
          <w:tcPr>
            <w:tcW w:w="7655" w:type="dxa"/>
          </w:tcPr>
          <w:p w:rsidR="00595FAD" w:rsidRPr="00661595" w:rsidRDefault="00595FAD" w:rsidP="00923AB1">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Attività coperta da accordo di garanzia (margin agreement)</w:t>
            </w:r>
          </w:p>
          <w:p w:rsidR="00595FAD" w:rsidRPr="00661595" w:rsidRDefault="00595FAD" w:rsidP="00923AB1">
            <w:pPr>
              <w:keepNext/>
              <w:suppressAutoHyphens/>
              <w:spacing w:before="6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272, punto 7, del CRR</w:t>
            </w:r>
          </w:p>
          <w:p w:rsidR="00595FAD" w:rsidRPr="00661595" w:rsidDel="003E0C6A" w:rsidRDefault="00595FAD" w:rsidP="00923AB1">
            <w:pPr>
              <w:keepNext/>
              <w:suppressAutoHyphens/>
              <w:spacing w:before="60"/>
              <w:rPr>
                <w:rFonts w:ascii="Times New Roman" w:hAnsi="Times New Roman"/>
                <w:sz w:val="24"/>
              </w:rPr>
            </w:pPr>
            <w:r>
              <w:rPr>
                <w:rStyle w:val="InstructionsTabelleberschrift"/>
                <w:rFonts w:ascii="Times New Roman" w:hAnsi="Times New Roman"/>
                <w:b w:val="0"/>
                <w:sz w:val="24"/>
                <w:u w:val="none"/>
              </w:rPr>
              <w:t>Esposizioni soggette al CCR coperte da accordo di garanzia (margin agreement), ossia insiemi di attività soggette a compensazione coperte da un accordo di garanzia ai sensi dell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articolo 272, punto 7, del CRR.</w:t>
            </w:r>
          </w:p>
        </w:tc>
      </w:tr>
      <w:tr w:rsidR="00595FAD" w:rsidRPr="00661595" w:rsidTr="00FF15C6">
        <w:trPr>
          <w:trHeight w:val="829"/>
        </w:trPr>
        <w:tc>
          <w:tcPr>
            <w:tcW w:w="1384" w:type="dxa"/>
          </w:tcPr>
          <w:p w:rsidR="00595FAD" w:rsidRPr="00661595" w:rsidDel="003E0C6A" w:rsidRDefault="00595FAD" w:rsidP="00923AB1">
            <w:pPr>
              <w:pStyle w:val="Applicationdirecte"/>
              <w:suppressAutoHyphens/>
              <w:spacing w:before="60" w:after="0"/>
              <w:jc w:val="left"/>
            </w:pPr>
            <w:r>
              <w:t>0140</w:t>
            </w:r>
          </w:p>
        </w:tc>
        <w:tc>
          <w:tcPr>
            <w:tcW w:w="7655" w:type="dxa"/>
          </w:tcPr>
          <w:p w:rsidR="00595FAD" w:rsidRPr="00661595" w:rsidRDefault="00595FAD" w:rsidP="00923AB1">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Attività non coperta da accordo di garanzia (margin agreement)</w:t>
            </w:r>
          </w:p>
          <w:p w:rsidR="00595FAD" w:rsidRPr="00661595" w:rsidDel="003E0C6A" w:rsidRDefault="00595FAD" w:rsidP="00923AB1">
            <w:pPr>
              <w:suppressAutoHyphens/>
              <w:rPr>
                <w:rFonts w:ascii="Times New Roman" w:hAnsi="Times New Roman"/>
                <w:sz w:val="24"/>
              </w:rPr>
            </w:pPr>
            <w:r>
              <w:rPr>
                <w:rFonts w:ascii="Times New Roman" w:hAnsi="Times New Roman"/>
                <w:sz w:val="24"/>
              </w:rPr>
              <w:t>Esposizioni soggette al CCR non rientranti nella colonna 0130.</w:t>
            </w:r>
          </w:p>
        </w:tc>
      </w:tr>
    </w:tbl>
    <w:p w:rsidR="00595FAD" w:rsidRPr="00661595" w:rsidRDefault="00595FAD" w:rsidP="00595FAD">
      <w:pPr>
        <w:rPr>
          <w:rFonts w:ascii="Times New Roman" w:hAnsi="Times New Roman"/>
          <w:noProof/>
          <w:sz w:val="24"/>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54" w:name="_Toc19715809"/>
      <w:bookmarkStart w:id="455" w:name="_Toc58915802"/>
      <w:r>
        <w:rPr>
          <w:rFonts w:ascii="Times New Roman" w:hAnsi="Times New Roman"/>
          <w:sz w:val="24"/>
        </w:rPr>
        <w:t>C 34.03 - Esposizioni soggette al CCR trattate con metodi standardizzati: SA-CCR e SA-CCR semplificato</w:t>
      </w:r>
      <w:bookmarkEnd w:id="454"/>
      <w:bookmarkEnd w:id="455"/>
    </w:p>
    <w:p w:rsidR="00595FAD" w:rsidRPr="00661595" w:rsidRDefault="00595FAD" w:rsidP="002F29AF">
      <w:pPr>
        <w:pStyle w:val="Instructionsberschrift2"/>
        <w:numPr>
          <w:ilvl w:val="3"/>
          <w:numId w:val="48"/>
        </w:numPr>
        <w:rPr>
          <w:rFonts w:ascii="Times New Roman" w:hAnsi="Times New Roman" w:cs="Times New Roman"/>
          <w:sz w:val="24"/>
        </w:rPr>
      </w:pPr>
      <w:bookmarkStart w:id="456" w:name="_Toc19715810"/>
      <w:bookmarkStart w:id="457" w:name="_Toc58915803"/>
      <w:r>
        <w:rPr>
          <w:rFonts w:ascii="Times New Roman" w:hAnsi="Times New Roman"/>
          <w:sz w:val="24"/>
        </w:rPr>
        <w:t>Osservazioni di carattere generale</w:t>
      </w:r>
      <w:bookmarkEnd w:id="456"/>
      <w:bookmarkEnd w:id="457"/>
    </w:p>
    <w:p w:rsidR="00595FAD" w:rsidRPr="00661595" w:rsidRDefault="00A971CA" w:rsidP="00923AB1">
      <w:pPr>
        <w:pStyle w:val="InstructionsText2"/>
        <w:numPr>
          <w:ilvl w:val="0"/>
          <w:numId w:val="0"/>
        </w:numPr>
        <w:ind w:left="1680" w:hanging="480"/>
      </w:pPr>
      <w:r>
        <w:fldChar w:fldCharType="begin"/>
      </w:r>
      <w:r>
        <w:instrText xml:space="preserve"> seq paragraphs </w:instrText>
      </w:r>
      <w:r>
        <w:fldChar w:fldCharType="separate"/>
      </w:r>
      <w:r w:rsidR="00D11E4C">
        <w:rPr>
          <w:noProof/>
        </w:rPr>
        <w:t>125</w:t>
      </w:r>
      <w:r>
        <w:rPr>
          <w:noProof/>
        </w:rPr>
        <w:fldChar w:fldCharType="end"/>
      </w:r>
      <w:r w:rsidR="00923AB1">
        <w:t>.</w:t>
      </w:r>
      <w:r w:rsidR="00923AB1">
        <w:tab/>
      </w:r>
      <w:r w:rsidR="00D11E4C">
        <w:t>Il modello è utilizzato separatamente per segnalare le esposizioni soggette al CCR calcolate con il metodo SA-CCR o il metodo SA-CCR semplificato, a seconda dei casi.</w:t>
      </w:r>
    </w:p>
    <w:p w:rsidR="00595FAD" w:rsidRPr="00661595" w:rsidRDefault="00595FAD" w:rsidP="002F29AF">
      <w:pPr>
        <w:pStyle w:val="Instructionsberschrift2"/>
        <w:numPr>
          <w:ilvl w:val="3"/>
          <w:numId w:val="48"/>
        </w:numPr>
        <w:rPr>
          <w:rFonts w:ascii="Times New Roman" w:hAnsi="Times New Roman" w:cs="Times New Roman"/>
          <w:sz w:val="24"/>
        </w:rPr>
      </w:pPr>
      <w:bookmarkStart w:id="458" w:name="_Toc19715811"/>
      <w:bookmarkStart w:id="459" w:name="_Toc58915804"/>
      <w:r>
        <w:rPr>
          <w:rFonts w:ascii="Times New Roman" w:hAnsi="Times New Roman"/>
          <w:sz w:val="24"/>
        </w:rPr>
        <w:t>Istruzioni relative a posizioni specifiche</w:t>
      </w:r>
      <w:bookmarkEnd w:id="458"/>
      <w:bookmarkEnd w:id="45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751FBE">
        <w:trPr>
          <w:trHeight w:val="717"/>
        </w:trPr>
        <w:tc>
          <w:tcPr>
            <w:tcW w:w="9039" w:type="dxa"/>
            <w:gridSpan w:val="2"/>
            <w:shd w:val="clear" w:color="auto" w:fill="D9D9D9" w:themeFill="background1" w:themeFillShade="D9"/>
          </w:tcPr>
          <w:p w:rsidR="00595FAD" w:rsidRPr="00751FBE" w:rsidRDefault="00595FAD" w:rsidP="00923AB1">
            <w:pPr>
              <w:suppressAutoHyphens/>
              <w:autoSpaceDE w:val="0"/>
              <w:autoSpaceDN w:val="0"/>
              <w:adjustRightInd w:val="0"/>
              <w:rPr>
                <w:rFonts w:ascii="Times New Roman" w:hAnsi="Times New Roman"/>
                <w:b/>
                <w:sz w:val="24"/>
              </w:rPr>
            </w:pPr>
            <w:r>
              <w:rPr>
                <w:rFonts w:ascii="Times New Roman" w:hAnsi="Times New Roman"/>
                <w:b/>
                <w:sz w:val="24"/>
              </w:rPr>
              <w:t>Colonne</w:t>
            </w:r>
          </w:p>
        </w:tc>
      </w:tr>
      <w:tr w:rsidR="00595FAD" w:rsidRPr="00661595" w:rsidTr="00FF15C6">
        <w:trPr>
          <w:trHeight w:val="680"/>
        </w:trPr>
        <w:tc>
          <w:tcPr>
            <w:tcW w:w="1384" w:type="dxa"/>
          </w:tcPr>
          <w:p w:rsidR="00595FAD" w:rsidRPr="00661595" w:rsidRDefault="00595FAD" w:rsidP="00923AB1">
            <w:pPr>
              <w:pStyle w:val="Applicationdirecte"/>
              <w:suppressAutoHyphens/>
              <w:spacing w:before="0" w:after="0"/>
            </w:pPr>
            <w:r>
              <w:t>0010</w:t>
            </w:r>
          </w:p>
        </w:tc>
        <w:tc>
          <w:tcPr>
            <w:tcW w:w="7655" w:type="dxa"/>
            <w:vAlign w:val="center"/>
          </w:tcPr>
          <w:p w:rsidR="00595FAD" w:rsidRPr="00661595" w:rsidRDefault="00595FAD" w:rsidP="00923AB1">
            <w:pPr>
              <w:keepNext/>
              <w:suppressAutoHyphens/>
              <w:spacing w:before="60"/>
              <w:rPr>
                <w:rFonts w:ascii="Times New Roman" w:hAnsi="Times New Roman"/>
                <w:sz w:val="24"/>
              </w:rPr>
            </w:pPr>
            <w:r>
              <w:rPr>
                <w:rStyle w:val="InstructionsTabelleberschrift"/>
                <w:rFonts w:ascii="Times New Roman" w:hAnsi="Times New Roman"/>
                <w:sz w:val="24"/>
              </w:rPr>
              <w:t>VALUTA</w:t>
            </w:r>
          </w:p>
          <w:p w:rsidR="00595FAD" w:rsidRPr="00661595" w:rsidRDefault="00595FAD" w:rsidP="00923AB1">
            <w:pPr>
              <w:keepNext/>
              <w:suppressAutoHyphens/>
              <w:spacing w:before="60"/>
              <w:rPr>
                <w:rFonts w:ascii="Times New Roman" w:hAnsi="Times New Roman"/>
                <w:sz w:val="24"/>
              </w:rPr>
            </w:pPr>
            <w:r>
              <w:rPr>
                <w:rFonts w:ascii="Times New Roman" w:hAnsi="Times New Roman"/>
                <w:sz w:val="24"/>
              </w:rPr>
              <w:t>Per le operazioni associate alla categoria del rischio di tasso di interesse, è segnalata la valuta di denominazione dell</w:t>
            </w:r>
            <w:r w:rsidR="000878EC">
              <w:rPr>
                <w:rFonts w:ascii="Times New Roman" w:hAnsi="Times New Roman"/>
                <w:sz w:val="24"/>
              </w:rPr>
              <w:t>'</w:t>
            </w:r>
            <w:r>
              <w:rPr>
                <w:rFonts w:ascii="Times New Roman" w:hAnsi="Times New Roman"/>
                <w:sz w:val="24"/>
              </w:rPr>
              <w:t>operazione.</w:t>
            </w:r>
          </w:p>
          <w:p w:rsidR="00595FAD" w:rsidRPr="00661595" w:rsidRDefault="00595FAD" w:rsidP="00923AB1">
            <w:pPr>
              <w:keepNext/>
              <w:suppressAutoHyphens/>
              <w:spacing w:before="60"/>
              <w:rPr>
                <w:rFonts w:ascii="Times New Roman" w:hAnsi="Times New Roman"/>
                <w:sz w:val="24"/>
              </w:rPr>
            </w:pPr>
            <w:r>
              <w:rPr>
                <w:rFonts w:ascii="Times New Roman" w:hAnsi="Times New Roman"/>
                <w:sz w:val="24"/>
              </w:rPr>
              <w:t>Per le operazioni associate alla categoria del rischio di cambio, è segnalata la valuta di denominazione di una delle due componenti dell</w:t>
            </w:r>
            <w:r w:rsidR="000878EC">
              <w:rPr>
                <w:rFonts w:ascii="Times New Roman" w:hAnsi="Times New Roman"/>
                <w:sz w:val="24"/>
              </w:rPr>
              <w:t>'</w:t>
            </w:r>
            <w:r>
              <w:rPr>
                <w:rFonts w:ascii="Times New Roman" w:hAnsi="Times New Roman"/>
                <w:sz w:val="24"/>
              </w:rPr>
              <w:t xml:space="preserve">operazione. Gli enti inseriscono le valute nella coppia di valute in ordine alfabetico, ad esempio per dollaro USA/Euro, compilare questa colonna con EUR e la colonna 0020 con USD. </w:t>
            </w:r>
          </w:p>
          <w:p w:rsidR="00595FAD" w:rsidRPr="00661595" w:rsidRDefault="00595FAD" w:rsidP="00923AB1">
            <w:pPr>
              <w:keepNext/>
              <w:suppressAutoHyphens/>
              <w:spacing w:before="60"/>
              <w:rPr>
                <w:rFonts w:ascii="Times New Roman" w:hAnsi="Times New Roman"/>
                <w:i/>
                <w:sz w:val="24"/>
              </w:rPr>
            </w:pPr>
            <w:r>
              <w:rPr>
                <w:rFonts w:ascii="Times New Roman" w:hAnsi="Times New Roman"/>
                <w:sz w:val="24"/>
              </w:rPr>
              <w:t xml:space="preserve">Devono essere utilizzati i </w:t>
            </w:r>
            <w:hyperlink r:id="rId16" w:history="1">
              <w:r>
                <w:rPr>
                  <w:rFonts w:ascii="Times New Roman" w:hAnsi="Times New Roman"/>
                  <w:sz w:val="24"/>
                </w:rPr>
                <w:t>codici ISO</w:t>
              </w:r>
            </w:hyperlink>
            <w:r>
              <w:rPr>
                <w:rFonts w:ascii="Times New Roman" w:hAnsi="Times New Roman"/>
                <w:sz w:val="24"/>
              </w:rPr>
              <w:t xml:space="preserve"> della valuta</w:t>
            </w:r>
            <w:r>
              <w:t>.</w:t>
            </w:r>
          </w:p>
        </w:tc>
      </w:tr>
      <w:tr w:rsidR="00595FAD" w:rsidRPr="00661595" w:rsidTr="00FF15C6">
        <w:trPr>
          <w:trHeight w:val="680"/>
        </w:trPr>
        <w:tc>
          <w:tcPr>
            <w:tcW w:w="1384" w:type="dxa"/>
          </w:tcPr>
          <w:p w:rsidR="00595FAD" w:rsidRPr="00661595" w:rsidRDefault="00595FAD" w:rsidP="00923AB1">
            <w:pPr>
              <w:pStyle w:val="Applicationdirecte"/>
              <w:suppressAutoHyphens/>
              <w:spacing w:before="0" w:after="0"/>
            </w:pPr>
            <w:r>
              <w:t>0020</w:t>
            </w:r>
          </w:p>
        </w:tc>
        <w:tc>
          <w:tcPr>
            <w:tcW w:w="7655" w:type="dxa"/>
            <w:vAlign w:val="center"/>
          </w:tcPr>
          <w:p w:rsidR="00595FAD" w:rsidRPr="00661595" w:rsidRDefault="00595FAD" w:rsidP="00923AB1">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SECONDA VALUTA NELLA COPPIA</w:t>
            </w:r>
          </w:p>
          <w:p w:rsidR="00595FAD" w:rsidRPr="00661595" w:rsidRDefault="00595FAD" w:rsidP="00923AB1">
            <w:pPr>
              <w:keepNext/>
              <w:suppressAutoHyphens/>
              <w:spacing w:before="60"/>
              <w:rPr>
                <w:rFonts w:ascii="Times New Roman" w:hAnsi="Times New Roman"/>
                <w:sz w:val="24"/>
              </w:rPr>
            </w:pPr>
            <w:r>
              <w:rPr>
                <w:rFonts w:ascii="Times New Roman" w:hAnsi="Times New Roman"/>
                <w:sz w:val="24"/>
              </w:rPr>
              <w:t>Per le operazioni associate alla categoria del rischio di cambio, è segnalata la valuta di denominazione dell</w:t>
            </w:r>
            <w:r w:rsidR="000878EC">
              <w:rPr>
                <w:rFonts w:ascii="Times New Roman" w:hAnsi="Times New Roman"/>
                <w:sz w:val="24"/>
              </w:rPr>
              <w:t>'</w:t>
            </w:r>
            <w:r>
              <w:rPr>
                <w:rFonts w:ascii="Times New Roman" w:hAnsi="Times New Roman"/>
                <w:sz w:val="24"/>
              </w:rPr>
              <w:t>altra componente dell</w:t>
            </w:r>
            <w:r w:rsidR="000878EC">
              <w:rPr>
                <w:rFonts w:ascii="Times New Roman" w:hAnsi="Times New Roman"/>
                <w:sz w:val="24"/>
              </w:rPr>
              <w:t>'</w:t>
            </w:r>
            <w:r>
              <w:rPr>
                <w:rFonts w:ascii="Times New Roman" w:hAnsi="Times New Roman"/>
                <w:sz w:val="24"/>
              </w:rPr>
              <w:t>operazione (rispetto a quella considerata nella colonna 0010). Gli enti inseriscono le valute nella coppia di valute in ordine alfabetico, ad esempio per dollaro USA/Euro, compilare questa colonna con USD e la colonna 0010 con EUR.</w:t>
            </w:r>
          </w:p>
          <w:p w:rsidR="00595FAD" w:rsidRPr="00661595" w:rsidRDefault="00595FAD" w:rsidP="00923AB1">
            <w:pPr>
              <w:keepNext/>
              <w:suppressAutoHyphens/>
              <w:spacing w:before="60"/>
              <w:rPr>
                <w:rFonts w:ascii="Times New Roman" w:hAnsi="Times New Roman"/>
                <w:i/>
                <w:sz w:val="24"/>
              </w:rPr>
            </w:pPr>
            <w:r>
              <w:rPr>
                <w:rFonts w:ascii="Times New Roman" w:hAnsi="Times New Roman"/>
                <w:sz w:val="24"/>
              </w:rPr>
              <w:t xml:space="preserve">Devono essere utilizzati i </w:t>
            </w:r>
            <w:hyperlink r:id="rId17" w:history="1">
              <w:r>
                <w:rPr>
                  <w:rFonts w:ascii="Times New Roman" w:hAnsi="Times New Roman"/>
                  <w:sz w:val="24"/>
                </w:rPr>
                <w:t>codici ISO</w:t>
              </w:r>
            </w:hyperlink>
            <w:r>
              <w:rPr>
                <w:rFonts w:ascii="Times New Roman" w:hAnsi="Times New Roman"/>
                <w:sz w:val="24"/>
              </w:rPr>
              <w:t xml:space="preserve"> della valuta</w:t>
            </w:r>
            <w:r>
              <w:t>.</w:t>
            </w:r>
          </w:p>
        </w:tc>
      </w:tr>
      <w:tr w:rsidR="00595FAD" w:rsidRPr="00661595" w:rsidTr="00FF15C6">
        <w:trPr>
          <w:trHeight w:val="680"/>
        </w:trPr>
        <w:tc>
          <w:tcPr>
            <w:tcW w:w="1384" w:type="dxa"/>
          </w:tcPr>
          <w:p w:rsidR="00595FAD" w:rsidRPr="00661595" w:rsidRDefault="00595FAD" w:rsidP="00923AB1">
            <w:pPr>
              <w:pStyle w:val="Applicationdirecte"/>
              <w:suppressAutoHyphens/>
              <w:spacing w:before="0" w:after="0"/>
            </w:pPr>
            <w:r>
              <w:t>0030</w:t>
            </w:r>
          </w:p>
        </w:tc>
        <w:tc>
          <w:tcPr>
            <w:tcW w:w="7655" w:type="dxa"/>
            <w:vAlign w:val="center"/>
          </w:tcPr>
          <w:p w:rsidR="00595FAD" w:rsidRPr="00661595" w:rsidRDefault="00595FAD" w:rsidP="00923AB1">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NUMERO DI OPERAZIONI</w:t>
            </w:r>
          </w:p>
          <w:p w:rsidR="00595FAD" w:rsidRPr="00661595" w:rsidRDefault="00595FAD" w:rsidP="00923AB1">
            <w:pPr>
              <w:keepNext/>
              <w:suppressAutoHyphens/>
              <w:spacing w:before="60"/>
              <w:rPr>
                <w:rFonts w:ascii="Times New Roman" w:hAnsi="Times New Roman"/>
                <w:i/>
                <w:sz w:val="24"/>
              </w:rPr>
            </w:pPr>
            <w:r>
              <w:rPr>
                <w:rFonts w:ascii="Times New Roman" w:hAnsi="Times New Roman"/>
                <w:sz w:val="24"/>
              </w:rPr>
              <w:t>Cfr. istruzioni relative alla colonna 0020 del modello C 34.02.</w:t>
            </w:r>
          </w:p>
        </w:tc>
      </w:tr>
      <w:tr w:rsidR="00595FAD" w:rsidRPr="00661595" w:rsidTr="00FF15C6">
        <w:trPr>
          <w:trHeight w:val="680"/>
        </w:trPr>
        <w:tc>
          <w:tcPr>
            <w:tcW w:w="1384" w:type="dxa"/>
          </w:tcPr>
          <w:p w:rsidR="00595FAD" w:rsidRPr="00661595" w:rsidRDefault="00595FAD" w:rsidP="00923AB1">
            <w:pPr>
              <w:pStyle w:val="Applicationdirecte"/>
              <w:suppressAutoHyphens/>
              <w:spacing w:before="0" w:after="0"/>
            </w:pPr>
            <w:r>
              <w:t>0040</w:t>
            </w:r>
          </w:p>
        </w:tc>
        <w:tc>
          <w:tcPr>
            <w:tcW w:w="7655" w:type="dxa"/>
            <w:vAlign w:val="center"/>
          </w:tcPr>
          <w:p w:rsidR="00595FAD" w:rsidRPr="00661595" w:rsidRDefault="00595FAD" w:rsidP="00923AB1">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IMPORTI NOZIONALI</w:t>
            </w:r>
          </w:p>
          <w:p w:rsidR="00595FAD" w:rsidRPr="00661595" w:rsidRDefault="00595FAD" w:rsidP="00923AB1">
            <w:pPr>
              <w:keepNext/>
              <w:suppressAutoHyphens/>
              <w:spacing w:before="60"/>
              <w:rPr>
                <w:rFonts w:ascii="Times New Roman" w:hAnsi="Times New Roman"/>
                <w:sz w:val="24"/>
              </w:rPr>
            </w:pPr>
            <w:r>
              <w:rPr>
                <w:rFonts w:ascii="Times New Roman" w:hAnsi="Times New Roman"/>
                <w:sz w:val="24"/>
              </w:rPr>
              <w:t>Cfr. istruzioni relative alla colonna 0030 del modello C 34.02.</w:t>
            </w:r>
          </w:p>
        </w:tc>
      </w:tr>
      <w:tr w:rsidR="00595FAD" w:rsidRPr="00661595" w:rsidTr="00FF15C6">
        <w:trPr>
          <w:trHeight w:val="680"/>
        </w:trPr>
        <w:tc>
          <w:tcPr>
            <w:tcW w:w="1384" w:type="dxa"/>
          </w:tcPr>
          <w:p w:rsidR="00595FAD" w:rsidRPr="00661595" w:rsidRDefault="00595FAD" w:rsidP="00923AB1">
            <w:pPr>
              <w:pStyle w:val="Applicationdirecte"/>
              <w:suppressAutoHyphens/>
              <w:spacing w:before="0" w:after="0"/>
            </w:pPr>
            <w:r>
              <w:t>0050</w:t>
            </w:r>
          </w:p>
        </w:tc>
        <w:tc>
          <w:tcPr>
            <w:tcW w:w="7655" w:type="dxa"/>
            <w:vAlign w:val="center"/>
          </w:tcPr>
          <w:p w:rsidR="00595FAD" w:rsidRPr="00661595" w:rsidRDefault="00595FAD" w:rsidP="00923AB1">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VALORE DI MERCATO CORRENTE (CMV), POSITIVO</w:t>
            </w:r>
          </w:p>
          <w:p w:rsidR="00595FAD" w:rsidRPr="00661595" w:rsidRDefault="00595FAD" w:rsidP="00923AB1">
            <w:pPr>
              <w:keepNext/>
              <w:suppressAutoHyphens/>
              <w:spacing w:before="60"/>
              <w:rPr>
                <w:rFonts w:ascii="Times New Roman" w:hAnsi="Times New Roman"/>
                <w:sz w:val="24"/>
              </w:rPr>
            </w:pPr>
            <w:r>
              <w:rPr>
                <w:rFonts w:ascii="Times New Roman" w:hAnsi="Times New Roman"/>
                <w:sz w:val="24"/>
              </w:rPr>
              <w:t>Somma dei valori di mercato correnti (CMV) di tutti gli insiemi di attività coperte con CMV positivo nella rispettiva categoria di rischio.</w:t>
            </w:r>
          </w:p>
          <w:p w:rsidR="00595FAD" w:rsidRPr="00661595" w:rsidRDefault="00595FAD" w:rsidP="00923AB1">
            <w:pPr>
              <w:keepNext/>
              <w:suppressAutoHyphens/>
              <w:spacing w:before="60"/>
              <w:rPr>
                <w:rFonts w:ascii="Times New Roman" w:hAnsi="Times New Roman"/>
                <w:sz w:val="24"/>
              </w:rPr>
            </w:pPr>
            <w:r>
              <w:rPr>
                <w:rFonts w:ascii="Times New Roman" w:hAnsi="Times New Roman"/>
                <w:sz w:val="24"/>
              </w:rPr>
              <w:t>Il CMV a livello dell</w:t>
            </w:r>
            <w:r w:rsidR="000878EC">
              <w:rPr>
                <w:rFonts w:ascii="Times New Roman" w:hAnsi="Times New Roman"/>
                <w:sz w:val="24"/>
              </w:rPr>
              <w:t>'</w:t>
            </w:r>
            <w:r>
              <w:rPr>
                <w:rFonts w:ascii="Times New Roman" w:hAnsi="Times New Roman"/>
                <w:sz w:val="24"/>
              </w:rPr>
              <w:t>insieme di attività coperte è determinato compensando i valori di mercato positivi e negativi delle operazioni all</w:t>
            </w:r>
            <w:r w:rsidR="000878EC">
              <w:rPr>
                <w:rFonts w:ascii="Times New Roman" w:hAnsi="Times New Roman"/>
                <w:sz w:val="24"/>
              </w:rPr>
              <w:t>'</w:t>
            </w:r>
            <w:r>
              <w:rPr>
                <w:rFonts w:ascii="Times New Roman" w:hAnsi="Times New Roman"/>
                <w:sz w:val="24"/>
              </w:rPr>
              <w:t>interno di un insieme di attività coperto al lordo delle garanzie reali detenute o fornite.</w:t>
            </w:r>
          </w:p>
        </w:tc>
      </w:tr>
      <w:tr w:rsidR="00595FAD" w:rsidRPr="00661595" w:rsidTr="00FF15C6">
        <w:trPr>
          <w:trHeight w:val="680"/>
        </w:trPr>
        <w:tc>
          <w:tcPr>
            <w:tcW w:w="1384" w:type="dxa"/>
          </w:tcPr>
          <w:p w:rsidR="00595FAD" w:rsidRPr="00661595" w:rsidRDefault="00595FAD" w:rsidP="00923AB1">
            <w:pPr>
              <w:pStyle w:val="Applicationdirecte"/>
              <w:suppressAutoHyphens/>
              <w:spacing w:before="0" w:after="0"/>
            </w:pPr>
            <w:r>
              <w:t>0060</w:t>
            </w:r>
          </w:p>
        </w:tc>
        <w:tc>
          <w:tcPr>
            <w:tcW w:w="7655" w:type="dxa"/>
            <w:vAlign w:val="center"/>
          </w:tcPr>
          <w:p w:rsidR="00595FAD" w:rsidRPr="00661595" w:rsidRDefault="00595FAD" w:rsidP="00923AB1">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VALORE DI MERCATO CORRENTE (CMV), NEGATIVO</w:t>
            </w:r>
          </w:p>
          <w:p w:rsidR="00595FAD" w:rsidRPr="00661595" w:rsidRDefault="00595FAD" w:rsidP="00923AB1">
            <w:pPr>
              <w:keepNext/>
              <w:suppressAutoHyphens/>
              <w:spacing w:before="60"/>
              <w:rPr>
                <w:rFonts w:ascii="Times New Roman" w:hAnsi="Times New Roman"/>
                <w:sz w:val="24"/>
              </w:rPr>
            </w:pPr>
            <w:r>
              <w:rPr>
                <w:rFonts w:ascii="Times New Roman" w:hAnsi="Times New Roman"/>
                <w:sz w:val="24"/>
              </w:rPr>
              <w:t>Somma dei valori di mercato correnti (CMV) assoluti di tutti gli insiemi di attività coperte con CMV negativo nella rispettiva categoria di rischio.</w:t>
            </w:r>
          </w:p>
          <w:p w:rsidR="00595FAD" w:rsidRPr="00661595" w:rsidRDefault="00595FAD" w:rsidP="00923AB1">
            <w:pPr>
              <w:keepNext/>
              <w:suppressAutoHyphens/>
              <w:spacing w:before="60"/>
              <w:rPr>
                <w:rStyle w:val="InstructionsTabelleberschrift"/>
                <w:rFonts w:ascii="Times New Roman" w:hAnsi="Times New Roman"/>
                <w:sz w:val="24"/>
              </w:rPr>
            </w:pPr>
            <w:r>
              <w:rPr>
                <w:rFonts w:ascii="Times New Roman" w:hAnsi="Times New Roman"/>
                <w:sz w:val="24"/>
              </w:rPr>
              <w:t>Il CMV a livello dell</w:t>
            </w:r>
            <w:r w:rsidR="000878EC">
              <w:rPr>
                <w:rFonts w:ascii="Times New Roman" w:hAnsi="Times New Roman"/>
                <w:sz w:val="24"/>
              </w:rPr>
              <w:t>'</w:t>
            </w:r>
            <w:r>
              <w:rPr>
                <w:rFonts w:ascii="Times New Roman" w:hAnsi="Times New Roman"/>
                <w:sz w:val="24"/>
              </w:rPr>
              <w:t>insieme di attività coperte è determinato compensando i valori di mercato positivi e negativi delle operazioni all</w:t>
            </w:r>
            <w:r w:rsidR="000878EC">
              <w:rPr>
                <w:rFonts w:ascii="Times New Roman" w:hAnsi="Times New Roman"/>
                <w:sz w:val="24"/>
              </w:rPr>
              <w:t>'</w:t>
            </w:r>
            <w:r>
              <w:rPr>
                <w:rFonts w:ascii="Times New Roman" w:hAnsi="Times New Roman"/>
                <w:sz w:val="24"/>
              </w:rPr>
              <w:t>interno di un insieme di attività coperto al lordo delle garanzie reali detenute o fornite.</w:t>
            </w:r>
          </w:p>
        </w:tc>
      </w:tr>
      <w:tr w:rsidR="00595FAD" w:rsidRPr="00661595" w:rsidTr="00FF15C6">
        <w:trPr>
          <w:trHeight w:val="680"/>
        </w:trPr>
        <w:tc>
          <w:tcPr>
            <w:tcW w:w="1384" w:type="dxa"/>
          </w:tcPr>
          <w:p w:rsidR="00595FAD" w:rsidRPr="00661595" w:rsidRDefault="00595FAD" w:rsidP="00923AB1">
            <w:pPr>
              <w:pStyle w:val="Applicationdirecte"/>
              <w:suppressAutoHyphens/>
              <w:spacing w:before="0" w:after="0"/>
            </w:pPr>
            <w:r>
              <w:t>0070</w:t>
            </w:r>
          </w:p>
        </w:tc>
        <w:tc>
          <w:tcPr>
            <w:tcW w:w="7655" w:type="dxa"/>
            <w:vAlign w:val="center"/>
          </w:tcPr>
          <w:p w:rsidR="00595FAD" w:rsidRPr="00661595" w:rsidRDefault="00595FAD" w:rsidP="00923AB1">
            <w:pPr>
              <w:keepNext/>
              <w:suppressAutoHyphens/>
              <w:spacing w:before="60"/>
              <w:rPr>
                <w:rFonts w:ascii="Times New Roman" w:hAnsi="Times New Roman"/>
                <w:sz w:val="24"/>
              </w:rPr>
            </w:pPr>
            <w:r>
              <w:rPr>
                <w:rStyle w:val="InstructionsTabelleberschrift"/>
                <w:rFonts w:ascii="Times New Roman" w:hAnsi="Times New Roman"/>
                <w:sz w:val="24"/>
              </w:rPr>
              <w:t>MAGGIORAZIONE</w:t>
            </w:r>
            <w:r>
              <w:rPr>
                <w:rFonts w:ascii="Times New Roman" w:hAnsi="Times New Roman"/>
                <w:sz w:val="24"/>
              </w:rPr>
              <w:t xml:space="preserve"> </w:t>
            </w:r>
          </w:p>
          <w:p w:rsidR="00595FAD" w:rsidRPr="00661595" w:rsidRDefault="00923AB1" w:rsidP="00923AB1">
            <w:pPr>
              <w:keepNext/>
              <w:suppressAutoHyphens/>
              <w:spacing w:before="60"/>
              <w:rPr>
                <w:rFonts w:ascii="Times New Roman" w:hAnsi="Times New Roman"/>
                <w:sz w:val="24"/>
              </w:rPr>
            </w:pPr>
            <w:r>
              <w:rPr>
                <w:rFonts w:ascii="Times New Roman" w:hAnsi="Times New Roman"/>
                <w:sz w:val="24"/>
              </w:rPr>
              <w:t xml:space="preserve">Articoli </w:t>
            </w:r>
            <w:r w:rsidR="00595FAD">
              <w:rPr>
                <w:rFonts w:ascii="Times New Roman" w:hAnsi="Times New Roman"/>
                <w:sz w:val="24"/>
              </w:rPr>
              <w:t>da 280 bis a 280 septies e articolo 281, paragrafo 2, del CRR</w:t>
            </w:r>
          </w:p>
          <w:p w:rsidR="00595FAD" w:rsidRPr="00661595" w:rsidRDefault="00595FAD" w:rsidP="00923AB1">
            <w:pPr>
              <w:keepNext/>
              <w:suppressAutoHyphens/>
              <w:spacing w:before="60"/>
              <w:rPr>
                <w:rFonts w:ascii="Times New Roman" w:hAnsi="Times New Roman"/>
                <w:sz w:val="24"/>
              </w:rPr>
            </w:pPr>
            <w:r>
              <w:rPr>
                <w:rFonts w:ascii="Times New Roman" w:hAnsi="Times New Roman"/>
                <w:sz w:val="24"/>
              </w:rPr>
              <w:t>L</w:t>
            </w:r>
            <w:r w:rsidR="000878EC">
              <w:rPr>
                <w:rFonts w:ascii="Times New Roman" w:hAnsi="Times New Roman"/>
                <w:sz w:val="24"/>
              </w:rPr>
              <w:t>'</w:t>
            </w:r>
            <w:r>
              <w:rPr>
                <w:rFonts w:ascii="Times New Roman" w:hAnsi="Times New Roman"/>
                <w:sz w:val="24"/>
              </w:rPr>
              <w:t xml:space="preserve">ente segnala la somma di tutte le maggiorazioni nel rispettivo insieme di attività coperte/categoria di rischio. </w:t>
            </w:r>
          </w:p>
          <w:p w:rsidR="00595FAD" w:rsidRPr="00661595" w:rsidRDefault="00595FAD" w:rsidP="00923AB1">
            <w:pPr>
              <w:keepNext/>
              <w:suppressAutoHyphens/>
              <w:spacing w:before="60"/>
              <w:rPr>
                <w:rFonts w:ascii="Times New Roman" w:hAnsi="Times New Roman"/>
                <w:sz w:val="24"/>
              </w:rPr>
            </w:pPr>
            <w:r>
              <w:rPr>
                <w:rFonts w:ascii="Times New Roman" w:hAnsi="Times New Roman"/>
                <w:sz w:val="24"/>
              </w:rPr>
              <w:t>La maggiorazione per categoria di rischio utilizzata per determinare l</w:t>
            </w:r>
            <w:r w:rsidR="000878EC">
              <w:rPr>
                <w:rFonts w:ascii="Times New Roman" w:hAnsi="Times New Roman"/>
                <w:sz w:val="24"/>
              </w:rPr>
              <w:t>'</w:t>
            </w:r>
            <w:r>
              <w:rPr>
                <w:rFonts w:ascii="Times New Roman" w:hAnsi="Times New Roman"/>
                <w:sz w:val="24"/>
              </w:rPr>
              <w:t>esposizione potenziale futura di un insieme di attività soggette a compensazione conformemente all</w:t>
            </w:r>
            <w:r w:rsidR="000878EC">
              <w:rPr>
                <w:rFonts w:ascii="Times New Roman" w:hAnsi="Times New Roman"/>
                <w:sz w:val="24"/>
              </w:rPr>
              <w:t>'</w:t>
            </w:r>
            <w:r>
              <w:rPr>
                <w:rFonts w:ascii="Times New Roman" w:hAnsi="Times New Roman"/>
                <w:sz w:val="24"/>
              </w:rPr>
              <w:t>articolo 278, paragrafo 1, o all</w:t>
            </w:r>
            <w:r w:rsidR="000878EC">
              <w:rPr>
                <w:rFonts w:ascii="Times New Roman" w:hAnsi="Times New Roman"/>
                <w:sz w:val="24"/>
              </w:rPr>
              <w:t>'</w:t>
            </w:r>
            <w:r>
              <w:rPr>
                <w:rFonts w:ascii="Times New Roman" w:hAnsi="Times New Roman"/>
                <w:sz w:val="24"/>
              </w:rPr>
              <w:t>articolo 281, paragrafo 2, lettera f), del CRR è calcolata conformemente agli articoli da 280 bis a 280 septies del CRR. Per il metodo SA-CCR semplificato si applicano le disposizioni dell</w:t>
            </w:r>
            <w:r w:rsidR="000878EC">
              <w:rPr>
                <w:rFonts w:ascii="Times New Roman" w:hAnsi="Times New Roman"/>
                <w:sz w:val="24"/>
              </w:rPr>
              <w:t>'</w:t>
            </w:r>
            <w:r>
              <w:rPr>
                <w:rFonts w:ascii="Times New Roman" w:hAnsi="Times New Roman"/>
                <w:sz w:val="24"/>
              </w:rPr>
              <w:t>articolo 281, paragrafo 2, del CRR.</w:t>
            </w:r>
          </w:p>
        </w:tc>
      </w:tr>
      <w:tr w:rsidR="00595FAD" w:rsidRPr="00661595" w:rsidTr="00FF15C6">
        <w:trPr>
          <w:trHeight w:val="680"/>
        </w:trPr>
        <w:tc>
          <w:tcPr>
            <w:tcW w:w="9039" w:type="dxa"/>
            <w:gridSpan w:val="2"/>
            <w:tcBorders>
              <w:left w:val="nil"/>
              <w:right w:val="nil"/>
            </w:tcBorders>
          </w:tcPr>
          <w:p w:rsidR="00595FAD" w:rsidRPr="00661595" w:rsidDel="00DF07F8" w:rsidRDefault="00595FAD" w:rsidP="00923AB1">
            <w:pPr>
              <w:keepNext/>
              <w:suppressAutoHyphens/>
              <w:spacing w:before="60"/>
              <w:rPr>
                <w:rFonts w:ascii="Times New Roman" w:hAnsi="Times New Roman"/>
                <w:i/>
                <w:szCs w:val="22"/>
                <w:lang w:eastAsia="en-CA"/>
              </w:rPr>
            </w:pPr>
          </w:p>
        </w:tc>
      </w:tr>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923AB1">
            <w:pPr>
              <w:pStyle w:val="Applicationdirecte"/>
              <w:suppressAutoHyphens/>
              <w:spacing w:before="0"/>
              <w:jc w:val="left"/>
              <w:rPr>
                <w:b/>
              </w:rPr>
            </w:pPr>
            <w:r>
              <w:rPr>
                <w:b/>
              </w:rPr>
              <w:t xml:space="preserve">Righe </w:t>
            </w:r>
          </w:p>
        </w:tc>
      </w:tr>
      <w:tr w:rsidR="00595FAD" w:rsidRPr="00661595" w:rsidTr="00FF15C6">
        <w:trPr>
          <w:trHeight w:val="680"/>
        </w:trPr>
        <w:tc>
          <w:tcPr>
            <w:tcW w:w="1384" w:type="dxa"/>
          </w:tcPr>
          <w:p w:rsidR="00595FAD" w:rsidRPr="00661595" w:rsidRDefault="00595FAD" w:rsidP="00923AB1">
            <w:pPr>
              <w:pStyle w:val="Applicationdirecte"/>
              <w:suppressAutoHyphens/>
              <w:spacing w:before="0" w:after="0"/>
            </w:pPr>
            <w:r>
              <w:t>0050, 0120, 0190, 0230, 0270, 0340</w:t>
            </w:r>
          </w:p>
        </w:tc>
        <w:tc>
          <w:tcPr>
            <w:tcW w:w="7655" w:type="dxa"/>
          </w:tcPr>
          <w:p w:rsidR="00595FAD" w:rsidRPr="00661595" w:rsidRDefault="00595FAD" w:rsidP="00923AB1">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CATEGORIE DI RISCHIO</w:t>
            </w:r>
          </w:p>
          <w:p w:rsidR="00595FAD" w:rsidRPr="00661595" w:rsidRDefault="00595FAD" w:rsidP="00923AB1">
            <w:pPr>
              <w:keepNext/>
              <w:suppressAutoHyphens/>
              <w:spacing w:before="60"/>
              <w:rPr>
                <w:rFonts w:ascii="Times New Roman" w:hAnsi="Times New Roman"/>
                <w:sz w:val="24"/>
              </w:rPr>
            </w:pPr>
            <w:r>
              <w:rPr>
                <w:rFonts w:ascii="Times New Roman" w:hAnsi="Times New Roman"/>
                <w:sz w:val="24"/>
              </w:rPr>
              <w:t>Articoli 277 e 277 bis del CRR</w:t>
            </w:r>
          </w:p>
          <w:p w:rsidR="00595FAD" w:rsidRPr="00661595" w:rsidRDefault="00595FAD" w:rsidP="00923AB1">
            <w:pPr>
              <w:pStyle w:val="TableMainHeading"/>
              <w:suppressAutoHyphens/>
              <w:spacing w:before="60"/>
              <w:jc w:val="both"/>
              <w:rPr>
                <w:rFonts w:ascii="Times New Roman" w:hAnsi="Times New Roman"/>
                <w:sz w:val="24"/>
                <w:szCs w:val="24"/>
              </w:rPr>
            </w:pPr>
            <w:r>
              <w:rPr>
                <w:rFonts w:ascii="Times New Roman" w:hAnsi="Times New Roman"/>
                <w:sz w:val="24"/>
                <w:szCs w:val="24"/>
              </w:rPr>
              <w:t>Le operazioni sono classificate in base alla categoria di rischio cui appartengono conformemente all</w:t>
            </w:r>
            <w:r w:rsidR="000878EC">
              <w:rPr>
                <w:rFonts w:ascii="Times New Roman" w:hAnsi="Times New Roman"/>
                <w:sz w:val="24"/>
                <w:szCs w:val="24"/>
              </w:rPr>
              <w:t>'</w:t>
            </w:r>
            <w:r>
              <w:rPr>
                <w:rFonts w:ascii="Times New Roman" w:hAnsi="Times New Roman"/>
                <w:sz w:val="24"/>
                <w:szCs w:val="24"/>
              </w:rPr>
              <w:t>articolo 277, paragrafi da 1 a 4, del CRR.</w:t>
            </w:r>
          </w:p>
          <w:p w:rsidR="00595FAD" w:rsidRPr="00661595" w:rsidRDefault="00595FAD" w:rsidP="00923AB1">
            <w:pPr>
              <w:pStyle w:val="TableMainHeading"/>
              <w:suppressAutoHyphens/>
              <w:spacing w:before="60"/>
              <w:jc w:val="both"/>
              <w:rPr>
                <w:rFonts w:ascii="Times New Roman" w:hAnsi="Times New Roman"/>
                <w:sz w:val="24"/>
              </w:rPr>
            </w:pPr>
            <w:r>
              <w:rPr>
                <w:rFonts w:ascii="Times New Roman" w:hAnsi="Times New Roman"/>
                <w:sz w:val="24"/>
              </w:rPr>
              <w:t>L</w:t>
            </w:r>
            <w:r w:rsidR="000878EC">
              <w:rPr>
                <w:rFonts w:ascii="Times New Roman" w:hAnsi="Times New Roman"/>
                <w:sz w:val="24"/>
              </w:rPr>
              <w:t>'</w:t>
            </w:r>
            <w:r>
              <w:rPr>
                <w:rFonts w:ascii="Times New Roman" w:hAnsi="Times New Roman"/>
                <w:sz w:val="24"/>
              </w:rPr>
              <w:t>assegnazione agli insiemi di attività coperte in base alla categoria di rischio è effettuata conformemente all</w:t>
            </w:r>
            <w:r w:rsidR="000878EC">
              <w:rPr>
                <w:rFonts w:ascii="Times New Roman" w:hAnsi="Times New Roman"/>
                <w:sz w:val="24"/>
              </w:rPr>
              <w:t>'</w:t>
            </w:r>
            <w:r>
              <w:rPr>
                <w:rFonts w:ascii="Times New Roman" w:hAnsi="Times New Roman"/>
                <w:sz w:val="24"/>
              </w:rPr>
              <w:t>articolo 277 bis del CRR.</w:t>
            </w:r>
          </w:p>
          <w:p w:rsidR="00595FAD" w:rsidRPr="00661595" w:rsidRDefault="00595FAD" w:rsidP="00923AB1">
            <w:pPr>
              <w:pStyle w:val="TableMainHeading"/>
              <w:suppressAutoHyphens/>
              <w:spacing w:before="60"/>
              <w:jc w:val="both"/>
              <w:rPr>
                <w:rFonts w:ascii="Times New Roman" w:hAnsi="Times New Roman"/>
                <w:sz w:val="24"/>
              </w:rPr>
            </w:pPr>
            <w:r>
              <w:rPr>
                <w:rFonts w:ascii="Times New Roman" w:hAnsi="Times New Roman"/>
                <w:sz w:val="24"/>
                <w:szCs w:val="24"/>
              </w:rPr>
              <w:t>Per il metodo SA-CCR semplificato si applican</w:t>
            </w:r>
            <w:r w:rsidR="00923AB1">
              <w:rPr>
                <w:rFonts w:ascii="Times New Roman" w:hAnsi="Times New Roman"/>
                <w:sz w:val="24"/>
                <w:szCs w:val="24"/>
              </w:rPr>
              <w:t>o le disposizioni dell</w:t>
            </w:r>
            <w:r w:rsidR="000878EC">
              <w:rPr>
                <w:rFonts w:ascii="Times New Roman" w:hAnsi="Times New Roman"/>
                <w:sz w:val="24"/>
                <w:szCs w:val="24"/>
              </w:rPr>
              <w:t>'</w:t>
            </w:r>
            <w:r w:rsidR="00923AB1">
              <w:rPr>
                <w:rFonts w:ascii="Times New Roman" w:hAnsi="Times New Roman"/>
                <w:sz w:val="24"/>
                <w:szCs w:val="24"/>
              </w:rPr>
              <w:t>articolo </w:t>
            </w:r>
            <w:r>
              <w:rPr>
                <w:rFonts w:ascii="Times New Roman" w:hAnsi="Times New Roman"/>
                <w:sz w:val="24"/>
                <w:szCs w:val="24"/>
              </w:rPr>
              <w:t>281, paragrafo 2, del CRR.</w:t>
            </w:r>
          </w:p>
        </w:tc>
      </w:tr>
      <w:tr w:rsidR="00595FAD" w:rsidRPr="00661595" w:rsidTr="00FF15C6">
        <w:trPr>
          <w:trHeight w:val="680"/>
        </w:trPr>
        <w:tc>
          <w:tcPr>
            <w:tcW w:w="1384" w:type="dxa"/>
          </w:tcPr>
          <w:p w:rsidR="00595FAD" w:rsidRPr="00661595" w:rsidRDefault="00595FAD" w:rsidP="00923AB1">
            <w:pPr>
              <w:pStyle w:val="Applicationdirecte"/>
              <w:suppressAutoHyphens/>
              <w:spacing w:before="0" w:after="0"/>
            </w:pPr>
            <w:r>
              <w:t>0020-0040</w:t>
            </w:r>
          </w:p>
        </w:tc>
        <w:tc>
          <w:tcPr>
            <w:tcW w:w="7655" w:type="dxa"/>
          </w:tcPr>
          <w:p w:rsidR="00595FAD" w:rsidRPr="00661595" w:rsidRDefault="00595FAD" w:rsidP="00923AB1">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Di cui associate a più di una categoria di rischio</w:t>
            </w:r>
          </w:p>
          <w:p w:rsidR="00595FAD" w:rsidRPr="00661595" w:rsidRDefault="00595FAD" w:rsidP="00923AB1">
            <w:pPr>
              <w:keepNext/>
              <w:suppressAutoHyphens/>
              <w:spacing w:before="60"/>
              <w:rPr>
                <w:rFonts w:ascii="Times New Roman" w:hAnsi="Times New Roman"/>
                <w:sz w:val="24"/>
              </w:rPr>
            </w:pPr>
            <w:r>
              <w:rPr>
                <w:rFonts w:ascii="Times New Roman" w:hAnsi="Times New Roman"/>
                <w:sz w:val="24"/>
              </w:rPr>
              <w:t>Articolo 277, paragrafo 3, del CRR</w:t>
            </w:r>
          </w:p>
          <w:p w:rsidR="00595FAD" w:rsidRPr="00661595" w:rsidRDefault="00595FAD" w:rsidP="00923AB1">
            <w:pPr>
              <w:pStyle w:val="TableMainHeading"/>
              <w:suppressAutoHyphens/>
              <w:spacing w:before="60"/>
              <w:jc w:val="both"/>
              <w:rPr>
                <w:rFonts w:ascii="Times New Roman" w:hAnsi="Times New Roman"/>
                <w:i/>
                <w:sz w:val="24"/>
                <w:szCs w:val="24"/>
              </w:rPr>
            </w:pPr>
            <w:r>
              <w:rPr>
                <w:rFonts w:ascii="Times New Roman" w:hAnsi="Times New Roman"/>
                <w:sz w:val="24"/>
                <w:szCs w:val="24"/>
              </w:rPr>
              <w:t>Operazioni su derivati con più di un fattore di rischio significativo attribuito a due (0020), tre (0030) o più di tre (0040) categorie di rischio sulla base del fattore di rischio più rilevante per ciascuna categoria di rischio, conformemente all</w:t>
            </w:r>
            <w:r w:rsidR="000878EC">
              <w:rPr>
                <w:rFonts w:ascii="Times New Roman" w:hAnsi="Times New Roman"/>
                <w:sz w:val="24"/>
                <w:szCs w:val="24"/>
              </w:rPr>
              <w:t>'</w:t>
            </w:r>
            <w:r>
              <w:rPr>
                <w:rFonts w:ascii="Times New Roman" w:hAnsi="Times New Roman"/>
                <w:sz w:val="24"/>
                <w:szCs w:val="24"/>
              </w:rPr>
              <w:t>articolo 277, paragrafo 3, del CRR e alle norme tecniche di regolamentazione dell</w:t>
            </w:r>
            <w:r w:rsidR="000878EC">
              <w:rPr>
                <w:rFonts w:ascii="Times New Roman" w:hAnsi="Times New Roman"/>
                <w:sz w:val="24"/>
                <w:szCs w:val="24"/>
              </w:rPr>
              <w:t>'</w:t>
            </w:r>
            <w:r>
              <w:rPr>
                <w:rFonts w:ascii="Times New Roman" w:hAnsi="Times New Roman"/>
                <w:sz w:val="24"/>
                <w:szCs w:val="24"/>
              </w:rPr>
              <w:t>ABE di cui all</w:t>
            </w:r>
            <w:r w:rsidR="000878EC">
              <w:rPr>
                <w:rFonts w:ascii="Times New Roman" w:hAnsi="Times New Roman"/>
                <w:sz w:val="24"/>
                <w:szCs w:val="24"/>
              </w:rPr>
              <w:t>'</w:t>
            </w:r>
            <w:r>
              <w:rPr>
                <w:rFonts w:ascii="Times New Roman" w:hAnsi="Times New Roman"/>
                <w:sz w:val="24"/>
                <w:szCs w:val="24"/>
              </w:rPr>
              <w:t>articolo 277, paragrafo 5, del CRR.</w:t>
            </w:r>
          </w:p>
        </w:tc>
      </w:tr>
      <w:tr w:rsidR="00595FAD" w:rsidRPr="00661595" w:rsidTr="00FF15C6">
        <w:trPr>
          <w:trHeight w:val="680"/>
        </w:trPr>
        <w:tc>
          <w:tcPr>
            <w:tcW w:w="1384" w:type="dxa"/>
          </w:tcPr>
          <w:p w:rsidR="00595FAD" w:rsidRPr="00661595" w:rsidRDefault="00595FAD" w:rsidP="00923AB1">
            <w:pPr>
              <w:pStyle w:val="Applicationdirecte"/>
              <w:suppressAutoHyphens/>
              <w:spacing w:before="0" w:after="0"/>
              <w:jc w:val="left"/>
            </w:pPr>
            <w:r>
              <w:t>Da 0070 a 0110 e da 0140 a 0180</w:t>
            </w:r>
          </w:p>
        </w:tc>
        <w:tc>
          <w:tcPr>
            <w:tcW w:w="7655" w:type="dxa"/>
          </w:tcPr>
          <w:p w:rsidR="00595FAD" w:rsidRPr="00661595" w:rsidRDefault="00595FAD" w:rsidP="00923AB1">
            <w:pPr>
              <w:pStyle w:val="TableMainHeading"/>
              <w:suppressAutoHyphens/>
              <w:spacing w:before="60"/>
              <w:jc w:val="both"/>
              <w:rPr>
                <w:rStyle w:val="InstructionsTabelleberschrift"/>
                <w:rFonts w:ascii="Times New Roman" w:eastAsiaTheme="minorEastAsia" w:hAnsi="Times New Roman"/>
                <w:sz w:val="24"/>
                <w:szCs w:val="24"/>
              </w:rPr>
            </w:pPr>
            <w:r>
              <w:rPr>
                <w:rStyle w:val="InstructionsTabelleberschrift"/>
                <w:rFonts w:ascii="Times New Roman" w:hAnsi="Times New Roman"/>
                <w:sz w:val="24"/>
                <w:szCs w:val="24"/>
              </w:rPr>
              <w:t>Principale valuta e coppia di valute</w:t>
            </w:r>
          </w:p>
          <w:p w:rsidR="00595FAD" w:rsidRPr="00661595" w:rsidRDefault="00595FAD" w:rsidP="00923AB1">
            <w:pPr>
              <w:suppressAutoHyphens/>
              <w:rPr>
                <w:rFonts w:ascii="Times New Roman" w:hAnsi="Times New Roman"/>
                <w:sz w:val="24"/>
              </w:rPr>
            </w:pPr>
            <w:r>
              <w:rPr>
                <w:rFonts w:ascii="Times New Roman" w:hAnsi="Times New Roman"/>
                <w:sz w:val="24"/>
              </w:rPr>
              <w:t>La classificazione è effettuata sulla base del CMV del portafoglio dell</w:t>
            </w:r>
            <w:r w:rsidR="000878EC">
              <w:rPr>
                <w:rFonts w:ascii="Times New Roman" w:hAnsi="Times New Roman"/>
                <w:sz w:val="24"/>
              </w:rPr>
              <w:t>'</w:t>
            </w:r>
            <w:r>
              <w:rPr>
                <w:rFonts w:ascii="Times New Roman" w:hAnsi="Times New Roman"/>
                <w:sz w:val="24"/>
              </w:rPr>
              <w:t>ente rientrante nell</w:t>
            </w:r>
            <w:r w:rsidR="000878EC">
              <w:rPr>
                <w:rFonts w:ascii="Times New Roman" w:hAnsi="Times New Roman"/>
                <w:sz w:val="24"/>
              </w:rPr>
              <w:t>'</w:t>
            </w:r>
            <w:r>
              <w:rPr>
                <w:rFonts w:ascii="Times New Roman" w:hAnsi="Times New Roman"/>
                <w:sz w:val="24"/>
              </w:rPr>
              <w:t xml:space="preserve">ambito di applicazione del metodo SA-CCR o SA-CCR semplificato, a seconda dei casi, per le operazioni associate rispettivamente alla categoria del rischio di tasso di interesse e del rischio di cambio. </w:t>
            </w:r>
          </w:p>
          <w:p w:rsidR="00595FAD" w:rsidRPr="00661595" w:rsidRDefault="00595FAD" w:rsidP="00923AB1">
            <w:pPr>
              <w:suppressAutoHyphens/>
              <w:rPr>
                <w:rFonts w:ascii="Times New Roman" w:hAnsi="Times New Roman"/>
                <w:i/>
                <w:sz w:val="24"/>
              </w:rPr>
            </w:pPr>
            <w:r>
              <w:rPr>
                <w:rFonts w:ascii="Times New Roman" w:hAnsi="Times New Roman"/>
                <w:sz w:val="24"/>
              </w:rPr>
              <w:t>Ai fini della classificazione</w:t>
            </w:r>
            <w:r>
              <w:rPr>
                <w:sz w:val="24"/>
              </w:rPr>
              <w:t xml:space="preserve">, </w:t>
            </w:r>
            <w:r>
              <w:rPr>
                <w:rFonts w:ascii="inherit" w:hAnsi="inherit"/>
                <w:sz w:val="24"/>
              </w:rPr>
              <w:t>il valore assoluto del CMV delle posizioni è sommato</w:t>
            </w:r>
            <w:r>
              <w:rPr>
                <w:sz w:val="24"/>
              </w:rPr>
              <w:t>.</w:t>
            </w:r>
          </w:p>
        </w:tc>
      </w:tr>
      <w:tr w:rsidR="00595FAD" w:rsidRPr="00661595" w:rsidTr="00FF15C6">
        <w:trPr>
          <w:trHeight w:val="2279"/>
        </w:trPr>
        <w:tc>
          <w:tcPr>
            <w:tcW w:w="1384" w:type="dxa"/>
          </w:tcPr>
          <w:p w:rsidR="00595FAD" w:rsidRPr="00661595" w:rsidRDefault="00595FAD" w:rsidP="00923AB1">
            <w:pPr>
              <w:pStyle w:val="Applicationdirecte"/>
              <w:suppressAutoHyphens/>
              <w:spacing w:before="0" w:after="0"/>
            </w:pPr>
            <w:r>
              <w:t>0060, 0130, 0200, 0240, 0280</w:t>
            </w:r>
          </w:p>
        </w:tc>
        <w:tc>
          <w:tcPr>
            <w:tcW w:w="7655" w:type="dxa"/>
          </w:tcPr>
          <w:p w:rsidR="00595FAD" w:rsidRPr="00661595" w:rsidRDefault="00595FAD" w:rsidP="00923AB1">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Associazione esclusiva</w:t>
            </w:r>
          </w:p>
          <w:p w:rsidR="00595FAD" w:rsidRPr="00661595" w:rsidRDefault="00595FAD" w:rsidP="00923AB1">
            <w:pPr>
              <w:keepNext/>
              <w:suppressAutoHyphens/>
              <w:spacing w:before="60"/>
              <w:rPr>
                <w:rFonts w:ascii="Times New Roman" w:hAnsi="Times New Roman"/>
                <w:sz w:val="24"/>
              </w:rPr>
            </w:pPr>
            <w:r>
              <w:rPr>
                <w:rFonts w:ascii="Times New Roman" w:hAnsi="Times New Roman"/>
                <w:sz w:val="24"/>
              </w:rPr>
              <w:t>Articolo 277, paragrafi 1 e 2, del CRR</w:t>
            </w:r>
          </w:p>
          <w:p w:rsidR="00595FAD" w:rsidRPr="00661595" w:rsidRDefault="00595FAD" w:rsidP="00923AB1">
            <w:pPr>
              <w:pStyle w:val="TableMainHeading"/>
              <w:suppressAutoHyphens/>
              <w:spacing w:before="60"/>
              <w:jc w:val="both"/>
              <w:rPr>
                <w:rFonts w:ascii="Times New Roman" w:hAnsi="Times New Roman"/>
                <w:sz w:val="24"/>
                <w:szCs w:val="24"/>
              </w:rPr>
            </w:pPr>
            <w:r>
              <w:rPr>
                <w:rFonts w:ascii="Times New Roman" w:hAnsi="Times New Roman"/>
                <w:sz w:val="24"/>
                <w:szCs w:val="24"/>
              </w:rPr>
              <w:t>Operazioni su derivati associate esclusivamente ad una categoria di rischio conformemente all</w:t>
            </w:r>
            <w:r w:rsidR="000878EC">
              <w:rPr>
                <w:rFonts w:ascii="Times New Roman" w:hAnsi="Times New Roman"/>
                <w:sz w:val="24"/>
                <w:szCs w:val="24"/>
              </w:rPr>
              <w:t>'</w:t>
            </w:r>
            <w:r>
              <w:rPr>
                <w:rFonts w:ascii="Times New Roman" w:hAnsi="Times New Roman"/>
                <w:sz w:val="24"/>
                <w:szCs w:val="24"/>
              </w:rPr>
              <w:t xml:space="preserve">articolo 277, paragrafi 1 e 2, del CRR. </w:t>
            </w:r>
          </w:p>
          <w:p w:rsidR="00595FAD" w:rsidRPr="00661595" w:rsidRDefault="00595FAD" w:rsidP="00923AB1">
            <w:pPr>
              <w:pStyle w:val="TableMainHeading"/>
              <w:suppressAutoHyphens/>
              <w:spacing w:before="60"/>
              <w:jc w:val="both"/>
              <w:rPr>
                <w:rFonts w:ascii="Times New Roman" w:hAnsi="Times New Roman"/>
                <w:sz w:val="24"/>
                <w:szCs w:val="24"/>
              </w:rPr>
            </w:pPr>
            <w:r>
              <w:rPr>
                <w:rFonts w:ascii="Times New Roman" w:hAnsi="Times New Roman"/>
                <w:sz w:val="24"/>
                <w:szCs w:val="24"/>
              </w:rPr>
              <w:t>Sono escluse le operazioni associate a diverse categorie di rischio conformemente all</w:t>
            </w:r>
            <w:r w:rsidR="000878EC">
              <w:rPr>
                <w:rFonts w:ascii="Times New Roman" w:hAnsi="Times New Roman"/>
                <w:sz w:val="24"/>
                <w:szCs w:val="24"/>
              </w:rPr>
              <w:t>'</w:t>
            </w:r>
            <w:r>
              <w:rPr>
                <w:rFonts w:ascii="Times New Roman" w:hAnsi="Times New Roman"/>
                <w:sz w:val="24"/>
                <w:szCs w:val="24"/>
              </w:rPr>
              <w:t>articolo 277, paragrafo 3, del CRR.</w:t>
            </w:r>
          </w:p>
        </w:tc>
      </w:tr>
      <w:tr w:rsidR="00595FAD" w:rsidRPr="00661595" w:rsidTr="00FF15C6">
        <w:trPr>
          <w:trHeight w:val="680"/>
        </w:trPr>
        <w:tc>
          <w:tcPr>
            <w:tcW w:w="1384" w:type="dxa"/>
          </w:tcPr>
          <w:p w:rsidR="00595FAD" w:rsidRPr="00661595" w:rsidRDefault="00595FAD" w:rsidP="00923AB1">
            <w:pPr>
              <w:pStyle w:val="Applicationdirecte"/>
              <w:suppressAutoHyphens/>
              <w:spacing w:before="0" w:after="0"/>
            </w:pPr>
            <w:r>
              <w:t xml:space="preserve">0210, 0250 </w:t>
            </w:r>
          </w:p>
        </w:tc>
        <w:tc>
          <w:tcPr>
            <w:tcW w:w="7655" w:type="dxa"/>
          </w:tcPr>
          <w:p w:rsidR="00595FAD" w:rsidRPr="00661595" w:rsidRDefault="00595FAD" w:rsidP="00923AB1">
            <w:pPr>
              <w:pStyle w:val="TableMainHeading"/>
              <w:suppressAutoHyphens/>
              <w:spacing w:before="60"/>
              <w:jc w:val="both"/>
              <w:rPr>
                <w:rStyle w:val="InstructionsTabelleberschrift"/>
                <w:rFonts w:ascii="Times New Roman" w:hAnsi="Times New Roman"/>
                <w:sz w:val="24"/>
              </w:rPr>
            </w:pPr>
            <w:r>
              <w:rPr>
                <w:rStyle w:val="InstructionsTabelleberschrift"/>
                <w:rFonts w:ascii="Times New Roman" w:hAnsi="Times New Roman"/>
                <w:sz w:val="24"/>
              </w:rPr>
              <w:t xml:space="preserve">Operazioni single-name </w:t>
            </w:r>
          </w:p>
          <w:p w:rsidR="00595FAD" w:rsidRPr="00661595" w:rsidRDefault="00595FAD" w:rsidP="00923AB1">
            <w:pPr>
              <w:pStyle w:val="TableMainHeading"/>
              <w:suppressAutoHyphens/>
              <w:spacing w:before="60"/>
              <w:jc w:val="both"/>
              <w:rPr>
                <w:rStyle w:val="InstructionsTabelleberschrift"/>
                <w:rFonts w:ascii="Times New Roman" w:hAnsi="Times New Roman"/>
                <w:sz w:val="24"/>
              </w:rPr>
            </w:pPr>
            <w:r>
              <w:rPr>
                <w:rFonts w:ascii="Times New Roman" w:hAnsi="Times New Roman"/>
                <w:sz w:val="24"/>
                <w:szCs w:val="24"/>
              </w:rPr>
              <w:t>Operazioni single-name associate rispettivamente alla categoria del rischio di credito e del rischio azionario.</w:t>
            </w:r>
            <w:r>
              <w:rPr>
                <w:rStyle w:val="InstructionsTabelleberschrift"/>
                <w:rFonts w:ascii="Times New Roman" w:hAnsi="Times New Roman"/>
                <w:sz w:val="24"/>
              </w:rPr>
              <w:t xml:space="preserve"> </w:t>
            </w:r>
          </w:p>
        </w:tc>
      </w:tr>
      <w:tr w:rsidR="00595FAD" w:rsidRPr="00661595" w:rsidTr="00FF15C6">
        <w:trPr>
          <w:trHeight w:val="680"/>
        </w:trPr>
        <w:tc>
          <w:tcPr>
            <w:tcW w:w="1384" w:type="dxa"/>
          </w:tcPr>
          <w:p w:rsidR="00595FAD" w:rsidRPr="00661595" w:rsidRDefault="00595FAD" w:rsidP="00923AB1">
            <w:pPr>
              <w:pStyle w:val="Applicationdirecte"/>
              <w:suppressAutoHyphens/>
              <w:spacing w:before="0" w:after="0"/>
            </w:pPr>
            <w:r>
              <w:t>0220, 0260</w:t>
            </w:r>
          </w:p>
        </w:tc>
        <w:tc>
          <w:tcPr>
            <w:tcW w:w="7655" w:type="dxa"/>
          </w:tcPr>
          <w:p w:rsidR="00595FAD" w:rsidRPr="00661595" w:rsidRDefault="00595FAD" w:rsidP="00923AB1">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Operazioni multi-name</w:t>
            </w:r>
          </w:p>
          <w:p w:rsidR="00595FAD" w:rsidRPr="00661595" w:rsidRDefault="00595FAD" w:rsidP="00923AB1">
            <w:pPr>
              <w:keepNext/>
              <w:suppressAutoHyphens/>
              <w:spacing w:before="60"/>
              <w:rPr>
                <w:rStyle w:val="InstructionsTabelleberschrift"/>
                <w:rFonts w:ascii="Times New Roman" w:hAnsi="Times New Roman"/>
                <w:sz w:val="24"/>
              </w:rPr>
            </w:pPr>
            <w:r>
              <w:rPr>
                <w:rFonts w:ascii="Times New Roman" w:hAnsi="Times New Roman"/>
                <w:sz w:val="24"/>
              </w:rPr>
              <w:t xml:space="preserve">Operazioni multi-name associate rispettivamente alla categoria del rischio di credito e del rischio azionario. </w:t>
            </w:r>
          </w:p>
        </w:tc>
      </w:tr>
      <w:tr w:rsidR="00595FAD" w:rsidRPr="00661595" w:rsidTr="00FF15C6">
        <w:trPr>
          <w:trHeight w:val="680"/>
        </w:trPr>
        <w:tc>
          <w:tcPr>
            <w:tcW w:w="1384" w:type="dxa"/>
          </w:tcPr>
          <w:p w:rsidR="00595FAD" w:rsidRPr="00661595" w:rsidRDefault="00595FAD" w:rsidP="00923AB1">
            <w:pPr>
              <w:pStyle w:val="Applicationdirecte"/>
              <w:suppressAutoHyphens/>
              <w:spacing w:before="0" w:after="0"/>
            </w:pPr>
            <w:r>
              <w:t>0290-0330</w:t>
            </w:r>
          </w:p>
        </w:tc>
        <w:tc>
          <w:tcPr>
            <w:tcW w:w="7655" w:type="dxa"/>
          </w:tcPr>
          <w:p w:rsidR="00595FAD" w:rsidRPr="00661595" w:rsidRDefault="00595FAD" w:rsidP="00923AB1">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Insiemi di attività coperte nella categoria del rischio di posizione in merci</w:t>
            </w:r>
          </w:p>
          <w:p w:rsidR="00595FAD" w:rsidRPr="00661595" w:rsidRDefault="00595FAD" w:rsidP="00923AB1">
            <w:pPr>
              <w:keepNext/>
              <w:suppressAutoHyphens/>
              <w:spacing w:before="60"/>
              <w:rPr>
                <w:rFonts w:ascii="Times New Roman" w:hAnsi="Times New Roman"/>
                <w:sz w:val="24"/>
              </w:rPr>
            </w:pPr>
            <w:r>
              <w:rPr>
                <w:rFonts w:ascii="Times New Roman" w:hAnsi="Times New Roman"/>
                <w:sz w:val="24"/>
              </w:rPr>
              <w:t>Operazioni su derivati associate alla categoria del rischio di posizione in merci di cui all</w:t>
            </w:r>
            <w:r w:rsidR="000878EC">
              <w:rPr>
                <w:rFonts w:ascii="Times New Roman" w:hAnsi="Times New Roman"/>
                <w:sz w:val="24"/>
              </w:rPr>
              <w:t>'</w:t>
            </w:r>
            <w:r>
              <w:rPr>
                <w:rFonts w:ascii="Times New Roman" w:hAnsi="Times New Roman"/>
                <w:sz w:val="24"/>
              </w:rPr>
              <w:t>articolo 277 bis, paragrafo 1, lettera e), del CRR.</w:t>
            </w:r>
          </w:p>
        </w:tc>
      </w:tr>
    </w:tbl>
    <w:p w:rsidR="00595FAD" w:rsidRPr="00661595" w:rsidRDefault="00595FAD" w:rsidP="00595FAD">
      <w:pPr>
        <w:tabs>
          <w:tab w:val="left" w:pos="1430"/>
        </w:tabs>
        <w:rPr>
          <w:rFonts w:ascii="Times New Roman" w:hAnsi="Times New Roman"/>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60" w:name="_Toc19715812"/>
      <w:bookmarkStart w:id="461" w:name="_Toc58915805"/>
      <w:r>
        <w:rPr>
          <w:rFonts w:ascii="Times New Roman" w:hAnsi="Times New Roman"/>
          <w:sz w:val="24"/>
        </w:rPr>
        <w:t>C 34.04 - Esposizioni soggette al CCR trattate con il metodo dell</w:t>
      </w:r>
      <w:r w:rsidR="000878EC">
        <w:rPr>
          <w:rFonts w:ascii="Times New Roman" w:hAnsi="Times New Roman"/>
          <w:sz w:val="24"/>
        </w:rPr>
        <w:t>'</w:t>
      </w:r>
      <w:r>
        <w:rPr>
          <w:rFonts w:ascii="Times New Roman" w:hAnsi="Times New Roman"/>
          <w:sz w:val="24"/>
        </w:rPr>
        <w:t>esposizione originaria (OEM)</w:t>
      </w:r>
      <w:bookmarkEnd w:id="460"/>
      <w:bookmarkEnd w:id="461"/>
    </w:p>
    <w:p w:rsidR="00595FAD" w:rsidRPr="00661595" w:rsidRDefault="00595FAD" w:rsidP="002F29AF">
      <w:pPr>
        <w:pStyle w:val="Instructionsberschrift2"/>
        <w:numPr>
          <w:ilvl w:val="3"/>
          <w:numId w:val="48"/>
        </w:numPr>
        <w:rPr>
          <w:rFonts w:ascii="Times New Roman" w:hAnsi="Times New Roman" w:cs="Times New Roman"/>
          <w:sz w:val="24"/>
        </w:rPr>
      </w:pPr>
      <w:bookmarkStart w:id="462" w:name="_Toc19715813"/>
      <w:bookmarkStart w:id="463" w:name="_Toc58915806"/>
      <w:r>
        <w:rPr>
          <w:rFonts w:ascii="Times New Roman" w:hAnsi="Times New Roman"/>
          <w:sz w:val="24"/>
        </w:rPr>
        <w:t>Istruzioni relative a posizioni specifiche</w:t>
      </w:r>
      <w:bookmarkEnd w:id="462"/>
      <w:bookmarkEnd w:id="46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751FBE" w:rsidRDefault="00595FAD" w:rsidP="003B5CAE">
            <w:pPr>
              <w:suppressAutoHyphens/>
              <w:autoSpaceDE w:val="0"/>
              <w:autoSpaceDN w:val="0"/>
              <w:adjustRightInd w:val="0"/>
              <w:rPr>
                <w:rFonts w:ascii="Times New Roman" w:hAnsi="Times New Roman"/>
                <w:b/>
                <w:sz w:val="24"/>
              </w:rPr>
            </w:pPr>
            <w:r>
              <w:rPr>
                <w:rFonts w:ascii="Times New Roman" w:hAnsi="Times New Roman"/>
                <w:b/>
                <w:sz w:val="24"/>
              </w:rPr>
              <w:t>Colonne</w:t>
            </w:r>
          </w:p>
        </w:tc>
      </w:tr>
      <w:tr w:rsidR="00595FAD" w:rsidRPr="00661595" w:rsidTr="00FF15C6">
        <w:trPr>
          <w:trHeight w:val="680"/>
        </w:trPr>
        <w:tc>
          <w:tcPr>
            <w:tcW w:w="1384" w:type="dxa"/>
          </w:tcPr>
          <w:p w:rsidR="00595FAD" w:rsidRPr="00661595" w:rsidRDefault="00595FAD" w:rsidP="003B5CAE">
            <w:pPr>
              <w:pStyle w:val="Applicationdirecte"/>
              <w:suppressAutoHyphens/>
              <w:spacing w:before="0" w:after="0"/>
            </w:pPr>
            <w:r>
              <w:t>0010-0020</w:t>
            </w:r>
          </w:p>
        </w:tc>
        <w:tc>
          <w:tcPr>
            <w:tcW w:w="7655" w:type="dxa"/>
            <w:vAlign w:val="center"/>
          </w:tcPr>
          <w:p w:rsidR="00595FAD" w:rsidRPr="00661595" w:rsidRDefault="00595FAD" w:rsidP="003B5CAE">
            <w:pPr>
              <w:keepNext/>
              <w:suppressAutoHyphens/>
              <w:spacing w:before="60"/>
              <w:rPr>
                <w:rFonts w:ascii="Times New Roman" w:hAnsi="Times New Roman"/>
                <w:sz w:val="24"/>
              </w:rPr>
            </w:pPr>
            <w:r>
              <w:rPr>
                <w:rFonts w:ascii="Times New Roman" w:hAnsi="Times New Roman"/>
                <w:sz w:val="24"/>
              </w:rPr>
              <w:t>Le istruzioni per le colonne 0010 e 0020 sono quelle fornite per il modello C 34.02.</w:t>
            </w:r>
          </w:p>
        </w:tc>
      </w:tr>
      <w:tr w:rsidR="00595FAD" w:rsidRPr="00661595" w:rsidTr="00FF15C6">
        <w:trPr>
          <w:trHeight w:val="680"/>
        </w:trPr>
        <w:tc>
          <w:tcPr>
            <w:tcW w:w="1384" w:type="dxa"/>
          </w:tcPr>
          <w:p w:rsidR="00595FAD" w:rsidRPr="00661595" w:rsidRDefault="00595FAD" w:rsidP="003B5CAE">
            <w:pPr>
              <w:pStyle w:val="Applicationdirecte"/>
              <w:suppressAutoHyphens/>
              <w:spacing w:before="0" w:after="0"/>
              <w:jc w:val="left"/>
            </w:pPr>
            <w:r>
              <w:t>0030</w:t>
            </w:r>
          </w:p>
        </w:tc>
        <w:tc>
          <w:tcPr>
            <w:tcW w:w="7655" w:type="dxa"/>
            <w:vAlign w:val="center"/>
          </w:tcPr>
          <w:p w:rsidR="00595FAD" w:rsidRPr="00661595" w:rsidRDefault="00595FAD" w:rsidP="003B5CAE">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VALORE DI MERCATO CORRENTE (CMV), POSITIVO</w:t>
            </w:r>
          </w:p>
          <w:p w:rsidR="00595FAD" w:rsidRPr="00661595" w:rsidRDefault="00595FAD" w:rsidP="003B5CAE">
            <w:pPr>
              <w:keepNext/>
              <w:suppressAutoHyphens/>
              <w:spacing w:before="60"/>
              <w:rPr>
                <w:rFonts w:ascii="Times New Roman" w:hAnsi="Times New Roman"/>
                <w:sz w:val="24"/>
              </w:rPr>
            </w:pPr>
            <w:r>
              <w:rPr>
                <w:rFonts w:ascii="Times New Roman" w:hAnsi="Times New Roman"/>
                <w:sz w:val="24"/>
              </w:rPr>
              <w:t>Somma dei valori di mercato correnti (CMV) di tutte le operazioni con CMV positivo nella rispettiva categoria di rischio.</w:t>
            </w:r>
          </w:p>
        </w:tc>
      </w:tr>
      <w:tr w:rsidR="00595FAD" w:rsidRPr="00661595" w:rsidTr="00FF15C6">
        <w:trPr>
          <w:trHeight w:val="680"/>
        </w:trPr>
        <w:tc>
          <w:tcPr>
            <w:tcW w:w="1384" w:type="dxa"/>
          </w:tcPr>
          <w:p w:rsidR="00595FAD" w:rsidRPr="00661595" w:rsidRDefault="00595FAD" w:rsidP="003B5CAE">
            <w:pPr>
              <w:pStyle w:val="Applicationdirecte"/>
              <w:suppressAutoHyphens/>
              <w:spacing w:before="0" w:after="0"/>
              <w:jc w:val="left"/>
            </w:pPr>
            <w:r>
              <w:t>0040</w:t>
            </w:r>
          </w:p>
        </w:tc>
        <w:tc>
          <w:tcPr>
            <w:tcW w:w="7655" w:type="dxa"/>
            <w:vAlign w:val="center"/>
          </w:tcPr>
          <w:p w:rsidR="00595FAD" w:rsidRPr="00661595" w:rsidRDefault="00595FAD" w:rsidP="003B5CAE">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VALORE DI MERCATO CORRENTE (CMV), NEGATIVO</w:t>
            </w:r>
          </w:p>
          <w:p w:rsidR="00595FAD" w:rsidRPr="00661595" w:rsidRDefault="00595FAD" w:rsidP="003B5CAE">
            <w:pPr>
              <w:keepNext/>
              <w:suppressAutoHyphens/>
              <w:spacing w:before="60"/>
              <w:rPr>
                <w:rStyle w:val="InstructionsTabelleberschrift"/>
                <w:rFonts w:ascii="Times New Roman" w:hAnsi="Times New Roman"/>
                <w:b w:val="0"/>
                <w:bCs w:val="0"/>
                <w:sz w:val="24"/>
                <w:u w:val="none"/>
              </w:rPr>
            </w:pPr>
            <w:r>
              <w:rPr>
                <w:rFonts w:ascii="Times New Roman" w:hAnsi="Times New Roman"/>
                <w:sz w:val="24"/>
              </w:rPr>
              <w:t>Somma dei valori di mercato correnti (CMV) assoluti di tutte le operazioni con CMV negativo nella rispettiva categoria di rischio.</w:t>
            </w:r>
          </w:p>
        </w:tc>
      </w:tr>
      <w:tr w:rsidR="00595FAD" w:rsidRPr="00661595" w:rsidTr="00FF15C6">
        <w:trPr>
          <w:trHeight w:val="680"/>
        </w:trPr>
        <w:tc>
          <w:tcPr>
            <w:tcW w:w="1384" w:type="dxa"/>
          </w:tcPr>
          <w:p w:rsidR="00595FAD" w:rsidRPr="00661595" w:rsidRDefault="00595FAD" w:rsidP="003B5CAE">
            <w:pPr>
              <w:pStyle w:val="Applicationdirecte"/>
              <w:suppressAutoHyphens/>
              <w:spacing w:before="0" w:after="0"/>
              <w:jc w:val="left"/>
            </w:pPr>
            <w:r>
              <w:t>0050</w:t>
            </w:r>
          </w:p>
        </w:tc>
        <w:tc>
          <w:tcPr>
            <w:tcW w:w="7655" w:type="dxa"/>
            <w:vAlign w:val="center"/>
          </w:tcPr>
          <w:p w:rsidR="00595FAD" w:rsidRPr="00661595" w:rsidRDefault="00595FAD" w:rsidP="003B5CAE">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ESPOSIZIONE POTENZIALE FUTURA (PFE)</w:t>
            </w:r>
          </w:p>
          <w:p w:rsidR="00595FAD" w:rsidRPr="00661595" w:rsidRDefault="00595FAD" w:rsidP="003B5CAE">
            <w:pPr>
              <w:keepNext/>
              <w:suppressAutoHyphens/>
              <w:spacing w:before="60"/>
              <w:rPr>
                <w:rStyle w:val="InstructionsTabelleberschrift"/>
                <w:rFonts w:ascii="Times New Roman" w:hAnsi="Times New Roman"/>
                <w:sz w:val="24"/>
              </w:rPr>
            </w:pPr>
            <w:r>
              <w:rPr>
                <w:rFonts w:ascii="Times New Roman" w:hAnsi="Times New Roman"/>
                <w:sz w:val="24"/>
              </w:rPr>
              <w:t>L</w:t>
            </w:r>
            <w:r w:rsidR="000878EC">
              <w:rPr>
                <w:rFonts w:ascii="Times New Roman" w:hAnsi="Times New Roman"/>
                <w:sz w:val="24"/>
              </w:rPr>
              <w:t>'</w:t>
            </w:r>
            <w:r>
              <w:rPr>
                <w:rFonts w:ascii="Times New Roman" w:hAnsi="Times New Roman"/>
                <w:sz w:val="24"/>
              </w:rPr>
              <w:t>ente segnala la somma delle PFE per tutte le operazioni appartenenti alla stessa categoria di rischio.</w:t>
            </w:r>
          </w:p>
        </w:tc>
      </w:tr>
      <w:tr w:rsidR="00595FAD" w:rsidRPr="00661595" w:rsidTr="00FF15C6">
        <w:trPr>
          <w:trHeight w:val="238"/>
        </w:trPr>
        <w:tc>
          <w:tcPr>
            <w:tcW w:w="9039" w:type="dxa"/>
            <w:gridSpan w:val="2"/>
            <w:tcBorders>
              <w:right w:val="single" w:sz="4" w:space="0" w:color="auto"/>
            </w:tcBorders>
            <w:shd w:val="clear" w:color="auto" w:fill="D9D9D9" w:themeFill="background1" w:themeFillShade="D9"/>
          </w:tcPr>
          <w:p w:rsidR="00595FAD" w:rsidRPr="00751FBE" w:rsidRDefault="00595FAD" w:rsidP="003B5CAE">
            <w:pPr>
              <w:keepNext/>
              <w:keepLines/>
              <w:suppressAutoHyphens/>
              <w:autoSpaceDE w:val="0"/>
              <w:autoSpaceDN w:val="0"/>
              <w:adjustRightInd w:val="0"/>
              <w:rPr>
                <w:rFonts w:ascii="Times New Roman" w:hAnsi="Times New Roman"/>
                <w:b/>
                <w:sz w:val="24"/>
              </w:rPr>
            </w:pPr>
            <w:r>
              <w:rPr>
                <w:rFonts w:ascii="Times New Roman" w:hAnsi="Times New Roman"/>
                <w:b/>
                <w:sz w:val="24"/>
              </w:rPr>
              <w:t>Righe</w:t>
            </w:r>
          </w:p>
        </w:tc>
      </w:tr>
      <w:tr w:rsidR="00595FAD" w:rsidRPr="00661595" w:rsidTr="00FF15C6">
        <w:trPr>
          <w:trHeight w:val="680"/>
        </w:trPr>
        <w:tc>
          <w:tcPr>
            <w:tcW w:w="1384" w:type="dxa"/>
          </w:tcPr>
          <w:p w:rsidR="00595FAD" w:rsidRPr="00661595" w:rsidRDefault="00595FAD" w:rsidP="003B5CAE">
            <w:pPr>
              <w:pStyle w:val="Applicationdirecte"/>
              <w:suppressAutoHyphens/>
              <w:spacing w:before="0" w:after="0"/>
            </w:pPr>
            <w:r>
              <w:t>0020-0070</w:t>
            </w:r>
          </w:p>
        </w:tc>
        <w:tc>
          <w:tcPr>
            <w:tcW w:w="7655" w:type="dxa"/>
            <w:vAlign w:val="center"/>
          </w:tcPr>
          <w:p w:rsidR="00595FAD" w:rsidRPr="00661595" w:rsidRDefault="00595FAD" w:rsidP="003B5CAE">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CATEGORIE DI RISCHIO</w:t>
            </w:r>
          </w:p>
          <w:p w:rsidR="00595FAD" w:rsidRPr="00661595" w:rsidRDefault="00595FAD" w:rsidP="003B5CAE">
            <w:pPr>
              <w:keepNext/>
              <w:suppressAutoHyphens/>
              <w:spacing w:before="60"/>
              <w:rPr>
                <w:rFonts w:ascii="Times New Roman" w:hAnsi="Times New Roman"/>
                <w:sz w:val="24"/>
              </w:rPr>
            </w:pPr>
            <w:r>
              <w:rPr>
                <w:rFonts w:ascii="Times New Roman" w:hAnsi="Times New Roman"/>
                <w:sz w:val="24"/>
              </w:rPr>
              <w:t>Operazioni su derivati associate alle categorie di rischio di cui all</w:t>
            </w:r>
            <w:r w:rsidR="000878EC">
              <w:rPr>
                <w:rFonts w:ascii="Times New Roman" w:hAnsi="Times New Roman"/>
                <w:sz w:val="24"/>
              </w:rPr>
              <w:t>'</w:t>
            </w:r>
            <w:r>
              <w:rPr>
                <w:rFonts w:ascii="Times New Roman" w:hAnsi="Times New Roman"/>
                <w:sz w:val="24"/>
              </w:rPr>
              <w:t>articolo 282, paragrafo 4, lettera b), del CRR.</w:t>
            </w:r>
          </w:p>
        </w:tc>
      </w:tr>
    </w:tbl>
    <w:p w:rsidR="00595FAD" w:rsidRPr="00661595" w:rsidRDefault="00595FAD" w:rsidP="00595FAD">
      <w:pPr>
        <w:tabs>
          <w:tab w:val="left" w:pos="1430"/>
        </w:tabs>
        <w:rPr>
          <w:rFonts w:ascii="Times New Roman" w:hAnsi="Times New Roman"/>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64" w:name="_Toc19715814"/>
      <w:bookmarkStart w:id="465" w:name="_Toc58915807"/>
      <w:r>
        <w:rPr>
          <w:rFonts w:ascii="Times New Roman" w:hAnsi="Times New Roman"/>
          <w:sz w:val="24"/>
        </w:rPr>
        <w:t>C 34.05 - Esposizioni soggette al CCR trattate con il metodo dei modelli interni (IMM)</w:t>
      </w:r>
      <w:bookmarkEnd w:id="464"/>
      <w:bookmarkEnd w:id="465"/>
    </w:p>
    <w:p w:rsidR="00595FAD" w:rsidRPr="00661595" w:rsidRDefault="00595FAD" w:rsidP="002F29AF">
      <w:pPr>
        <w:pStyle w:val="Instructionsberschrift2"/>
        <w:numPr>
          <w:ilvl w:val="3"/>
          <w:numId w:val="48"/>
        </w:numPr>
        <w:rPr>
          <w:rFonts w:ascii="Times New Roman" w:hAnsi="Times New Roman" w:cs="Times New Roman"/>
          <w:sz w:val="24"/>
        </w:rPr>
      </w:pPr>
      <w:bookmarkStart w:id="466" w:name="_Toc19715815"/>
      <w:bookmarkStart w:id="467" w:name="_Toc58915808"/>
      <w:r>
        <w:rPr>
          <w:rFonts w:ascii="Times New Roman" w:hAnsi="Times New Roman"/>
          <w:sz w:val="24"/>
        </w:rPr>
        <w:t>Istruzioni relative a posizioni specifiche</w:t>
      </w:r>
      <w:bookmarkEnd w:id="466"/>
      <w:bookmarkEnd w:id="467"/>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751FBE" w:rsidRDefault="00595FAD" w:rsidP="003B5CAE">
            <w:pPr>
              <w:suppressAutoHyphens/>
              <w:autoSpaceDE w:val="0"/>
              <w:autoSpaceDN w:val="0"/>
              <w:adjustRightInd w:val="0"/>
              <w:rPr>
                <w:rFonts w:ascii="Times New Roman" w:hAnsi="Times New Roman"/>
                <w:b/>
                <w:sz w:val="24"/>
              </w:rPr>
            </w:pPr>
            <w:r>
              <w:rPr>
                <w:rFonts w:ascii="Times New Roman" w:hAnsi="Times New Roman"/>
                <w:b/>
                <w:sz w:val="24"/>
              </w:rPr>
              <w:t>Colonne</w:t>
            </w:r>
          </w:p>
        </w:tc>
      </w:tr>
      <w:tr w:rsidR="00595FAD" w:rsidRPr="00661595" w:rsidTr="00FF15C6">
        <w:trPr>
          <w:trHeight w:val="680"/>
        </w:trPr>
        <w:tc>
          <w:tcPr>
            <w:tcW w:w="1384" w:type="dxa"/>
          </w:tcPr>
          <w:p w:rsidR="00595FAD" w:rsidRPr="00661595" w:rsidRDefault="00595FAD" w:rsidP="003B5CAE">
            <w:pPr>
              <w:pStyle w:val="Applicationdirecte"/>
              <w:suppressAutoHyphens/>
              <w:spacing w:before="0" w:after="0"/>
            </w:pPr>
            <w:r>
              <w:t>00010-0080</w:t>
            </w:r>
          </w:p>
        </w:tc>
        <w:tc>
          <w:tcPr>
            <w:tcW w:w="7655" w:type="dxa"/>
            <w:vAlign w:val="center"/>
          </w:tcPr>
          <w:p w:rsidR="00595FAD" w:rsidRPr="00661595" w:rsidRDefault="00595FAD" w:rsidP="003B5CAE">
            <w:pPr>
              <w:keepNext/>
              <w:suppressAutoHyphens/>
              <w:spacing w:before="60"/>
              <w:rPr>
                <w:rFonts w:ascii="Times New Roman" w:hAnsi="Times New Roman"/>
                <w:strike/>
                <w:sz w:val="24"/>
              </w:rPr>
            </w:pPr>
            <w:r>
              <w:rPr>
                <w:rStyle w:val="InstructionsTabelleberschrift"/>
                <w:rFonts w:ascii="Times New Roman" w:hAnsi="Times New Roman"/>
                <w:sz w:val="24"/>
              </w:rPr>
              <w:t xml:space="preserve">COPERTE DA ACCORDO DI GARANZIA (MARGIN AGREEMENT) </w:t>
            </w:r>
          </w:p>
          <w:p w:rsidR="00595FAD" w:rsidRPr="00661595" w:rsidRDefault="00595FAD" w:rsidP="003B5CAE">
            <w:pPr>
              <w:keepNext/>
              <w:suppressAutoHyphens/>
              <w:spacing w:before="60"/>
              <w:rPr>
                <w:rFonts w:ascii="Times New Roman" w:hAnsi="Times New Roman"/>
                <w:strike/>
                <w:sz w:val="24"/>
              </w:rPr>
            </w:pPr>
            <w:r>
              <w:rPr>
                <w:rFonts w:ascii="Times New Roman" w:hAnsi="Times New Roman"/>
                <w:sz w:val="24"/>
              </w:rPr>
              <w:t>Cfr. istruzioni relative alla riga 0130 del modello C 34.02.</w:t>
            </w:r>
          </w:p>
        </w:tc>
      </w:tr>
      <w:tr w:rsidR="00595FAD" w:rsidRPr="00661595" w:rsidTr="00FF15C6">
        <w:trPr>
          <w:trHeight w:val="680"/>
        </w:trPr>
        <w:tc>
          <w:tcPr>
            <w:tcW w:w="1384" w:type="dxa"/>
          </w:tcPr>
          <w:p w:rsidR="00595FAD" w:rsidRPr="00661595" w:rsidRDefault="00595FAD" w:rsidP="003B5CAE">
            <w:pPr>
              <w:pStyle w:val="Applicationdirecte"/>
              <w:suppressAutoHyphens/>
              <w:spacing w:before="0" w:after="0"/>
            </w:pPr>
            <w:r>
              <w:t>0090-0160</w:t>
            </w:r>
          </w:p>
        </w:tc>
        <w:tc>
          <w:tcPr>
            <w:tcW w:w="7655" w:type="dxa"/>
            <w:vAlign w:val="center"/>
          </w:tcPr>
          <w:p w:rsidR="00595FAD" w:rsidRPr="00661595" w:rsidRDefault="00595FAD" w:rsidP="003B5CAE">
            <w:pPr>
              <w:keepNext/>
              <w:suppressAutoHyphens/>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NON COPERTE DA ACCORDO DI GARANZIA (MARGIN AGREEMENT) </w:t>
            </w:r>
          </w:p>
          <w:p w:rsidR="00595FAD" w:rsidRPr="00661595" w:rsidRDefault="00595FAD" w:rsidP="003B5CAE">
            <w:pPr>
              <w:keepNext/>
              <w:suppressAutoHyphens/>
              <w:spacing w:before="60"/>
              <w:rPr>
                <w:rFonts w:ascii="Times New Roman" w:hAnsi="Times New Roman"/>
                <w:strike/>
                <w:sz w:val="24"/>
              </w:rPr>
            </w:pPr>
            <w:r>
              <w:rPr>
                <w:rFonts w:ascii="Times New Roman" w:hAnsi="Times New Roman"/>
                <w:sz w:val="24"/>
              </w:rPr>
              <w:t>Cfr. istruzioni relative alla riga 0140 del modello C 34.02.</w:t>
            </w:r>
          </w:p>
        </w:tc>
      </w:tr>
      <w:tr w:rsidR="00595FAD" w:rsidRPr="00661595" w:rsidTr="00FF15C6">
        <w:trPr>
          <w:trHeight w:val="680"/>
        </w:trPr>
        <w:tc>
          <w:tcPr>
            <w:tcW w:w="1384" w:type="dxa"/>
          </w:tcPr>
          <w:p w:rsidR="00595FAD" w:rsidRPr="00661595" w:rsidRDefault="00595FAD" w:rsidP="003B5CAE">
            <w:pPr>
              <w:pStyle w:val="Applicationdirecte"/>
              <w:suppressAutoHyphens/>
              <w:spacing w:before="0" w:after="0"/>
              <w:jc w:val="left"/>
            </w:pPr>
            <w:r>
              <w:t>0010, 0090</w:t>
            </w:r>
          </w:p>
        </w:tc>
        <w:tc>
          <w:tcPr>
            <w:tcW w:w="7655" w:type="dxa"/>
            <w:vAlign w:val="center"/>
          </w:tcPr>
          <w:p w:rsidR="00595FAD" w:rsidRPr="00661595" w:rsidRDefault="00595FAD" w:rsidP="003B5CAE">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 xml:space="preserve">NUMERO DI OPERAZIONI </w:t>
            </w:r>
          </w:p>
          <w:p w:rsidR="00595FAD" w:rsidRPr="00661595" w:rsidRDefault="00595FAD" w:rsidP="003B5CAE">
            <w:pPr>
              <w:keepNext/>
              <w:suppressAutoHyphens/>
              <w:spacing w:before="60"/>
              <w:rPr>
                <w:rFonts w:ascii="Times New Roman" w:hAnsi="Times New Roman"/>
                <w:strike/>
                <w:sz w:val="24"/>
              </w:rPr>
            </w:pPr>
            <w:r>
              <w:rPr>
                <w:rFonts w:ascii="Times New Roman" w:hAnsi="Times New Roman"/>
                <w:sz w:val="24"/>
              </w:rPr>
              <w:t>Cfr. istruzioni relative alla colonna 0020 del modello C 34.02.</w:t>
            </w:r>
          </w:p>
        </w:tc>
      </w:tr>
      <w:tr w:rsidR="00595FAD" w:rsidRPr="00661595" w:rsidTr="00FF15C6">
        <w:trPr>
          <w:trHeight w:val="680"/>
        </w:trPr>
        <w:tc>
          <w:tcPr>
            <w:tcW w:w="1384" w:type="dxa"/>
          </w:tcPr>
          <w:p w:rsidR="00595FAD" w:rsidRPr="00661595" w:rsidRDefault="00595FAD" w:rsidP="003B5CAE">
            <w:pPr>
              <w:pStyle w:val="Fait"/>
              <w:suppressAutoHyphens/>
              <w:jc w:val="left"/>
            </w:pPr>
            <w:r>
              <w:t>0020, 0100</w:t>
            </w:r>
          </w:p>
        </w:tc>
        <w:tc>
          <w:tcPr>
            <w:tcW w:w="7655" w:type="dxa"/>
            <w:vAlign w:val="center"/>
          </w:tcPr>
          <w:p w:rsidR="00595FAD" w:rsidRPr="00661595" w:rsidRDefault="00595FAD" w:rsidP="003B5CAE">
            <w:pPr>
              <w:keepNext/>
              <w:suppressAutoHyphens/>
              <w:spacing w:before="60"/>
              <w:rPr>
                <w:rStyle w:val="InstructionsTabelleberschrift"/>
                <w:rFonts w:ascii="Times New Roman" w:hAnsi="Times New Roman"/>
                <w:b w:val="0"/>
                <w:bCs w:val="0"/>
                <w:sz w:val="24"/>
              </w:rPr>
            </w:pPr>
            <w:r>
              <w:rPr>
                <w:rStyle w:val="InstructionsTabelleberschrift"/>
                <w:rFonts w:ascii="Times New Roman" w:hAnsi="Times New Roman"/>
                <w:sz w:val="24"/>
              </w:rPr>
              <w:t xml:space="preserve">IMPORTI NOZIONALI </w:t>
            </w:r>
          </w:p>
          <w:p w:rsidR="00595FAD" w:rsidRPr="00661595" w:rsidRDefault="00595FAD" w:rsidP="003B5CAE">
            <w:pPr>
              <w:keepNext/>
              <w:suppressAutoHyphens/>
              <w:spacing w:before="60"/>
              <w:rPr>
                <w:rFonts w:ascii="Times New Roman" w:hAnsi="Times New Roman"/>
                <w:i/>
                <w:strike/>
                <w:sz w:val="24"/>
              </w:rPr>
            </w:pPr>
            <w:r>
              <w:rPr>
                <w:rFonts w:ascii="Times New Roman" w:hAnsi="Times New Roman"/>
                <w:sz w:val="24"/>
              </w:rPr>
              <w:t>Cfr. istruzioni relative alla colonna 0030 del modello C 34.02.</w:t>
            </w:r>
          </w:p>
        </w:tc>
      </w:tr>
      <w:tr w:rsidR="00595FAD" w:rsidRPr="00661595" w:rsidTr="00FF15C6">
        <w:trPr>
          <w:trHeight w:val="680"/>
        </w:trPr>
        <w:tc>
          <w:tcPr>
            <w:tcW w:w="1384" w:type="dxa"/>
          </w:tcPr>
          <w:p w:rsidR="00595FAD" w:rsidRPr="00661595" w:rsidRDefault="00595FAD" w:rsidP="003B5CAE">
            <w:pPr>
              <w:pStyle w:val="Applicationdirecte"/>
              <w:suppressAutoHyphens/>
              <w:spacing w:before="0" w:after="0"/>
              <w:jc w:val="left"/>
            </w:pPr>
            <w:r>
              <w:t>0030, 0110</w:t>
            </w:r>
          </w:p>
        </w:tc>
        <w:tc>
          <w:tcPr>
            <w:tcW w:w="7655" w:type="dxa"/>
            <w:vAlign w:val="center"/>
          </w:tcPr>
          <w:p w:rsidR="00595FAD" w:rsidRPr="00661595" w:rsidRDefault="00595FAD" w:rsidP="003B5CAE">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VALORE DI MERCATO CORRENTE (CMV), POSITIVO</w:t>
            </w:r>
          </w:p>
          <w:p w:rsidR="00595FAD" w:rsidRPr="00661595" w:rsidRDefault="00595FAD" w:rsidP="003B5CAE">
            <w:pPr>
              <w:keepNext/>
              <w:suppressAutoHyphens/>
              <w:spacing w:before="60"/>
              <w:rPr>
                <w:rFonts w:ascii="Times New Roman" w:hAnsi="Times New Roman"/>
                <w:sz w:val="24"/>
              </w:rPr>
            </w:pPr>
            <w:r>
              <w:rPr>
                <w:rFonts w:ascii="Times New Roman" w:hAnsi="Times New Roman"/>
                <w:sz w:val="24"/>
              </w:rPr>
              <w:t>Somma dei valori di mercato correnti (CMV) di tutte le operazioni con CMV positivo appartenenti alla stessa classe di attività.</w:t>
            </w:r>
          </w:p>
        </w:tc>
      </w:tr>
      <w:tr w:rsidR="00595FAD" w:rsidRPr="00661595" w:rsidTr="00FF15C6">
        <w:trPr>
          <w:trHeight w:val="680"/>
        </w:trPr>
        <w:tc>
          <w:tcPr>
            <w:tcW w:w="1384" w:type="dxa"/>
          </w:tcPr>
          <w:p w:rsidR="00595FAD" w:rsidRPr="00661595" w:rsidRDefault="00595FAD" w:rsidP="003B5CAE">
            <w:pPr>
              <w:pStyle w:val="Applicationdirecte"/>
              <w:suppressAutoHyphens/>
              <w:spacing w:before="0" w:after="0"/>
              <w:jc w:val="left"/>
            </w:pPr>
            <w:r>
              <w:t>0040, 0120</w:t>
            </w:r>
          </w:p>
        </w:tc>
        <w:tc>
          <w:tcPr>
            <w:tcW w:w="7655" w:type="dxa"/>
            <w:vAlign w:val="center"/>
          </w:tcPr>
          <w:p w:rsidR="00595FAD" w:rsidRPr="00661595" w:rsidRDefault="00595FAD" w:rsidP="003B5CAE">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VALORE DI MERCATO CORRENTE (CMV), NEGATIVO</w:t>
            </w:r>
          </w:p>
          <w:p w:rsidR="00595FAD" w:rsidRPr="00661595" w:rsidRDefault="00595FAD" w:rsidP="003B5CAE">
            <w:pPr>
              <w:keepNext/>
              <w:suppressAutoHyphens/>
              <w:spacing w:before="60"/>
              <w:rPr>
                <w:rStyle w:val="InstructionsTabelleberschrift"/>
                <w:rFonts w:ascii="Times New Roman" w:hAnsi="Times New Roman"/>
                <w:sz w:val="24"/>
              </w:rPr>
            </w:pPr>
            <w:r>
              <w:rPr>
                <w:rFonts w:ascii="Times New Roman" w:hAnsi="Times New Roman"/>
                <w:sz w:val="24"/>
              </w:rPr>
              <w:t>Somma dei valori di mercato correnti (CMV) assoluti di tutte le operazioni con CMV negativo appartenenti alla stessa classe di attività.</w:t>
            </w:r>
          </w:p>
        </w:tc>
      </w:tr>
      <w:tr w:rsidR="00595FAD" w:rsidRPr="00661595" w:rsidTr="00FF15C6">
        <w:trPr>
          <w:trHeight w:val="680"/>
        </w:trPr>
        <w:tc>
          <w:tcPr>
            <w:tcW w:w="1384" w:type="dxa"/>
          </w:tcPr>
          <w:p w:rsidR="00595FAD" w:rsidRPr="00661595" w:rsidRDefault="00595FAD" w:rsidP="003B5CAE">
            <w:pPr>
              <w:pStyle w:val="Applicationdirecte"/>
              <w:suppressAutoHyphens/>
              <w:spacing w:before="0" w:after="0"/>
              <w:jc w:val="left"/>
            </w:pPr>
            <w:r>
              <w:t>0050, 0130</w:t>
            </w:r>
          </w:p>
        </w:tc>
        <w:tc>
          <w:tcPr>
            <w:tcW w:w="7655" w:type="dxa"/>
            <w:vAlign w:val="center"/>
          </w:tcPr>
          <w:p w:rsidR="00595FAD" w:rsidRPr="00661595" w:rsidRDefault="00595FAD" w:rsidP="003B5CAE">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ESPOSIZIONE CORRENTE</w:t>
            </w:r>
          </w:p>
          <w:p w:rsidR="00595FAD" w:rsidRPr="00661595" w:rsidRDefault="00595FAD" w:rsidP="003B5CAE">
            <w:pPr>
              <w:keepNext/>
              <w:suppressAutoHyphens/>
              <w:spacing w:before="60"/>
              <w:rPr>
                <w:rFonts w:ascii="Times New Roman" w:hAnsi="Times New Roman"/>
                <w:strike/>
                <w:sz w:val="24"/>
              </w:rPr>
            </w:pPr>
            <w:r>
              <w:rPr>
                <w:rFonts w:ascii="Times New Roman" w:hAnsi="Times New Roman"/>
                <w:sz w:val="24"/>
              </w:rPr>
              <w:t>Cfr. istruzioni relative alla colonna 0120 del modello C 34.02.</w:t>
            </w:r>
          </w:p>
        </w:tc>
      </w:tr>
      <w:tr w:rsidR="00595FAD" w:rsidRPr="00661595" w:rsidTr="00FF15C6">
        <w:trPr>
          <w:trHeight w:val="680"/>
        </w:trPr>
        <w:tc>
          <w:tcPr>
            <w:tcW w:w="1384" w:type="dxa"/>
          </w:tcPr>
          <w:p w:rsidR="00595FAD" w:rsidRPr="00661595" w:rsidRDefault="00595FAD" w:rsidP="003B5CAE">
            <w:pPr>
              <w:pStyle w:val="Applicationdirecte"/>
              <w:suppressAutoHyphens/>
              <w:spacing w:before="0" w:after="0"/>
              <w:jc w:val="left"/>
            </w:pPr>
            <w:r>
              <w:t>0060, 0140</w:t>
            </w:r>
          </w:p>
        </w:tc>
        <w:tc>
          <w:tcPr>
            <w:tcW w:w="7655" w:type="dxa"/>
            <w:vAlign w:val="center"/>
          </w:tcPr>
          <w:p w:rsidR="00595FAD" w:rsidRPr="00661595" w:rsidRDefault="00595FAD" w:rsidP="003B5CAE">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ESPOSIZIONE ATTESA POSITIVA EFFETTIVA (EPE EFFETTIVA)</w:t>
            </w:r>
          </w:p>
          <w:p w:rsidR="00595FAD" w:rsidRPr="00661595" w:rsidRDefault="00595FAD" w:rsidP="003B5CAE">
            <w:pPr>
              <w:pStyle w:val="Default"/>
              <w:suppressAutoHyphens/>
              <w:spacing w:after="120"/>
              <w:jc w:val="both"/>
              <w:rPr>
                <w:rFonts w:ascii="Times New Roman" w:hAnsi="Times New Roman" w:cs="Times New Roman"/>
                <w:strike/>
                <w:color w:val="auto"/>
              </w:rPr>
            </w:pPr>
            <w:r>
              <w:rPr>
                <w:rFonts w:ascii="Times New Roman" w:hAnsi="Times New Roman"/>
                <w:color w:val="auto"/>
              </w:rPr>
              <w:t>Cfr. istruzioni relative alla colonna 0130 del modello C 34.02.</w:t>
            </w:r>
          </w:p>
        </w:tc>
      </w:tr>
      <w:tr w:rsidR="00595FAD" w:rsidRPr="00661595" w:rsidTr="00FF15C6">
        <w:trPr>
          <w:trHeight w:val="680"/>
        </w:trPr>
        <w:tc>
          <w:tcPr>
            <w:tcW w:w="1384" w:type="dxa"/>
          </w:tcPr>
          <w:p w:rsidR="00595FAD" w:rsidRPr="00661595" w:rsidRDefault="00595FAD" w:rsidP="003B5CAE">
            <w:pPr>
              <w:pStyle w:val="Applicationdirecte"/>
              <w:suppressAutoHyphens/>
              <w:spacing w:before="0" w:after="0"/>
              <w:jc w:val="left"/>
            </w:pPr>
            <w:r>
              <w:t>0070, 0150</w:t>
            </w:r>
          </w:p>
        </w:tc>
        <w:tc>
          <w:tcPr>
            <w:tcW w:w="7655" w:type="dxa"/>
            <w:vAlign w:val="center"/>
          </w:tcPr>
          <w:p w:rsidR="00595FAD" w:rsidRPr="00661595" w:rsidRDefault="00595FAD" w:rsidP="003B5CAE">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EPE EFFETTIVA SOTTO STRESS</w:t>
            </w:r>
          </w:p>
          <w:p w:rsidR="00595FAD" w:rsidRPr="00661595" w:rsidRDefault="00595FAD" w:rsidP="003B5CAE">
            <w:pPr>
              <w:keepNext/>
              <w:suppressAutoHyphens/>
              <w:spacing w:before="60"/>
              <w:rPr>
                <w:rFonts w:ascii="Times New Roman" w:hAnsi="Times New Roman"/>
                <w:sz w:val="24"/>
              </w:rPr>
            </w:pPr>
            <w:r>
              <w:rPr>
                <w:rFonts w:ascii="Times New Roman" w:hAnsi="Times New Roman"/>
                <w:sz w:val="24"/>
              </w:rPr>
              <w:t>Articolo 284, paragrafo 6, e articolo 292, paragrafo 2, del CRR</w:t>
            </w:r>
          </w:p>
          <w:p w:rsidR="00595FAD" w:rsidRPr="00661595" w:rsidRDefault="00595FAD" w:rsidP="003B5CAE">
            <w:pPr>
              <w:keepNext/>
              <w:suppressAutoHyphens/>
              <w:spacing w:before="60"/>
              <w:rPr>
                <w:rFonts w:ascii="Times New Roman" w:hAnsi="Times New Roman"/>
                <w:sz w:val="24"/>
              </w:rPr>
            </w:pPr>
            <w:r>
              <w:rPr>
                <w:rFonts w:ascii="Times New Roman" w:hAnsi="Times New Roman"/>
                <w:sz w:val="24"/>
              </w:rPr>
              <w:t>L</w:t>
            </w:r>
            <w:r w:rsidR="000878EC">
              <w:rPr>
                <w:rFonts w:ascii="Times New Roman" w:hAnsi="Times New Roman"/>
                <w:sz w:val="24"/>
              </w:rPr>
              <w:t>'</w:t>
            </w:r>
            <w:r>
              <w:rPr>
                <w:rFonts w:ascii="Times New Roman" w:hAnsi="Times New Roman"/>
                <w:sz w:val="24"/>
              </w:rPr>
              <w:t>EPE effettiva sotto stress è calcolata per analogia con l</w:t>
            </w:r>
            <w:r w:rsidR="000878EC">
              <w:rPr>
                <w:rFonts w:ascii="Times New Roman" w:hAnsi="Times New Roman"/>
                <w:sz w:val="24"/>
              </w:rPr>
              <w:t>'</w:t>
            </w:r>
            <w:r>
              <w:rPr>
                <w:rFonts w:ascii="Times New Roman" w:hAnsi="Times New Roman"/>
                <w:sz w:val="24"/>
              </w:rPr>
              <w:t>EPE effettiva (articolo 284, paragrafo 6, del CRR), ma utilizzando una calibrazione di stress conformemente all</w:t>
            </w:r>
            <w:r w:rsidR="000878EC">
              <w:rPr>
                <w:rFonts w:ascii="Times New Roman" w:hAnsi="Times New Roman"/>
                <w:sz w:val="24"/>
              </w:rPr>
              <w:t>'</w:t>
            </w:r>
            <w:r>
              <w:rPr>
                <w:rFonts w:ascii="Times New Roman" w:hAnsi="Times New Roman"/>
                <w:sz w:val="24"/>
              </w:rPr>
              <w:t>articolo 292, paragrafo 2, del CRR.</w:t>
            </w:r>
          </w:p>
        </w:tc>
      </w:tr>
      <w:tr w:rsidR="00595FAD" w:rsidRPr="00661595" w:rsidTr="00FF15C6">
        <w:trPr>
          <w:trHeight w:val="680"/>
        </w:trPr>
        <w:tc>
          <w:tcPr>
            <w:tcW w:w="1384" w:type="dxa"/>
          </w:tcPr>
          <w:p w:rsidR="00595FAD" w:rsidRPr="00661595" w:rsidRDefault="00595FAD" w:rsidP="003B5CAE">
            <w:pPr>
              <w:pStyle w:val="Applicationdirecte"/>
              <w:suppressAutoHyphens/>
              <w:spacing w:before="0" w:after="0"/>
              <w:jc w:val="left"/>
            </w:pPr>
            <w:r>
              <w:t>0080, 0160, 0170</w:t>
            </w:r>
          </w:p>
        </w:tc>
        <w:tc>
          <w:tcPr>
            <w:tcW w:w="7655" w:type="dxa"/>
            <w:vAlign w:val="center"/>
          </w:tcPr>
          <w:p w:rsidR="00595FAD" w:rsidRPr="00661595" w:rsidRDefault="00595FAD" w:rsidP="003B5CAE">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VALORE DELL</w:t>
            </w:r>
            <w:r w:rsidR="000878EC">
              <w:rPr>
                <w:rStyle w:val="InstructionsTabelleberschrift"/>
                <w:rFonts w:ascii="Times New Roman" w:hAnsi="Times New Roman"/>
                <w:sz w:val="24"/>
              </w:rPr>
              <w:t>'</w:t>
            </w:r>
            <w:r>
              <w:rPr>
                <w:rStyle w:val="InstructionsTabelleberschrift"/>
                <w:rFonts w:ascii="Times New Roman" w:hAnsi="Times New Roman"/>
                <w:sz w:val="24"/>
              </w:rPr>
              <w:t>ESPOSIZIONE</w:t>
            </w:r>
          </w:p>
          <w:p w:rsidR="00595FAD" w:rsidRPr="00661595" w:rsidRDefault="00595FAD" w:rsidP="003B5CAE">
            <w:pPr>
              <w:keepNext/>
              <w:suppressAutoHyphens/>
              <w:spacing w:before="60"/>
              <w:rPr>
                <w:rStyle w:val="InstructionsTabelleberschrift"/>
                <w:rFonts w:ascii="Times New Roman" w:hAnsi="Times New Roman"/>
                <w:sz w:val="24"/>
              </w:rPr>
            </w:pPr>
            <w:r>
              <w:rPr>
                <w:rFonts w:ascii="Times New Roman" w:hAnsi="Times New Roman"/>
                <w:sz w:val="24"/>
              </w:rPr>
              <w:t>Cfr. istruzioni relative alla colonna 0170 del modello C 34.02.</w:t>
            </w:r>
          </w:p>
        </w:tc>
      </w:tr>
      <w:tr w:rsidR="00595FAD" w:rsidRPr="00661595" w:rsidTr="00FF15C6">
        <w:trPr>
          <w:trHeight w:val="680"/>
        </w:trPr>
        <w:tc>
          <w:tcPr>
            <w:tcW w:w="9039" w:type="dxa"/>
            <w:gridSpan w:val="2"/>
            <w:tcBorders>
              <w:left w:val="nil"/>
              <w:right w:val="nil"/>
            </w:tcBorders>
          </w:tcPr>
          <w:p w:rsidR="00595FAD" w:rsidRPr="00661595" w:rsidDel="00291448" w:rsidRDefault="00595FAD" w:rsidP="003B5CAE">
            <w:pPr>
              <w:keepNext/>
              <w:suppressAutoHyphens/>
              <w:spacing w:before="60"/>
              <w:rPr>
                <w:rFonts w:ascii="Times New Roman" w:hAnsi="Times New Roman"/>
                <w:i/>
                <w:szCs w:val="22"/>
                <w:lang w:eastAsia="en-CA"/>
              </w:rPr>
            </w:pP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3B5CAE">
            <w:pPr>
              <w:pStyle w:val="Applicationdirecte"/>
              <w:suppressAutoHyphens/>
              <w:spacing w:before="0"/>
              <w:jc w:val="left"/>
              <w:rPr>
                <w:b/>
              </w:rPr>
            </w:pPr>
            <w:r>
              <w:rPr>
                <w:b/>
              </w:rPr>
              <w:t xml:space="preserve">Riga </w:t>
            </w:r>
          </w:p>
        </w:tc>
        <w:tc>
          <w:tcPr>
            <w:tcW w:w="76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3B5CAE">
            <w:pPr>
              <w:pStyle w:val="TableMainHeading"/>
              <w:suppressAutoHyphens/>
              <w:spacing w:before="60"/>
              <w:rPr>
                <w:rFonts w:ascii="Times New Roman" w:hAnsi="Times New Roman"/>
                <w:b/>
                <w:sz w:val="24"/>
                <w:szCs w:val="24"/>
              </w:rPr>
            </w:pPr>
            <w:r>
              <w:rPr>
                <w:rFonts w:ascii="Times New Roman" w:hAnsi="Times New Roman"/>
                <w:b/>
                <w:sz w:val="24"/>
                <w:szCs w:val="24"/>
              </w:rPr>
              <w:t xml:space="preserve">Spiegazione </w:t>
            </w:r>
          </w:p>
        </w:tc>
      </w:tr>
      <w:tr w:rsidR="00595FAD" w:rsidRPr="00661595" w:rsidTr="00FF15C6">
        <w:trPr>
          <w:trHeight w:val="426"/>
        </w:trPr>
        <w:tc>
          <w:tcPr>
            <w:tcW w:w="1384" w:type="dxa"/>
          </w:tcPr>
          <w:p w:rsidR="00595FAD" w:rsidRPr="00661595" w:rsidRDefault="00595FAD" w:rsidP="003B5CAE">
            <w:pPr>
              <w:pStyle w:val="Applicationdirecte"/>
              <w:suppressAutoHyphens/>
              <w:spacing w:before="0" w:after="0"/>
            </w:pPr>
            <w:r>
              <w:t>0010</w:t>
            </w:r>
          </w:p>
        </w:tc>
        <w:tc>
          <w:tcPr>
            <w:tcW w:w="7655" w:type="dxa"/>
          </w:tcPr>
          <w:p w:rsidR="00595FAD" w:rsidRPr="00661595" w:rsidRDefault="00595FAD" w:rsidP="003B5CAE">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 xml:space="preserve">TOTALE </w:t>
            </w:r>
          </w:p>
          <w:p w:rsidR="00595FAD" w:rsidRPr="00661595" w:rsidRDefault="00595FAD" w:rsidP="003B5CAE">
            <w:pPr>
              <w:keepNext/>
              <w:suppressAutoHyphens/>
              <w:spacing w:before="60"/>
              <w:rPr>
                <w:sz w:val="24"/>
              </w:rPr>
            </w:pPr>
            <w:r>
              <w:rPr>
                <w:rFonts w:ascii="Times New Roman" w:hAnsi="Times New Roman"/>
                <w:sz w:val="24"/>
              </w:rPr>
              <w:t>Articolo 283 del CRR</w:t>
            </w:r>
          </w:p>
          <w:p w:rsidR="00595FAD" w:rsidRPr="00661595" w:rsidRDefault="00595FAD" w:rsidP="003B5CAE">
            <w:pPr>
              <w:suppressAutoHyphens/>
              <w:rPr>
                <w:sz w:val="24"/>
              </w:rPr>
            </w:pPr>
            <w:r>
              <w:rPr>
                <w:rFonts w:ascii="Times New Roman" w:hAnsi="Times New Roman"/>
                <w:sz w:val="24"/>
              </w:rPr>
              <w:t>L</w:t>
            </w:r>
            <w:r w:rsidR="000878EC">
              <w:rPr>
                <w:rFonts w:ascii="Times New Roman" w:hAnsi="Times New Roman"/>
                <w:sz w:val="24"/>
              </w:rPr>
              <w:t>'</w:t>
            </w:r>
            <w:r>
              <w:rPr>
                <w:rFonts w:ascii="Times New Roman" w:hAnsi="Times New Roman"/>
                <w:sz w:val="24"/>
              </w:rPr>
              <w:t>ente segnala le informazioni pertinenti relative a derivati, operazioni con regolamento a lungo termine e SFT per i quali è stato autorizzato a determinare il valore dell</w:t>
            </w:r>
            <w:r w:rsidR="000878EC">
              <w:rPr>
                <w:rFonts w:ascii="Times New Roman" w:hAnsi="Times New Roman"/>
                <w:sz w:val="24"/>
              </w:rPr>
              <w:t>'</w:t>
            </w:r>
            <w:r>
              <w:rPr>
                <w:rFonts w:ascii="Times New Roman" w:hAnsi="Times New Roman"/>
                <w:sz w:val="24"/>
              </w:rPr>
              <w:t>esposizione calcolato utilizzando il metodo dei modelli interni (IMM) conformemente all</w:t>
            </w:r>
            <w:r w:rsidR="000878EC">
              <w:rPr>
                <w:rFonts w:ascii="Times New Roman" w:hAnsi="Times New Roman"/>
                <w:sz w:val="24"/>
              </w:rPr>
              <w:t>'</w:t>
            </w:r>
            <w:r>
              <w:rPr>
                <w:rFonts w:ascii="Times New Roman" w:hAnsi="Times New Roman"/>
                <w:sz w:val="24"/>
              </w:rPr>
              <w:t>articolo 283 del CRR.</w:t>
            </w:r>
          </w:p>
        </w:tc>
      </w:tr>
      <w:tr w:rsidR="00595FAD" w:rsidRPr="00661595" w:rsidTr="00FF15C6">
        <w:trPr>
          <w:trHeight w:val="829"/>
        </w:trPr>
        <w:tc>
          <w:tcPr>
            <w:tcW w:w="1384" w:type="dxa"/>
          </w:tcPr>
          <w:p w:rsidR="00595FAD" w:rsidRPr="00661595" w:rsidRDefault="00595FAD" w:rsidP="003B5CAE">
            <w:pPr>
              <w:pStyle w:val="Applicationdirecte"/>
              <w:suppressAutoHyphens/>
              <w:spacing w:before="0" w:after="0"/>
            </w:pPr>
            <w:r>
              <w:t>0020</w:t>
            </w:r>
          </w:p>
        </w:tc>
        <w:tc>
          <w:tcPr>
            <w:tcW w:w="7655" w:type="dxa"/>
          </w:tcPr>
          <w:p w:rsidR="00595FAD" w:rsidRPr="00661595" w:rsidRDefault="00595FAD" w:rsidP="003B5CAE">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di cui: Posizioni con SWWR</w:t>
            </w:r>
          </w:p>
          <w:p w:rsidR="00595FAD" w:rsidRPr="00661595" w:rsidRDefault="00595FAD" w:rsidP="003B5CAE">
            <w:pPr>
              <w:suppressAutoHyphens/>
              <w:rPr>
                <w:rFonts w:ascii="Times New Roman" w:hAnsi="Times New Roman"/>
                <w:sz w:val="24"/>
              </w:rPr>
            </w:pPr>
            <w:r>
              <w:rPr>
                <w:rFonts w:ascii="Times New Roman" w:hAnsi="Times New Roman"/>
                <w:sz w:val="24"/>
              </w:rPr>
              <w:t>Cfr. istruzioni relative alla riga 0120 del C 34.02.</w:t>
            </w:r>
          </w:p>
        </w:tc>
      </w:tr>
      <w:tr w:rsidR="00595FAD" w:rsidRPr="00661595" w:rsidTr="00FF15C6">
        <w:trPr>
          <w:trHeight w:val="842"/>
        </w:trPr>
        <w:tc>
          <w:tcPr>
            <w:tcW w:w="1384" w:type="dxa"/>
          </w:tcPr>
          <w:p w:rsidR="00595FAD" w:rsidRPr="00661595" w:rsidRDefault="00595FAD" w:rsidP="003B5CAE">
            <w:pPr>
              <w:pStyle w:val="Applicationdirecte"/>
              <w:suppressAutoHyphens/>
              <w:spacing w:before="0" w:after="0"/>
              <w:jc w:val="left"/>
            </w:pPr>
            <w:r>
              <w:t>0030</w:t>
            </w:r>
          </w:p>
        </w:tc>
        <w:tc>
          <w:tcPr>
            <w:tcW w:w="7655" w:type="dxa"/>
          </w:tcPr>
          <w:p w:rsidR="00595FAD" w:rsidRPr="00661595" w:rsidRDefault="00595FAD" w:rsidP="003B5CAE">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Insiemi di attività soggette a compensazione trattati con il metodo standardizzato per il CR</w:t>
            </w:r>
          </w:p>
          <w:p w:rsidR="00595FAD" w:rsidRPr="00661595" w:rsidRDefault="00595FAD" w:rsidP="003B5CAE">
            <w:pPr>
              <w:suppressAutoHyphens/>
              <w:rPr>
                <w:rStyle w:val="InstructionsTabelleberschrift"/>
                <w:rFonts w:ascii="Times New Roman" w:hAnsi="Times New Roman" w:cstheme="minorBidi"/>
                <w:b w:val="0"/>
                <w:bCs w:val="0"/>
                <w:sz w:val="24"/>
              </w:rPr>
            </w:pPr>
            <w:r>
              <w:rPr>
                <w:rFonts w:ascii="Times New Roman" w:hAnsi="Times New Roman"/>
                <w:sz w:val="24"/>
              </w:rPr>
              <w:t>Cfr. istruzioni relative alla colonna 0180 del C 34.02.</w:t>
            </w:r>
          </w:p>
        </w:tc>
      </w:tr>
      <w:tr w:rsidR="00595FAD" w:rsidRPr="00661595" w:rsidTr="00FF15C6">
        <w:trPr>
          <w:trHeight w:val="839"/>
        </w:trPr>
        <w:tc>
          <w:tcPr>
            <w:tcW w:w="1384" w:type="dxa"/>
          </w:tcPr>
          <w:p w:rsidR="00595FAD" w:rsidRPr="00661595" w:rsidRDefault="00595FAD" w:rsidP="003B5CAE">
            <w:pPr>
              <w:pStyle w:val="Applicationdirecte"/>
              <w:suppressAutoHyphens/>
              <w:spacing w:before="0" w:after="0"/>
              <w:jc w:val="left"/>
            </w:pPr>
            <w:r>
              <w:t>0040</w:t>
            </w:r>
          </w:p>
        </w:tc>
        <w:tc>
          <w:tcPr>
            <w:tcW w:w="7655" w:type="dxa"/>
          </w:tcPr>
          <w:p w:rsidR="00595FAD" w:rsidRPr="00661595" w:rsidRDefault="00595FAD" w:rsidP="003B5CAE">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Insiemi di attività soggette a compensazione trattati con il metodo CR IRB</w:t>
            </w:r>
          </w:p>
          <w:p w:rsidR="00595FAD" w:rsidRPr="00661595" w:rsidRDefault="00595FAD" w:rsidP="003B5CAE">
            <w:pPr>
              <w:suppressAutoHyphens/>
              <w:rPr>
                <w:rStyle w:val="InstructionsTabelleberschrift"/>
                <w:rFonts w:ascii="Times New Roman" w:hAnsi="Times New Roman" w:cstheme="minorBidi"/>
                <w:b w:val="0"/>
                <w:bCs w:val="0"/>
                <w:sz w:val="24"/>
              </w:rPr>
            </w:pPr>
            <w:r>
              <w:rPr>
                <w:rFonts w:ascii="Times New Roman" w:hAnsi="Times New Roman"/>
                <w:sz w:val="24"/>
              </w:rPr>
              <w:t>Cfr. istruzioni relative alla colonna 0190 del C 34.02.</w:t>
            </w:r>
          </w:p>
        </w:tc>
      </w:tr>
      <w:tr w:rsidR="00595FAD" w:rsidRPr="00661595" w:rsidTr="00FF15C6">
        <w:trPr>
          <w:trHeight w:val="1971"/>
        </w:trPr>
        <w:tc>
          <w:tcPr>
            <w:tcW w:w="1384" w:type="dxa"/>
          </w:tcPr>
          <w:p w:rsidR="00595FAD" w:rsidRPr="00661595" w:rsidRDefault="00595FAD" w:rsidP="003B5CAE">
            <w:pPr>
              <w:pStyle w:val="Applicationdirecte"/>
              <w:suppressAutoHyphens/>
              <w:spacing w:before="0" w:after="0"/>
              <w:jc w:val="left"/>
            </w:pPr>
            <w:r>
              <w:t>0050-0110</w:t>
            </w:r>
          </w:p>
        </w:tc>
        <w:tc>
          <w:tcPr>
            <w:tcW w:w="7655" w:type="dxa"/>
          </w:tcPr>
          <w:p w:rsidR="00595FAD" w:rsidRPr="00661595" w:rsidRDefault="00595FAD" w:rsidP="003B5CAE">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DERIVATI OTC</w:t>
            </w:r>
          </w:p>
          <w:p w:rsidR="00595FAD" w:rsidRPr="00661595" w:rsidRDefault="00595FAD" w:rsidP="003B5CAE">
            <w:pPr>
              <w:suppressAutoHyphens/>
              <w:rPr>
                <w:rFonts w:ascii="Times New Roman" w:hAnsi="Times New Roman"/>
                <w:sz w:val="24"/>
              </w:rPr>
            </w:pPr>
            <w:r>
              <w:rPr>
                <w:rFonts w:ascii="Times New Roman" w:hAnsi="Times New Roman"/>
                <w:sz w:val="24"/>
              </w:rPr>
              <w:t>L</w:t>
            </w:r>
            <w:r w:rsidR="000878EC">
              <w:rPr>
                <w:rFonts w:ascii="Times New Roman" w:hAnsi="Times New Roman"/>
                <w:sz w:val="24"/>
              </w:rPr>
              <w:t>'</w:t>
            </w:r>
            <w:r>
              <w:rPr>
                <w:rFonts w:ascii="Times New Roman" w:hAnsi="Times New Roman"/>
                <w:sz w:val="24"/>
              </w:rPr>
              <w:t>ente segnala le informazioni pertinenti riguardanti gli insiemi di attività soggette a compensazione contenenti solo derivati OTC o operazioni con regolamento a lungo termine per i quali è stato autorizzato a determinare il valore dell</w:t>
            </w:r>
            <w:r w:rsidR="000878EC">
              <w:rPr>
                <w:rFonts w:ascii="Times New Roman" w:hAnsi="Times New Roman"/>
                <w:sz w:val="24"/>
              </w:rPr>
              <w:t>'</w:t>
            </w:r>
            <w:r>
              <w:rPr>
                <w:rFonts w:ascii="Times New Roman" w:hAnsi="Times New Roman"/>
                <w:sz w:val="24"/>
              </w:rPr>
              <w:t>esposizione utilizzando l</w:t>
            </w:r>
            <w:r w:rsidR="000878EC">
              <w:rPr>
                <w:rFonts w:ascii="Times New Roman" w:hAnsi="Times New Roman"/>
                <w:sz w:val="24"/>
              </w:rPr>
              <w:t>'</w:t>
            </w:r>
            <w:r>
              <w:rPr>
                <w:rFonts w:ascii="Times New Roman" w:hAnsi="Times New Roman"/>
                <w:sz w:val="24"/>
              </w:rPr>
              <w:t>IMM ripartito per le diverse classi di attività in relazione al sottostante (tasso di interesse, valuta, credito, azioni, merce o altro).</w:t>
            </w:r>
          </w:p>
        </w:tc>
      </w:tr>
      <w:tr w:rsidR="00595FAD" w:rsidRPr="00661595" w:rsidTr="00FF15C6">
        <w:trPr>
          <w:trHeight w:val="1970"/>
        </w:trPr>
        <w:tc>
          <w:tcPr>
            <w:tcW w:w="1384" w:type="dxa"/>
          </w:tcPr>
          <w:p w:rsidR="00595FAD" w:rsidRPr="00661595" w:rsidRDefault="00595FAD" w:rsidP="003B5CAE">
            <w:pPr>
              <w:pStyle w:val="Applicationdirecte"/>
              <w:suppressAutoHyphens/>
              <w:spacing w:before="0" w:after="0"/>
            </w:pPr>
            <w:r>
              <w:t>0120-0180</w:t>
            </w:r>
          </w:p>
        </w:tc>
        <w:tc>
          <w:tcPr>
            <w:tcW w:w="7655" w:type="dxa"/>
          </w:tcPr>
          <w:p w:rsidR="00595FAD" w:rsidRPr="00661595" w:rsidRDefault="00595FAD" w:rsidP="003B5CAE">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DERIVATI NEGOZIATI IN BORSA</w:t>
            </w:r>
          </w:p>
          <w:p w:rsidR="00595FAD" w:rsidRPr="00661595" w:rsidRDefault="00595FAD" w:rsidP="003B5CAE">
            <w:pPr>
              <w:suppressAutoHyphens/>
              <w:rPr>
                <w:rFonts w:ascii="Times New Roman" w:hAnsi="Times New Roman"/>
                <w:sz w:val="24"/>
              </w:rPr>
            </w:pPr>
            <w:r>
              <w:rPr>
                <w:rFonts w:ascii="Times New Roman" w:hAnsi="Times New Roman"/>
                <w:sz w:val="24"/>
              </w:rPr>
              <w:t>L</w:t>
            </w:r>
            <w:r w:rsidR="000878EC">
              <w:rPr>
                <w:rFonts w:ascii="Times New Roman" w:hAnsi="Times New Roman"/>
                <w:sz w:val="24"/>
              </w:rPr>
              <w:t>'</w:t>
            </w:r>
            <w:r>
              <w:rPr>
                <w:rFonts w:ascii="Times New Roman" w:hAnsi="Times New Roman"/>
                <w:sz w:val="24"/>
              </w:rPr>
              <w:t>ente segnala le informazioni pertinenti riguardanti gli insiemi di attività soggette a compensazione contenenti solo derivati negoziati in borsa o operazioni con regolamento a lungo termine per i quali è stato autorizzato a determinare il valore dell</w:t>
            </w:r>
            <w:r w:rsidR="000878EC">
              <w:rPr>
                <w:rFonts w:ascii="Times New Roman" w:hAnsi="Times New Roman"/>
                <w:sz w:val="24"/>
              </w:rPr>
              <w:t>'</w:t>
            </w:r>
            <w:r>
              <w:rPr>
                <w:rFonts w:ascii="Times New Roman" w:hAnsi="Times New Roman"/>
                <w:sz w:val="24"/>
              </w:rPr>
              <w:t>esposizione utilizzando l</w:t>
            </w:r>
            <w:r w:rsidR="000878EC">
              <w:rPr>
                <w:rFonts w:ascii="Times New Roman" w:hAnsi="Times New Roman"/>
                <w:sz w:val="24"/>
              </w:rPr>
              <w:t>'</w:t>
            </w:r>
            <w:r>
              <w:rPr>
                <w:rFonts w:ascii="Times New Roman" w:hAnsi="Times New Roman"/>
                <w:sz w:val="24"/>
              </w:rPr>
              <w:t>IMM ripartito per le diverse classi di attività in relazione al sottostante (tasso di interesse, valuta, credito, azioni, merce o altro).</w:t>
            </w:r>
          </w:p>
        </w:tc>
      </w:tr>
      <w:tr w:rsidR="00595FAD" w:rsidRPr="00661595" w:rsidTr="00FF15C6">
        <w:trPr>
          <w:trHeight w:val="1701"/>
        </w:trPr>
        <w:tc>
          <w:tcPr>
            <w:tcW w:w="1384" w:type="dxa"/>
          </w:tcPr>
          <w:p w:rsidR="00595FAD" w:rsidRPr="00661595" w:rsidRDefault="00595FAD" w:rsidP="003B5CAE">
            <w:pPr>
              <w:pStyle w:val="Applicationdirecte"/>
              <w:suppressAutoHyphens/>
              <w:spacing w:before="0" w:after="0"/>
            </w:pPr>
            <w:r>
              <w:t>0190-0220</w:t>
            </w:r>
          </w:p>
        </w:tc>
        <w:tc>
          <w:tcPr>
            <w:tcW w:w="7655" w:type="dxa"/>
          </w:tcPr>
          <w:p w:rsidR="00595FAD" w:rsidRPr="00661595" w:rsidRDefault="00595FAD" w:rsidP="003B5CAE">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OPERAZIONI DI FINANZIAMENTO TRAMITE TITOLI</w:t>
            </w:r>
          </w:p>
          <w:p w:rsidR="00595FAD" w:rsidRPr="00661595" w:rsidRDefault="00595FAD" w:rsidP="003B5CAE">
            <w:pPr>
              <w:suppressAutoHyphens/>
              <w:rPr>
                <w:rFonts w:ascii="Times New Roman" w:hAnsi="Times New Roman"/>
                <w:sz w:val="24"/>
              </w:rPr>
            </w:pPr>
            <w:r>
              <w:rPr>
                <w:rFonts w:ascii="Times New Roman" w:hAnsi="Times New Roman"/>
                <w:sz w:val="24"/>
              </w:rPr>
              <w:t>L</w:t>
            </w:r>
            <w:r w:rsidR="000878EC">
              <w:rPr>
                <w:rFonts w:ascii="Times New Roman" w:hAnsi="Times New Roman"/>
                <w:sz w:val="24"/>
              </w:rPr>
              <w:t>'</w:t>
            </w:r>
            <w:r>
              <w:rPr>
                <w:rFonts w:ascii="Times New Roman" w:hAnsi="Times New Roman"/>
                <w:sz w:val="24"/>
              </w:rPr>
              <w:t>ente segnala le informazioni pertinenti riguardanti gli insiemi di attività soggette a compensazione contenenti solo SFT per le quali è stato autorizzato a determinare il valore dell</w:t>
            </w:r>
            <w:r w:rsidR="000878EC">
              <w:rPr>
                <w:rFonts w:ascii="Times New Roman" w:hAnsi="Times New Roman"/>
                <w:sz w:val="24"/>
              </w:rPr>
              <w:t>'</w:t>
            </w:r>
            <w:r>
              <w:rPr>
                <w:rFonts w:ascii="Times New Roman" w:hAnsi="Times New Roman"/>
                <w:sz w:val="24"/>
              </w:rPr>
              <w:t>esposizione utilizzando l</w:t>
            </w:r>
            <w:r w:rsidR="000878EC">
              <w:rPr>
                <w:rFonts w:ascii="Times New Roman" w:hAnsi="Times New Roman"/>
                <w:sz w:val="24"/>
              </w:rPr>
              <w:t>'</w:t>
            </w:r>
            <w:r>
              <w:rPr>
                <w:rFonts w:ascii="Times New Roman" w:hAnsi="Times New Roman"/>
                <w:sz w:val="24"/>
              </w:rPr>
              <w:t>IMM ripartito per tipo di sottostante nella componente titoli dell</w:t>
            </w:r>
            <w:r w:rsidR="000878EC">
              <w:rPr>
                <w:rFonts w:ascii="Times New Roman" w:hAnsi="Times New Roman"/>
                <w:sz w:val="24"/>
              </w:rPr>
              <w:t>'</w:t>
            </w:r>
            <w:r>
              <w:rPr>
                <w:rFonts w:ascii="Times New Roman" w:hAnsi="Times New Roman"/>
                <w:sz w:val="24"/>
              </w:rPr>
              <w:t>SFT (obbligazioni, azioni o altro).</w:t>
            </w:r>
          </w:p>
        </w:tc>
      </w:tr>
      <w:tr w:rsidR="00595FAD" w:rsidRPr="00661595" w:rsidTr="00FF15C6">
        <w:trPr>
          <w:trHeight w:val="833"/>
        </w:trPr>
        <w:tc>
          <w:tcPr>
            <w:tcW w:w="1384" w:type="dxa"/>
          </w:tcPr>
          <w:p w:rsidR="00595FAD" w:rsidRPr="00661595" w:rsidRDefault="00595FAD" w:rsidP="003B5CAE">
            <w:pPr>
              <w:pStyle w:val="Applicationdirecte"/>
              <w:suppressAutoHyphens/>
              <w:spacing w:before="0" w:after="0"/>
            </w:pPr>
            <w:r>
              <w:t>0230</w:t>
            </w:r>
          </w:p>
        </w:tc>
        <w:tc>
          <w:tcPr>
            <w:tcW w:w="7655" w:type="dxa"/>
          </w:tcPr>
          <w:p w:rsidR="00595FAD" w:rsidRPr="00661595" w:rsidRDefault="00595FAD" w:rsidP="003B5CAE">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INSIEMI DI ATTIVITÀ SOGGETTE AD ACCORDO DI COMPENSAZIONE CONTRATTUALE TRA PRODOTTI DIFFERENTI</w:t>
            </w:r>
          </w:p>
          <w:p w:rsidR="00595FAD" w:rsidRPr="00661595" w:rsidRDefault="00595FAD" w:rsidP="003B5CAE">
            <w:pPr>
              <w:suppressAutoHyphens/>
              <w:rPr>
                <w:rFonts w:ascii="Times New Roman" w:hAnsi="Times New Roman"/>
                <w:sz w:val="24"/>
              </w:rPr>
            </w:pPr>
            <w:r>
              <w:rPr>
                <w:rFonts w:ascii="Times New Roman" w:hAnsi="Times New Roman"/>
                <w:sz w:val="24"/>
              </w:rPr>
              <w:t>Cfr. istruzioni relative alla riga 0070 del C 34.02.</w:t>
            </w:r>
          </w:p>
        </w:tc>
      </w:tr>
    </w:tbl>
    <w:p w:rsidR="00595FAD" w:rsidRPr="00661595" w:rsidRDefault="00595FAD" w:rsidP="00595FAD">
      <w:pPr>
        <w:tabs>
          <w:tab w:val="left" w:pos="1430"/>
        </w:tabs>
        <w:rPr>
          <w:rFonts w:ascii="Times New Roman" w:hAnsi="Times New Roman"/>
        </w:rPr>
      </w:pPr>
    </w:p>
    <w:p w:rsidR="00595FAD" w:rsidRPr="00661595" w:rsidRDefault="00595FAD" w:rsidP="00595FAD">
      <w:pPr>
        <w:tabs>
          <w:tab w:val="left" w:pos="1430"/>
        </w:tabs>
        <w:rPr>
          <w:rFonts w:ascii="Times New Roman" w:hAnsi="Times New Roman"/>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68" w:name="_Toc19715816"/>
      <w:bookmarkStart w:id="469" w:name="_Toc58915809"/>
      <w:r>
        <w:rPr>
          <w:rFonts w:ascii="Times New Roman" w:hAnsi="Times New Roman"/>
          <w:sz w:val="24"/>
        </w:rPr>
        <w:t>C 34.06 - Principali venti controparti</w:t>
      </w:r>
      <w:bookmarkEnd w:id="468"/>
      <w:bookmarkEnd w:id="469"/>
    </w:p>
    <w:p w:rsidR="00595FAD" w:rsidRPr="00661595" w:rsidRDefault="00595FAD" w:rsidP="002F29AF">
      <w:pPr>
        <w:pStyle w:val="Instructionsberschrift2"/>
        <w:numPr>
          <w:ilvl w:val="3"/>
          <w:numId w:val="48"/>
        </w:numPr>
        <w:rPr>
          <w:rFonts w:ascii="Times New Roman" w:hAnsi="Times New Roman" w:cs="Times New Roman"/>
          <w:sz w:val="24"/>
        </w:rPr>
      </w:pPr>
      <w:bookmarkStart w:id="470" w:name="_Toc19715817"/>
      <w:bookmarkStart w:id="471" w:name="_Toc58915810"/>
      <w:r>
        <w:rPr>
          <w:rFonts w:ascii="Times New Roman" w:hAnsi="Times New Roman"/>
          <w:sz w:val="24"/>
        </w:rPr>
        <w:t>Osservazioni di carattere generale</w:t>
      </w:r>
      <w:bookmarkEnd w:id="470"/>
      <w:bookmarkEnd w:id="471"/>
    </w:p>
    <w:p w:rsidR="00595FAD" w:rsidRPr="00661595" w:rsidRDefault="00A971CA" w:rsidP="003B5CAE">
      <w:pPr>
        <w:pStyle w:val="InstructionsText2"/>
        <w:numPr>
          <w:ilvl w:val="0"/>
          <w:numId w:val="0"/>
        </w:numPr>
        <w:ind w:left="1680" w:hanging="480"/>
      </w:pPr>
      <w:r>
        <w:fldChar w:fldCharType="begin"/>
      </w:r>
      <w:r>
        <w:instrText xml:space="preserve"> seq paragraphs </w:instrText>
      </w:r>
      <w:r>
        <w:fldChar w:fldCharType="separate"/>
      </w:r>
      <w:r w:rsidR="00D11E4C">
        <w:rPr>
          <w:noProof/>
        </w:rPr>
        <w:t>126</w:t>
      </w:r>
      <w:r>
        <w:rPr>
          <w:noProof/>
        </w:rPr>
        <w:fldChar w:fldCharType="end"/>
      </w:r>
      <w:r w:rsidR="003B5CAE">
        <w:t>.</w:t>
      </w:r>
      <w:r w:rsidR="003B5CAE">
        <w:tab/>
      </w:r>
      <w:r w:rsidR="00D11E4C">
        <w:t xml:space="preserve">Gli enti segnalano le informazioni sulle principali 20 controparti con le quali hanno le esposizioni soggette al CCR più elevate. La classificazione è effettuata utilizzando i valori delle esposizioni </w:t>
      </w:r>
      <w:r w:rsidR="003B5CAE">
        <w:t>al CCR, segnalati nella colonna </w:t>
      </w:r>
      <w:r w:rsidR="00D11E4C">
        <w:t>0120 di questo modello, di tutti gli insiemi di attività soggette a compensazione con le rispettive controparti. Le esposizioni intragruppo o altre esposizioni che danno origine a un rischio di controparte ma per le quali gli enti assegnano un fattore di ponderazione del rischio pari a zero ai fini del calcolo dei requisiti di fondi propri, conformemente all</w:t>
      </w:r>
      <w:r w:rsidR="000878EC">
        <w:t>'</w:t>
      </w:r>
      <w:r w:rsidR="00D11E4C">
        <w:t>articolo 113, paragrafi 6 e 7, del CRR, continuano a essere prese in considerazione nel determinare l</w:t>
      </w:r>
      <w:r w:rsidR="000878EC">
        <w:t>'</w:t>
      </w:r>
      <w:r w:rsidR="00D11E4C">
        <w:t>elenco delle principali 20 controparti.</w:t>
      </w:r>
    </w:p>
    <w:p w:rsidR="00595FAD" w:rsidRPr="00661595" w:rsidRDefault="00A971CA" w:rsidP="003B5CAE">
      <w:pPr>
        <w:pStyle w:val="InstructionsText2"/>
        <w:numPr>
          <w:ilvl w:val="0"/>
          <w:numId w:val="0"/>
        </w:numPr>
        <w:ind w:left="1680" w:hanging="480"/>
      </w:pPr>
      <w:r>
        <w:fldChar w:fldCharType="begin"/>
      </w:r>
      <w:r>
        <w:instrText xml:space="preserve"> seq paragraphs </w:instrText>
      </w:r>
      <w:r>
        <w:fldChar w:fldCharType="separate"/>
      </w:r>
      <w:r w:rsidR="00D11E4C">
        <w:rPr>
          <w:noProof/>
        </w:rPr>
        <w:t>127</w:t>
      </w:r>
      <w:r>
        <w:rPr>
          <w:noProof/>
        </w:rPr>
        <w:fldChar w:fldCharType="end"/>
      </w:r>
      <w:r w:rsidR="003B5CAE">
        <w:t>.</w:t>
      </w:r>
      <w:r w:rsidR="003B5CAE">
        <w:tab/>
      </w:r>
      <w:r w:rsidR="00D11E4C">
        <w:t>Gli enti che applicano il metodo standardizzato (SA-CCR) o il metodo dei modelli interni (IMM) per il calcolo delle esposizioni soggette al CCR conformemente alla parte tre, titolo II, capo 6, sezioni 3 e 6, del CRR compilano tale modello su base trimestrale. Gli enti che applicano il metodo standardizzato semplificato o il metodo dell</w:t>
      </w:r>
      <w:r w:rsidR="000878EC">
        <w:t>'</w:t>
      </w:r>
      <w:r w:rsidR="00D11E4C">
        <w:t xml:space="preserve">esposizione originaria (OEM) per il calcolo delle esposizioni soggette al CCR conformemente alla parte tre, titolo II, capo 6, sezioni 4 e 5, del CRR compilano tale modello su base semestrale. </w:t>
      </w:r>
      <w:bookmarkStart w:id="472" w:name="_Toc19715818"/>
      <w:r w:rsidR="00D11E4C">
        <w:t>Istruzioni relative a posizioni specifiche</w:t>
      </w:r>
      <w:bookmarkEnd w:id="472"/>
      <w:r w:rsidR="00D11E4C">
        <w:t>.</w:t>
      </w:r>
    </w:p>
    <w:p w:rsidR="00595FAD" w:rsidRPr="00661595" w:rsidRDefault="00595FAD" w:rsidP="002F29AF">
      <w:pPr>
        <w:pStyle w:val="Instructionsberschrift2"/>
        <w:numPr>
          <w:ilvl w:val="3"/>
          <w:numId w:val="48"/>
        </w:numPr>
        <w:rPr>
          <w:rFonts w:ascii="Times New Roman" w:hAnsi="Times New Roman" w:cs="Times New Roman"/>
          <w:sz w:val="24"/>
        </w:rPr>
      </w:pPr>
      <w:bookmarkStart w:id="473" w:name="_Toc58915811"/>
      <w:r>
        <w:rPr>
          <w:rFonts w:ascii="Times New Roman" w:hAnsi="Times New Roman"/>
          <w:sz w:val="24"/>
        </w:rPr>
        <w:t>Istruzioni relative a posizioni specifiche</w:t>
      </w:r>
      <w:bookmarkEnd w:id="47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tcBorders>
              <w:right w:val="single" w:sz="4" w:space="0" w:color="auto"/>
            </w:tcBorders>
            <w:shd w:val="clear" w:color="auto" w:fill="D9D9D9" w:themeFill="background1" w:themeFillShade="D9"/>
          </w:tcPr>
          <w:p w:rsidR="00595FAD" w:rsidRPr="00751FBE" w:rsidRDefault="00595FAD" w:rsidP="00B00AE0">
            <w:pPr>
              <w:suppressAutoHyphens/>
              <w:autoSpaceDE w:val="0"/>
              <w:autoSpaceDN w:val="0"/>
              <w:adjustRightInd w:val="0"/>
              <w:rPr>
                <w:rFonts w:ascii="Times New Roman" w:hAnsi="Times New Roman"/>
                <w:b/>
                <w:sz w:val="24"/>
              </w:rPr>
            </w:pPr>
            <w:r>
              <w:rPr>
                <w:rFonts w:ascii="Times New Roman" w:hAnsi="Times New Roman"/>
                <w:b/>
                <w:sz w:val="24"/>
              </w:rPr>
              <w:t>Colonne</w:t>
            </w:r>
          </w:p>
        </w:tc>
      </w:tr>
      <w:tr w:rsidR="00595FAD" w:rsidRPr="00661595" w:rsidTr="00FF15C6">
        <w:trPr>
          <w:trHeight w:val="680"/>
        </w:trPr>
        <w:tc>
          <w:tcPr>
            <w:tcW w:w="1384" w:type="dxa"/>
          </w:tcPr>
          <w:p w:rsidR="00595FAD" w:rsidRPr="00661595" w:rsidRDefault="001C2A41" w:rsidP="00B00AE0">
            <w:pPr>
              <w:pStyle w:val="Applicationdirecte"/>
              <w:suppressAutoHyphens/>
              <w:spacing w:before="0" w:after="0"/>
            </w:pPr>
            <w:r>
              <w:t>0011</w:t>
            </w:r>
          </w:p>
        </w:tc>
        <w:tc>
          <w:tcPr>
            <w:tcW w:w="7655" w:type="dxa"/>
            <w:vAlign w:val="center"/>
          </w:tcPr>
          <w:p w:rsidR="00595FAD" w:rsidRPr="00661595" w:rsidRDefault="00595FAD" w:rsidP="00B00AE0">
            <w:pPr>
              <w:keepNext/>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NOME</w:t>
            </w:r>
          </w:p>
          <w:p w:rsidR="00595FAD" w:rsidRPr="00661595" w:rsidRDefault="00595FAD" w:rsidP="00B00AE0">
            <w:pPr>
              <w:keepNext/>
              <w:suppressAutoHyphens/>
              <w:spacing w:before="60"/>
              <w:rPr>
                <w:rFonts w:ascii="Times New Roman" w:hAnsi="Times New Roman"/>
                <w:szCs w:val="22"/>
              </w:rPr>
            </w:pPr>
            <w:r>
              <w:rPr>
                <w:rFonts w:ascii="Times New Roman" w:hAnsi="Times New Roman"/>
                <w:sz w:val="24"/>
                <w:szCs w:val="22"/>
              </w:rPr>
              <w:t>Denominazione della controparte</w:t>
            </w:r>
          </w:p>
        </w:tc>
      </w:tr>
      <w:tr w:rsidR="00595FAD" w:rsidRPr="00661595" w:rsidTr="00FF15C6">
        <w:trPr>
          <w:trHeight w:val="680"/>
        </w:trPr>
        <w:tc>
          <w:tcPr>
            <w:tcW w:w="1384" w:type="dxa"/>
          </w:tcPr>
          <w:p w:rsidR="00595FAD" w:rsidRPr="00661595" w:rsidRDefault="00595FAD" w:rsidP="00B00AE0">
            <w:pPr>
              <w:pStyle w:val="Applicationdirecte"/>
              <w:suppressAutoHyphens/>
              <w:spacing w:before="0" w:after="0"/>
            </w:pPr>
            <w:r>
              <w:t>0020</w:t>
            </w:r>
          </w:p>
        </w:tc>
        <w:tc>
          <w:tcPr>
            <w:tcW w:w="7655" w:type="dxa"/>
            <w:vAlign w:val="center"/>
          </w:tcPr>
          <w:p w:rsidR="00595FAD" w:rsidRPr="00661595" w:rsidRDefault="00595FAD" w:rsidP="00B00AE0">
            <w:pPr>
              <w:keepNext/>
              <w:suppressAutoHyphens/>
              <w:spacing w:before="60"/>
              <w:rPr>
                <w:rFonts w:ascii="Times New Roman" w:hAnsi="Times New Roman"/>
                <w:b/>
                <w:sz w:val="24"/>
                <w:u w:val="single"/>
              </w:rPr>
            </w:pPr>
            <w:r>
              <w:rPr>
                <w:rFonts w:ascii="Times New Roman" w:hAnsi="Times New Roman"/>
                <w:b/>
                <w:sz w:val="24"/>
                <w:u w:val="single"/>
              </w:rPr>
              <w:t>CODICE</w:t>
            </w:r>
          </w:p>
          <w:p w:rsidR="00595FAD" w:rsidRPr="00661595" w:rsidRDefault="00595FAD" w:rsidP="00B00AE0">
            <w:pPr>
              <w:keepNext/>
              <w:suppressAutoHyphens/>
              <w:spacing w:before="60"/>
              <w:rPr>
                <w:rFonts w:ascii="Times New Roman" w:hAnsi="Times New Roman"/>
                <w:sz w:val="24"/>
                <w:u w:val="single"/>
              </w:rPr>
            </w:pPr>
            <w:r>
              <w:rPr>
                <w:rFonts w:ascii="Times New Roman" w:hAnsi="Times New Roman"/>
                <w:iCs/>
                <w:sz w:val="24"/>
              </w:rPr>
              <w:t>Il codice come parte di un identificativo di riga deve essere unico per ciascuna entità segnalata. Per gli enti e le imprese di assicurazione il codice è il codice LEI. Per le altre entità il codice è il codice LEI o, se non disponibile, un codice non-LEI. Il codice è unico e utilizzato in modo coerente nei modelli e nel tempo. Il codice deve sempre contenere un valore</w:t>
            </w:r>
            <w:r>
              <w:rPr>
                <w:iCs/>
              </w:rPr>
              <w:t>.</w:t>
            </w:r>
          </w:p>
        </w:tc>
      </w:tr>
      <w:tr w:rsidR="00595FAD" w:rsidRPr="00661595" w:rsidTr="00FF15C6">
        <w:trPr>
          <w:trHeight w:val="680"/>
        </w:trPr>
        <w:tc>
          <w:tcPr>
            <w:tcW w:w="1384" w:type="dxa"/>
          </w:tcPr>
          <w:p w:rsidR="00595FAD" w:rsidRPr="00661595" w:rsidRDefault="00595FAD" w:rsidP="00B00AE0">
            <w:pPr>
              <w:pStyle w:val="Applicationdirecte"/>
              <w:suppressAutoHyphens/>
              <w:spacing w:before="0" w:after="0"/>
            </w:pPr>
            <w:r>
              <w:t>0030</w:t>
            </w:r>
          </w:p>
        </w:tc>
        <w:tc>
          <w:tcPr>
            <w:tcW w:w="7655" w:type="dxa"/>
            <w:vAlign w:val="center"/>
          </w:tcPr>
          <w:p w:rsidR="00595FAD" w:rsidRPr="00661595" w:rsidRDefault="00595FAD" w:rsidP="00B00AE0">
            <w:pPr>
              <w:keepNext/>
              <w:suppressAutoHyphens/>
              <w:spacing w:before="60"/>
              <w:rPr>
                <w:rFonts w:ascii="Times New Roman" w:hAnsi="Times New Roman"/>
                <w:b/>
                <w:sz w:val="24"/>
                <w:u w:val="single"/>
              </w:rPr>
            </w:pPr>
            <w:r>
              <w:rPr>
                <w:rFonts w:ascii="Times New Roman" w:hAnsi="Times New Roman"/>
                <w:b/>
                <w:sz w:val="24"/>
                <w:u w:val="single"/>
              </w:rPr>
              <w:t>TIPO DI CODICE</w:t>
            </w:r>
          </w:p>
          <w:p w:rsidR="00595FAD" w:rsidRPr="00661595" w:rsidRDefault="00595FAD" w:rsidP="00B00AE0">
            <w:pPr>
              <w:suppressAutoHyphens/>
              <w:rPr>
                <w:rStyle w:val="FormatvorlageInstructionsTabelleText"/>
                <w:rFonts w:ascii="Calibri" w:hAnsi="Calibri" w:cs="Calibri"/>
              </w:rPr>
            </w:pPr>
            <w:r>
              <w:rPr>
                <w:rFonts w:ascii="Times New Roman" w:hAnsi="Times New Roman"/>
                <w:sz w:val="24"/>
              </w:rPr>
              <w:t>L</w:t>
            </w:r>
            <w:r w:rsidR="000878EC">
              <w:rPr>
                <w:rFonts w:ascii="Times New Roman" w:hAnsi="Times New Roman"/>
                <w:sz w:val="24"/>
              </w:rPr>
              <w:t>'</w:t>
            </w:r>
            <w:r>
              <w:rPr>
                <w:rFonts w:ascii="Times New Roman" w:hAnsi="Times New Roman"/>
                <w:sz w:val="24"/>
              </w:rPr>
              <w:t xml:space="preserve">ente identifica il tipo di codice segnalato nella </w:t>
            </w:r>
            <w:r>
              <w:rPr>
                <w:rStyle w:val="FormatvorlageInstructionsTabelleText"/>
                <w:rFonts w:ascii="Times New Roman" w:hAnsi="Times New Roman"/>
                <w:sz w:val="24"/>
              </w:rPr>
              <w:t xml:space="preserve">colonna 0020 come </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codice LEI</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 xml:space="preserve"> o </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codice nazionale</w:t>
            </w:r>
            <w:r w:rsidR="000878EC">
              <w:rPr>
                <w:rStyle w:val="FormatvorlageInstructionsTabelleText"/>
                <w:rFonts w:ascii="Times New Roman" w:hAnsi="Times New Roman"/>
                <w:sz w:val="24"/>
              </w:rPr>
              <w:t>"</w:t>
            </w:r>
            <w:r>
              <w:rPr>
                <w:rFonts w:ascii="Times New Roman" w:hAnsi="Times New Roman"/>
                <w:sz w:val="24"/>
              </w:rPr>
              <w:t>.</w:t>
            </w:r>
          </w:p>
          <w:p w:rsidR="00595FAD" w:rsidRPr="00661595" w:rsidRDefault="00595FAD" w:rsidP="00B00AE0">
            <w:pPr>
              <w:suppressAutoHyphens/>
              <w:rPr>
                <w:rFonts w:ascii="Times New Roman" w:hAnsi="Times New Roman"/>
                <w:bCs/>
                <w:sz w:val="24"/>
              </w:rPr>
            </w:pPr>
            <w:r>
              <w:rPr>
                <w:rFonts w:ascii="Times New Roman" w:hAnsi="Times New Roman"/>
                <w:bCs/>
                <w:sz w:val="24"/>
              </w:rPr>
              <w:t>Indicare sempre il tipo di codice.</w:t>
            </w:r>
          </w:p>
        </w:tc>
      </w:tr>
      <w:tr w:rsidR="00595FAD" w:rsidRPr="00661595" w:rsidTr="00FF15C6">
        <w:trPr>
          <w:trHeight w:val="680"/>
        </w:trPr>
        <w:tc>
          <w:tcPr>
            <w:tcW w:w="1384" w:type="dxa"/>
          </w:tcPr>
          <w:p w:rsidR="00595FAD" w:rsidRPr="00661595" w:rsidRDefault="00595FAD" w:rsidP="00B00AE0">
            <w:pPr>
              <w:pStyle w:val="Applicationdirecte"/>
              <w:suppressAutoHyphens/>
              <w:spacing w:before="0" w:after="0"/>
            </w:pPr>
            <w:r>
              <w:t>0035</w:t>
            </w:r>
          </w:p>
        </w:tc>
        <w:tc>
          <w:tcPr>
            <w:tcW w:w="7655" w:type="dxa"/>
            <w:vAlign w:val="center"/>
          </w:tcPr>
          <w:p w:rsidR="00595FAD" w:rsidRPr="00661595" w:rsidRDefault="00595FAD" w:rsidP="00B00AE0">
            <w:pPr>
              <w:keepNext/>
              <w:suppressAutoHyphens/>
              <w:spacing w:before="60"/>
              <w:rPr>
                <w:rFonts w:ascii="Times New Roman" w:hAnsi="Times New Roman"/>
                <w:b/>
                <w:sz w:val="24"/>
                <w:u w:val="single"/>
              </w:rPr>
            </w:pPr>
            <w:r>
              <w:rPr>
                <w:rFonts w:ascii="Times New Roman" w:hAnsi="Times New Roman"/>
                <w:b/>
                <w:sz w:val="24"/>
                <w:u w:val="single"/>
              </w:rPr>
              <w:t>CODICE NAZIONALE</w:t>
            </w:r>
          </w:p>
          <w:p w:rsidR="00595FAD" w:rsidRPr="00661595" w:rsidRDefault="00595FAD" w:rsidP="00B00AE0">
            <w:pPr>
              <w:pStyle w:val="ListParagraph"/>
              <w:suppressAutoHyphens/>
              <w:ind w:left="65"/>
              <w:rPr>
                <w:rFonts w:ascii="Times New Roman" w:hAnsi="Times New Roman"/>
                <w:b/>
                <w:sz w:val="24"/>
                <w:u w:val="single"/>
              </w:rPr>
            </w:pPr>
            <w:r>
              <w:rPr>
                <w:rFonts w:ascii="Times New Roman" w:hAnsi="Times New Roman"/>
                <w:sz w:val="24"/>
              </w:rPr>
              <w:t>L</w:t>
            </w:r>
            <w:r w:rsidR="000878EC">
              <w:rPr>
                <w:rFonts w:ascii="Times New Roman" w:hAnsi="Times New Roman"/>
                <w:sz w:val="24"/>
              </w:rPr>
              <w:t>'</w:t>
            </w:r>
            <w:r>
              <w:rPr>
                <w:rFonts w:ascii="Times New Roman" w:hAnsi="Times New Roman"/>
                <w:sz w:val="24"/>
              </w:rPr>
              <w:t xml:space="preserve">ente può altresì segnalare il codice nazionale quando segnala il codice LEI come identificativo nella colonna 0020 </w:t>
            </w:r>
            <w:r w:rsidR="000878EC">
              <w:rPr>
                <w:rFonts w:ascii="Times New Roman" w:hAnsi="Times New Roman"/>
                <w:sz w:val="24"/>
              </w:rPr>
              <w:t>"</w:t>
            </w:r>
            <w:r>
              <w:rPr>
                <w:rFonts w:ascii="Times New Roman" w:hAnsi="Times New Roman"/>
                <w:sz w:val="24"/>
              </w:rPr>
              <w:t>Codice</w:t>
            </w:r>
            <w:r w:rsidR="000878EC">
              <w:rPr>
                <w:rFonts w:ascii="Times New Roman" w:hAnsi="Times New Roman"/>
                <w:sz w:val="24"/>
              </w:rPr>
              <w:t>"</w:t>
            </w:r>
            <w:r>
              <w:rPr>
                <w:rFonts w:ascii="Times New Roman" w:hAnsi="Times New Roman"/>
                <w:sz w:val="24"/>
              </w:rPr>
              <w:t>.</w:t>
            </w:r>
          </w:p>
        </w:tc>
      </w:tr>
      <w:tr w:rsidR="00595FAD" w:rsidRPr="00661595" w:rsidTr="00FF15C6">
        <w:trPr>
          <w:trHeight w:val="680"/>
        </w:trPr>
        <w:tc>
          <w:tcPr>
            <w:tcW w:w="1384" w:type="dxa"/>
          </w:tcPr>
          <w:p w:rsidR="00595FAD" w:rsidRPr="00661595" w:rsidRDefault="00595FAD" w:rsidP="00B00AE0">
            <w:pPr>
              <w:pStyle w:val="Applicationdirecte"/>
              <w:suppressAutoHyphens/>
              <w:spacing w:before="0" w:after="0"/>
            </w:pPr>
            <w:r>
              <w:t>0040</w:t>
            </w:r>
          </w:p>
        </w:tc>
        <w:tc>
          <w:tcPr>
            <w:tcW w:w="7655" w:type="dxa"/>
            <w:vAlign w:val="center"/>
          </w:tcPr>
          <w:p w:rsidR="00595FAD" w:rsidRPr="00661595" w:rsidRDefault="00595FAD" w:rsidP="00B00AE0">
            <w:pPr>
              <w:keepNext/>
              <w:suppressAutoHyphens/>
              <w:spacing w:before="60"/>
              <w:rPr>
                <w:rFonts w:ascii="Times New Roman" w:hAnsi="Times New Roman"/>
                <w:b/>
                <w:sz w:val="24"/>
                <w:u w:val="single"/>
              </w:rPr>
            </w:pPr>
            <w:r>
              <w:rPr>
                <w:rFonts w:ascii="Times New Roman" w:hAnsi="Times New Roman"/>
                <w:b/>
                <w:sz w:val="24"/>
                <w:u w:val="single"/>
              </w:rPr>
              <w:t>SETTORE DELLA CONTROPARTE</w:t>
            </w:r>
          </w:p>
          <w:p w:rsidR="00595FAD" w:rsidRPr="00661595" w:rsidRDefault="00595FAD" w:rsidP="00B00AE0">
            <w:pPr>
              <w:keepNext/>
              <w:suppressAutoHyphens/>
              <w:spacing w:before="60"/>
              <w:rPr>
                <w:rFonts w:ascii="Times New Roman" w:hAnsi="Times New Roman"/>
                <w:sz w:val="24"/>
              </w:rPr>
            </w:pPr>
            <w:r>
              <w:rPr>
                <w:rFonts w:ascii="Times New Roman" w:hAnsi="Times New Roman"/>
                <w:sz w:val="24"/>
              </w:rPr>
              <w:t>Un settore è scelto per ciascuna controparte sulla base delle seguenti classi di settori economici FINREP (cfr. allegato V, parte 3, del presente regolamento di esecuzione):</w:t>
            </w:r>
          </w:p>
          <w:p w:rsidR="00595FAD" w:rsidRPr="00661595" w:rsidRDefault="00595FAD" w:rsidP="00B00AE0">
            <w:pPr>
              <w:keepNext/>
              <w:suppressAutoHyphens/>
              <w:spacing w:before="60"/>
              <w:rPr>
                <w:rFonts w:ascii="Times New Roman" w:hAnsi="Times New Roman"/>
                <w:sz w:val="24"/>
              </w:rPr>
            </w:pPr>
            <w:r>
              <w:rPr>
                <w:rFonts w:ascii="Times New Roman" w:hAnsi="Times New Roman"/>
                <w:sz w:val="24"/>
              </w:rPr>
              <w:t>i) banche centrali;</w:t>
            </w:r>
          </w:p>
          <w:p w:rsidR="00595FAD" w:rsidRPr="00661595" w:rsidRDefault="00595FAD" w:rsidP="00B00AE0">
            <w:pPr>
              <w:keepNext/>
              <w:suppressAutoHyphens/>
              <w:spacing w:before="60"/>
              <w:rPr>
                <w:rFonts w:ascii="Times New Roman" w:hAnsi="Times New Roman"/>
                <w:sz w:val="24"/>
              </w:rPr>
            </w:pPr>
            <w:r>
              <w:rPr>
                <w:rFonts w:ascii="Times New Roman" w:hAnsi="Times New Roman"/>
                <w:sz w:val="24"/>
              </w:rPr>
              <w:t>ii)</w:t>
            </w:r>
            <w:r>
              <w:tab/>
            </w:r>
            <w:r>
              <w:rPr>
                <w:rFonts w:ascii="Times New Roman" w:hAnsi="Times New Roman"/>
                <w:sz w:val="24"/>
              </w:rPr>
              <w:t>amministrazioni pubbliche;</w:t>
            </w:r>
          </w:p>
          <w:p w:rsidR="00595FAD" w:rsidRPr="00661595" w:rsidRDefault="00595FAD" w:rsidP="00B00AE0">
            <w:pPr>
              <w:keepNext/>
              <w:suppressAutoHyphens/>
              <w:spacing w:before="60"/>
              <w:rPr>
                <w:rFonts w:ascii="Times New Roman" w:hAnsi="Times New Roman"/>
                <w:sz w:val="24"/>
              </w:rPr>
            </w:pPr>
            <w:r>
              <w:rPr>
                <w:rFonts w:ascii="Times New Roman" w:hAnsi="Times New Roman"/>
                <w:sz w:val="24"/>
              </w:rPr>
              <w:t>iii)</w:t>
            </w:r>
            <w:r>
              <w:tab/>
            </w:r>
            <w:r>
              <w:rPr>
                <w:rFonts w:ascii="Times New Roman" w:hAnsi="Times New Roman"/>
                <w:sz w:val="24"/>
              </w:rPr>
              <w:t>enti creditizi;</w:t>
            </w:r>
          </w:p>
          <w:p w:rsidR="00595FAD" w:rsidRPr="00661595" w:rsidRDefault="00595FAD" w:rsidP="00B00AE0">
            <w:pPr>
              <w:keepNext/>
              <w:suppressAutoHyphens/>
              <w:spacing w:before="60"/>
              <w:rPr>
                <w:rFonts w:ascii="Times New Roman" w:hAnsi="Times New Roman"/>
                <w:sz w:val="24"/>
              </w:rPr>
            </w:pPr>
            <w:r>
              <w:rPr>
                <w:rFonts w:ascii="Times New Roman" w:hAnsi="Times New Roman"/>
                <w:sz w:val="24"/>
              </w:rPr>
              <w:t>iv)</w:t>
            </w:r>
            <w:r>
              <w:tab/>
            </w:r>
            <w:r>
              <w:rPr>
                <w:rFonts w:ascii="Times New Roman" w:hAnsi="Times New Roman"/>
                <w:sz w:val="24"/>
              </w:rPr>
              <w:t>imprese di investimento ai sensi dell</w:t>
            </w:r>
            <w:r w:rsidR="000878EC">
              <w:rPr>
                <w:rFonts w:ascii="Times New Roman" w:hAnsi="Times New Roman"/>
                <w:sz w:val="24"/>
              </w:rPr>
              <w:t>'</w:t>
            </w:r>
            <w:r>
              <w:rPr>
                <w:rFonts w:ascii="Times New Roman" w:hAnsi="Times New Roman"/>
                <w:sz w:val="24"/>
              </w:rPr>
              <w:t>articolo 4, paragrafo 1, punto 2, del CRR;</w:t>
            </w:r>
          </w:p>
          <w:p w:rsidR="00595FAD" w:rsidRPr="00661595" w:rsidRDefault="00595FAD" w:rsidP="00B00AE0">
            <w:pPr>
              <w:keepNext/>
              <w:suppressAutoHyphens/>
              <w:spacing w:before="60"/>
              <w:rPr>
                <w:rFonts w:ascii="Times New Roman" w:hAnsi="Times New Roman"/>
                <w:sz w:val="24"/>
              </w:rPr>
            </w:pPr>
            <w:r>
              <w:rPr>
                <w:rFonts w:ascii="Times New Roman" w:hAnsi="Times New Roman"/>
                <w:sz w:val="24"/>
              </w:rPr>
              <w:t>v)</w:t>
            </w:r>
            <w:r>
              <w:tab/>
            </w:r>
            <w:r>
              <w:rPr>
                <w:rFonts w:ascii="Times New Roman" w:hAnsi="Times New Roman"/>
                <w:sz w:val="24"/>
              </w:rPr>
              <w:t>altre società finanziarie (escluse le imprese di investimento);</w:t>
            </w:r>
          </w:p>
          <w:p w:rsidR="00595FAD" w:rsidRPr="00661595" w:rsidRDefault="00595FAD" w:rsidP="00B00AE0">
            <w:pPr>
              <w:keepNext/>
              <w:suppressAutoHyphens/>
              <w:spacing w:before="60"/>
              <w:rPr>
                <w:rFonts w:ascii="Times New Roman" w:hAnsi="Times New Roman"/>
                <w:sz w:val="24"/>
              </w:rPr>
            </w:pPr>
            <w:r>
              <w:rPr>
                <w:rFonts w:ascii="Times New Roman" w:hAnsi="Times New Roman"/>
                <w:sz w:val="24"/>
              </w:rPr>
              <w:t>vi)</w:t>
            </w:r>
            <w:r>
              <w:tab/>
            </w:r>
            <w:r>
              <w:rPr>
                <w:rFonts w:ascii="Times New Roman" w:hAnsi="Times New Roman"/>
                <w:sz w:val="24"/>
              </w:rPr>
              <w:t>società non finanziarie.</w:t>
            </w:r>
          </w:p>
        </w:tc>
      </w:tr>
      <w:tr w:rsidR="00595FAD" w:rsidRPr="00661595" w:rsidTr="00FF15C6">
        <w:trPr>
          <w:trHeight w:val="680"/>
        </w:trPr>
        <w:tc>
          <w:tcPr>
            <w:tcW w:w="1384" w:type="dxa"/>
          </w:tcPr>
          <w:p w:rsidR="00595FAD" w:rsidRPr="00661595" w:rsidRDefault="00595FAD" w:rsidP="00B00AE0">
            <w:pPr>
              <w:pStyle w:val="Applicationdirecte"/>
              <w:suppressAutoHyphens/>
              <w:spacing w:before="0" w:after="0"/>
            </w:pPr>
            <w:r>
              <w:t>0050</w:t>
            </w:r>
          </w:p>
        </w:tc>
        <w:tc>
          <w:tcPr>
            <w:tcW w:w="7655" w:type="dxa"/>
            <w:vAlign w:val="center"/>
          </w:tcPr>
          <w:p w:rsidR="00595FAD" w:rsidRPr="00661595" w:rsidRDefault="00595FAD" w:rsidP="00B00AE0">
            <w:pPr>
              <w:keepNext/>
              <w:suppressAutoHyphens/>
              <w:spacing w:before="60"/>
              <w:rPr>
                <w:rFonts w:ascii="Times New Roman" w:hAnsi="Times New Roman"/>
                <w:b/>
                <w:sz w:val="24"/>
                <w:u w:val="single"/>
              </w:rPr>
            </w:pPr>
            <w:r>
              <w:rPr>
                <w:rFonts w:ascii="Times New Roman" w:hAnsi="Times New Roman"/>
                <w:b/>
                <w:sz w:val="24"/>
                <w:u w:val="single"/>
              </w:rPr>
              <w:t>TIPO DI CONTROPARTE</w:t>
            </w:r>
          </w:p>
          <w:p w:rsidR="00595FAD" w:rsidRPr="00661595" w:rsidRDefault="00595FAD" w:rsidP="00B00AE0">
            <w:pPr>
              <w:keepNext/>
              <w:suppressAutoHyphens/>
              <w:spacing w:before="60"/>
              <w:rPr>
                <w:rFonts w:ascii="Times New Roman" w:hAnsi="Times New Roman"/>
                <w:sz w:val="24"/>
              </w:rPr>
            </w:pPr>
            <w:r>
              <w:rPr>
                <w:rFonts w:ascii="Times New Roman" w:hAnsi="Times New Roman"/>
                <w:sz w:val="24"/>
              </w:rPr>
              <w:t>L</w:t>
            </w:r>
            <w:r w:rsidR="000878EC">
              <w:rPr>
                <w:rFonts w:ascii="Times New Roman" w:hAnsi="Times New Roman"/>
                <w:sz w:val="24"/>
              </w:rPr>
              <w:t>'</w:t>
            </w:r>
            <w:r>
              <w:rPr>
                <w:rFonts w:ascii="Times New Roman" w:hAnsi="Times New Roman"/>
                <w:sz w:val="24"/>
              </w:rPr>
              <w:t>ente indica il tipo di controparte che può essere:</w:t>
            </w:r>
          </w:p>
          <w:p w:rsidR="00595FAD" w:rsidRPr="00661595" w:rsidRDefault="00595FAD" w:rsidP="00B00AE0">
            <w:pPr>
              <w:keepNext/>
              <w:suppressAutoHyphens/>
              <w:spacing w:before="60"/>
              <w:rPr>
                <w:rFonts w:ascii="Times New Roman" w:hAnsi="Times New Roman"/>
                <w:sz w:val="24"/>
              </w:rPr>
            </w:pPr>
            <w:r>
              <w:rPr>
                <w:rFonts w:ascii="Times New Roman" w:hAnsi="Times New Roman"/>
                <w:sz w:val="24"/>
              </w:rPr>
              <w:t>- QCCP: quando la controparte è una CCP qualificata;</w:t>
            </w:r>
          </w:p>
          <w:p w:rsidR="00595FAD" w:rsidRPr="00661595" w:rsidRDefault="00595FAD" w:rsidP="00B00AE0">
            <w:pPr>
              <w:keepNext/>
              <w:suppressAutoHyphens/>
              <w:spacing w:before="60"/>
              <w:rPr>
                <w:rFonts w:ascii="Times New Roman" w:hAnsi="Times New Roman"/>
                <w:sz w:val="24"/>
              </w:rPr>
            </w:pPr>
            <w:r>
              <w:rPr>
                <w:rFonts w:ascii="Times New Roman" w:hAnsi="Times New Roman"/>
                <w:sz w:val="24"/>
              </w:rPr>
              <w:t>- NON QCCP: quando la controparte è una CCP non qualificata;</w:t>
            </w:r>
          </w:p>
          <w:p w:rsidR="00595FAD" w:rsidRPr="00661595" w:rsidRDefault="00595FAD" w:rsidP="00B00AE0">
            <w:pPr>
              <w:keepNext/>
              <w:suppressAutoHyphens/>
              <w:spacing w:before="60"/>
              <w:rPr>
                <w:rFonts w:ascii="Times New Roman" w:hAnsi="Times New Roman"/>
                <w:sz w:val="24"/>
              </w:rPr>
            </w:pPr>
            <w:r>
              <w:rPr>
                <w:rFonts w:ascii="Times New Roman" w:hAnsi="Times New Roman"/>
                <w:sz w:val="24"/>
              </w:rPr>
              <w:t xml:space="preserve">- NON CCP: quando la controparte non è una CCP. </w:t>
            </w:r>
          </w:p>
        </w:tc>
      </w:tr>
      <w:tr w:rsidR="00595FAD" w:rsidRPr="00661595" w:rsidTr="00FF15C6">
        <w:trPr>
          <w:trHeight w:val="680"/>
        </w:trPr>
        <w:tc>
          <w:tcPr>
            <w:tcW w:w="1384" w:type="dxa"/>
          </w:tcPr>
          <w:p w:rsidR="00595FAD" w:rsidRPr="00661595" w:rsidRDefault="00595FAD" w:rsidP="00B00AE0">
            <w:pPr>
              <w:pStyle w:val="Applicationdirecte"/>
              <w:suppressAutoHyphens/>
              <w:spacing w:before="0" w:after="0"/>
            </w:pPr>
            <w:r>
              <w:t>0060</w:t>
            </w:r>
          </w:p>
        </w:tc>
        <w:tc>
          <w:tcPr>
            <w:tcW w:w="7655" w:type="dxa"/>
            <w:vAlign w:val="center"/>
          </w:tcPr>
          <w:p w:rsidR="00595FAD" w:rsidRPr="00661595" w:rsidRDefault="00595FAD" w:rsidP="00B00AE0">
            <w:pPr>
              <w:keepNext/>
              <w:suppressAutoHyphens/>
              <w:spacing w:before="60"/>
              <w:rPr>
                <w:rFonts w:ascii="Times New Roman" w:hAnsi="Times New Roman"/>
                <w:b/>
                <w:sz w:val="24"/>
                <w:u w:val="single"/>
              </w:rPr>
            </w:pPr>
            <w:r>
              <w:rPr>
                <w:rFonts w:ascii="Times New Roman" w:hAnsi="Times New Roman"/>
                <w:b/>
                <w:sz w:val="24"/>
                <w:u w:val="single"/>
              </w:rPr>
              <w:t>RESIDENZA DELLA CONTROPARTE</w:t>
            </w:r>
          </w:p>
          <w:p w:rsidR="00595FAD" w:rsidRPr="00661595" w:rsidRDefault="00595FAD" w:rsidP="00B00AE0">
            <w:pPr>
              <w:keepNext/>
              <w:suppressAutoHyphens/>
              <w:spacing w:before="60"/>
              <w:rPr>
                <w:rFonts w:ascii="Times New Roman" w:hAnsi="Times New Roman"/>
                <w:sz w:val="24"/>
              </w:rPr>
            </w:pPr>
            <w:r>
              <w:rPr>
                <w:rFonts w:ascii="Times New Roman" w:hAnsi="Times New Roman"/>
                <w:sz w:val="24"/>
              </w:rPr>
              <w:t>Si utilizza il codice ISO 3166-1-alpha-2 del paese in cui ha sede legale la controparte (inclusi gli pseudo-codici ISO per le organizzazioni internazionali, disponibili nel vademecum di Eurostat sulla bilancia dei pagamenti, come modificato).</w:t>
            </w:r>
          </w:p>
        </w:tc>
      </w:tr>
      <w:tr w:rsidR="00595FAD" w:rsidRPr="00661595" w:rsidTr="00FF15C6">
        <w:trPr>
          <w:trHeight w:val="680"/>
        </w:trPr>
        <w:tc>
          <w:tcPr>
            <w:tcW w:w="1384" w:type="dxa"/>
          </w:tcPr>
          <w:p w:rsidR="00595FAD" w:rsidRPr="00661595" w:rsidRDefault="00595FAD" w:rsidP="00B00AE0">
            <w:pPr>
              <w:pStyle w:val="Applicationdirecte"/>
              <w:suppressAutoHyphens/>
              <w:spacing w:before="0" w:after="0"/>
            </w:pPr>
            <w:r>
              <w:t>0070</w:t>
            </w:r>
          </w:p>
        </w:tc>
        <w:tc>
          <w:tcPr>
            <w:tcW w:w="7655" w:type="dxa"/>
            <w:vAlign w:val="center"/>
          </w:tcPr>
          <w:p w:rsidR="00595FAD" w:rsidRPr="00661595" w:rsidRDefault="00595FAD" w:rsidP="00B00AE0">
            <w:pPr>
              <w:keepNext/>
              <w:suppressAutoHyphens/>
              <w:spacing w:before="60"/>
              <w:rPr>
                <w:rFonts w:ascii="Times New Roman" w:hAnsi="Times New Roman"/>
                <w:b/>
                <w:sz w:val="24"/>
                <w:u w:val="single"/>
              </w:rPr>
            </w:pPr>
            <w:r>
              <w:rPr>
                <w:rFonts w:ascii="Times New Roman" w:hAnsi="Times New Roman"/>
                <w:b/>
                <w:sz w:val="24"/>
                <w:u w:val="single"/>
              </w:rPr>
              <w:t>NUMERO DI OPERAZIONI</w:t>
            </w:r>
          </w:p>
          <w:p w:rsidR="00595FAD" w:rsidRPr="00661595" w:rsidRDefault="00595FAD" w:rsidP="00B00AE0">
            <w:pPr>
              <w:keepNext/>
              <w:suppressAutoHyphens/>
              <w:spacing w:before="60"/>
              <w:rPr>
                <w:rFonts w:ascii="Times New Roman" w:hAnsi="Times New Roman"/>
                <w:b/>
                <w:sz w:val="24"/>
                <w:u w:val="single"/>
              </w:rPr>
            </w:pPr>
            <w:r>
              <w:rPr>
                <w:rFonts w:ascii="Times New Roman" w:hAnsi="Times New Roman"/>
                <w:sz w:val="24"/>
              </w:rPr>
              <w:t>Cfr. istruzioni relative alla colonna 0020 del modello C 34.02.</w:t>
            </w:r>
          </w:p>
        </w:tc>
      </w:tr>
      <w:tr w:rsidR="00595FAD" w:rsidRPr="00661595" w:rsidTr="00FF15C6">
        <w:trPr>
          <w:trHeight w:val="426"/>
        </w:trPr>
        <w:tc>
          <w:tcPr>
            <w:tcW w:w="1384" w:type="dxa"/>
          </w:tcPr>
          <w:p w:rsidR="00595FAD" w:rsidRPr="00661595" w:rsidRDefault="00595FAD" w:rsidP="00B00AE0">
            <w:pPr>
              <w:pStyle w:val="Applicationdirecte"/>
              <w:suppressAutoHyphens/>
              <w:spacing w:before="0" w:after="0"/>
            </w:pPr>
            <w:r>
              <w:t>0080</w:t>
            </w:r>
          </w:p>
        </w:tc>
        <w:tc>
          <w:tcPr>
            <w:tcW w:w="7655" w:type="dxa"/>
            <w:vAlign w:val="center"/>
          </w:tcPr>
          <w:p w:rsidR="00595FAD" w:rsidRPr="00661595" w:rsidRDefault="00595FAD" w:rsidP="00B00AE0">
            <w:pPr>
              <w:keepNext/>
              <w:suppressAutoHyphens/>
              <w:spacing w:before="60"/>
              <w:rPr>
                <w:rFonts w:ascii="Times New Roman" w:hAnsi="Times New Roman"/>
                <w:b/>
                <w:sz w:val="24"/>
                <w:u w:val="single"/>
              </w:rPr>
            </w:pPr>
            <w:r>
              <w:rPr>
                <w:rFonts w:ascii="Times New Roman" w:hAnsi="Times New Roman"/>
                <w:b/>
                <w:sz w:val="24"/>
                <w:u w:val="single"/>
              </w:rPr>
              <w:t>IMPORTI NOZIONALI</w:t>
            </w:r>
          </w:p>
          <w:p w:rsidR="00595FAD" w:rsidRPr="00661595" w:rsidRDefault="00595FAD" w:rsidP="00B00AE0">
            <w:pPr>
              <w:keepNext/>
              <w:suppressAutoHyphens/>
              <w:spacing w:before="60"/>
              <w:rPr>
                <w:rFonts w:ascii="Times New Roman" w:hAnsi="Times New Roman"/>
                <w:sz w:val="24"/>
              </w:rPr>
            </w:pPr>
            <w:r>
              <w:rPr>
                <w:rFonts w:ascii="Times New Roman" w:hAnsi="Times New Roman"/>
                <w:sz w:val="24"/>
              </w:rPr>
              <w:t>Cfr. istruzioni relative alla colonna 0030 del modello C 34.02.</w:t>
            </w:r>
          </w:p>
        </w:tc>
      </w:tr>
      <w:tr w:rsidR="00595FAD" w:rsidRPr="00661595" w:rsidTr="00FF15C6">
        <w:trPr>
          <w:trHeight w:val="680"/>
        </w:trPr>
        <w:tc>
          <w:tcPr>
            <w:tcW w:w="1384" w:type="dxa"/>
          </w:tcPr>
          <w:p w:rsidR="00595FAD" w:rsidRPr="00661595" w:rsidRDefault="00595FAD" w:rsidP="00B00AE0">
            <w:pPr>
              <w:pStyle w:val="Applicationdirecte"/>
              <w:suppressAutoHyphens/>
              <w:spacing w:before="0" w:after="0"/>
            </w:pPr>
            <w:r>
              <w:t>0090</w:t>
            </w:r>
          </w:p>
        </w:tc>
        <w:tc>
          <w:tcPr>
            <w:tcW w:w="7655" w:type="dxa"/>
            <w:vAlign w:val="center"/>
          </w:tcPr>
          <w:p w:rsidR="00595FAD" w:rsidRPr="00661595" w:rsidRDefault="00595FAD" w:rsidP="00B00AE0">
            <w:pPr>
              <w:keepNext/>
              <w:suppressAutoHyphens/>
              <w:spacing w:before="60"/>
              <w:rPr>
                <w:rFonts w:ascii="Times New Roman" w:hAnsi="Times New Roman"/>
                <w:b/>
                <w:sz w:val="24"/>
                <w:u w:val="single"/>
              </w:rPr>
            </w:pPr>
            <w:r>
              <w:rPr>
                <w:rFonts w:ascii="Times New Roman" w:hAnsi="Times New Roman"/>
                <w:b/>
                <w:sz w:val="24"/>
                <w:u w:val="single"/>
              </w:rPr>
              <w:t>VALORE DI MERCATO CORRENTE (CMV), positivo</w:t>
            </w:r>
          </w:p>
          <w:p w:rsidR="00595FAD" w:rsidRPr="00661595" w:rsidRDefault="00595FAD" w:rsidP="00B00AE0">
            <w:pPr>
              <w:keepNext/>
              <w:suppressAutoHyphens/>
              <w:spacing w:before="60"/>
              <w:rPr>
                <w:rFonts w:ascii="Times New Roman" w:hAnsi="Times New Roman"/>
                <w:sz w:val="24"/>
              </w:rPr>
            </w:pPr>
            <w:r>
              <w:rPr>
                <w:rFonts w:ascii="Times New Roman" w:hAnsi="Times New Roman"/>
                <w:sz w:val="24"/>
              </w:rPr>
              <w:t>Cfr. istruzioni relative alla colonna 0040 del modello C 34.02.</w:t>
            </w:r>
          </w:p>
          <w:p w:rsidR="00595FAD" w:rsidRPr="00661595" w:rsidRDefault="00595FAD" w:rsidP="00B00AE0">
            <w:pPr>
              <w:keepNext/>
              <w:suppressAutoHyphens/>
              <w:spacing w:before="60"/>
              <w:rPr>
                <w:rFonts w:ascii="Times New Roman" w:hAnsi="Times New Roman"/>
                <w:b/>
                <w:sz w:val="24"/>
                <w:u w:val="single"/>
              </w:rPr>
            </w:pPr>
            <w:r>
              <w:rPr>
                <w:rFonts w:ascii="Times New Roman" w:hAnsi="Times New Roman"/>
                <w:sz w:val="24"/>
              </w:rPr>
              <w:t>L</w:t>
            </w:r>
            <w:r w:rsidR="000878EC">
              <w:rPr>
                <w:rFonts w:ascii="Times New Roman" w:hAnsi="Times New Roman"/>
                <w:sz w:val="24"/>
              </w:rPr>
              <w:t>'</w:t>
            </w:r>
            <w:r>
              <w:rPr>
                <w:rFonts w:ascii="Times New Roman" w:hAnsi="Times New Roman"/>
                <w:sz w:val="24"/>
              </w:rPr>
              <w:t>ente segnala la somma degli insiemi di attività soggette a compensazione con CMV positivi se esistono più insiemi di attività soggette a compensazione per la stessa controparte.</w:t>
            </w:r>
          </w:p>
        </w:tc>
      </w:tr>
      <w:tr w:rsidR="00595FAD" w:rsidRPr="00661595" w:rsidTr="00FF15C6">
        <w:trPr>
          <w:trHeight w:val="680"/>
        </w:trPr>
        <w:tc>
          <w:tcPr>
            <w:tcW w:w="1384" w:type="dxa"/>
          </w:tcPr>
          <w:p w:rsidR="00595FAD" w:rsidRPr="00661595" w:rsidRDefault="00595FAD" w:rsidP="00B00AE0">
            <w:pPr>
              <w:pStyle w:val="Applicationdirecte"/>
              <w:suppressAutoHyphens/>
              <w:spacing w:before="0" w:after="0"/>
            </w:pPr>
            <w:r>
              <w:t>0100</w:t>
            </w:r>
          </w:p>
        </w:tc>
        <w:tc>
          <w:tcPr>
            <w:tcW w:w="7655" w:type="dxa"/>
            <w:vAlign w:val="center"/>
          </w:tcPr>
          <w:p w:rsidR="00595FAD" w:rsidRPr="00661595" w:rsidRDefault="00595FAD" w:rsidP="00B00AE0">
            <w:pPr>
              <w:keepNext/>
              <w:suppressAutoHyphens/>
              <w:spacing w:before="60"/>
              <w:rPr>
                <w:rFonts w:ascii="Times New Roman" w:hAnsi="Times New Roman"/>
                <w:b/>
                <w:sz w:val="24"/>
                <w:u w:val="single"/>
              </w:rPr>
            </w:pPr>
            <w:r>
              <w:rPr>
                <w:rFonts w:ascii="Times New Roman" w:hAnsi="Times New Roman"/>
                <w:b/>
                <w:sz w:val="24"/>
                <w:u w:val="single"/>
              </w:rPr>
              <w:t>VALORE DI MERCATO CORRENTE (CMV), negativo</w:t>
            </w:r>
          </w:p>
          <w:p w:rsidR="00595FAD" w:rsidRPr="00661595" w:rsidRDefault="00595FAD" w:rsidP="00B00AE0">
            <w:pPr>
              <w:keepNext/>
              <w:suppressAutoHyphens/>
              <w:spacing w:before="60"/>
              <w:rPr>
                <w:rFonts w:ascii="Times New Roman" w:hAnsi="Times New Roman"/>
                <w:sz w:val="24"/>
              </w:rPr>
            </w:pPr>
            <w:r>
              <w:rPr>
                <w:rFonts w:ascii="Times New Roman" w:hAnsi="Times New Roman"/>
                <w:sz w:val="24"/>
              </w:rPr>
              <w:t>Cfr. istruzioni relative alla colonna 0040 del modello C 34.02.</w:t>
            </w:r>
          </w:p>
          <w:p w:rsidR="00595FAD" w:rsidRPr="00661595" w:rsidRDefault="00595FAD" w:rsidP="00B00AE0">
            <w:pPr>
              <w:keepNext/>
              <w:suppressAutoHyphens/>
              <w:spacing w:before="60"/>
              <w:rPr>
                <w:rFonts w:ascii="Times New Roman" w:hAnsi="Times New Roman"/>
                <w:b/>
                <w:sz w:val="24"/>
                <w:u w:val="single"/>
              </w:rPr>
            </w:pPr>
            <w:r>
              <w:rPr>
                <w:rFonts w:ascii="Times New Roman" w:hAnsi="Times New Roman"/>
                <w:sz w:val="24"/>
              </w:rPr>
              <w:t>L</w:t>
            </w:r>
            <w:r w:rsidR="000878EC">
              <w:rPr>
                <w:rFonts w:ascii="Times New Roman" w:hAnsi="Times New Roman"/>
                <w:sz w:val="24"/>
              </w:rPr>
              <w:t>'</w:t>
            </w:r>
            <w:r>
              <w:rPr>
                <w:rFonts w:ascii="Times New Roman" w:hAnsi="Times New Roman"/>
                <w:sz w:val="24"/>
              </w:rPr>
              <w:t>ente segnala la somma assoluta degli insiemi di attività soggette a compensazione con CMV negativi se esistono più insiemi di attività soggette a compensazione per la stessa controparte.</w:t>
            </w:r>
          </w:p>
        </w:tc>
      </w:tr>
      <w:tr w:rsidR="00595FAD" w:rsidRPr="00661595" w:rsidTr="00FF15C6">
        <w:trPr>
          <w:trHeight w:val="680"/>
        </w:trPr>
        <w:tc>
          <w:tcPr>
            <w:tcW w:w="1384" w:type="dxa"/>
          </w:tcPr>
          <w:p w:rsidR="00595FAD" w:rsidRPr="00661595" w:rsidRDefault="00595FAD" w:rsidP="00B00AE0">
            <w:pPr>
              <w:pStyle w:val="Applicationdirecte"/>
              <w:suppressAutoHyphens/>
              <w:spacing w:before="0" w:after="0"/>
            </w:pPr>
            <w:r>
              <w:t>0110</w:t>
            </w:r>
          </w:p>
        </w:tc>
        <w:tc>
          <w:tcPr>
            <w:tcW w:w="7655" w:type="dxa"/>
            <w:vAlign w:val="center"/>
          </w:tcPr>
          <w:p w:rsidR="00595FAD" w:rsidRPr="00661595" w:rsidRDefault="00595FAD" w:rsidP="00B00AE0">
            <w:pPr>
              <w:keepNext/>
              <w:suppressAutoHyphens/>
              <w:spacing w:before="60"/>
              <w:rPr>
                <w:rFonts w:ascii="Times New Roman" w:hAnsi="Times New Roman"/>
                <w:b/>
                <w:sz w:val="24"/>
                <w:u w:val="single"/>
              </w:rPr>
            </w:pPr>
            <w:r>
              <w:rPr>
                <w:rFonts w:ascii="Times New Roman" w:hAnsi="Times New Roman"/>
                <w:b/>
                <w:sz w:val="24"/>
                <w:u w:val="single"/>
              </w:rPr>
              <w:t>VALORE DELL</w:t>
            </w:r>
            <w:r w:rsidR="000878EC">
              <w:rPr>
                <w:rFonts w:ascii="Times New Roman" w:hAnsi="Times New Roman"/>
                <w:b/>
                <w:sz w:val="24"/>
                <w:u w:val="single"/>
              </w:rPr>
              <w:t>'</w:t>
            </w:r>
            <w:r>
              <w:rPr>
                <w:rFonts w:ascii="Times New Roman" w:hAnsi="Times New Roman"/>
                <w:b/>
                <w:sz w:val="24"/>
                <w:u w:val="single"/>
              </w:rPr>
              <w:t>ESPOSIZIONE POST-CRM</w:t>
            </w:r>
          </w:p>
          <w:p w:rsidR="00595FAD" w:rsidRPr="00661595" w:rsidRDefault="00595FAD" w:rsidP="00B00AE0">
            <w:pPr>
              <w:keepNext/>
              <w:suppressAutoHyphens/>
              <w:spacing w:before="60"/>
              <w:rPr>
                <w:rFonts w:ascii="Times New Roman" w:hAnsi="Times New Roman"/>
                <w:sz w:val="24"/>
              </w:rPr>
            </w:pPr>
            <w:r>
              <w:rPr>
                <w:rFonts w:ascii="Times New Roman" w:hAnsi="Times New Roman"/>
                <w:sz w:val="24"/>
              </w:rPr>
              <w:t xml:space="preserve">Cfr. istruzioni relative alla colonna 0160 del modello C 34.02. </w:t>
            </w:r>
          </w:p>
          <w:p w:rsidR="00595FAD" w:rsidRPr="00661595" w:rsidRDefault="00595FAD" w:rsidP="00B00AE0">
            <w:pPr>
              <w:keepNext/>
              <w:suppressAutoHyphens/>
              <w:spacing w:before="60"/>
              <w:rPr>
                <w:rFonts w:ascii="Times New Roman" w:hAnsi="Times New Roman"/>
                <w:b/>
                <w:sz w:val="24"/>
                <w:u w:val="single"/>
              </w:rPr>
            </w:pPr>
            <w:r>
              <w:rPr>
                <w:rFonts w:ascii="Times New Roman" w:hAnsi="Times New Roman"/>
                <w:sz w:val="24"/>
              </w:rPr>
              <w:t>L</w:t>
            </w:r>
            <w:r w:rsidR="000878EC">
              <w:rPr>
                <w:rFonts w:ascii="Times New Roman" w:hAnsi="Times New Roman"/>
                <w:sz w:val="24"/>
              </w:rPr>
              <w:t>'</w:t>
            </w:r>
            <w:r>
              <w:rPr>
                <w:rFonts w:ascii="Times New Roman" w:hAnsi="Times New Roman"/>
                <w:sz w:val="24"/>
              </w:rPr>
              <w:t>ente segnala la somma dei valori delle esposizioni dell</w:t>
            </w:r>
            <w:r w:rsidR="000878EC">
              <w:rPr>
                <w:rFonts w:ascii="Times New Roman" w:hAnsi="Times New Roman"/>
                <w:sz w:val="24"/>
              </w:rPr>
              <w:t>'</w:t>
            </w:r>
            <w:r>
              <w:rPr>
                <w:rFonts w:ascii="Times New Roman" w:hAnsi="Times New Roman"/>
                <w:sz w:val="24"/>
              </w:rPr>
              <w:t>insieme di attività soggette a compensazione post-CRM se esistono più insiemi di attività soggette a compensazione per la stessa controparte.</w:t>
            </w:r>
          </w:p>
        </w:tc>
      </w:tr>
      <w:tr w:rsidR="00595FAD" w:rsidRPr="00661595" w:rsidTr="00FF15C6">
        <w:trPr>
          <w:trHeight w:val="680"/>
        </w:trPr>
        <w:tc>
          <w:tcPr>
            <w:tcW w:w="1384" w:type="dxa"/>
          </w:tcPr>
          <w:p w:rsidR="00595FAD" w:rsidRPr="00661595" w:rsidRDefault="00595FAD" w:rsidP="00B00AE0">
            <w:pPr>
              <w:pStyle w:val="Applicationdirecte"/>
              <w:suppressAutoHyphens/>
              <w:spacing w:before="0" w:after="0"/>
            </w:pPr>
            <w:r>
              <w:t>0120</w:t>
            </w:r>
          </w:p>
        </w:tc>
        <w:tc>
          <w:tcPr>
            <w:tcW w:w="7655" w:type="dxa"/>
            <w:vAlign w:val="center"/>
          </w:tcPr>
          <w:p w:rsidR="00595FAD" w:rsidRPr="00661595" w:rsidRDefault="00595FAD" w:rsidP="00B00AE0">
            <w:pPr>
              <w:keepNext/>
              <w:suppressAutoHyphens/>
              <w:spacing w:before="60"/>
              <w:rPr>
                <w:rFonts w:ascii="Times New Roman" w:hAnsi="Times New Roman"/>
                <w:b/>
                <w:sz w:val="24"/>
                <w:u w:val="single"/>
              </w:rPr>
            </w:pPr>
            <w:r>
              <w:rPr>
                <w:rFonts w:ascii="Times New Roman" w:hAnsi="Times New Roman"/>
                <w:b/>
                <w:sz w:val="24"/>
                <w:u w:val="single"/>
              </w:rPr>
              <w:t>VALORE DELL</w:t>
            </w:r>
            <w:r w:rsidR="000878EC">
              <w:rPr>
                <w:rFonts w:ascii="Times New Roman" w:hAnsi="Times New Roman"/>
                <w:b/>
                <w:sz w:val="24"/>
                <w:u w:val="single"/>
              </w:rPr>
              <w:t>'</w:t>
            </w:r>
            <w:r>
              <w:rPr>
                <w:rFonts w:ascii="Times New Roman" w:hAnsi="Times New Roman"/>
                <w:b/>
                <w:sz w:val="24"/>
                <w:u w:val="single"/>
              </w:rPr>
              <w:t>ESPOSIZIONE</w:t>
            </w:r>
          </w:p>
          <w:p w:rsidR="00595FAD" w:rsidRPr="00661595" w:rsidRDefault="00595FAD" w:rsidP="00B00AE0">
            <w:pPr>
              <w:keepNext/>
              <w:suppressAutoHyphens/>
              <w:spacing w:before="60"/>
              <w:rPr>
                <w:rFonts w:ascii="Times New Roman" w:hAnsi="Times New Roman"/>
                <w:b/>
                <w:sz w:val="24"/>
                <w:u w:val="single"/>
              </w:rPr>
            </w:pPr>
            <w:r>
              <w:rPr>
                <w:rFonts w:ascii="Times New Roman" w:hAnsi="Times New Roman"/>
                <w:sz w:val="24"/>
              </w:rPr>
              <w:t>Cfr. istruzioni relative alla colonna 0170 del modello C 34.02.</w:t>
            </w:r>
          </w:p>
        </w:tc>
      </w:tr>
      <w:tr w:rsidR="00595FAD" w:rsidRPr="00661595" w:rsidTr="00FF15C6">
        <w:trPr>
          <w:trHeight w:val="680"/>
        </w:trPr>
        <w:tc>
          <w:tcPr>
            <w:tcW w:w="1384" w:type="dxa"/>
          </w:tcPr>
          <w:p w:rsidR="00595FAD" w:rsidRPr="00661595" w:rsidRDefault="00595FAD" w:rsidP="00B00AE0">
            <w:pPr>
              <w:pStyle w:val="Applicationdirecte"/>
              <w:suppressAutoHyphens/>
              <w:spacing w:before="0" w:after="0"/>
            </w:pPr>
            <w:r>
              <w:t>0130</w:t>
            </w:r>
          </w:p>
        </w:tc>
        <w:tc>
          <w:tcPr>
            <w:tcW w:w="7655" w:type="dxa"/>
            <w:vAlign w:val="center"/>
          </w:tcPr>
          <w:p w:rsidR="00595FAD" w:rsidRPr="00661595" w:rsidRDefault="00595FAD" w:rsidP="00B00AE0">
            <w:pPr>
              <w:keepNext/>
              <w:suppressAutoHyphens/>
              <w:spacing w:before="60"/>
              <w:rPr>
                <w:rFonts w:ascii="Times New Roman" w:hAnsi="Times New Roman"/>
                <w:b/>
                <w:sz w:val="24"/>
                <w:u w:val="single"/>
              </w:rPr>
            </w:pPr>
            <w:r>
              <w:rPr>
                <w:rFonts w:ascii="Times New Roman" w:hAnsi="Times New Roman"/>
                <w:b/>
                <w:sz w:val="24"/>
                <w:u w:val="single"/>
              </w:rPr>
              <w:t>IMPORTI DELLE ESPOSIZIONI PONDERATI PER IL RISCHIO</w:t>
            </w:r>
          </w:p>
          <w:p w:rsidR="00595FAD" w:rsidRPr="00661595" w:rsidRDefault="00595FAD" w:rsidP="00B00AE0">
            <w:pPr>
              <w:keepNext/>
              <w:suppressAutoHyphens/>
              <w:spacing w:before="60"/>
              <w:rPr>
                <w:rFonts w:ascii="Times New Roman" w:hAnsi="Times New Roman"/>
                <w:b/>
                <w:sz w:val="24"/>
                <w:u w:val="single"/>
              </w:rPr>
            </w:pPr>
            <w:r>
              <w:rPr>
                <w:rFonts w:ascii="Times New Roman" w:hAnsi="Times New Roman"/>
                <w:sz w:val="24"/>
              </w:rPr>
              <w:t>Cfr. istruzioni relative alla colonna 0200 del modello C 34.02.</w:t>
            </w:r>
          </w:p>
        </w:tc>
      </w:tr>
    </w:tbl>
    <w:p w:rsidR="00595FAD" w:rsidRPr="005730EA" w:rsidRDefault="00595FAD" w:rsidP="00595FAD">
      <w:pPr>
        <w:pStyle w:val="Titlelevel2"/>
        <w:spacing w:before="120" w:after="120"/>
        <w:jc w:val="both"/>
        <w:rPr>
          <w:rFonts w:ascii="Times New Roman" w:hAnsi="Times New Roman" w:cs="Times New Roman"/>
          <w:color w:val="auto"/>
          <w:sz w:val="24"/>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74" w:name="_Toc19715819"/>
      <w:bookmarkStart w:id="475" w:name="_Toc58915812"/>
      <w:r>
        <w:rPr>
          <w:rFonts w:ascii="Times New Roman" w:hAnsi="Times New Roman"/>
          <w:sz w:val="24"/>
        </w:rPr>
        <w:t>C 34.07 - Metodo IRB - Esposizioni soggette al CCR in base alla classe di esposizioni e alla scala di PD</w:t>
      </w:r>
      <w:bookmarkEnd w:id="474"/>
      <w:bookmarkEnd w:id="475"/>
      <w:r>
        <w:rPr>
          <w:rFonts w:ascii="Times New Roman" w:hAnsi="Times New Roman"/>
          <w:sz w:val="24"/>
        </w:rPr>
        <w:t xml:space="preserve"> </w:t>
      </w:r>
    </w:p>
    <w:p w:rsidR="00595FAD" w:rsidRPr="00661595" w:rsidRDefault="00595FAD" w:rsidP="002F29AF">
      <w:pPr>
        <w:pStyle w:val="Instructionsberschrift2"/>
        <w:numPr>
          <w:ilvl w:val="3"/>
          <w:numId w:val="48"/>
        </w:numPr>
        <w:rPr>
          <w:rFonts w:ascii="Times New Roman" w:hAnsi="Times New Roman" w:cs="Times New Roman"/>
          <w:sz w:val="24"/>
        </w:rPr>
      </w:pPr>
      <w:bookmarkStart w:id="476" w:name="_Toc19715820"/>
      <w:bookmarkStart w:id="477" w:name="_Toc58915813"/>
      <w:r>
        <w:rPr>
          <w:rFonts w:ascii="Times New Roman" w:hAnsi="Times New Roman"/>
          <w:sz w:val="24"/>
        </w:rPr>
        <w:t>Osservazioni di carattere generale</w:t>
      </w:r>
      <w:bookmarkEnd w:id="476"/>
      <w:bookmarkEnd w:id="477"/>
    </w:p>
    <w:p w:rsidR="00595FAD" w:rsidRPr="00661595" w:rsidRDefault="00A971CA" w:rsidP="00B00AE0">
      <w:pPr>
        <w:pStyle w:val="InstructionsText2"/>
        <w:numPr>
          <w:ilvl w:val="0"/>
          <w:numId w:val="0"/>
        </w:numPr>
        <w:ind w:left="1800" w:hanging="600"/>
      </w:pPr>
      <w:r>
        <w:fldChar w:fldCharType="begin"/>
      </w:r>
      <w:r>
        <w:instrText xml:space="preserve"> seq paragraphs </w:instrText>
      </w:r>
      <w:r>
        <w:fldChar w:fldCharType="separate"/>
      </w:r>
      <w:r w:rsidR="00D11E4C">
        <w:rPr>
          <w:noProof/>
        </w:rPr>
        <w:t>128</w:t>
      </w:r>
      <w:r>
        <w:rPr>
          <w:noProof/>
        </w:rPr>
        <w:fldChar w:fldCharType="end"/>
      </w:r>
      <w:r w:rsidR="00B00AE0">
        <w:t>.</w:t>
      </w:r>
      <w:r w:rsidR="00B00AE0">
        <w:tab/>
      </w:r>
      <w:r w:rsidR="00D11E4C">
        <w:t>Questo modello è compilato dagli enti che utilizzano il metodo IRB avanzato o di base per calcolare gli importi delle esposizioni ponderati per il rischio per tutte o parte delle loro esposizioni soggette al CCR conformemente all</w:t>
      </w:r>
      <w:r w:rsidR="000878EC">
        <w:t>'</w:t>
      </w:r>
      <w:r w:rsidR="00D11E4C">
        <w:t xml:space="preserve">articolo 107 del CRR, indipendentemente dal metodo CCR utilizzato per determinare i valori delle esposizioni conformemente alla parte tre, titolo II, capi 4 e 6, del CRR. </w:t>
      </w:r>
    </w:p>
    <w:p w:rsidR="00595FAD" w:rsidRPr="00661595" w:rsidRDefault="00A971CA" w:rsidP="00B00AE0">
      <w:pPr>
        <w:pStyle w:val="InstructionsText2"/>
        <w:numPr>
          <w:ilvl w:val="0"/>
          <w:numId w:val="0"/>
        </w:numPr>
        <w:ind w:left="1800" w:hanging="600"/>
      </w:pPr>
      <w:r>
        <w:fldChar w:fldCharType="begin"/>
      </w:r>
      <w:r>
        <w:instrText xml:space="preserve"> seq paragraphs </w:instrText>
      </w:r>
      <w:r>
        <w:fldChar w:fldCharType="separate"/>
      </w:r>
      <w:r w:rsidR="00D11E4C">
        <w:rPr>
          <w:noProof/>
        </w:rPr>
        <w:t>129</w:t>
      </w:r>
      <w:r>
        <w:rPr>
          <w:noProof/>
        </w:rPr>
        <w:fldChar w:fldCharType="end"/>
      </w:r>
      <w:r w:rsidR="00B00AE0">
        <w:t>.</w:t>
      </w:r>
      <w:r w:rsidR="00B00AE0">
        <w:tab/>
      </w:r>
      <w:r w:rsidR="00D11E4C">
        <w:t>Il modello è compilato separatamente per il totale di tutte le classi di esposizioni e per ciascuna delle classi di esposizioni di cui all</w:t>
      </w:r>
      <w:r w:rsidR="000878EC">
        <w:t>'</w:t>
      </w:r>
      <w:r w:rsidR="00D11E4C">
        <w:t xml:space="preserve">articolo 147 del CRR. Sono escluse le esposizioni compensate tramite una CCP. </w:t>
      </w:r>
    </w:p>
    <w:p w:rsidR="00595FAD" w:rsidRPr="00661595" w:rsidRDefault="00A971CA" w:rsidP="00B00AE0">
      <w:pPr>
        <w:pStyle w:val="InstructionsText2"/>
        <w:numPr>
          <w:ilvl w:val="0"/>
          <w:numId w:val="0"/>
        </w:numPr>
        <w:ind w:left="1800" w:hanging="600"/>
      </w:pPr>
      <w:r>
        <w:fldChar w:fldCharType="begin"/>
      </w:r>
      <w:r>
        <w:instrText xml:space="preserve"> seq paragraphs </w:instrText>
      </w:r>
      <w:r>
        <w:fldChar w:fldCharType="separate"/>
      </w:r>
      <w:r w:rsidR="00D11E4C">
        <w:rPr>
          <w:noProof/>
        </w:rPr>
        <w:t>130</w:t>
      </w:r>
      <w:r>
        <w:rPr>
          <w:noProof/>
        </w:rPr>
        <w:fldChar w:fldCharType="end"/>
      </w:r>
      <w:r w:rsidR="00B00AE0">
        <w:t>.</w:t>
      </w:r>
      <w:r w:rsidR="00B00AE0">
        <w:tab/>
      </w:r>
      <w:r w:rsidR="00D11E4C">
        <w:t>Per precisare se l</w:t>
      </w:r>
      <w:r w:rsidR="000878EC">
        <w:t>'</w:t>
      </w:r>
      <w:r w:rsidR="00D11E4C">
        <w:t>ente utilizza stime interne della LGD o dei fattori di conversione del credito, sono fornite le seguenti informazioni per ciascuna classe di esposizioni segnalata:</w:t>
      </w:r>
    </w:p>
    <w:p w:rsidR="00595FAD" w:rsidRPr="00661595" w:rsidRDefault="000878EC" w:rsidP="00595FAD">
      <w:pPr>
        <w:autoSpaceDE w:val="0"/>
        <w:autoSpaceDN w:val="0"/>
        <w:adjustRightInd w:val="0"/>
        <w:spacing w:after="240"/>
        <w:ind w:left="709"/>
        <w:rPr>
          <w:rFonts w:ascii="Times New Roman" w:hAnsi="Times New Roman"/>
          <w:sz w:val="24"/>
        </w:rPr>
      </w:pPr>
      <w:r>
        <w:rPr>
          <w:rFonts w:ascii="Times New Roman" w:hAnsi="Times New Roman"/>
          <w:sz w:val="24"/>
        </w:rPr>
        <w:t>"</w:t>
      </w:r>
      <w:r w:rsidR="00595FAD">
        <w:rPr>
          <w:rFonts w:ascii="Times New Roman" w:hAnsi="Times New Roman"/>
          <w:sz w:val="24"/>
        </w:rPr>
        <w:t>NO</w:t>
      </w:r>
      <w:r>
        <w:rPr>
          <w:rFonts w:ascii="Times New Roman" w:hAnsi="Times New Roman"/>
          <w:sz w:val="24"/>
        </w:rPr>
        <w:t>"</w:t>
      </w:r>
      <w:r w:rsidR="00595FAD">
        <w:rPr>
          <w:rFonts w:ascii="Times New Roman" w:hAnsi="Times New Roman"/>
          <w:sz w:val="24"/>
        </w:rPr>
        <w:t xml:space="preserve"> = se si utilizzano le stime della LGD e dei fattori di conversione del credito compiute dall</w:t>
      </w:r>
      <w:r>
        <w:rPr>
          <w:rFonts w:ascii="Times New Roman" w:hAnsi="Times New Roman"/>
          <w:sz w:val="24"/>
        </w:rPr>
        <w:t>'</w:t>
      </w:r>
      <w:r w:rsidR="00595FAD">
        <w:rPr>
          <w:rFonts w:ascii="Times New Roman" w:hAnsi="Times New Roman"/>
          <w:sz w:val="24"/>
        </w:rPr>
        <w:t>organismo di vigilanza (IRB di base — F-IRB);</w:t>
      </w:r>
    </w:p>
    <w:p w:rsidR="00595FAD" w:rsidRPr="00661595" w:rsidRDefault="000878EC" w:rsidP="00595FAD">
      <w:pPr>
        <w:autoSpaceDE w:val="0"/>
        <w:autoSpaceDN w:val="0"/>
        <w:adjustRightInd w:val="0"/>
        <w:spacing w:after="240"/>
        <w:ind w:left="709"/>
        <w:rPr>
          <w:rFonts w:ascii="Times New Roman" w:hAnsi="Times New Roman"/>
          <w:sz w:val="24"/>
        </w:rPr>
      </w:pPr>
      <w:r>
        <w:rPr>
          <w:rFonts w:ascii="Times New Roman" w:hAnsi="Times New Roman"/>
          <w:sz w:val="24"/>
        </w:rPr>
        <w:t>"</w:t>
      </w:r>
      <w:r w:rsidR="00595FAD">
        <w:rPr>
          <w:rFonts w:ascii="Times New Roman" w:hAnsi="Times New Roman"/>
          <w:sz w:val="24"/>
        </w:rPr>
        <w:t>SÌ</w:t>
      </w:r>
      <w:r>
        <w:rPr>
          <w:rFonts w:ascii="Times New Roman" w:hAnsi="Times New Roman"/>
          <w:sz w:val="24"/>
        </w:rPr>
        <w:t>"</w:t>
      </w:r>
      <w:r w:rsidR="00595FAD">
        <w:rPr>
          <w:rFonts w:ascii="Times New Roman" w:hAnsi="Times New Roman"/>
          <w:sz w:val="24"/>
        </w:rPr>
        <w:t xml:space="preserve"> = se si utilizzano le stime interne della LGD e dei fattori di conversione del credito (IRB avanzato — A-IRB). </w:t>
      </w:r>
    </w:p>
    <w:p w:rsidR="00595FAD" w:rsidRPr="00661595" w:rsidRDefault="00595FAD" w:rsidP="002F29AF">
      <w:pPr>
        <w:pStyle w:val="Instructionsberschrift2"/>
        <w:numPr>
          <w:ilvl w:val="3"/>
          <w:numId w:val="48"/>
        </w:numPr>
        <w:rPr>
          <w:rFonts w:ascii="Times New Roman" w:hAnsi="Times New Roman" w:cs="Times New Roman"/>
          <w:sz w:val="24"/>
        </w:rPr>
      </w:pPr>
      <w:bookmarkStart w:id="478" w:name="_Toc19715821"/>
      <w:bookmarkStart w:id="479" w:name="_Toc58915814"/>
      <w:r>
        <w:rPr>
          <w:rFonts w:ascii="Times New Roman" w:hAnsi="Times New Roman"/>
          <w:sz w:val="24"/>
        </w:rPr>
        <w:t>Istruzioni relative a posizioni specifiche</w:t>
      </w:r>
      <w:bookmarkEnd w:id="478"/>
      <w:bookmarkEnd w:id="479"/>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67"/>
      </w:tblGrid>
      <w:tr w:rsidR="00595FAD" w:rsidRPr="00661595" w:rsidTr="00FF15C6">
        <w:trPr>
          <w:trHeight w:val="238"/>
        </w:trPr>
        <w:tc>
          <w:tcPr>
            <w:tcW w:w="9067" w:type="dxa"/>
            <w:shd w:val="clear" w:color="auto" w:fill="D9D9D9" w:themeFill="background1" w:themeFillShade="D9"/>
          </w:tcPr>
          <w:p w:rsidR="00595FAD" w:rsidRPr="00751FBE" w:rsidRDefault="00595FAD" w:rsidP="00B00AE0">
            <w:pPr>
              <w:suppressAutoHyphens/>
              <w:autoSpaceDE w:val="0"/>
              <w:autoSpaceDN w:val="0"/>
              <w:adjustRightInd w:val="0"/>
              <w:rPr>
                <w:rFonts w:ascii="Times New Roman" w:hAnsi="Times New Roman"/>
                <w:b/>
                <w:sz w:val="24"/>
              </w:rPr>
            </w:pPr>
            <w:r>
              <w:rPr>
                <w:rFonts w:ascii="Times New Roman" w:hAnsi="Times New Roman"/>
                <w:b/>
                <w:sz w:val="24"/>
              </w:rPr>
              <w:t>Colonne</w:t>
            </w:r>
          </w:p>
        </w:tc>
      </w:tr>
    </w:tbl>
    <w:tbl>
      <w:tblPr>
        <w:tblStyle w:val="TableGrid"/>
        <w:tblW w:w="9067" w:type="dxa"/>
        <w:tblLook w:val="04A0" w:firstRow="1" w:lastRow="0" w:firstColumn="1" w:lastColumn="0" w:noHBand="0" w:noVBand="1"/>
      </w:tblPr>
      <w:tblGrid>
        <w:gridCol w:w="1413"/>
        <w:gridCol w:w="7654"/>
      </w:tblGrid>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Pr>
                <w:rFonts w:ascii="Times New Roman" w:hAnsi="Times New Roman"/>
                <w:sz w:val="24"/>
                <w:szCs w:val="22"/>
              </w:rPr>
              <w:t>0010</w:t>
            </w:r>
          </w:p>
        </w:tc>
        <w:tc>
          <w:tcPr>
            <w:tcW w:w="7654" w:type="dxa"/>
          </w:tcPr>
          <w:p w:rsidR="00595FAD" w:rsidRPr="00661595" w:rsidRDefault="00595FAD" w:rsidP="00B00AE0">
            <w:pPr>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Valore dell</w:t>
            </w:r>
            <w:r w:rsidR="000878EC">
              <w:rPr>
                <w:rStyle w:val="InstructionsTabelleberschrift"/>
                <w:rFonts w:ascii="Times New Roman" w:hAnsi="Times New Roman"/>
                <w:sz w:val="24"/>
              </w:rPr>
              <w:t>'</w:t>
            </w:r>
            <w:r>
              <w:rPr>
                <w:rStyle w:val="InstructionsTabelleberschrift"/>
                <w:rFonts w:ascii="Times New Roman" w:hAnsi="Times New Roman"/>
                <w:sz w:val="24"/>
              </w:rPr>
              <w:t xml:space="preserve">esposizione </w:t>
            </w:r>
          </w:p>
          <w:p w:rsidR="00595FAD" w:rsidRPr="00661595" w:rsidRDefault="00595FAD" w:rsidP="00B00AE0">
            <w:pPr>
              <w:suppressAutoHyphens/>
              <w:spacing w:before="60" w:after="240"/>
              <w:rPr>
                <w:rFonts w:ascii="Times New Roman" w:hAnsi="Times New Roman"/>
                <w:sz w:val="24"/>
              </w:rPr>
            </w:pPr>
            <w:r>
              <w:rPr>
                <w:rFonts w:ascii="Times New Roman" w:hAnsi="Times New Roman"/>
                <w:sz w:val="24"/>
              </w:rPr>
              <w:t>Valore dell</w:t>
            </w:r>
            <w:r w:rsidR="000878EC">
              <w:rPr>
                <w:rFonts w:ascii="Times New Roman" w:hAnsi="Times New Roman"/>
                <w:sz w:val="24"/>
              </w:rPr>
              <w:t>'</w:t>
            </w:r>
            <w:r>
              <w:rPr>
                <w:rFonts w:ascii="Times New Roman" w:hAnsi="Times New Roman"/>
                <w:sz w:val="24"/>
              </w:rPr>
              <w:t>esposizione (cfr. istruzioni relativ</w:t>
            </w:r>
            <w:r w:rsidR="00B00AE0">
              <w:rPr>
                <w:rFonts w:ascii="Times New Roman" w:hAnsi="Times New Roman"/>
                <w:sz w:val="24"/>
              </w:rPr>
              <w:t>e alla colonna 0170 del modello </w:t>
            </w:r>
            <w:r>
              <w:rPr>
                <w:rFonts w:ascii="Times New Roman" w:hAnsi="Times New Roman"/>
                <w:sz w:val="24"/>
              </w:rPr>
              <w:t>C 34.02), ripartito in base alla scala di PD data</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Pr>
                <w:rFonts w:ascii="Times New Roman" w:hAnsi="Times New Roman"/>
                <w:sz w:val="24"/>
                <w:szCs w:val="22"/>
              </w:rPr>
              <w:t>0020</w:t>
            </w:r>
          </w:p>
        </w:tc>
        <w:tc>
          <w:tcPr>
            <w:tcW w:w="7654" w:type="dxa"/>
          </w:tcPr>
          <w:p w:rsidR="00595FAD" w:rsidRPr="00661595" w:rsidRDefault="00595FAD" w:rsidP="00B00AE0">
            <w:pPr>
              <w:suppressAutoHyphens/>
              <w:spacing w:before="60" w:after="240"/>
              <w:rPr>
                <w:rStyle w:val="InstructionsTabelleberschrift"/>
                <w:rFonts w:ascii="Times New Roman" w:hAnsi="Times New Roman"/>
                <w:sz w:val="24"/>
              </w:rPr>
            </w:pPr>
            <w:r>
              <w:rPr>
                <w:rStyle w:val="InstructionsTabelleberschrift"/>
                <w:rFonts w:ascii="Times New Roman" w:hAnsi="Times New Roman"/>
                <w:sz w:val="24"/>
              </w:rPr>
              <w:t>PD media ponderata per l</w:t>
            </w:r>
            <w:r w:rsidR="000878EC">
              <w:rPr>
                <w:rStyle w:val="InstructionsTabelleberschrift"/>
                <w:rFonts w:ascii="Times New Roman" w:hAnsi="Times New Roman"/>
                <w:sz w:val="24"/>
              </w:rPr>
              <w:t>'</w:t>
            </w:r>
            <w:r>
              <w:rPr>
                <w:rStyle w:val="InstructionsTabelleberschrift"/>
                <w:rFonts w:ascii="Times New Roman" w:hAnsi="Times New Roman"/>
                <w:sz w:val="24"/>
              </w:rPr>
              <w:t>esposizione (%)</w:t>
            </w:r>
          </w:p>
          <w:p w:rsidR="00595FAD" w:rsidRPr="00661595" w:rsidRDefault="00595FAD" w:rsidP="00B00AE0">
            <w:pPr>
              <w:suppressAutoHyphens/>
              <w:spacing w:before="60" w:after="240"/>
              <w:rPr>
                <w:rFonts w:ascii="Times New Roman" w:hAnsi="Times New Roman"/>
                <w:sz w:val="24"/>
              </w:rPr>
            </w:pPr>
            <w:r>
              <w:rPr>
                <w:rFonts w:ascii="Times New Roman" w:hAnsi="Times New Roman"/>
                <w:sz w:val="24"/>
              </w:rPr>
              <w:t>Media delle PD di singole classi di debitori ponderate per il corrispondente valore dell</w:t>
            </w:r>
            <w:r w:rsidR="000878EC">
              <w:rPr>
                <w:rFonts w:ascii="Times New Roman" w:hAnsi="Times New Roman"/>
                <w:sz w:val="24"/>
              </w:rPr>
              <w:t>'</w:t>
            </w:r>
            <w:r>
              <w:rPr>
                <w:rFonts w:ascii="Times New Roman" w:hAnsi="Times New Roman"/>
                <w:sz w:val="24"/>
              </w:rPr>
              <w:t>esposizione definito nella colonna 0010</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Pr>
                <w:rFonts w:ascii="Times New Roman" w:hAnsi="Times New Roman"/>
                <w:sz w:val="24"/>
                <w:szCs w:val="22"/>
              </w:rPr>
              <w:t>0030</w:t>
            </w:r>
          </w:p>
        </w:tc>
        <w:tc>
          <w:tcPr>
            <w:tcW w:w="7654" w:type="dxa"/>
          </w:tcPr>
          <w:p w:rsidR="00595FAD" w:rsidRPr="00661595" w:rsidRDefault="00595FAD" w:rsidP="00B00AE0">
            <w:pPr>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 xml:space="preserve">Numero di debitori </w:t>
            </w:r>
          </w:p>
          <w:p w:rsidR="00595FAD" w:rsidRPr="00661595" w:rsidRDefault="00595FAD" w:rsidP="00B00AE0">
            <w:pPr>
              <w:suppressAutoHyphens/>
              <w:rPr>
                <w:rFonts w:ascii="Times New Roman" w:hAnsi="Times New Roman"/>
                <w:sz w:val="24"/>
              </w:rPr>
            </w:pPr>
            <w:r>
              <w:rPr>
                <w:rFonts w:ascii="Times New Roman" w:hAnsi="Times New Roman"/>
                <w:sz w:val="24"/>
              </w:rPr>
              <w:t>Il numero di soggetti giuridici o debitori assegnati a ciascuna categoria della scala di PD fissata, che sono stati valutati separatamente, indipendentemente dal numero di diversi prestiti o esposizioni concessi</w:t>
            </w:r>
          </w:p>
          <w:p w:rsidR="00595FAD" w:rsidRPr="00661595" w:rsidRDefault="00595FAD" w:rsidP="00B00AE0">
            <w:pPr>
              <w:suppressAutoHyphens/>
              <w:rPr>
                <w:rFonts w:ascii="Times New Roman" w:hAnsi="Times New Roman"/>
                <w:sz w:val="24"/>
              </w:rPr>
            </w:pPr>
            <w:r>
              <w:rPr>
                <w:rFonts w:ascii="Times New Roman" w:hAnsi="Times New Roman"/>
                <w:sz w:val="24"/>
              </w:rPr>
              <w:t>Se diverse esposizioni verso lo stesso debitore sono valutate separatamente, esse sono conteggiate separatamente. Tale situazione può verificarsi se esposizioni distinte verso lo stesso debitore sono assegnate a classi diverse conformemente all</w:t>
            </w:r>
            <w:r w:rsidR="000878EC">
              <w:rPr>
                <w:rFonts w:ascii="Times New Roman" w:hAnsi="Times New Roman"/>
                <w:sz w:val="24"/>
              </w:rPr>
              <w:t>'</w:t>
            </w:r>
            <w:r>
              <w:rPr>
                <w:rFonts w:ascii="Times New Roman" w:hAnsi="Times New Roman"/>
                <w:sz w:val="24"/>
              </w:rPr>
              <w:t>articolo 172, paragrafo 1, lettera e), seconda frase, del CRR.</w:t>
            </w:r>
          </w:p>
        </w:tc>
      </w:tr>
      <w:tr w:rsidR="00595FAD" w:rsidRPr="00661595" w:rsidTr="00FF15C6">
        <w:tc>
          <w:tcPr>
            <w:tcW w:w="1413" w:type="dxa"/>
          </w:tcPr>
          <w:p w:rsidR="00595FAD" w:rsidRPr="00661595" w:rsidRDefault="00595FAD" w:rsidP="00FF15C6">
            <w:pPr>
              <w:spacing w:before="60" w:after="240"/>
              <w:rPr>
                <w:rFonts w:ascii="Times New Roman" w:hAnsi="Times New Roman"/>
                <w:sz w:val="24"/>
                <w:szCs w:val="22"/>
              </w:rPr>
            </w:pPr>
            <w:r>
              <w:rPr>
                <w:rFonts w:ascii="Times New Roman" w:hAnsi="Times New Roman"/>
                <w:sz w:val="24"/>
                <w:szCs w:val="22"/>
              </w:rPr>
              <w:t>0040</w:t>
            </w:r>
          </w:p>
        </w:tc>
        <w:tc>
          <w:tcPr>
            <w:tcW w:w="7654" w:type="dxa"/>
          </w:tcPr>
          <w:p w:rsidR="00595FAD" w:rsidRPr="00661595" w:rsidRDefault="00595FAD" w:rsidP="00B00AE0">
            <w:pPr>
              <w:suppressAutoHyphens/>
              <w:spacing w:before="60" w:after="240"/>
              <w:rPr>
                <w:rStyle w:val="InstructionsTabelleberschrift"/>
                <w:rFonts w:ascii="Times New Roman" w:hAnsi="Times New Roman"/>
                <w:sz w:val="24"/>
              </w:rPr>
            </w:pPr>
            <w:r>
              <w:rPr>
                <w:rStyle w:val="InstructionsTabelleberschrift"/>
                <w:rFonts w:ascii="Times New Roman" w:hAnsi="Times New Roman"/>
                <w:sz w:val="24"/>
              </w:rPr>
              <w:t>LGD media ponderata per l</w:t>
            </w:r>
            <w:r w:rsidR="000878EC">
              <w:rPr>
                <w:rStyle w:val="InstructionsTabelleberschrift"/>
                <w:rFonts w:ascii="Times New Roman" w:hAnsi="Times New Roman"/>
                <w:sz w:val="24"/>
              </w:rPr>
              <w:t>'</w:t>
            </w:r>
            <w:r>
              <w:rPr>
                <w:rStyle w:val="InstructionsTabelleberschrift"/>
                <w:rFonts w:ascii="Times New Roman" w:hAnsi="Times New Roman"/>
                <w:sz w:val="24"/>
              </w:rPr>
              <w:t>esposizione (%)</w:t>
            </w:r>
          </w:p>
          <w:p w:rsidR="00595FAD" w:rsidRPr="00661595" w:rsidRDefault="00595FAD" w:rsidP="00B00AE0">
            <w:pPr>
              <w:suppressAutoHyphens/>
              <w:spacing w:before="60" w:after="240"/>
              <w:rPr>
                <w:rFonts w:ascii="Times New Roman" w:hAnsi="Times New Roman"/>
                <w:sz w:val="24"/>
              </w:rPr>
            </w:pPr>
            <w:r>
              <w:rPr>
                <w:rFonts w:ascii="Times New Roman" w:hAnsi="Times New Roman"/>
                <w:sz w:val="24"/>
              </w:rPr>
              <w:t>Media delle LGD delle classi di debitori ponderate per il corrispondente valore dell</w:t>
            </w:r>
            <w:r w:rsidR="000878EC">
              <w:rPr>
                <w:rFonts w:ascii="Times New Roman" w:hAnsi="Times New Roman"/>
                <w:sz w:val="24"/>
              </w:rPr>
              <w:t>'</w:t>
            </w:r>
            <w:r>
              <w:rPr>
                <w:rFonts w:ascii="Times New Roman" w:hAnsi="Times New Roman"/>
                <w:sz w:val="24"/>
              </w:rPr>
              <w:t>esposizione di cui alla colonna 0010</w:t>
            </w:r>
          </w:p>
          <w:p w:rsidR="00595FAD" w:rsidRPr="00661595" w:rsidRDefault="00595FAD" w:rsidP="00B00AE0">
            <w:pPr>
              <w:suppressAutoHyphens/>
              <w:rPr>
                <w:rFonts w:ascii="Times New Roman" w:hAnsi="Times New Roman"/>
                <w:sz w:val="24"/>
              </w:rPr>
            </w:pPr>
            <w:r>
              <w:rPr>
                <w:rFonts w:ascii="Times New Roman" w:hAnsi="Times New Roman"/>
                <w:sz w:val="24"/>
              </w:rPr>
              <w:t>La LGD segnalata corrisponde alla stima finale della LGD utilizzata nel calcolo degli importi delle esposizioni ponderati per il rischio ottenuti considerando gli effetti della CRM e le condizioni di recessione, come specificato nella parte tre, titolo II, capi 3 e 4, del CRR, se del caso. In particolare, per gli enti che applicano il metodo IRB ma non utilizzano stime interne della LGD, gli effetti di attenuazione del rischio delle garanzie reali finanziarie sono considerati in E*, il valore corretto integralmente dell</w:t>
            </w:r>
            <w:r w:rsidR="000878EC">
              <w:rPr>
                <w:rFonts w:ascii="Times New Roman" w:hAnsi="Times New Roman"/>
                <w:sz w:val="24"/>
              </w:rPr>
              <w:t>'</w:t>
            </w:r>
            <w:r>
              <w:rPr>
                <w:rFonts w:ascii="Times New Roman" w:hAnsi="Times New Roman"/>
                <w:sz w:val="24"/>
              </w:rPr>
              <w:t>esposizione, e poi ripresi nella LGD* ai sen</w:t>
            </w:r>
            <w:r w:rsidR="00B00AE0">
              <w:rPr>
                <w:rFonts w:ascii="Times New Roman" w:hAnsi="Times New Roman"/>
                <w:sz w:val="24"/>
              </w:rPr>
              <w:t>si dell</w:t>
            </w:r>
            <w:r w:rsidR="000878EC">
              <w:rPr>
                <w:rFonts w:ascii="Times New Roman" w:hAnsi="Times New Roman"/>
                <w:sz w:val="24"/>
              </w:rPr>
              <w:t>'</w:t>
            </w:r>
            <w:r w:rsidR="00B00AE0">
              <w:rPr>
                <w:rFonts w:ascii="Times New Roman" w:hAnsi="Times New Roman"/>
                <w:sz w:val="24"/>
              </w:rPr>
              <w:t>articolo 228, paragrafo </w:t>
            </w:r>
            <w:r>
              <w:rPr>
                <w:rFonts w:ascii="Times New Roman" w:hAnsi="Times New Roman"/>
                <w:sz w:val="24"/>
              </w:rPr>
              <w:t>2, del CRR. Se sono utilizzate stime interne della LGD, si tiene conto dell</w:t>
            </w:r>
            <w:r w:rsidR="000878EC">
              <w:rPr>
                <w:rFonts w:ascii="Times New Roman" w:hAnsi="Times New Roman"/>
                <w:sz w:val="24"/>
              </w:rPr>
              <w:t>'</w:t>
            </w:r>
            <w:r>
              <w:rPr>
                <w:rFonts w:ascii="Times New Roman" w:hAnsi="Times New Roman"/>
                <w:sz w:val="24"/>
              </w:rPr>
              <w:t>articolo 175 e dell</w:t>
            </w:r>
            <w:r w:rsidR="000878EC">
              <w:rPr>
                <w:rFonts w:ascii="Times New Roman" w:hAnsi="Times New Roman"/>
                <w:sz w:val="24"/>
              </w:rPr>
              <w:t>'</w:t>
            </w:r>
            <w:r>
              <w:rPr>
                <w:rFonts w:ascii="Times New Roman" w:hAnsi="Times New Roman"/>
                <w:sz w:val="24"/>
              </w:rPr>
              <w:t>articolo 181, paragrafi 1 e 2, del CRR.</w:t>
            </w:r>
          </w:p>
          <w:p w:rsidR="00595FAD" w:rsidRPr="00661595" w:rsidRDefault="00595FAD" w:rsidP="00B00AE0">
            <w:pPr>
              <w:suppressAutoHyphens/>
              <w:rPr>
                <w:rFonts w:ascii="Times New Roman" w:hAnsi="Times New Roman"/>
                <w:sz w:val="24"/>
              </w:rPr>
            </w:pPr>
            <w:r>
              <w:rPr>
                <w:rFonts w:ascii="Times New Roman" w:hAnsi="Times New Roman"/>
                <w:sz w:val="24"/>
              </w:rPr>
              <w:t xml:space="preserve">In caso di esposizioni soggette al trattamento del </w:t>
            </w:r>
            <w:r w:rsidR="000878EC">
              <w:rPr>
                <w:rFonts w:ascii="Times New Roman" w:hAnsi="Times New Roman"/>
                <w:sz w:val="24"/>
              </w:rPr>
              <w:t>"</w:t>
            </w:r>
            <w:r>
              <w:rPr>
                <w:rFonts w:ascii="Times New Roman" w:hAnsi="Times New Roman"/>
                <w:sz w:val="24"/>
              </w:rPr>
              <w:t>double default</w:t>
            </w:r>
            <w:r w:rsidR="000878EC">
              <w:rPr>
                <w:rFonts w:ascii="Times New Roman" w:hAnsi="Times New Roman"/>
                <w:sz w:val="24"/>
              </w:rPr>
              <w:t>"</w:t>
            </w:r>
            <w:r>
              <w:rPr>
                <w:rFonts w:ascii="Times New Roman" w:hAnsi="Times New Roman"/>
                <w:sz w:val="24"/>
              </w:rPr>
              <w:t>, la LGD da segnalare è la LGD selezionata conformemente all</w:t>
            </w:r>
            <w:r w:rsidR="000878EC">
              <w:rPr>
                <w:rFonts w:ascii="Times New Roman" w:hAnsi="Times New Roman"/>
                <w:sz w:val="24"/>
              </w:rPr>
              <w:t>'</w:t>
            </w:r>
            <w:r>
              <w:rPr>
                <w:rFonts w:ascii="Times New Roman" w:hAnsi="Times New Roman"/>
                <w:sz w:val="24"/>
              </w:rPr>
              <w:t>articolo 161, paragrafo 4, del CRR.</w:t>
            </w:r>
          </w:p>
          <w:p w:rsidR="00595FAD" w:rsidRPr="00661595" w:rsidRDefault="00595FAD" w:rsidP="00B00AE0">
            <w:pPr>
              <w:suppressAutoHyphens/>
              <w:spacing w:before="60" w:after="240"/>
              <w:rPr>
                <w:rFonts w:ascii="Times New Roman" w:hAnsi="Times New Roman"/>
                <w:strike/>
                <w:sz w:val="24"/>
              </w:rPr>
            </w:pPr>
            <w:r>
              <w:rPr>
                <w:rFonts w:ascii="Times New Roman" w:hAnsi="Times New Roman"/>
                <w:sz w:val="24"/>
              </w:rPr>
              <w:t>Per le esposizioni in stato di default secondo il metodo A-IRB si applicano le disposizioni dell</w:t>
            </w:r>
            <w:r w:rsidR="000878EC">
              <w:rPr>
                <w:rFonts w:ascii="Times New Roman" w:hAnsi="Times New Roman"/>
                <w:sz w:val="24"/>
              </w:rPr>
              <w:t>'</w:t>
            </w:r>
            <w:r>
              <w:rPr>
                <w:rFonts w:ascii="Times New Roman" w:hAnsi="Times New Roman"/>
                <w:sz w:val="24"/>
              </w:rPr>
              <w:t xml:space="preserve">articolo 181, paragrafo 1, lettera h), del CRR. La LGD segnalata corrisponde alla stima della LGD in stato di default. </w:t>
            </w:r>
          </w:p>
        </w:tc>
      </w:tr>
      <w:tr w:rsidR="00595FAD" w:rsidRPr="00661595" w:rsidTr="00FF15C6">
        <w:tc>
          <w:tcPr>
            <w:tcW w:w="1413" w:type="dxa"/>
          </w:tcPr>
          <w:p w:rsidR="00595FAD" w:rsidRPr="00661595" w:rsidRDefault="00595FAD" w:rsidP="00B00AE0">
            <w:pPr>
              <w:keepNext/>
              <w:keepLines/>
              <w:spacing w:before="60" w:after="240"/>
              <w:rPr>
                <w:rFonts w:ascii="Times New Roman" w:hAnsi="Times New Roman"/>
                <w:sz w:val="24"/>
              </w:rPr>
            </w:pPr>
            <w:r>
              <w:rPr>
                <w:rFonts w:ascii="Times New Roman" w:hAnsi="Times New Roman"/>
                <w:sz w:val="24"/>
              </w:rPr>
              <w:t>0050</w:t>
            </w:r>
          </w:p>
        </w:tc>
        <w:tc>
          <w:tcPr>
            <w:tcW w:w="7654" w:type="dxa"/>
          </w:tcPr>
          <w:p w:rsidR="00595FAD" w:rsidRPr="00661595" w:rsidRDefault="00595FAD" w:rsidP="00B00AE0">
            <w:pPr>
              <w:keepNext/>
              <w:keepLines/>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Durata media ponderata per l</w:t>
            </w:r>
            <w:r w:rsidR="000878EC">
              <w:rPr>
                <w:rStyle w:val="InstructionsTabelleberschrift"/>
                <w:rFonts w:ascii="Times New Roman" w:hAnsi="Times New Roman"/>
                <w:sz w:val="24"/>
              </w:rPr>
              <w:t>'</w:t>
            </w:r>
            <w:r>
              <w:rPr>
                <w:rStyle w:val="InstructionsTabelleberschrift"/>
                <w:rFonts w:ascii="Times New Roman" w:hAnsi="Times New Roman"/>
                <w:sz w:val="24"/>
              </w:rPr>
              <w:t>esposizione (anni)</w:t>
            </w:r>
          </w:p>
          <w:p w:rsidR="00595FAD" w:rsidRPr="00661595" w:rsidRDefault="00595FAD" w:rsidP="00B00AE0">
            <w:pPr>
              <w:keepNext/>
              <w:keepLines/>
              <w:suppressAutoHyphens/>
              <w:spacing w:before="60"/>
              <w:rPr>
                <w:rFonts w:ascii="Times New Roman" w:hAnsi="Times New Roman"/>
                <w:sz w:val="24"/>
              </w:rPr>
            </w:pPr>
            <w:r>
              <w:rPr>
                <w:rStyle w:val="InstructionsTabelleberschrift"/>
                <w:rFonts w:ascii="Times New Roman" w:hAnsi="Times New Roman"/>
                <w:b w:val="0"/>
                <w:sz w:val="24"/>
                <w:u w:val="none"/>
              </w:rPr>
              <w:t>Media</w:t>
            </w:r>
            <w:r>
              <w:rPr>
                <w:rFonts w:ascii="Times New Roman" w:hAnsi="Times New Roman"/>
                <w:sz w:val="24"/>
              </w:rPr>
              <w:t xml:space="preserve"> delle durate del debitore in anni ponderate per il corrispondente valore dell</w:t>
            </w:r>
            <w:r w:rsidR="000878EC">
              <w:rPr>
                <w:rFonts w:ascii="Times New Roman" w:hAnsi="Times New Roman"/>
                <w:sz w:val="24"/>
              </w:rPr>
              <w:t>'</w:t>
            </w:r>
            <w:r>
              <w:rPr>
                <w:rFonts w:ascii="Times New Roman" w:hAnsi="Times New Roman"/>
                <w:sz w:val="24"/>
              </w:rPr>
              <w:t>esposizione di cui alla colonna 0010</w:t>
            </w:r>
          </w:p>
          <w:p w:rsidR="00595FAD" w:rsidRPr="00661595" w:rsidRDefault="00595FAD" w:rsidP="00B00AE0">
            <w:pPr>
              <w:keepNext/>
              <w:keepLines/>
              <w:suppressAutoHyphens/>
              <w:rPr>
                <w:rFonts w:ascii="Times New Roman" w:hAnsi="Times New Roman"/>
                <w:sz w:val="24"/>
              </w:rPr>
            </w:pPr>
            <w:r>
              <w:rPr>
                <w:rFonts w:ascii="Times New Roman" w:hAnsi="Times New Roman"/>
                <w:sz w:val="24"/>
              </w:rPr>
              <w:t>La durata segnalata è determinata conformemente all</w:t>
            </w:r>
            <w:r w:rsidR="000878EC">
              <w:rPr>
                <w:rFonts w:ascii="Times New Roman" w:hAnsi="Times New Roman"/>
                <w:sz w:val="24"/>
              </w:rPr>
              <w:t>'</w:t>
            </w:r>
            <w:r>
              <w:rPr>
                <w:rFonts w:ascii="Times New Roman" w:hAnsi="Times New Roman"/>
                <w:sz w:val="24"/>
              </w:rPr>
              <w:t xml:space="preserve">articolo 162 del CRR. </w:t>
            </w:r>
          </w:p>
        </w:tc>
      </w:tr>
      <w:tr w:rsidR="00595FAD" w:rsidRPr="00661595" w:rsidTr="00FF15C6">
        <w:tc>
          <w:tcPr>
            <w:tcW w:w="1413" w:type="dxa"/>
          </w:tcPr>
          <w:p w:rsidR="00595FAD" w:rsidRPr="00661595" w:rsidRDefault="00595FAD" w:rsidP="00FF15C6">
            <w:pPr>
              <w:spacing w:before="60" w:after="240"/>
              <w:rPr>
                <w:sz w:val="24"/>
              </w:rPr>
            </w:pPr>
            <w:r>
              <w:rPr>
                <w:rFonts w:ascii="Times New Roman" w:hAnsi="Times New Roman"/>
                <w:sz w:val="24"/>
              </w:rPr>
              <w:t>0060</w:t>
            </w:r>
          </w:p>
        </w:tc>
        <w:tc>
          <w:tcPr>
            <w:tcW w:w="7654" w:type="dxa"/>
          </w:tcPr>
          <w:p w:rsidR="00595FAD" w:rsidRPr="00661595" w:rsidRDefault="00595FAD" w:rsidP="00B00AE0">
            <w:pPr>
              <w:suppressAutoHyphens/>
              <w:spacing w:before="60"/>
              <w:rPr>
                <w:rFonts w:ascii="Times New Roman" w:hAnsi="Times New Roman"/>
                <w:sz w:val="24"/>
              </w:rPr>
            </w:pPr>
            <w:r>
              <w:rPr>
                <w:rStyle w:val="InstructionsTabelleberschrift"/>
                <w:rFonts w:ascii="Times New Roman" w:hAnsi="Times New Roman"/>
                <w:sz w:val="24"/>
              </w:rPr>
              <w:t>Importi dell</w:t>
            </w:r>
            <w:r w:rsidR="000878EC">
              <w:rPr>
                <w:rStyle w:val="InstructionsTabelleberschrift"/>
                <w:rFonts w:ascii="Times New Roman" w:hAnsi="Times New Roman"/>
                <w:sz w:val="24"/>
              </w:rPr>
              <w:t>'</w:t>
            </w:r>
            <w:r>
              <w:rPr>
                <w:rStyle w:val="InstructionsTabelleberschrift"/>
                <w:rFonts w:ascii="Times New Roman" w:hAnsi="Times New Roman"/>
                <w:sz w:val="24"/>
              </w:rPr>
              <w:t>esposizione ponderati per il rischio</w:t>
            </w:r>
            <w:r>
              <w:rPr>
                <w:rFonts w:ascii="Times New Roman" w:hAnsi="Times New Roman"/>
                <w:i/>
                <w:sz w:val="24"/>
              </w:rPr>
              <w:t xml:space="preserve"> </w:t>
            </w:r>
          </w:p>
          <w:p w:rsidR="00595FAD" w:rsidRPr="00661595" w:rsidRDefault="00595FAD" w:rsidP="00B00AE0">
            <w:pPr>
              <w:suppressAutoHyphens/>
              <w:spacing w:before="60"/>
              <w:rPr>
                <w:rFonts w:ascii="Times New Roman" w:hAnsi="Times New Roman"/>
                <w:sz w:val="24"/>
              </w:rPr>
            </w:pPr>
            <w:r>
              <w:rPr>
                <w:rFonts w:ascii="Times New Roman" w:hAnsi="Times New Roman"/>
                <w:sz w:val="24"/>
              </w:rPr>
              <w:t>Importi delle esposizioni ponderati per il rischio, così come definiti all</w:t>
            </w:r>
            <w:r w:rsidR="000878EC">
              <w:rPr>
                <w:rFonts w:ascii="Times New Roman" w:hAnsi="Times New Roman"/>
                <w:sz w:val="24"/>
              </w:rPr>
              <w:t>'</w:t>
            </w:r>
            <w:r>
              <w:rPr>
                <w:rFonts w:ascii="Times New Roman" w:hAnsi="Times New Roman"/>
                <w:sz w:val="24"/>
              </w:rPr>
              <w:t>articolo 92, paragrafi 3 e 4, del CRR, per le posizioni i cui fattori di ponderazione del rischio sono stimati sulla base dei requisiti di cui alla parte tre, titolo II, capo 3, del CRR e per le quali il valore dell</w:t>
            </w:r>
            <w:r w:rsidR="000878EC">
              <w:rPr>
                <w:rFonts w:ascii="Times New Roman" w:hAnsi="Times New Roman"/>
                <w:sz w:val="24"/>
              </w:rPr>
              <w:t>'</w:t>
            </w:r>
            <w:r>
              <w:rPr>
                <w:rFonts w:ascii="Times New Roman" w:hAnsi="Times New Roman"/>
                <w:sz w:val="24"/>
              </w:rPr>
              <w:t>esposizione soggetta al CCR è calcolato conformemente alla parte tre, titolo II, capi 4 e 6, del CRR.</w:t>
            </w:r>
          </w:p>
          <w:p w:rsidR="00595FAD" w:rsidRPr="00661595" w:rsidRDefault="00595FAD" w:rsidP="00B00AE0">
            <w:pPr>
              <w:suppressAutoHyphens/>
              <w:spacing w:before="60" w:after="240"/>
              <w:rPr>
                <w:rFonts w:ascii="Times New Roman" w:hAnsi="Times New Roman"/>
                <w:i/>
                <w:sz w:val="24"/>
              </w:rPr>
            </w:pPr>
            <w:r>
              <w:rPr>
                <w:rFonts w:ascii="Times New Roman" w:hAnsi="Times New Roman"/>
                <w:sz w:val="24"/>
              </w:rPr>
              <w:t xml:space="preserve">Si tiene conto dei fattori di sostegno alle PMI e alle infrastrutture di cui agli articoli 501 e 501 bis del CRR. </w:t>
            </w:r>
          </w:p>
        </w:tc>
      </w:tr>
      <w:tr w:rsidR="00595FAD" w:rsidRPr="00661595" w:rsidTr="00FF15C6">
        <w:tc>
          <w:tcPr>
            <w:tcW w:w="1413" w:type="dxa"/>
          </w:tcPr>
          <w:p w:rsidR="00595FAD" w:rsidRPr="00661595" w:rsidRDefault="00595FAD" w:rsidP="00FF15C6">
            <w:pPr>
              <w:spacing w:before="60" w:after="240"/>
              <w:rPr>
                <w:sz w:val="24"/>
              </w:rPr>
            </w:pPr>
            <w:r>
              <w:rPr>
                <w:rFonts w:ascii="Times New Roman" w:hAnsi="Times New Roman"/>
                <w:sz w:val="24"/>
              </w:rPr>
              <w:t>0070</w:t>
            </w:r>
          </w:p>
        </w:tc>
        <w:tc>
          <w:tcPr>
            <w:tcW w:w="7654" w:type="dxa"/>
          </w:tcPr>
          <w:p w:rsidR="00595FAD" w:rsidRPr="00661595" w:rsidRDefault="00595FAD" w:rsidP="00B00AE0">
            <w:pPr>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Densità degli importi dell</w:t>
            </w:r>
            <w:r w:rsidR="000878EC">
              <w:rPr>
                <w:rStyle w:val="InstructionsTabelleberschrift"/>
                <w:rFonts w:ascii="Times New Roman" w:hAnsi="Times New Roman"/>
                <w:sz w:val="24"/>
              </w:rPr>
              <w:t>'</w:t>
            </w:r>
            <w:r>
              <w:rPr>
                <w:rStyle w:val="InstructionsTabelleberschrift"/>
                <w:rFonts w:ascii="Times New Roman" w:hAnsi="Times New Roman"/>
                <w:sz w:val="24"/>
              </w:rPr>
              <w:t xml:space="preserve">esposizione ponderati per il rischio </w:t>
            </w:r>
          </w:p>
          <w:p w:rsidR="00595FAD" w:rsidRPr="00661595" w:rsidDel="00291448" w:rsidRDefault="00595FAD" w:rsidP="00B00AE0">
            <w:pPr>
              <w:suppressAutoHyphens/>
              <w:spacing w:before="60"/>
              <w:rPr>
                <w:rFonts w:ascii="Times New Roman" w:hAnsi="Times New Roman"/>
                <w:sz w:val="24"/>
              </w:rPr>
            </w:pPr>
            <w:r>
              <w:rPr>
                <w:rFonts w:ascii="Times New Roman" w:hAnsi="Times New Roman"/>
                <w:sz w:val="24"/>
              </w:rPr>
              <w:t>Rapporto tra gli importi complessivi delle esposizioni ponderati per il rischio (segnalati nella colonna 0060) e il valore dell</w:t>
            </w:r>
            <w:r w:rsidR="000878EC">
              <w:rPr>
                <w:rFonts w:ascii="Times New Roman" w:hAnsi="Times New Roman"/>
                <w:sz w:val="24"/>
              </w:rPr>
              <w:t>'</w:t>
            </w:r>
            <w:r>
              <w:rPr>
                <w:rFonts w:ascii="Times New Roman" w:hAnsi="Times New Roman"/>
                <w:sz w:val="24"/>
              </w:rPr>
              <w:t>esposizione (segnalata nella colonna 0010)</w:t>
            </w:r>
          </w:p>
        </w:tc>
      </w:tr>
    </w:tbl>
    <w:p w:rsidR="00595FAD" w:rsidRPr="00661595" w:rsidRDefault="00595FAD" w:rsidP="00595FAD">
      <w:pPr>
        <w:spacing w:before="60" w:after="240"/>
        <w:rPr>
          <w:rFonts w:ascii="Times New Roman" w:hAnsi="Times New Roman"/>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720"/>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Righe </w:t>
            </w:r>
          </w:p>
        </w:tc>
      </w:tr>
      <w:tr w:rsidR="00595FAD" w:rsidRPr="00661595" w:rsidTr="00FF15C6">
        <w:trPr>
          <w:trHeight w:val="680"/>
        </w:trPr>
        <w:tc>
          <w:tcPr>
            <w:tcW w:w="1384" w:type="dxa"/>
          </w:tcPr>
          <w:p w:rsidR="00595FAD" w:rsidRPr="00661595" w:rsidRDefault="00595FAD" w:rsidP="00FF15C6">
            <w:pPr>
              <w:pStyle w:val="Applicationdirecte"/>
              <w:spacing w:before="60" w:after="0"/>
              <w:jc w:val="center"/>
            </w:pPr>
            <w:r>
              <w:t>0010-0170</w:t>
            </w:r>
          </w:p>
        </w:tc>
        <w:tc>
          <w:tcPr>
            <w:tcW w:w="7655" w:type="dxa"/>
            <w:vAlign w:val="center"/>
          </w:tcPr>
          <w:p w:rsidR="00595FAD" w:rsidRPr="00661595" w:rsidRDefault="00595FAD" w:rsidP="00FF15C6">
            <w:pPr>
              <w:spacing w:before="60"/>
              <w:rPr>
                <w:rFonts w:ascii="Times New Roman" w:hAnsi="Times New Roman"/>
                <w:b/>
                <w:bCs/>
                <w:sz w:val="24"/>
                <w:u w:val="single"/>
              </w:rPr>
            </w:pPr>
            <w:r>
              <w:rPr>
                <w:rStyle w:val="InstructionsTabelleberschrift"/>
                <w:rFonts w:ascii="Times New Roman" w:hAnsi="Times New Roman"/>
                <w:sz w:val="24"/>
              </w:rPr>
              <w:t>Scala di PD</w:t>
            </w:r>
          </w:p>
          <w:p w:rsidR="00595FAD" w:rsidRPr="00661595" w:rsidRDefault="00595FAD" w:rsidP="00FF15C6">
            <w:pPr>
              <w:spacing w:before="60"/>
              <w:rPr>
                <w:rFonts w:ascii="Times New Roman" w:hAnsi="Times New Roman"/>
                <w:sz w:val="24"/>
              </w:rPr>
            </w:pPr>
            <w:r>
              <w:rPr>
                <w:rFonts w:ascii="Times New Roman" w:hAnsi="Times New Roman"/>
                <w:sz w:val="24"/>
              </w:rPr>
              <w:t>Le esposizioni soggette al CCR (determinate a livello di controparte) sono assegnate a una categoria appropriata della scala di PD fissata sulla base della PD stimata per ciascun debitore assegnato a questa classe di esposizioni (senza tener conto di sostituzioni dovute all</w:t>
            </w:r>
            <w:r w:rsidR="000878EC">
              <w:rPr>
                <w:rFonts w:ascii="Times New Roman" w:hAnsi="Times New Roman"/>
                <w:sz w:val="24"/>
              </w:rPr>
              <w:t>'</w:t>
            </w:r>
            <w:r>
              <w:rPr>
                <w:rFonts w:ascii="Times New Roman" w:hAnsi="Times New Roman"/>
                <w:sz w:val="24"/>
              </w:rPr>
              <w:t>esistenza di una garanzia o di un derivato su crediti). Gli enti associano ciascuna esposizione alla scala di PD indicata nel modello, tenendo conto anche di scale continue. Tutte le esposizioni in stato di default sono incluse nella categoria corrispondente alla PD del 100 %.</w:t>
            </w:r>
          </w:p>
        </w:tc>
      </w:tr>
    </w:tbl>
    <w:p w:rsidR="00595FAD" w:rsidRPr="00661595" w:rsidRDefault="00595FAD" w:rsidP="002F29AF">
      <w:pPr>
        <w:pStyle w:val="Instructionsberschrift2"/>
        <w:numPr>
          <w:ilvl w:val="2"/>
          <w:numId w:val="48"/>
        </w:numPr>
        <w:rPr>
          <w:rFonts w:ascii="Times New Roman" w:hAnsi="Times New Roman" w:cs="Times New Roman"/>
          <w:sz w:val="24"/>
        </w:rPr>
      </w:pPr>
      <w:bookmarkStart w:id="480" w:name="_Toc19715822"/>
      <w:bookmarkStart w:id="481" w:name="_Toc58915815"/>
      <w:r>
        <w:rPr>
          <w:rFonts w:ascii="Times New Roman" w:hAnsi="Times New Roman"/>
          <w:sz w:val="24"/>
        </w:rPr>
        <w:t>C 34.08 - Composizione delle garanzie reali per le esposizioni soggette al CCR</w:t>
      </w:r>
      <w:bookmarkEnd w:id="480"/>
      <w:bookmarkEnd w:id="481"/>
    </w:p>
    <w:p w:rsidR="00595FAD" w:rsidRPr="00661595" w:rsidRDefault="00595FAD" w:rsidP="002F29AF">
      <w:pPr>
        <w:pStyle w:val="Instructionsberschrift2"/>
        <w:numPr>
          <w:ilvl w:val="3"/>
          <w:numId w:val="48"/>
        </w:numPr>
        <w:rPr>
          <w:rFonts w:ascii="Times New Roman" w:hAnsi="Times New Roman" w:cs="Times New Roman"/>
          <w:sz w:val="24"/>
        </w:rPr>
      </w:pPr>
      <w:bookmarkStart w:id="482" w:name="_Toc19715823"/>
      <w:bookmarkStart w:id="483" w:name="_Toc58915816"/>
      <w:r>
        <w:rPr>
          <w:rFonts w:ascii="Times New Roman" w:hAnsi="Times New Roman"/>
          <w:sz w:val="24"/>
        </w:rPr>
        <w:t>Osservazioni di carattere generale</w:t>
      </w:r>
      <w:bookmarkEnd w:id="482"/>
      <w:bookmarkEnd w:id="483"/>
    </w:p>
    <w:p w:rsidR="00595FAD" w:rsidRPr="00661595" w:rsidRDefault="00A971CA" w:rsidP="00B00AE0">
      <w:pPr>
        <w:pStyle w:val="InstructionsText2"/>
        <w:numPr>
          <w:ilvl w:val="0"/>
          <w:numId w:val="0"/>
        </w:numPr>
        <w:ind w:left="1680" w:hanging="480"/>
      </w:pPr>
      <w:r>
        <w:fldChar w:fldCharType="begin"/>
      </w:r>
      <w:r>
        <w:instrText xml:space="preserve"> seq paragraphs </w:instrText>
      </w:r>
      <w:r>
        <w:fldChar w:fldCharType="separate"/>
      </w:r>
      <w:r w:rsidR="00D11E4C">
        <w:rPr>
          <w:noProof/>
        </w:rPr>
        <w:t>131</w:t>
      </w:r>
      <w:r>
        <w:rPr>
          <w:noProof/>
        </w:rPr>
        <w:fldChar w:fldCharType="end"/>
      </w:r>
      <w:r w:rsidR="00B00AE0">
        <w:t>.</w:t>
      </w:r>
      <w:r w:rsidR="00B00AE0">
        <w:tab/>
      </w:r>
      <w:r w:rsidR="00D11E4C">
        <w:t xml:space="preserve">Questo modello è compilato con il fair value (valore equo) delle garanzie reali (fornite o ricevute) utilizzate nelle esposizioni soggette al CCR relative a operazioni su derivati, operazioni con regolamento a lungo termine o operazioni di finanziamento tramite titoli, a prescindere dal fatto che le operazioni siano compensate o meno tramite una CCP e che le garanzie reali siano o meno fornite a una CCP. </w:t>
      </w:r>
    </w:p>
    <w:p w:rsidR="00595FAD" w:rsidRPr="00661595" w:rsidRDefault="00595FAD" w:rsidP="00B00AE0">
      <w:pPr>
        <w:pStyle w:val="Instructionsberschrift2"/>
        <w:keepLines/>
        <w:numPr>
          <w:ilvl w:val="3"/>
          <w:numId w:val="48"/>
        </w:numPr>
        <w:rPr>
          <w:rFonts w:ascii="Times New Roman" w:hAnsi="Times New Roman" w:cs="Times New Roman"/>
          <w:sz w:val="24"/>
        </w:rPr>
      </w:pPr>
      <w:bookmarkStart w:id="484" w:name="_Toc19715824"/>
      <w:bookmarkStart w:id="485" w:name="_Toc58915817"/>
      <w:r>
        <w:rPr>
          <w:rFonts w:ascii="Times New Roman" w:hAnsi="Times New Roman"/>
          <w:sz w:val="24"/>
        </w:rPr>
        <w:t>Istruzioni relative a posizioni specifiche</w:t>
      </w:r>
      <w:bookmarkEnd w:id="484"/>
      <w:bookmarkEnd w:id="48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B00AE0">
            <w:pPr>
              <w:pStyle w:val="TableMainHeading"/>
              <w:keepNext/>
              <w:keepLines/>
              <w:suppressAutoHyphens/>
              <w:spacing w:before="60"/>
              <w:rPr>
                <w:rFonts w:ascii="Times New Roman" w:hAnsi="Times New Roman"/>
                <w:b/>
                <w:sz w:val="24"/>
                <w:szCs w:val="24"/>
              </w:rPr>
            </w:pPr>
            <w:r>
              <w:rPr>
                <w:rFonts w:ascii="Times New Roman" w:hAnsi="Times New Roman"/>
                <w:b/>
                <w:sz w:val="24"/>
                <w:szCs w:val="24"/>
              </w:rPr>
              <w:t xml:space="preserve">Colonne </w:t>
            </w:r>
          </w:p>
        </w:tc>
      </w:tr>
      <w:tr w:rsidR="00595FAD" w:rsidRPr="00661595" w:rsidTr="00FF15C6">
        <w:trPr>
          <w:trHeight w:val="680"/>
        </w:trPr>
        <w:tc>
          <w:tcPr>
            <w:tcW w:w="1384" w:type="dxa"/>
          </w:tcPr>
          <w:p w:rsidR="00595FAD" w:rsidRPr="00661595" w:rsidRDefault="00595FAD" w:rsidP="00B00AE0">
            <w:pPr>
              <w:pStyle w:val="Applicationdirecte"/>
              <w:suppressAutoHyphens/>
              <w:spacing w:before="60" w:after="0"/>
            </w:pPr>
            <w:r>
              <w:t>0010-0080</w:t>
            </w:r>
          </w:p>
        </w:tc>
        <w:tc>
          <w:tcPr>
            <w:tcW w:w="7655" w:type="dxa"/>
            <w:vAlign w:val="center"/>
          </w:tcPr>
          <w:p w:rsidR="00595FAD" w:rsidRPr="00661595" w:rsidRDefault="00595FAD" w:rsidP="00B00AE0">
            <w:pPr>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 xml:space="preserve">Garanzie reali utilizzate in operazioni su derivati </w:t>
            </w:r>
          </w:p>
          <w:p w:rsidR="00595FAD" w:rsidRPr="00661595" w:rsidRDefault="00595FAD" w:rsidP="00B00AE0">
            <w:pPr>
              <w:pStyle w:val="numberedparagraph"/>
              <w:numPr>
                <w:ilvl w:val="0"/>
                <w:numId w:val="0"/>
              </w:numPr>
              <w:suppressAutoHyphens/>
              <w:spacing w:before="60" w:line="240" w:lineRule="auto"/>
              <w:rPr>
                <w:rFonts w:ascii="Times New Roman" w:hAnsi="Times New Roman" w:cs="Times New Roman"/>
                <w:sz w:val="24"/>
              </w:rPr>
            </w:pPr>
            <w:r>
              <w:rPr>
                <w:rFonts w:ascii="Times New Roman" w:hAnsi="Times New Roman"/>
                <w:sz w:val="24"/>
              </w:rPr>
              <w:t>Gli enti segnalano le garanzie reali (comprese quelle sotto forma di margine iniziale e margine di variazione) utilizzate nelle esposizioni soggette al CCR relative a strumenti derivati di cui all</w:t>
            </w:r>
            <w:r w:rsidR="000878EC">
              <w:rPr>
                <w:rFonts w:ascii="Times New Roman" w:hAnsi="Times New Roman"/>
                <w:sz w:val="24"/>
              </w:rPr>
              <w:t>'</w:t>
            </w:r>
            <w:r>
              <w:rPr>
                <w:rFonts w:ascii="Times New Roman" w:hAnsi="Times New Roman"/>
                <w:sz w:val="24"/>
              </w:rPr>
              <w:t>allegato II del CRR o a un</w:t>
            </w:r>
            <w:r w:rsidR="000878EC">
              <w:rPr>
                <w:rFonts w:ascii="Times New Roman" w:hAnsi="Times New Roman"/>
                <w:sz w:val="24"/>
              </w:rPr>
              <w:t>'</w:t>
            </w:r>
            <w:r>
              <w:rPr>
                <w:rFonts w:ascii="Times New Roman" w:hAnsi="Times New Roman"/>
                <w:sz w:val="24"/>
              </w:rPr>
              <w:t>operazione con regolamento a lungo termine ai sensi dell</w:t>
            </w:r>
            <w:r w:rsidR="000878EC">
              <w:rPr>
                <w:rFonts w:ascii="Times New Roman" w:hAnsi="Times New Roman"/>
                <w:sz w:val="24"/>
              </w:rPr>
              <w:t>'</w:t>
            </w:r>
            <w:r>
              <w:rPr>
                <w:rFonts w:ascii="Times New Roman" w:hAnsi="Times New Roman"/>
                <w:sz w:val="24"/>
              </w:rPr>
              <w:t xml:space="preserve">articolo 272, punto 2, dello stesso regolamento che non sono ammissibili come SFT. </w:t>
            </w:r>
          </w:p>
        </w:tc>
      </w:tr>
      <w:tr w:rsidR="00595FAD" w:rsidRPr="00661595" w:rsidTr="00FF15C6">
        <w:trPr>
          <w:trHeight w:val="680"/>
        </w:trPr>
        <w:tc>
          <w:tcPr>
            <w:tcW w:w="1384" w:type="dxa"/>
          </w:tcPr>
          <w:p w:rsidR="00595FAD" w:rsidRPr="00661595" w:rsidRDefault="00595FAD" w:rsidP="00B00AE0">
            <w:pPr>
              <w:pStyle w:val="Applicationdirecte"/>
              <w:suppressAutoHyphens/>
              <w:spacing w:before="60" w:after="0"/>
            </w:pPr>
            <w:r>
              <w:t>0090-0180</w:t>
            </w:r>
          </w:p>
        </w:tc>
        <w:tc>
          <w:tcPr>
            <w:tcW w:w="7655" w:type="dxa"/>
            <w:vAlign w:val="center"/>
          </w:tcPr>
          <w:p w:rsidR="00595FAD" w:rsidRPr="00661595" w:rsidRDefault="00595FAD" w:rsidP="00B00AE0">
            <w:pPr>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 xml:space="preserve">Garanzie reali utilizzate in SFT </w:t>
            </w:r>
          </w:p>
          <w:p w:rsidR="00595FAD" w:rsidRPr="00661595" w:rsidRDefault="00595FAD" w:rsidP="00B00AE0">
            <w:pPr>
              <w:pStyle w:val="numberedparagraph"/>
              <w:numPr>
                <w:ilvl w:val="0"/>
                <w:numId w:val="0"/>
              </w:numPr>
              <w:suppressAutoHyphens/>
              <w:spacing w:before="60" w:line="240" w:lineRule="auto"/>
              <w:rPr>
                <w:rFonts w:ascii="Times New Roman" w:hAnsi="Times New Roman" w:cs="Times New Roman"/>
                <w:sz w:val="24"/>
              </w:rPr>
            </w:pPr>
            <w:r>
              <w:rPr>
                <w:rFonts w:ascii="Times New Roman" w:hAnsi="Times New Roman"/>
                <w:sz w:val="24"/>
              </w:rPr>
              <w:t>Gli enti segnalano le garanzie reali (compresi il margine iniziale e il margine di variazione, nonché le garanzie reali che appaiono come titoli nell</w:t>
            </w:r>
            <w:r w:rsidR="000878EC">
              <w:rPr>
                <w:rFonts w:ascii="Times New Roman" w:hAnsi="Times New Roman"/>
                <w:sz w:val="24"/>
              </w:rPr>
              <w:t>'</w:t>
            </w:r>
            <w:r>
              <w:rPr>
                <w:rFonts w:ascii="Times New Roman" w:hAnsi="Times New Roman"/>
                <w:sz w:val="24"/>
              </w:rPr>
              <w:t>SFT) utilizzate nelle esposizioni soggette al CCR relative a SFT o a un</w:t>
            </w:r>
            <w:r w:rsidR="000878EC">
              <w:rPr>
                <w:rFonts w:ascii="Times New Roman" w:hAnsi="Times New Roman"/>
                <w:sz w:val="24"/>
              </w:rPr>
              <w:t>'</w:t>
            </w:r>
            <w:r>
              <w:rPr>
                <w:rFonts w:ascii="Times New Roman" w:hAnsi="Times New Roman"/>
                <w:sz w:val="24"/>
              </w:rPr>
              <w:t xml:space="preserve">operazione con regolamento a lungo termine non ammissibile come derivato. </w:t>
            </w:r>
          </w:p>
        </w:tc>
      </w:tr>
      <w:tr w:rsidR="00595FAD" w:rsidRPr="00661595" w:rsidTr="00FF15C6">
        <w:trPr>
          <w:trHeight w:val="416"/>
        </w:trPr>
        <w:tc>
          <w:tcPr>
            <w:tcW w:w="1384" w:type="dxa"/>
          </w:tcPr>
          <w:p w:rsidR="00595FAD" w:rsidRPr="00661595" w:rsidRDefault="00595FAD" w:rsidP="00B00AE0">
            <w:pPr>
              <w:pStyle w:val="Fait"/>
              <w:suppressAutoHyphens/>
            </w:pPr>
            <w:r>
              <w:t>0010, 0020, 0050, 0060, 0090, 0100,</w:t>
            </w:r>
            <w:r w:rsidR="000878EC">
              <w:t xml:space="preserve"> </w:t>
            </w:r>
            <w:r>
              <w:t>0140, 0150</w:t>
            </w:r>
          </w:p>
        </w:tc>
        <w:tc>
          <w:tcPr>
            <w:tcW w:w="7655" w:type="dxa"/>
            <w:vAlign w:val="center"/>
          </w:tcPr>
          <w:p w:rsidR="00595FAD" w:rsidRPr="00661595" w:rsidRDefault="00595FAD" w:rsidP="00B00AE0">
            <w:pPr>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Separate</w:t>
            </w:r>
          </w:p>
          <w:p w:rsidR="00595FAD" w:rsidRPr="00661595" w:rsidRDefault="00595FAD" w:rsidP="00B00AE0">
            <w:pPr>
              <w:suppressAutoHyphens/>
              <w:spacing w:before="60"/>
              <w:rPr>
                <w:rStyle w:val="InstructionsTabelleberschrift"/>
                <w:rFonts w:ascii="Times New Roman" w:hAnsi="Times New Roman"/>
                <w:sz w:val="24"/>
              </w:rPr>
            </w:pPr>
            <w:r>
              <w:rPr>
                <w:rFonts w:ascii="Times New Roman" w:hAnsi="Times New Roman"/>
                <w:sz w:val="24"/>
              </w:rPr>
              <w:t>Articolo 300, punto 1, del CRR</w:t>
            </w:r>
          </w:p>
          <w:p w:rsidR="00595FAD" w:rsidRPr="00661595" w:rsidRDefault="00CF4C30" w:rsidP="00B00AE0">
            <w:pPr>
              <w:suppressAutoHyphens/>
              <w:spacing w:before="60"/>
              <w:rPr>
                <w:rFonts w:ascii="Times New Roman" w:hAnsi="Times New Roman"/>
                <w:sz w:val="24"/>
              </w:rPr>
            </w:pPr>
            <w:r>
              <w:rPr>
                <w:rFonts w:ascii="Times New Roman" w:hAnsi="Times New Roman"/>
                <w:sz w:val="24"/>
              </w:rPr>
              <w:t>Gli enti segnalano le garanzie reali detenute in modo che non siano aggredibili in caso di procedura concorsuale ai sensi dell</w:t>
            </w:r>
            <w:r w:rsidR="000878EC">
              <w:rPr>
                <w:rFonts w:ascii="Times New Roman" w:hAnsi="Times New Roman"/>
                <w:sz w:val="24"/>
              </w:rPr>
              <w:t>'</w:t>
            </w:r>
            <w:r>
              <w:rPr>
                <w:rFonts w:ascii="Times New Roman" w:hAnsi="Times New Roman"/>
                <w:sz w:val="24"/>
              </w:rPr>
              <w:t>articolo 300, punto 1, del CRR, ulteriormente ripartite in garanzie reali che appaiono sotto forma di margine iniziale o margine di variazione.</w:t>
            </w:r>
          </w:p>
        </w:tc>
      </w:tr>
      <w:tr w:rsidR="00595FAD" w:rsidRPr="00661595" w:rsidTr="00FF15C6">
        <w:trPr>
          <w:trHeight w:val="680"/>
        </w:trPr>
        <w:tc>
          <w:tcPr>
            <w:tcW w:w="1384" w:type="dxa"/>
          </w:tcPr>
          <w:p w:rsidR="00595FAD" w:rsidRPr="00661595" w:rsidRDefault="00595FAD" w:rsidP="00B00AE0">
            <w:pPr>
              <w:pStyle w:val="Applicationdirecte"/>
              <w:suppressAutoHyphens/>
              <w:spacing w:before="60" w:after="0"/>
            </w:pPr>
            <w:r>
              <w:t xml:space="preserve">0030, 0040, 0070, 0080, 0110, 0120, 0130, 0160, 0170, 0180 </w:t>
            </w:r>
          </w:p>
        </w:tc>
        <w:tc>
          <w:tcPr>
            <w:tcW w:w="7655" w:type="dxa"/>
          </w:tcPr>
          <w:p w:rsidR="00595FAD" w:rsidRPr="00661595" w:rsidRDefault="00595FAD" w:rsidP="00B00AE0">
            <w:pPr>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 xml:space="preserve">Non separate </w:t>
            </w:r>
          </w:p>
          <w:p w:rsidR="00595FAD" w:rsidRPr="00661595" w:rsidRDefault="00595FAD" w:rsidP="00B00AE0">
            <w:pPr>
              <w:suppressAutoHyphens/>
              <w:spacing w:before="60"/>
              <w:rPr>
                <w:rStyle w:val="InstructionsTabelleberschrift"/>
                <w:rFonts w:ascii="Times New Roman" w:hAnsi="Times New Roman"/>
                <w:sz w:val="24"/>
              </w:rPr>
            </w:pPr>
            <w:r>
              <w:rPr>
                <w:rFonts w:ascii="Times New Roman" w:hAnsi="Times New Roman"/>
                <w:sz w:val="24"/>
              </w:rPr>
              <w:t>Articolo 300, punto 1, del CRR</w:t>
            </w:r>
          </w:p>
          <w:p w:rsidR="00595FAD" w:rsidRPr="00661595" w:rsidRDefault="00CF4C30" w:rsidP="00B00AE0">
            <w:pPr>
              <w:suppressAutoHyphens/>
              <w:rPr>
                <w:rFonts w:ascii="Times New Roman" w:hAnsi="Times New Roman"/>
                <w:sz w:val="24"/>
              </w:rPr>
            </w:pPr>
            <w:r>
              <w:rPr>
                <w:rFonts w:ascii="Times New Roman" w:hAnsi="Times New Roman"/>
                <w:sz w:val="24"/>
              </w:rPr>
              <w:t>Gli enti segnalano le garanzie reali non detenute in modo che non siano aggredibili in caso di procedura concorsuale ai sensi dell</w:t>
            </w:r>
            <w:r w:rsidR="000878EC">
              <w:rPr>
                <w:rFonts w:ascii="Times New Roman" w:hAnsi="Times New Roman"/>
                <w:sz w:val="24"/>
              </w:rPr>
              <w:t>'</w:t>
            </w:r>
            <w:r>
              <w:rPr>
                <w:rFonts w:ascii="Times New Roman" w:hAnsi="Times New Roman"/>
                <w:sz w:val="24"/>
              </w:rPr>
              <w:t>articolo 300, punto 1, del CRR, ulteriormente ripartite in margine iniziale, margine di variazione e titoli SFT.</w:t>
            </w:r>
          </w:p>
        </w:tc>
      </w:tr>
      <w:tr w:rsidR="00595FAD" w:rsidRPr="00661595" w:rsidTr="00FF15C6">
        <w:trPr>
          <w:trHeight w:val="680"/>
        </w:trPr>
        <w:tc>
          <w:tcPr>
            <w:tcW w:w="1384" w:type="dxa"/>
          </w:tcPr>
          <w:p w:rsidR="00595FAD" w:rsidRPr="00661595" w:rsidRDefault="00595FAD" w:rsidP="00B00AE0">
            <w:pPr>
              <w:pStyle w:val="Applicationdirecte"/>
              <w:suppressAutoHyphens/>
              <w:spacing w:before="60" w:after="0"/>
            </w:pPr>
            <w:r>
              <w:t>0010, 0030, 0050, 0070, 0090, 0110, 0140, 0160</w:t>
            </w:r>
          </w:p>
        </w:tc>
        <w:tc>
          <w:tcPr>
            <w:tcW w:w="7655" w:type="dxa"/>
            <w:vAlign w:val="center"/>
          </w:tcPr>
          <w:p w:rsidR="00595FAD" w:rsidRPr="00661595" w:rsidRDefault="00595FAD" w:rsidP="00B00AE0">
            <w:pPr>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Margine iniziale</w:t>
            </w:r>
          </w:p>
          <w:p w:rsidR="00595FAD" w:rsidRPr="00661595" w:rsidRDefault="004134E6" w:rsidP="00B00AE0">
            <w:pPr>
              <w:suppressAutoHyphens/>
              <w:spacing w:before="60"/>
              <w:rPr>
                <w:rFonts w:ascii="Times New Roman" w:hAnsi="Times New Roman"/>
                <w:sz w:val="24"/>
              </w:rPr>
            </w:pPr>
            <w:r>
              <w:rPr>
                <w:rFonts w:ascii="Times New Roman" w:hAnsi="Times New Roman"/>
                <w:sz w:val="24"/>
              </w:rPr>
              <w:t>Articolo 4, paragrafo 1, punto 140, del CRR</w:t>
            </w:r>
          </w:p>
          <w:p w:rsidR="00595FAD" w:rsidRPr="00661595" w:rsidRDefault="00595FAD" w:rsidP="00B00AE0">
            <w:pPr>
              <w:suppressAutoHyphens/>
              <w:spacing w:before="60"/>
              <w:rPr>
                <w:rFonts w:ascii="Times New Roman" w:hAnsi="Times New Roman"/>
                <w:sz w:val="24"/>
              </w:rPr>
            </w:pPr>
            <w:r>
              <w:rPr>
                <w:rFonts w:ascii="Times New Roman" w:hAnsi="Times New Roman"/>
                <w:sz w:val="24"/>
              </w:rPr>
              <w:t>Gli enti segnalano il fair value (valore equo) delle garanzie reali ricevute o fornite come margine iniziale (ai sensi dell</w:t>
            </w:r>
            <w:r w:rsidR="000878EC">
              <w:rPr>
                <w:rFonts w:ascii="Times New Roman" w:hAnsi="Times New Roman"/>
                <w:sz w:val="24"/>
              </w:rPr>
              <w:t>'</w:t>
            </w:r>
            <w:r>
              <w:rPr>
                <w:rFonts w:ascii="Times New Roman" w:hAnsi="Times New Roman"/>
                <w:sz w:val="24"/>
              </w:rPr>
              <w:t>articolo 4, paragrafo 1, punto 140, del CRR).</w:t>
            </w:r>
          </w:p>
        </w:tc>
      </w:tr>
      <w:tr w:rsidR="00595FAD" w:rsidRPr="00661595" w:rsidTr="00FF15C6">
        <w:trPr>
          <w:trHeight w:val="680"/>
        </w:trPr>
        <w:tc>
          <w:tcPr>
            <w:tcW w:w="1384" w:type="dxa"/>
          </w:tcPr>
          <w:p w:rsidR="00595FAD" w:rsidRPr="00661595" w:rsidRDefault="00595FAD" w:rsidP="00B00AE0">
            <w:pPr>
              <w:pStyle w:val="Applicationdirecte"/>
              <w:suppressAutoHyphens/>
              <w:spacing w:before="60" w:after="0"/>
            </w:pPr>
            <w:r>
              <w:t>0020, 0040, 0060, 0080, 0100, 0120, 0150, 0170</w:t>
            </w:r>
          </w:p>
        </w:tc>
        <w:tc>
          <w:tcPr>
            <w:tcW w:w="7655" w:type="dxa"/>
            <w:vAlign w:val="center"/>
          </w:tcPr>
          <w:p w:rsidR="00595FAD" w:rsidRPr="00661595" w:rsidRDefault="00595FAD" w:rsidP="00B00AE0">
            <w:pPr>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Margine di variazione</w:t>
            </w:r>
          </w:p>
          <w:p w:rsidR="00595FAD" w:rsidRPr="00661595" w:rsidRDefault="00595FAD" w:rsidP="00B00AE0">
            <w:pPr>
              <w:suppressAutoHyphens/>
              <w:spacing w:before="60"/>
              <w:rPr>
                <w:rFonts w:ascii="Times New Roman" w:eastAsia="Calibri" w:hAnsi="Times New Roman"/>
                <w:sz w:val="24"/>
              </w:rPr>
            </w:pPr>
            <w:r>
              <w:rPr>
                <w:rFonts w:ascii="Times New Roman" w:hAnsi="Times New Roman"/>
                <w:sz w:val="24"/>
              </w:rPr>
              <w:t>Gli enti segnalano il fair value (valore equo) delle garanzie reali ricevute o fornite come margine di variazione.</w:t>
            </w:r>
          </w:p>
        </w:tc>
      </w:tr>
      <w:tr w:rsidR="00595FAD" w:rsidRPr="00661595" w:rsidTr="00FF15C6">
        <w:trPr>
          <w:trHeight w:val="680"/>
        </w:trPr>
        <w:tc>
          <w:tcPr>
            <w:tcW w:w="1384" w:type="dxa"/>
          </w:tcPr>
          <w:p w:rsidR="00595FAD" w:rsidRPr="00661595" w:rsidRDefault="00595FAD" w:rsidP="00B00AE0">
            <w:pPr>
              <w:pStyle w:val="Applicationdirecte"/>
              <w:suppressAutoHyphens/>
              <w:spacing w:before="60" w:after="0"/>
            </w:pPr>
            <w:r>
              <w:t>0130, 0180</w:t>
            </w:r>
          </w:p>
        </w:tc>
        <w:tc>
          <w:tcPr>
            <w:tcW w:w="7655" w:type="dxa"/>
            <w:vAlign w:val="center"/>
          </w:tcPr>
          <w:p w:rsidR="00595FAD" w:rsidRPr="00661595" w:rsidRDefault="00595FAD" w:rsidP="00B00AE0">
            <w:pPr>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 xml:space="preserve">Titoli della SFT </w:t>
            </w:r>
          </w:p>
          <w:p w:rsidR="00595FAD" w:rsidRPr="00661595" w:rsidRDefault="00595FAD" w:rsidP="00B00AE0">
            <w:pPr>
              <w:suppressAutoHyphens/>
              <w:spacing w:before="60"/>
              <w:rPr>
                <w:rFonts w:ascii="Times New Roman" w:eastAsia="Calibri" w:hAnsi="Times New Roman"/>
                <w:i/>
                <w:sz w:val="24"/>
              </w:rPr>
            </w:pPr>
            <w:r>
              <w:rPr>
                <w:rFonts w:ascii="Times New Roman" w:hAnsi="Times New Roman"/>
                <w:sz w:val="24"/>
              </w:rPr>
              <w:t>Gli enti segnalano i fair value (valore equo) delle garanzie reali che appaiono come titoli nelle SFT (ad esempio la componente titoli dell</w:t>
            </w:r>
            <w:r w:rsidR="000878EC">
              <w:rPr>
                <w:rFonts w:ascii="Times New Roman" w:hAnsi="Times New Roman"/>
                <w:sz w:val="24"/>
              </w:rPr>
              <w:t>'</w:t>
            </w:r>
            <w:r>
              <w:rPr>
                <w:rFonts w:ascii="Times New Roman" w:hAnsi="Times New Roman"/>
                <w:sz w:val="24"/>
              </w:rPr>
              <w:t>SFT ricevuta per la colonna 0130 o fornita per la colonna 0180).</w:t>
            </w:r>
          </w:p>
        </w:tc>
      </w:tr>
    </w:tbl>
    <w:p w:rsidR="00595FAD" w:rsidRPr="00661595" w:rsidRDefault="00595FAD" w:rsidP="00595FAD">
      <w:pPr>
        <w:pStyle w:val="Titlelevel2"/>
        <w:spacing w:before="120" w:after="120"/>
        <w:rPr>
          <w:rFonts w:ascii="Times New Roman" w:hAnsi="Times New Roman" w:cs="Times New Roman"/>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Righe </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0010-0080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Tipo di garanzia reale</w:t>
            </w:r>
          </w:p>
          <w:p w:rsidR="00595FAD" w:rsidRPr="00661595" w:rsidRDefault="00595FAD" w:rsidP="00CF4C30">
            <w:pPr>
              <w:autoSpaceDE w:val="0"/>
              <w:autoSpaceDN w:val="0"/>
              <w:adjustRightInd w:val="0"/>
              <w:rPr>
                <w:rFonts w:ascii="Times New Roman" w:hAnsi="Times New Roman"/>
                <w:sz w:val="24"/>
              </w:rPr>
            </w:pPr>
            <w:r>
              <w:rPr>
                <w:rFonts w:ascii="Times New Roman" w:hAnsi="Times New Roman"/>
                <w:sz w:val="24"/>
              </w:rPr>
              <w:t>Ripartizione in base ai diversi tipi di garanzie reali</w:t>
            </w:r>
          </w:p>
        </w:tc>
      </w:tr>
    </w:tbl>
    <w:p w:rsidR="00595FAD" w:rsidRPr="00661595" w:rsidRDefault="00595FAD" w:rsidP="00595FAD">
      <w:pPr>
        <w:pStyle w:val="Titlelevel2"/>
        <w:spacing w:before="120" w:after="120"/>
        <w:rPr>
          <w:rFonts w:ascii="Times New Roman" w:hAnsi="Times New Roman" w:cs="Times New Roman"/>
          <w:color w:val="auto"/>
          <w:sz w:val="24"/>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86" w:name="_Toc19715825"/>
      <w:bookmarkStart w:id="487" w:name="_Toc58915818"/>
      <w:r>
        <w:rPr>
          <w:rFonts w:ascii="Times New Roman" w:hAnsi="Times New Roman"/>
          <w:sz w:val="24"/>
        </w:rPr>
        <w:t>C 34.09 - Esposizioni in derivati su crediti</w:t>
      </w:r>
      <w:bookmarkEnd w:id="486"/>
      <w:bookmarkEnd w:id="487"/>
    </w:p>
    <w:p w:rsidR="00595FAD" w:rsidRPr="00661595" w:rsidRDefault="00595FAD" w:rsidP="002F29AF">
      <w:pPr>
        <w:pStyle w:val="Instructionsberschrift2"/>
        <w:numPr>
          <w:ilvl w:val="3"/>
          <w:numId w:val="48"/>
        </w:numPr>
        <w:rPr>
          <w:rFonts w:ascii="Times New Roman" w:hAnsi="Times New Roman" w:cs="Times New Roman"/>
          <w:sz w:val="24"/>
        </w:rPr>
      </w:pPr>
      <w:bookmarkStart w:id="488" w:name="_Toc19715826"/>
      <w:bookmarkStart w:id="489" w:name="_Toc58915819"/>
      <w:r>
        <w:rPr>
          <w:rFonts w:ascii="Times New Roman" w:hAnsi="Times New Roman"/>
          <w:sz w:val="24"/>
        </w:rPr>
        <w:t>Istruzioni relative a posizioni specifiche</w:t>
      </w:r>
      <w:bookmarkEnd w:id="488"/>
      <w:bookmarkEnd w:id="489"/>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b/>
                <w:sz w:val="24"/>
              </w:rPr>
            </w:pPr>
            <w:r>
              <w:rPr>
                <w:rFonts w:ascii="Times New Roman" w:hAnsi="Times New Roman"/>
                <w:b/>
                <w:sz w:val="24"/>
              </w:rPr>
              <w:t xml:space="preserve">Colonne </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0010-0040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PROTEZIONE IN FORMA DI DERIVATI SU CREDITI</w:t>
            </w:r>
          </w:p>
          <w:p w:rsidR="00595FAD" w:rsidRPr="00661595" w:rsidRDefault="00595FAD" w:rsidP="00CF4C30">
            <w:pPr>
              <w:autoSpaceDE w:val="0"/>
              <w:autoSpaceDN w:val="0"/>
              <w:adjustRightInd w:val="0"/>
              <w:spacing w:before="60"/>
              <w:rPr>
                <w:rFonts w:ascii="Times New Roman" w:hAnsi="Times New Roman"/>
                <w:b/>
                <w:sz w:val="24"/>
              </w:rPr>
            </w:pPr>
            <w:r>
              <w:rPr>
                <w:rFonts w:ascii="Times New Roman" w:hAnsi="Times New Roman"/>
                <w:sz w:val="24"/>
              </w:rPr>
              <w:t>Protezione in forma di derivati su crediti acquistata o venduta</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 xml:space="preserve">IMPORTI NOZIONALI </w:t>
            </w:r>
          </w:p>
          <w:p w:rsidR="00595FAD" w:rsidRPr="00661595"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Somma degli importi nozionali dei derivati prima di qualsiasi compensazione, ripartiti per tipo di prodotto</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0030, 0040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spacing w:before="60"/>
              <w:rPr>
                <w:rStyle w:val="InstructionsTabelleberschrift"/>
                <w:rFonts w:ascii="Times New Roman" w:hAnsi="Times New Roman"/>
                <w:sz w:val="24"/>
              </w:rPr>
            </w:pPr>
            <w:r>
              <w:rPr>
                <w:rStyle w:val="InstructionsTabelleberschrift"/>
                <w:rFonts w:ascii="Times New Roman" w:hAnsi="Times New Roman"/>
                <w:sz w:val="24"/>
              </w:rPr>
              <w:t>FAIR VALUE (VALORI EQUI)</w:t>
            </w:r>
          </w:p>
          <w:p w:rsidR="00595FAD" w:rsidRPr="00661595" w:rsidRDefault="00595FAD" w:rsidP="00CF4C30">
            <w:pPr>
              <w:autoSpaceDE w:val="0"/>
              <w:autoSpaceDN w:val="0"/>
              <w:adjustRightInd w:val="0"/>
              <w:spacing w:before="60"/>
              <w:rPr>
                <w:rFonts w:ascii="Times New Roman" w:hAnsi="Times New Roman"/>
                <w:i/>
                <w:sz w:val="24"/>
              </w:rPr>
            </w:pPr>
            <w:r>
              <w:rPr>
                <w:rFonts w:ascii="Times New Roman" w:hAnsi="Times New Roman"/>
                <w:sz w:val="24"/>
              </w:rPr>
              <w:t xml:space="preserve">Somma dei fair value (valore equo) ripartiti in base alla protezione acquistata e venduta </w:t>
            </w:r>
          </w:p>
        </w:tc>
      </w:tr>
    </w:tbl>
    <w:p w:rsidR="00595FAD" w:rsidRPr="00661595" w:rsidRDefault="00595FAD" w:rsidP="00B00AE0">
      <w:pPr>
        <w:pStyle w:val="InstructionsText2"/>
        <w:numPr>
          <w:ilvl w:val="0"/>
          <w:numId w:val="0"/>
        </w:numPr>
        <w:ind w:left="1200"/>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b/>
                <w:sz w:val="24"/>
              </w:rPr>
              <w:t xml:space="preserve">Righe </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0010-0050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Tipo di prodotto</w:t>
            </w:r>
          </w:p>
          <w:p w:rsidR="00595FAD" w:rsidRPr="00661595" w:rsidRDefault="00595FAD" w:rsidP="00CF4C30">
            <w:pPr>
              <w:autoSpaceDE w:val="0"/>
              <w:autoSpaceDN w:val="0"/>
              <w:adjustRightInd w:val="0"/>
              <w:rPr>
                <w:rFonts w:ascii="Times New Roman" w:hAnsi="Times New Roman"/>
                <w:sz w:val="24"/>
              </w:rPr>
            </w:pPr>
            <w:r>
              <w:rPr>
                <w:rFonts w:ascii="Times New Roman" w:hAnsi="Times New Roman"/>
                <w:sz w:val="24"/>
              </w:rPr>
              <w:t>Ripartizione dei tipi di prodotti derivati su crediti</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0060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TOTALE</w:t>
            </w:r>
          </w:p>
          <w:p w:rsidR="00595FAD" w:rsidRPr="00661595" w:rsidRDefault="00595FAD" w:rsidP="00CF4C30">
            <w:pPr>
              <w:autoSpaceDE w:val="0"/>
              <w:autoSpaceDN w:val="0"/>
              <w:adjustRightInd w:val="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Somma di tutti i tipi di prodotti</w:t>
            </w:r>
          </w:p>
        </w:tc>
      </w:tr>
      <w:tr w:rsidR="00595FAD" w:rsidRPr="00661595" w:rsidTr="00FF15C6">
        <w:trPr>
          <w:trHeight w:val="12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Fonts w:ascii="Times New Roman" w:hAnsi="Times New Roman"/>
                <w:sz w:val="24"/>
              </w:rPr>
            </w:pPr>
            <w:r>
              <w:rPr>
                <w:rFonts w:ascii="Times New Roman" w:hAnsi="Times New Roman"/>
                <w:sz w:val="24"/>
              </w:rPr>
              <w:t>0070, 0080</w:t>
            </w:r>
          </w:p>
        </w:tc>
        <w:tc>
          <w:tcPr>
            <w:tcW w:w="7655"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FF15C6">
            <w:pPr>
              <w:autoSpaceDE w:val="0"/>
              <w:autoSpaceDN w:val="0"/>
              <w:adjustRightInd w:val="0"/>
              <w:rPr>
                <w:rStyle w:val="InstructionsTabelleberschrift"/>
                <w:rFonts w:ascii="Times New Roman" w:hAnsi="Times New Roman"/>
                <w:sz w:val="24"/>
              </w:rPr>
            </w:pPr>
            <w:r>
              <w:rPr>
                <w:rStyle w:val="InstructionsTabelleberschrift"/>
                <w:rFonts w:ascii="Times New Roman" w:hAnsi="Times New Roman"/>
                <w:sz w:val="24"/>
              </w:rPr>
              <w:t>Fair value (valori equi)</w:t>
            </w:r>
          </w:p>
          <w:p w:rsidR="00595FAD" w:rsidRPr="00661595" w:rsidRDefault="00595FAD" w:rsidP="00CF4C30">
            <w:pPr>
              <w:autoSpaceDE w:val="0"/>
              <w:autoSpaceDN w:val="0"/>
              <w:adjustRightInd w:val="0"/>
              <w:rPr>
                <w:rFonts w:ascii="Times New Roman" w:hAnsi="Times New Roman"/>
                <w:bCs/>
                <w:sz w:val="24"/>
              </w:rPr>
            </w:pPr>
            <w:r>
              <w:rPr>
                <w:rFonts w:ascii="Times New Roman" w:hAnsi="Times New Roman"/>
                <w:bCs/>
                <w:sz w:val="24"/>
              </w:rPr>
              <w:t>Fair value (valori equi) ripartiti per tipo di prodotto, attività (fair value positivi) e passività (fair value negativi)</w:t>
            </w:r>
          </w:p>
        </w:tc>
      </w:tr>
    </w:tbl>
    <w:p w:rsidR="00595FAD" w:rsidRPr="00661595" w:rsidRDefault="00595FAD" w:rsidP="00595FAD">
      <w:pPr>
        <w:pStyle w:val="Titlelevel2"/>
        <w:spacing w:before="120" w:after="120"/>
        <w:rPr>
          <w:rFonts w:ascii="Times New Roman" w:hAnsi="Times New Roman" w:cs="Times New Roman"/>
          <w:b/>
          <w:color w:val="auto"/>
          <w:sz w:val="24"/>
        </w:rPr>
      </w:pPr>
    </w:p>
    <w:p w:rsidR="00595FAD" w:rsidRPr="00661595" w:rsidRDefault="00595FAD" w:rsidP="002F29AF">
      <w:pPr>
        <w:pStyle w:val="Instructionsberschrift2"/>
        <w:numPr>
          <w:ilvl w:val="2"/>
          <w:numId w:val="48"/>
        </w:numPr>
        <w:rPr>
          <w:rFonts w:ascii="Times New Roman" w:hAnsi="Times New Roman" w:cs="Times New Roman"/>
          <w:sz w:val="24"/>
        </w:rPr>
      </w:pPr>
      <w:bookmarkStart w:id="490" w:name="_Toc19715827"/>
      <w:bookmarkStart w:id="491" w:name="_Toc58915820"/>
      <w:r>
        <w:rPr>
          <w:rFonts w:ascii="Times New Roman" w:hAnsi="Times New Roman"/>
          <w:sz w:val="24"/>
        </w:rPr>
        <w:t>C 34.10 — Esposizioni verso CCP</w:t>
      </w:r>
      <w:bookmarkEnd w:id="490"/>
      <w:bookmarkEnd w:id="491"/>
    </w:p>
    <w:p w:rsidR="00595FAD" w:rsidRPr="00661595" w:rsidRDefault="00595FAD" w:rsidP="002F29AF">
      <w:pPr>
        <w:pStyle w:val="Instructionsberschrift2"/>
        <w:numPr>
          <w:ilvl w:val="3"/>
          <w:numId w:val="48"/>
        </w:numPr>
        <w:rPr>
          <w:rFonts w:ascii="Times New Roman" w:hAnsi="Times New Roman" w:cs="Times New Roman"/>
          <w:sz w:val="24"/>
        </w:rPr>
      </w:pPr>
      <w:bookmarkStart w:id="492" w:name="_Toc19715828"/>
      <w:bookmarkStart w:id="493" w:name="_Toc58915821"/>
      <w:r>
        <w:rPr>
          <w:rFonts w:ascii="Times New Roman" w:hAnsi="Times New Roman"/>
          <w:sz w:val="24"/>
        </w:rPr>
        <w:t>Osservazioni di carattere generale</w:t>
      </w:r>
      <w:bookmarkEnd w:id="492"/>
      <w:bookmarkEnd w:id="493"/>
    </w:p>
    <w:p w:rsidR="00595FAD" w:rsidRPr="00661595" w:rsidRDefault="00A971CA" w:rsidP="00CA29D8">
      <w:pPr>
        <w:pStyle w:val="InstructionsText2"/>
        <w:numPr>
          <w:ilvl w:val="0"/>
          <w:numId w:val="0"/>
        </w:numPr>
        <w:ind w:left="1680" w:hanging="480"/>
      </w:pPr>
      <w:r>
        <w:fldChar w:fldCharType="begin"/>
      </w:r>
      <w:r>
        <w:instrText xml:space="preserve"> seq paragraphs </w:instrText>
      </w:r>
      <w:r>
        <w:fldChar w:fldCharType="separate"/>
      </w:r>
      <w:r w:rsidR="00D11E4C">
        <w:rPr>
          <w:noProof/>
        </w:rPr>
        <w:t>132</w:t>
      </w:r>
      <w:r>
        <w:rPr>
          <w:noProof/>
        </w:rPr>
        <w:fldChar w:fldCharType="end"/>
      </w:r>
      <w:r w:rsidR="00CA29D8">
        <w:t>.</w:t>
      </w:r>
      <w:r w:rsidR="00CA29D8">
        <w:tab/>
      </w:r>
      <w:r w:rsidR="00D11E4C">
        <w:t>Gli enti segnalano le informazioni relative alle esposizioni verso CCP, ossia ai contratti e alle operazioni di cui all</w:t>
      </w:r>
      <w:r w:rsidR="000878EC">
        <w:t>'</w:t>
      </w:r>
      <w:r w:rsidR="00D11E4C">
        <w:t>articolo 301, paragrafo 1, del CRR, fintantoché sono in essere con una CCP, e alle esposizioni derivanti da operazioni relative a CCP, conformemente all</w:t>
      </w:r>
      <w:r w:rsidR="000878EC">
        <w:t>'</w:t>
      </w:r>
      <w:r w:rsidR="00D11E4C">
        <w:t xml:space="preserve">articolo 300, punto 2, del CRR, per le quali i requisiti di fondi propri sono calcolati conformemente alla parte tre, titolo II, capo 6, sezione 9, del CRR. </w:t>
      </w:r>
    </w:p>
    <w:p w:rsidR="00595FAD" w:rsidRPr="00661595" w:rsidRDefault="00595FAD" w:rsidP="002F29AF">
      <w:pPr>
        <w:pStyle w:val="Instructionsberschrift2"/>
        <w:numPr>
          <w:ilvl w:val="3"/>
          <w:numId w:val="48"/>
        </w:numPr>
        <w:rPr>
          <w:rFonts w:ascii="Times New Roman" w:hAnsi="Times New Roman" w:cs="Times New Roman"/>
          <w:sz w:val="24"/>
        </w:rPr>
      </w:pPr>
      <w:bookmarkStart w:id="494" w:name="_Toc19715829"/>
      <w:bookmarkStart w:id="495" w:name="_Toc58915822"/>
      <w:r>
        <w:rPr>
          <w:rFonts w:ascii="Times New Roman" w:hAnsi="Times New Roman"/>
          <w:sz w:val="24"/>
        </w:rPr>
        <w:t>Istruzioni relative a posizioni specifiche</w:t>
      </w:r>
      <w:bookmarkEnd w:id="494"/>
      <w:bookmarkEnd w:id="495"/>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68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CA29D8">
            <w:pPr>
              <w:suppressAutoHyphens/>
              <w:autoSpaceDE w:val="0"/>
              <w:autoSpaceDN w:val="0"/>
              <w:adjustRightInd w:val="0"/>
              <w:rPr>
                <w:rFonts w:ascii="Times New Roman" w:hAnsi="Times New Roman"/>
                <w:b/>
                <w:sz w:val="24"/>
              </w:rPr>
            </w:pPr>
            <w:r>
              <w:rPr>
                <w:rFonts w:ascii="Times New Roman" w:hAnsi="Times New Roman"/>
                <w:b/>
                <w:sz w:val="24"/>
              </w:rPr>
              <w:t xml:space="preserve">Colonne </w:t>
            </w:r>
          </w:p>
        </w:tc>
      </w:tr>
      <w:tr w:rsidR="00595FAD" w:rsidRPr="00661595" w:rsidTr="00FF15C6">
        <w:trPr>
          <w:trHeight w:val="680"/>
        </w:trPr>
        <w:tc>
          <w:tcPr>
            <w:tcW w:w="1384" w:type="dxa"/>
          </w:tcPr>
          <w:p w:rsidR="00595FAD" w:rsidRPr="00661595" w:rsidRDefault="00595FAD" w:rsidP="00CA29D8">
            <w:pPr>
              <w:pStyle w:val="Applicationdirecte"/>
              <w:suppressAutoHyphens/>
              <w:spacing w:before="0" w:after="0"/>
            </w:pPr>
            <w:r>
              <w:t>0010</w:t>
            </w:r>
          </w:p>
        </w:tc>
        <w:tc>
          <w:tcPr>
            <w:tcW w:w="7655" w:type="dxa"/>
            <w:vAlign w:val="center"/>
          </w:tcPr>
          <w:p w:rsidR="00595FAD" w:rsidRPr="00661595" w:rsidRDefault="00595FAD" w:rsidP="00CA29D8">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VALORE DELL</w:t>
            </w:r>
            <w:r w:rsidR="000878EC">
              <w:rPr>
                <w:rStyle w:val="InstructionsTabelleberschrift"/>
                <w:rFonts w:ascii="Times New Roman" w:hAnsi="Times New Roman"/>
                <w:sz w:val="24"/>
              </w:rPr>
              <w:t>'</w:t>
            </w:r>
            <w:r>
              <w:rPr>
                <w:rStyle w:val="InstructionsTabelleberschrift"/>
                <w:rFonts w:ascii="Times New Roman" w:hAnsi="Times New Roman"/>
                <w:sz w:val="24"/>
              </w:rPr>
              <w:t xml:space="preserve">ESPOSIZIONE </w:t>
            </w:r>
          </w:p>
          <w:p w:rsidR="00595FAD" w:rsidRPr="00661595" w:rsidRDefault="00595FAD" w:rsidP="00CA29D8">
            <w:pPr>
              <w:keepNext/>
              <w:suppressAutoHyphens/>
              <w:spacing w:before="60"/>
              <w:rPr>
                <w:rFonts w:ascii="Times New Roman" w:hAnsi="Times New Roman"/>
                <w:sz w:val="24"/>
              </w:rPr>
            </w:pPr>
            <w:r>
              <w:rPr>
                <w:rFonts w:ascii="Times New Roman" w:hAnsi="Times New Roman"/>
                <w:sz w:val="24"/>
              </w:rPr>
              <w:t>Valore dell</w:t>
            </w:r>
            <w:r w:rsidR="000878EC">
              <w:rPr>
                <w:rFonts w:ascii="Times New Roman" w:hAnsi="Times New Roman"/>
                <w:sz w:val="24"/>
              </w:rPr>
              <w:t>'</w:t>
            </w:r>
            <w:r>
              <w:rPr>
                <w:rFonts w:ascii="Times New Roman" w:hAnsi="Times New Roman"/>
                <w:sz w:val="24"/>
              </w:rPr>
              <w:t>esposizione per le operazioni rientranti nell</w:t>
            </w:r>
            <w:r w:rsidR="000878EC">
              <w:rPr>
                <w:rFonts w:ascii="Times New Roman" w:hAnsi="Times New Roman"/>
                <w:sz w:val="24"/>
              </w:rPr>
              <w:t>'</w:t>
            </w:r>
            <w:r>
              <w:rPr>
                <w:rFonts w:ascii="Times New Roman" w:hAnsi="Times New Roman"/>
                <w:sz w:val="24"/>
              </w:rPr>
              <w:t>ambito di applicazione della parte tre, titolo II, capo 6, sezione 9, del CRR calcolato conformemente ai metodi pertinenti stabiliti in tale capo e in particolare nella sezione 9</w:t>
            </w:r>
          </w:p>
          <w:p w:rsidR="00595FAD" w:rsidRPr="00661595" w:rsidRDefault="00595FAD" w:rsidP="00CA29D8">
            <w:pPr>
              <w:keepNext/>
              <w:suppressAutoHyphens/>
              <w:spacing w:before="60"/>
              <w:rPr>
                <w:rFonts w:ascii="Times New Roman" w:hAnsi="Times New Roman"/>
                <w:sz w:val="24"/>
              </w:rPr>
            </w:pPr>
            <w:r>
              <w:rPr>
                <w:rFonts w:ascii="Times New Roman" w:hAnsi="Times New Roman"/>
                <w:sz w:val="24"/>
              </w:rPr>
              <w:t>Il valore dell</w:t>
            </w:r>
            <w:r w:rsidR="000878EC">
              <w:rPr>
                <w:rFonts w:ascii="Times New Roman" w:hAnsi="Times New Roman"/>
                <w:sz w:val="24"/>
              </w:rPr>
              <w:t>'</w:t>
            </w:r>
            <w:r>
              <w:rPr>
                <w:rFonts w:ascii="Times New Roman" w:hAnsi="Times New Roman"/>
                <w:sz w:val="24"/>
              </w:rPr>
              <w:t>esposizione segnalato è l</w:t>
            </w:r>
            <w:r w:rsidR="000878EC">
              <w:rPr>
                <w:rFonts w:ascii="Times New Roman" w:hAnsi="Times New Roman"/>
                <w:sz w:val="24"/>
              </w:rPr>
              <w:t>'</w:t>
            </w:r>
            <w:r>
              <w:rPr>
                <w:rFonts w:ascii="Times New Roman" w:hAnsi="Times New Roman"/>
                <w:sz w:val="24"/>
              </w:rPr>
              <w:t xml:space="preserve">importo rilevante per il calcolo dei requisiti di fondi propri conformemente alla parte </w:t>
            </w:r>
            <w:r w:rsidR="00CA29D8">
              <w:rPr>
                <w:rFonts w:ascii="Times New Roman" w:hAnsi="Times New Roman"/>
                <w:sz w:val="24"/>
              </w:rPr>
              <w:t>tre, titolo II, capo 6, sezione </w:t>
            </w:r>
            <w:r>
              <w:rPr>
                <w:rFonts w:ascii="Times New Roman" w:hAnsi="Times New Roman"/>
                <w:sz w:val="24"/>
              </w:rPr>
              <w:t>9, del CRR, tenendo conto dei requisiti di cui all</w:t>
            </w:r>
            <w:r w:rsidR="000878EC">
              <w:rPr>
                <w:rFonts w:ascii="Times New Roman" w:hAnsi="Times New Roman"/>
                <w:sz w:val="24"/>
              </w:rPr>
              <w:t>'</w:t>
            </w:r>
            <w:r>
              <w:rPr>
                <w:rFonts w:ascii="Times New Roman" w:hAnsi="Times New Roman"/>
                <w:sz w:val="24"/>
              </w:rPr>
              <w:t>articolo 497 dello stesso regolamento durante il periodo transitorio previsto in tale articolo.</w:t>
            </w:r>
          </w:p>
          <w:p w:rsidR="00595FAD" w:rsidRPr="00661595" w:rsidRDefault="00595FAD" w:rsidP="00CA29D8">
            <w:pPr>
              <w:keepNext/>
              <w:suppressAutoHyphens/>
              <w:spacing w:before="60"/>
              <w:rPr>
                <w:rFonts w:ascii="Times New Roman" w:hAnsi="Times New Roman"/>
                <w:sz w:val="24"/>
              </w:rPr>
            </w:pPr>
            <w:r>
              <w:rPr>
                <w:rFonts w:ascii="Times New Roman" w:hAnsi="Times New Roman"/>
                <w:sz w:val="24"/>
              </w:rPr>
              <w:t>Un</w:t>
            </w:r>
            <w:r w:rsidR="000878EC">
              <w:rPr>
                <w:rFonts w:ascii="Times New Roman" w:hAnsi="Times New Roman"/>
                <w:sz w:val="24"/>
              </w:rPr>
              <w:t>'</w:t>
            </w:r>
            <w:r>
              <w:rPr>
                <w:rFonts w:ascii="Times New Roman" w:hAnsi="Times New Roman"/>
                <w:sz w:val="24"/>
              </w:rPr>
              <w:t>esposizione può essere un</w:t>
            </w:r>
            <w:r w:rsidR="000878EC">
              <w:rPr>
                <w:rFonts w:ascii="Times New Roman" w:hAnsi="Times New Roman"/>
                <w:sz w:val="24"/>
              </w:rPr>
              <w:t>'</w:t>
            </w:r>
            <w:r>
              <w:rPr>
                <w:rFonts w:ascii="Times New Roman" w:hAnsi="Times New Roman"/>
                <w:sz w:val="24"/>
              </w:rPr>
              <w:t>esposizione da negoziazione ai sensi dell</w:t>
            </w:r>
            <w:r w:rsidR="000878EC">
              <w:rPr>
                <w:rFonts w:ascii="Times New Roman" w:hAnsi="Times New Roman"/>
                <w:sz w:val="24"/>
              </w:rPr>
              <w:t>'</w:t>
            </w:r>
            <w:r>
              <w:rPr>
                <w:rFonts w:ascii="Times New Roman" w:hAnsi="Times New Roman"/>
                <w:sz w:val="24"/>
              </w:rPr>
              <w:t>articolo 4, paragrafo 1, punto 91, del CRR.</w:t>
            </w:r>
          </w:p>
        </w:tc>
      </w:tr>
      <w:tr w:rsidR="00595FAD" w:rsidRPr="00661595" w:rsidTr="00FF15C6">
        <w:trPr>
          <w:trHeight w:val="680"/>
        </w:trPr>
        <w:tc>
          <w:tcPr>
            <w:tcW w:w="1384" w:type="dxa"/>
          </w:tcPr>
          <w:p w:rsidR="00595FAD" w:rsidRPr="00661595" w:rsidRDefault="00595FAD" w:rsidP="00CA29D8">
            <w:pPr>
              <w:pStyle w:val="Applicationdirecte"/>
              <w:suppressAutoHyphens/>
              <w:spacing w:before="0" w:after="0"/>
            </w:pPr>
            <w:r>
              <w:t>0020</w:t>
            </w:r>
          </w:p>
        </w:tc>
        <w:tc>
          <w:tcPr>
            <w:tcW w:w="7655" w:type="dxa"/>
            <w:vAlign w:val="center"/>
          </w:tcPr>
          <w:p w:rsidR="00595FAD" w:rsidRPr="00661595" w:rsidRDefault="00595FAD" w:rsidP="00CA29D8">
            <w:pPr>
              <w:keepNext/>
              <w:tabs>
                <w:tab w:val="left" w:pos="6983"/>
              </w:tabs>
              <w:suppressAutoHyphens/>
              <w:spacing w:before="60"/>
              <w:rPr>
                <w:rStyle w:val="InstructionsTabelleberschrift"/>
                <w:rFonts w:ascii="Times New Roman" w:hAnsi="Times New Roman"/>
                <w:sz w:val="24"/>
              </w:rPr>
            </w:pPr>
            <w:r>
              <w:rPr>
                <w:rStyle w:val="InstructionsTabelleberschrift"/>
                <w:rFonts w:ascii="Times New Roman" w:hAnsi="Times New Roman"/>
                <w:sz w:val="24"/>
              </w:rPr>
              <w:t>IMPORTI DELLE ESPOSIZIONI PONDERATI PER IL RISCHIO</w:t>
            </w:r>
          </w:p>
          <w:p w:rsidR="00595FAD" w:rsidRPr="00661595" w:rsidRDefault="00595FAD" w:rsidP="00CA29D8">
            <w:pPr>
              <w:keepNext/>
              <w:suppressAutoHyphens/>
              <w:spacing w:before="60"/>
              <w:rPr>
                <w:rFonts w:ascii="Times New Roman" w:hAnsi="Times New Roman"/>
                <w:strike/>
                <w:sz w:val="24"/>
              </w:rPr>
            </w:pPr>
            <w:r>
              <w:rPr>
                <w:rFonts w:ascii="Times New Roman" w:hAnsi="Times New Roman"/>
                <w:sz w:val="24"/>
              </w:rPr>
              <w:t>Importi delle esposizioni ponderati per il rischio determinati conformemente alla parte tre, titolo II, capo 6, sezione 9, del CRR, tenuto conto dei requisiti di cui all</w:t>
            </w:r>
            <w:r w:rsidR="000878EC">
              <w:rPr>
                <w:rFonts w:ascii="Times New Roman" w:hAnsi="Times New Roman"/>
                <w:sz w:val="24"/>
              </w:rPr>
              <w:t>'</w:t>
            </w:r>
            <w:r>
              <w:rPr>
                <w:rFonts w:ascii="Times New Roman" w:hAnsi="Times New Roman"/>
                <w:sz w:val="24"/>
              </w:rPr>
              <w:t>articolo 497 di tale regolamento durante il periodo transitorio previsto da tale articolo</w:t>
            </w:r>
          </w:p>
        </w:tc>
      </w:tr>
    </w:tbl>
    <w:p w:rsidR="00595FAD" w:rsidRPr="00661595" w:rsidRDefault="00595FAD" w:rsidP="00595FAD">
      <w:pPr>
        <w:pStyle w:val="Titlelevel2"/>
        <w:spacing w:before="120" w:after="120"/>
        <w:jc w:val="both"/>
        <w:rPr>
          <w:rFonts w:ascii="Times New Roman" w:hAnsi="Times New Roman" w:cs="Times New Roman"/>
          <w:b/>
          <w:color w:val="auto"/>
          <w:sz w:val="24"/>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238"/>
        </w:trPr>
        <w:tc>
          <w:tcPr>
            <w:tcW w:w="9039" w:type="dxa"/>
            <w:gridSpan w:val="2"/>
            <w:shd w:val="clear" w:color="auto" w:fill="D9D9D9" w:themeFill="background1" w:themeFillShade="D9"/>
          </w:tcPr>
          <w:p w:rsidR="00595FAD" w:rsidRPr="00661595" w:rsidRDefault="00595FAD" w:rsidP="00CA29D8">
            <w:pPr>
              <w:suppressAutoHyphens/>
              <w:autoSpaceDE w:val="0"/>
              <w:autoSpaceDN w:val="0"/>
              <w:adjustRightInd w:val="0"/>
              <w:rPr>
                <w:rFonts w:ascii="Times New Roman" w:hAnsi="Times New Roman"/>
                <w:sz w:val="24"/>
              </w:rPr>
            </w:pPr>
            <w:r>
              <w:rPr>
                <w:rFonts w:ascii="Times New Roman" w:hAnsi="Times New Roman"/>
                <w:b/>
                <w:sz w:val="24"/>
              </w:rPr>
              <w:t xml:space="preserve">Righe </w:t>
            </w:r>
          </w:p>
        </w:tc>
      </w:tr>
      <w:tr w:rsidR="00595FAD" w:rsidRPr="00661595" w:rsidTr="00FF15C6">
        <w:trPr>
          <w:trHeight w:val="680"/>
        </w:trPr>
        <w:tc>
          <w:tcPr>
            <w:tcW w:w="1384" w:type="dxa"/>
          </w:tcPr>
          <w:p w:rsidR="00595FAD" w:rsidRPr="00661595" w:rsidRDefault="00595FAD" w:rsidP="00CA29D8">
            <w:pPr>
              <w:pStyle w:val="Applicationdirecte"/>
              <w:suppressAutoHyphens/>
              <w:spacing w:before="0" w:after="0"/>
            </w:pPr>
            <w:r>
              <w:t>0010-0100</w:t>
            </w:r>
          </w:p>
        </w:tc>
        <w:tc>
          <w:tcPr>
            <w:tcW w:w="7655" w:type="dxa"/>
            <w:vAlign w:val="center"/>
          </w:tcPr>
          <w:p w:rsidR="00595FAD" w:rsidRPr="00661595" w:rsidRDefault="00595FAD" w:rsidP="00CA29D8">
            <w:pPr>
              <w:suppressAutoHyphens/>
              <w:spacing w:beforeLines="60" w:before="144" w:afterLines="60" w:after="144"/>
              <w:rPr>
                <w:rFonts w:ascii="Times New Roman" w:hAnsi="Times New Roman"/>
                <w:sz w:val="24"/>
              </w:rPr>
            </w:pPr>
            <w:r>
              <w:rPr>
                <w:rStyle w:val="InstructionsTabelleberschrift"/>
                <w:rFonts w:ascii="Times New Roman" w:hAnsi="Times New Roman"/>
                <w:sz w:val="24"/>
              </w:rPr>
              <w:t>CCP qualificata (QCCP)</w:t>
            </w:r>
            <w:r>
              <w:rPr>
                <w:rFonts w:ascii="Times New Roman" w:hAnsi="Times New Roman"/>
                <w:sz w:val="24"/>
              </w:rPr>
              <w:t xml:space="preserve"> </w:t>
            </w:r>
          </w:p>
          <w:p w:rsidR="00595FAD" w:rsidRPr="00661595" w:rsidRDefault="006418A0" w:rsidP="00CA29D8">
            <w:pPr>
              <w:suppressAutoHyphens/>
              <w:spacing w:beforeLines="60" w:before="144" w:afterLines="60" w:after="144"/>
              <w:rPr>
                <w:rFonts w:ascii="Times New Roman" w:hAnsi="Times New Roman"/>
                <w:sz w:val="24"/>
              </w:rPr>
            </w:pPr>
            <w:r>
              <w:rPr>
                <w:rFonts w:ascii="Times New Roman" w:hAnsi="Times New Roman"/>
                <w:sz w:val="24"/>
              </w:rPr>
              <w:t xml:space="preserve">Una controparte centrale qualificata o </w:t>
            </w:r>
            <w:r w:rsidR="000878EC">
              <w:rPr>
                <w:rFonts w:ascii="Times New Roman" w:hAnsi="Times New Roman"/>
                <w:sz w:val="24"/>
              </w:rPr>
              <w:t>"</w:t>
            </w:r>
            <w:r>
              <w:rPr>
                <w:rFonts w:ascii="Times New Roman" w:hAnsi="Times New Roman"/>
                <w:sz w:val="24"/>
              </w:rPr>
              <w:t>QCCP</w:t>
            </w:r>
            <w:r w:rsidR="000878EC">
              <w:rPr>
                <w:rFonts w:ascii="Times New Roman" w:hAnsi="Times New Roman"/>
                <w:sz w:val="24"/>
              </w:rPr>
              <w:t>"</w:t>
            </w:r>
            <w:r>
              <w:rPr>
                <w:rFonts w:ascii="Times New Roman" w:hAnsi="Times New Roman"/>
                <w:sz w:val="24"/>
              </w:rPr>
              <w:t xml:space="preserve"> ai sensi dell</w:t>
            </w:r>
            <w:r w:rsidR="000878EC">
              <w:rPr>
                <w:rFonts w:ascii="Times New Roman" w:hAnsi="Times New Roman"/>
                <w:sz w:val="24"/>
              </w:rPr>
              <w:t>'</w:t>
            </w:r>
            <w:r>
              <w:rPr>
                <w:rFonts w:ascii="Times New Roman" w:hAnsi="Times New Roman"/>
                <w:sz w:val="24"/>
              </w:rPr>
              <w:t xml:space="preserve">articolo 4, paragrafo 1, punto 88, del CRR. </w:t>
            </w:r>
          </w:p>
        </w:tc>
      </w:tr>
      <w:tr w:rsidR="00595FAD" w:rsidRPr="00661595" w:rsidTr="00FF15C6">
        <w:trPr>
          <w:trHeight w:val="680"/>
        </w:trPr>
        <w:tc>
          <w:tcPr>
            <w:tcW w:w="1384" w:type="dxa"/>
          </w:tcPr>
          <w:p w:rsidR="00595FAD" w:rsidRPr="00661595" w:rsidRDefault="00595FAD" w:rsidP="00CA29D8">
            <w:pPr>
              <w:pStyle w:val="Applicationdirecte"/>
              <w:suppressAutoHyphens/>
              <w:spacing w:before="0" w:after="0"/>
            </w:pPr>
            <w:r>
              <w:t>0070, 0080</w:t>
            </w:r>
          </w:p>
          <w:p w:rsidR="00595FAD" w:rsidRPr="00661595" w:rsidRDefault="00595FAD" w:rsidP="00CA29D8">
            <w:pPr>
              <w:pStyle w:val="Fait"/>
              <w:suppressAutoHyphens/>
            </w:pPr>
            <w:r>
              <w:t>0170, 0180</w:t>
            </w:r>
          </w:p>
        </w:tc>
        <w:tc>
          <w:tcPr>
            <w:tcW w:w="7655" w:type="dxa"/>
            <w:vAlign w:val="center"/>
          </w:tcPr>
          <w:p w:rsidR="00595FAD" w:rsidRPr="00661595" w:rsidRDefault="00595FAD" w:rsidP="00CA29D8">
            <w:pPr>
              <w:keepNext/>
              <w:suppressAutoHyphens/>
              <w:spacing w:before="60"/>
              <w:rPr>
                <w:rStyle w:val="InstructionsTabelleberschrift"/>
                <w:rFonts w:ascii="Times New Roman" w:hAnsi="Times New Roman"/>
                <w:b w:val="0"/>
                <w:sz w:val="24"/>
              </w:rPr>
            </w:pPr>
            <w:r>
              <w:rPr>
                <w:rStyle w:val="InstructionsTabelleberschrift"/>
                <w:rFonts w:ascii="Times New Roman" w:hAnsi="Times New Roman"/>
                <w:sz w:val="24"/>
              </w:rPr>
              <w:t>Margine iniziale</w:t>
            </w:r>
          </w:p>
          <w:p w:rsidR="00595FAD" w:rsidRPr="00661595" w:rsidRDefault="00595FAD" w:rsidP="00CA29D8">
            <w:pPr>
              <w:keepNext/>
              <w:suppressAutoHyphens/>
              <w:spacing w:before="60"/>
              <w:rPr>
                <w:rFonts w:ascii="Times New Roman" w:hAnsi="Times New Roman"/>
                <w:sz w:val="24"/>
              </w:rPr>
            </w:pPr>
            <w:r>
              <w:rPr>
                <w:rFonts w:ascii="Times New Roman" w:hAnsi="Times New Roman"/>
                <w:sz w:val="24"/>
              </w:rPr>
              <w:t>Cfr. le istruzioni per il modello C 34.08.</w:t>
            </w:r>
          </w:p>
          <w:p w:rsidR="00595FAD" w:rsidRPr="00661595" w:rsidRDefault="00595FAD" w:rsidP="00CA29D8">
            <w:pPr>
              <w:keepNext/>
              <w:suppressAutoHyphens/>
              <w:spacing w:before="60"/>
              <w:rPr>
                <w:rFonts w:ascii="Times New Roman" w:hAnsi="Times New Roman"/>
                <w:i/>
                <w:sz w:val="24"/>
              </w:rPr>
            </w:pPr>
            <w:r>
              <w:rPr>
                <w:rFonts w:ascii="Times New Roman" w:hAnsi="Times New Roman"/>
                <w:sz w:val="24"/>
              </w:rPr>
              <w:t xml:space="preserve">Ai fini di questo modello, il margine iniziale non include i contributi a una CCP per gli accordi di mutua condivisione delle perdite (ossia, nei casi in cui una CCP utilizzi il margine iniziale per ripartire le perdite tra i partecipanti diretti, esso è trattato come esposizione al fondo di garanzia). </w:t>
            </w:r>
          </w:p>
        </w:tc>
      </w:tr>
      <w:tr w:rsidR="00595FAD" w:rsidRPr="00661595" w:rsidTr="00FF15C6">
        <w:trPr>
          <w:trHeight w:val="680"/>
        </w:trPr>
        <w:tc>
          <w:tcPr>
            <w:tcW w:w="1384" w:type="dxa"/>
          </w:tcPr>
          <w:p w:rsidR="00595FAD" w:rsidRPr="00661595" w:rsidRDefault="00595FAD" w:rsidP="00CA29D8">
            <w:pPr>
              <w:pStyle w:val="Applicationdirecte"/>
              <w:suppressAutoHyphens/>
              <w:spacing w:before="0" w:after="0"/>
            </w:pPr>
            <w:r>
              <w:t>0090, 0190</w:t>
            </w:r>
          </w:p>
        </w:tc>
        <w:tc>
          <w:tcPr>
            <w:tcW w:w="7655" w:type="dxa"/>
            <w:vAlign w:val="center"/>
          </w:tcPr>
          <w:p w:rsidR="00595FAD" w:rsidRPr="00661595" w:rsidRDefault="00595FAD" w:rsidP="00CA29D8">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Contributi prefinanziati al fondo di garanzia</w:t>
            </w:r>
          </w:p>
          <w:p w:rsidR="00595FAD" w:rsidRPr="00661595" w:rsidRDefault="00C85EAB" w:rsidP="00CA29D8">
            <w:pPr>
              <w:keepNext/>
              <w:suppressAutoHyphens/>
              <w:spacing w:before="60"/>
              <w:rPr>
                <w:rFonts w:ascii="Times New Roman" w:hAnsi="Times New Roman"/>
                <w:sz w:val="24"/>
              </w:rPr>
            </w:pPr>
            <w:r>
              <w:rPr>
                <w:rFonts w:ascii="Times New Roman" w:hAnsi="Times New Roman"/>
                <w:sz w:val="24"/>
              </w:rPr>
              <w:t>Articoli 308 e 309 del CRR; fondo di garanzia ai sensi dell</w:t>
            </w:r>
            <w:r w:rsidR="000878EC">
              <w:rPr>
                <w:rFonts w:ascii="Times New Roman" w:hAnsi="Times New Roman"/>
                <w:sz w:val="24"/>
              </w:rPr>
              <w:t>'</w:t>
            </w:r>
            <w:r>
              <w:rPr>
                <w:rFonts w:ascii="Times New Roman" w:hAnsi="Times New Roman"/>
                <w:sz w:val="24"/>
              </w:rPr>
              <w:t>articolo 4, paragrafo 1, punto 89, del CRR; il contributo al fondo di garanzia di una CCP versato dall</w:t>
            </w:r>
            <w:r w:rsidR="000878EC">
              <w:rPr>
                <w:rFonts w:ascii="Times New Roman" w:hAnsi="Times New Roman"/>
                <w:sz w:val="24"/>
              </w:rPr>
              <w:t>'</w:t>
            </w:r>
            <w:r>
              <w:rPr>
                <w:rFonts w:ascii="Times New Roman" w:hAnsi="Times New Roman"/>
                <w:sz w:val="24"/>
              </w:rPr>
              <w:t>ente</w:t>
            </w:r>
          </w:p>
        </w:tc>
      </w:tr>
      <w:tr w:rsidR="00595FAD" w:rsidRPr="00661595" w:rsidTr="00FF15C6">
        <w:trPr>
          <w:trHeight w:val="680"/>
        </w:trPr>
        <w:tc>
          <w:tcPr>
            <w:tcW w:w="1384" w:type="dxa"/>
          </w:tcPr>
          <w:p w:rsidR="00595FAD" w:rsidRPr="00661595" w:rsidRDefault="00595FAD" w:rsidP="00CA29D8">
            <w:pPr>
              <w:pStyle w:val="Applicationdirecte"/>
              <w:keepNext/>
              <w:keepLines/>
              <w:suppressAutoHyphens/>
              <w:spacing w:before="0" w:after="0"/>
            </w:pPr>
            <w:r>
              <w:t>0100, 0200</w:t>
            </w:r>
          </w:p>
        </w:tc>
        <w:tc>
          <w:tcPr>
            <w:tcW w:w="7655" w:type="dxa"/>
            <w:vAlign w:val="center"/>
          </w:tcPr>
          <w:p w:rsidR="00595FAD" w:rsidRPr="00661595" w:rsidRDefault="00595FAD" w:rsidP="00CA29D8">
            <w:pPr>
              <w:keepNext/>
              <w:keepLines/>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Contributi non finanziati al fondo di garanzia</w:t>
            </w:r>
          </w:p>
          <w:p w:rsidR="00595FAD" w:rsidRPr="00661595" w:rsidRDefault="00C85EAB" w:rsidP="00CA29D8">
            <w:pPr>
              <w:keepNext/>
              <w:keepLines/>
              <w:suppressAutoHyphens/>
              <w:spacing w:before="60"/>
              <w:rPr>
                <w:rStyle w:val="InstructionsTabelleberschrift"/>
                <w:rFonts w:ascii="Times New Roman" w:hAnsi="Times New Roman"/>
                <w:b w:val="0"/>
                <w:bCs w:val="0"/>
                <w:sz w:val="24"/>
              </w:rPr>
            </w:pPr>
            <w:r>
              <w:rPr>
                <w:rFonts w:ascii="Times New Roman" w:hAnsi="Times New Roman"/>
                <w:sz w:val="24"/>
              </w:rPr>
              <w:t>Articoli 309 e 310 del CRR; fondo di garanzia ai sensi dell</w:t>
            </w:r>
            <w:r w:rsidR="000878EC">
              <w:rPr>
                <w:rFonts w:ascii="Times New Roman" w:hAnsi="Times New Roman"/>
                <w:sz w:val="24"/>
              </w:rPr>
              <w:t>'</w:t>
            </w:r>
            <w:r>
              <w:rPr>
                <w:rFonts w:ascii="Times New Roman" w:hAnsi="Times New Roman"/>
                <w:sz w:val="24"/>
              </w:rPr>
              <w:t>articolo 4, paragrafo 1, punto 89, del CRR.</w:t>
            </w:r>
          </w:p>
          <w:p w:rsidR="00595FAD" w:rsidRPr="00661595" w:rsidRDefault="0014210E" w:rsidP="00CA29D8">
            <w:pPr>
              <w:keepNext/>
              <w:keepLines/>
              <w:suppressAutoHyphens/>
              <w:spacing w:before="60"/>
              <w:rPr>
                <w:rFonts w:ascii="Times New Roman" w:hAnsi="Times New Roman"/>
                <w:sz w:val="24"/>
              </w:rPr>
            </w:pPr>
            <w:r>
              <w:rPr>
                <w:rFonts w:ascii="Times New Roman" w:hAnsi="Times New Roman"/>
                <w:sz w:val="24"/>
              </w:rPr>
              <w:t>Gli enti segnalano i contributi impegnati contrattualmente da un ente che opera come partecipante diretto allo scopo di metterli a disposizione di una CCP dopo che detta CCP ha esaurito il suo fondo di garanzia, per coprire le perdite subite in seguito al default di uno o più dei suoi partecipanti diretti.</w:t>
            </w:r>
          </w:p>
        </w:tc>
      </w:tr>
      <w:tr w:rsidR="00595FAD" w:rsidRPr="00661595" w:rsidTr="00FF15C6">
        <w:trPr>
          <w:trHeight w:val="680"/>
        </w:trPr>
        <w:tc>
          <w:tcPr>
            <w:tcW w:w="1384" w:type="dxa"/>
          </w:tcPr>
          <w:p w:rsidR="00595FAD" w:rsidRPr="00661595" w:rsidRDefault="00595FAD" w:rsidP="00CA29D8">
            <w:pPr>
              <w:pStyle w:val="Applicationdirecte"/>
              <w:suppressAutoHyphens/>
              <w:spacing w:before="0" w:after="0"/>
            </w:pPr>
            <w:r>
              <w:t>0070, 0170</w:t>
            </w:r>
          </w:p>
        </w:tc>
        <w:tc>
          <w:tcPr>
            <w:tcW w:w="7655" w:type="dxa"/>
            <w:vAlign w:val="center"/>
          </w:tcPr>
          <w:p w:rsidR="00595FAD" w:rsidRPr="00661595" w:rsidRDefault="00595FAD" w:rsidP="00CA29D8">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Separati</w:t>
            </w:r>
          </w:p>
          <w:p w:rsidR="00595FAD" w:rsidRPr="00661595" w:rsidRDefault="00595FAD" w:rsidP="00CA29D8">
            <w:pPr>
              <w:suppressAutoHyphens/>
              <w:spacing w:before="60"/>
              <w:rPr>
                <w:rFonts w:ascii="Times New Roman" w:eastAsia="Calibri" w:hAnsi="Times New Roman"/>
                <w:sz w:val="24"/>
              </w:rPr>
            </w:pPr>
            <w:r>
              <w:rPr>
                <w:rFonts w:ascii="Times New Roman" w:hAnsi="Times New Roman"/>
                <w:sz w:val="24"/>
              </w:rPr>
              <w:t>Cfr. le istruzioni per il modello C 34.08.</w:t>
            </w:r>
          </w:p>
        </w:tc>
      </w:tr>
      <w:tr w:rsidR="00595FAD" w:rsidRPr="00661595" w:rsidTr="00FF15C6">
        <w:trPr>
          <w:trHeight w:val="680"/>
        </w:trPr>
        <w:tc>
          <w:tcPr>
            <w:tcW w:w="1384" w:type="dxa"/>
          </w:tcPr>
          <w:p w:rsidR="00595FAD" w:rsidRPr="00661595" w:rsidRDefault="00595FAD" w:rsidP="00CA29D8">
            <w:pPr>
              <w:pStyle w:val="Applicationdirecte"/>
              <w:suppressAutoHyphens/>
              <w:spacing w:before="0" w:after="0"/>
            </w:pPr>
            <w:r>
              <w:t>0080, 0180</w:t>
            </w:r>
          </w:p>
        </w:tc>
        <w:tc>
          <w:tcPr>
            <w:tcW w:w="7655" w:type="dxa"/>
            <w:vAlign w:val="center"/>
          </w:tcPr>
          <w:p w:rsidR="00595FAD" w:rsidRPr="00661595" w:rsidRDefault="00595FAD" w:rsidP="00CA29D8">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Non separati</w:t>
            </w:r>
          </w:p>
          <w:p w:rsidR="00595FAD" w:rsidRPr="00661595" w:rsidRDefault="00595FAD" w:rsidP="00CA29D8">
            <w:pPr>
              <w:suppressAutoHyphens/>
              <w:spacing w:before="60"/>
              <w:rPr>
                <w:rFonts w:ascii="Times New Roman" w:eastAsia="Calibri" w:hAnsi="Times New Roman"/>
                <w:sz w:val="24"/>
              </w:rPr>
            </w:pPr>
            <w:r>
              <w:rPr>
                <w:rFonts w:ascii="Times New Roman" w:hAnsi="Times New Roman"/>
                <w:sz w:val="24"/>
              </w:rPr>
              <w:t>Cfr. le istruzioni per il modello C 34.08.</w:t>
            </w:r>
          </w:p>
        </w:tc>
      </w:tr>
    </w:tbl>
    <w:p w:rsidR="00595FAD" w:rsidRPr="00661595" w:rsidRDefault="00595FAD" w:rsidP="002F29AF">
      <w:pPr>
        <w:pStyle w:val="Instructionsberschrift2"/>
        <w:numPr>
          <w:ilvl w:val="2"/>
          <w:numId w:val="48"/>
        </w:numPr>
        <w:rPr>
          <w:rFonts w:ascii="Times New Roman" w:hAnsi="Times New Roman" w:cs="Times New Roman"/>
          <w:sz w:val="24"/>
        </w:rPr>
      </w:pPr>
      <w:bookmarkStart w:id="496" w:name="_Toc19715830"/>
      <w:bookmarkStart w:id="497" w:name="_Toc58915823"/>
      <w:r>
        <w:rPr>
          <w:rFonts w:ascii="Times New Roman" w:hAnsi="Times New Roman"/>
          <w:sz w:val="24"/>
        </w:rPr>
        <w:t>C 34.11 - Prospetti degli importi ponderati per il rischio delle esposizioni (RWEA) soggette al CCR nell</w:t>
      </w:r>
      <w:r w:rsidR="000878EC">
        <w:rPr>
          <w:rFonts w:ascii="Times New Roman" w:hAnsi="Times New Roman"/>
          <w:sz w:val="24"/>
        </w:rPr>
        <w:t>'</w:t>
      </w:r>
      <w:r>
        <w:rPr>
          <w:rFonts w:ascii="Times New Roman" w:hAnsi="Times New Roman"/>
          <w:sz w:val="24"/>
        </w:rPr>
        <w:t>ambito dell</w:t>
      </w:r>
      <w:r w:rsidR="000878EC">
        <w:rPr>
          <w:rFonts w:ascii="Times New Roman" w:hAnsi="Times New Roman"/>
          <w:sz w:val="24"/>
        </w:rPr>
        <w:t>'</w:t>
      </w:r>
      <w:r>
        <w:rPr>
          <w:rFonts w:ascii="Times New Roman" w:hAnsi="Times New Roman"/>
          <w:sz w:val="24"/>
        </w:rPr>
        <w:t>IMM</w:t>
      </w:r>
      <w:bookmarkEnd w:id="496"/>
      <w:bookmarkEnd w:id="497"/>
    </w:p>
    <w:p w:rsidR="00595FAD" w:rsidRPr="00661595" w:rsidRDefault="00595FAD" w:rsidP="002F29AF">
      <w:pPr>
        <w:pStyle w:val="Instructionsberschrift2"/>
        <w:numPr>
          <w:ilvl w:val="3"/>
          <w:numId w:val="48"/>
        </w:numPr>
        <w:rPr>
          <w:rFonts w:ascii="Times New Roman" w:hAnsi="Times New Roman" w:cs="Times New Roman"/>
          <w:sz w:val="24"/>
        </w:rPr>
      </w:pPr>
      <w:bookmarkStart w:id="498" w:name="_Toc19715831"/>
      <w:bookmarkStart w:id="499" w:name="_Toc58915824"/>
      <w:r>
        <w:rPr>
          <w:rFonts w:ascii="Times New Roman" w:hAnsi="Times New Roman"/>
          <w:sz w:val="24"/>
        </w:rPr>
        <w:t>Osservazioni di carattere generale</w:t>
      </w:r>
      <w:bookmarkEnd w:id="498"/>
      <w:bookmarkEnd w:id="499"/>
    </w:p>
    <w:p w:rsidR="00595FAD" w:rsidRPr="00661595" w:rsidRDefault="00A971CA" w:rsidP="00CA29D8">
      <w:pPr>
        <w:pStyle w:val="InstructionsText2"/>
        <w:numPr>
          <w:ilvl w:val="0"/>
          <w:numId w:val="0"/>
        </w:numPr>
        <w:ind w:left="1680" w:hanging="480"/>
      </w:pPr>
      <w:r>
        <w:fldChar w:fldCharType="begin"/>
      </w:r>
      <w:r>
        <w:instrText xml:space="preserve"> seq paragraphs </w:instrText>
      </w:r>
      <w:r>
        <w:fldChar w:fldCharType="separate"/>
      </w:r>
      <w:r w:rsidR="00D11E4C">
        <w:rPr>
          <w:noProof/>
        </w:rPr>
        <w:t>133</w:t>
      </w:r>
      <w:r>
        <w:rPr>
          <w:noProof/>
        </w:rPr>
        <w:fldChar w:fldCharType="end"/>
      </w:r>
      <w:r w:rsidR="00CA29D8">
        <w:t>.</w:t>
      </w:r>
      <w:r w:rsidR="00CA29D8">
        <w:tab/>
      </w:r>
      <w:r w:rsidR="00D11E4C">
        <w:t>Gli enti che utilizzano l</w:t>
      </w:r>
      <w:r w:rsidR="000878EC">
        <w:t>'</w:t>
      </w:r>
      <w:r w:rsidR="00D11E4C">
        <w:t>IMM per calcolare gli importi delle esposizioni ponderati per il rischio per tutte o parte delle loro esposizioni soggette al CCR, conformemente alla parte tre, titolo II, capo 6, del CRR, a prescindere dal metodo del rischio di credito utilizzato per determinare i corrispondenti fattori di ponderazione del rischio, compilano questo modello con il prospetto che illustra le variazioni degli importi delle esposizioni ponderati per il rischio dei derivati e delle SFT nell</w:t>
      </w:r>
      <w:r w:rsidR="000878EC">
        <w:t>'</w:t>
      </w:r>
      <w:r w:rsidR="00D11E4C">
        <w:t>ambito di applicazione dell</w:t>
      </w:r>
      <w:r w:rsidR="000878EC">
        <w:t>'</w:t>
      </w:r>
      <w:r w:rsidR="00D11E4C">
        <w:t>IMM differenziati per fattori chiave e basati su stime ragionevoli.</w:t>
      </w:r>
    </w:p>
    <w:p w:rsidR="00595FAD" w:rsidRPr="00661595" w:rsidRDefault="00A971CA" w:rsidP="00CA29D8">
      <w:pPr>
        <w:pStyle w:val="InstructionsText2"/>
        <w:numPr>
          <w:ilvl w:val="0"/>
          <w:numId w:val="0"/>
        </w:numPr>
        <w:ind w:left="1680" w:hanging="480"/>
      </w:pPr>
      <w:r>
        <w:fldChar w:fldCharType="begin"/>
      </w:r>
      <w:r>
        <w:instrText xml:space="preserve"> seq paragraphs </w:instrText>
      </w:r>
      <w:r>
        <w:fldChar w:fldCharType="separate"/>
      </w:r>
      <w:r w:rsidR="00D11E4C">
        <w:rPr>
          <w:noProof/>
        </w:rPr>
        <w:t>134</w:t>
      </w:r>
      <w:r>
        <w:rPr>
          <w:noProof/>
        </w:rPr>
        <w:fldChar w:fldCharType="end"/>
      </w:r>
      <w:r w:rsidR="00CA29D8">
        <w:t>.</w:t>
      </w:r>
      <w:r w:rsidR="00CA29D8">
        <w:tab/>
      </w:r>
      <w:r w:rsidR="00D11E4C">
        <w:t xml:space="preserve">Gli enti che compilano questo modello con frequenza trimestrale compilano solo la colonna 0010. Gli enti che compilano questo modello con frequenza annuale compilano solo la colonna 0020. </w:t>
      </w:r>
    </w:p>
    <w:p w:rsidR="00595FAD" w:rsidRPr="00661595" w:rsidRDefault="00A971CA" w:rsidP="00CA29D8">
      <w:pPr>
        <w:pStyle w:val="InstructionsText2"/>
        <w:numPr>
          <w:ilvl w:val="0"/>
          <w:numId w:val="0"/>
        </w:numPr>
        <w:ind w:left="1680" w:hanging="480"/>
      </w:pPr>
      <w:r>
        <w:fldChar w:fldCharType="begin"/>
      </w:r>
      <w:r>
        <w:instrText xml:space="preserve"> seq paragraphs </w:instrText>
      </w:r>
      <w:r>
        <w:fldChar w:fldCharType="separate"/>
      </w:r>
      <w:r w:rsidR="00D11E4C">
        <w:rPr>
          <w:noProof/>
        </w:rPr>
        <w:t>135</w:t>
      </w:r>
      <w:r>
        <w:rPr>
          <w:noProof/>
        </w:rPr>
        <w:fldChar w:fldCharType="end"/>
      </w:r>
      <w:r w:rsidR="00CA29D8">
        <w:t>.</w:t>
      </w:r>
      <w:r w:rsidR="00CA29D8">
        <w:tab/>
      </w:r>
      <w:r w:rsidR="00D11E4C">
        <w:t xml:space="preserve">Da questo modello sono esclusi gli importi ponderati per il rischio delle esposizioni verso una controparte centrale (parte </w:t>
      </w:r>
      <w:r w:rsidR="00CA29D8">
        <w:t>tre, titolo II, capo 6, sezione </w:t>
      </w:r>
      <w:r w:rsidR="00D11E4C">
        <w:t>9, del CRR).</w:t>
      </w:r>
    </w:p>
    <w:p w:rsidR="00595FAD" w:rsidRPr="00661595" w:rsidRDefault="00595FAD" w:rsidP="002F29AF">
      <w:pPr>
        <w:pStyle w:val="Instructionsberschrift2"/>
        <w:numPr>
          <w:ilvl w:val="3"/>
          <w:numId w:val="48"/>
        </w:numPr>
        <w:rPr>
          <w:rFonts w:ascii="Times New Roman" w:hAnsi="Times New Roman" w:cs="Times New Roman"/>
          <w:sz w:val="24"/>
        </w:rPr>
      </w:pPr>
      <w:bookmarkStart w:id="500" w:name="_Toc19715832"/>
      <w:bookmarkStart w:id="501" w:name="_Toc58915825"/>
      <w:r>
        <w:rPr>
          <w:rFonts w:ascii="Times New Roman" w:hAnsi="Times New Roman"/>
          <w:sz w:val="24"/>
        </w:rPr>
        <w:t>Istruzioni relative a posizioni specifiche</w:t>
      </w:r>
      <w:bookmarkEnd w:id="500"/>
      <w:bookmarkEnd w:id="501"/>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CA29D8">
            <w:pPr>
              <w:suppressAutoHyphens/>
              <w:rPr>
                <w:rFonts w:ascii="Times New Roman" w:hAnsi="Times New Roman"/>
                <w:b/>
                <w:sz w:val="24"/>
              </w:rPr>
            </w:pPr>
            <w:r>
              <w:rPr>
                <w:rFonts w:ascii="Times New Roman" w:hAnsi="Times New Roman"/>
                <w:b/>
                <w:sz w:val="24"/>
              </w:rPr>
              <w:t>Colonne</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shd w:val="clear" w:color="auto" w:fill="auto"/>
          </w:tcPr>
          <w:p w:rsidR="00595FAD" w:rsidRPr="00661595" w:rsidRDefault="00595FAD" w:rsidP="00CA29D8">
            <w:pPr>
              <w:pStyle w:val="Applicationdirecte"/>
              <w:suppressAutoHyphens/>
              <w:spacing w:before="0" w:after="0"/>
            </w:pPr>
            <w:r>
              <w:t>0010, 0020</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595FAD" w:rsidRPr="00661595" w:rsidRDefault="00595FAD" w:rsidP="00CA29D8">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IMPORTI DELLE ESPOSIZIONI PONDERATI PER IL RISCHIO</w:t>
            </w:r>
          </w:p>
          <w:p w:rsidR="00595FAD" w:rsidRPr="00661595" w:rsidRDefault="00595FAD" w:rsidP="00CA29D8">
            <w:pPr>
              <w:suppressAutoHyphens/>
              <w:rPr>
                <w:rFonts w:ascii="Times New Roman" w:hAnsi="Times New Roman"/>
                <w:sz w:val="24"/>
              </w:rPr>
            </w:pPr>
            <w:r>
              <w:rPr>
                <w:rFonts w:ascii="Times New Roman" w:hAnsi="Times New Roman"/>
                <w:sz w:val="24"/>
              </w:rPr>
              <w:t>Importi delle esposizioni ponderati per il rischio, così come definiti all</w:t>
            </w:r>
            <w:r w:rsidR="000878EC">
              <w:rPr>
                <w:rFonts w:ascii="Times New Roman" w:hAnsi="Times New Roman"/>
                <w:sz w:val="24"/>
              </w:rPr>
              <w:t>'</w:t>
            </w:r>
            <w:r>
              <w:rPr>
                <w:rFonts w:ascii="Times New Roman" w:hAnsi="Times New Roman"/>
                <w:sz w:val="24"/>
              </w:rPr>
              <w:t>articolo 92, paragrafo 3 e 4, del CRR, per le posizioni i cui fattori di ponderazione del rischio sono stimati sulla base dei requisiti di cui alla parte tre, titolo II, capi 2 e 3, del CRR e per le quali l</w:t>
            </w:r>
            <w:r w:rsidR="000878EC">
              <w:rPr>
                <w:rFonts w:ascii="Times New Roman" w:hAnsi="Times New Roman"/>
                <w:sz w:val="24"/>
              </w:rPr>
              <w:t>'</w:t>
            </w:r>
            <w:r>
              <w:rPr>
                <w:rFonts w:ascii="Times New Roman" w:hAnsi="Times New Roman"/>
                <w:sz w:val="24"/>
              </w:rPr>
              <w:t>ente è stato autorizzato a calcolare il valore dell</w:t>
            </w:r>
            <w:r w:rsidR="000878EC">
              <w:rPr>
                <w:rFonts w:ascii="Times New Roman" w:hAnsi="Times New Roman"/>
                <w:sz w:val="24"/>
              </w:rPr>
              <w:t>'</w:t>
            </w:r>
            <w:r>
              <w:rPr>
                <w:rFonts w:ascii="Times New Roman" w:hAnsi="Times New Roman"/>
                <w:sz w:val="24"/>
              </w:rPr>
              <w:t>esposizione utilizzando l</w:t>
            </w:r>
            <w:r w:rsidR="000878EC">
              <w:rPr>
                <w:rFonts w:ascii="Times New Roman" w:hAnsi="Times New Roman"/>
                <w:sz w:val="24"/>
              </w:rPr>
              <w:t>'</w:t>
            </w:r>
            <w:r>
              <w:rPr>
                <w:rFonts w:ascii="Times New Roman" w:hAnsi="Times New Roman"/>
                <w:sz w:val="24"/>
              </w:rPr>
              <w:t>IMM conformemente alla parte tre, titolo II, capo 6, sezione 6, del CRR.</w:t>
            </w:r>
          </w:p>
          <w:p w:rsidR="00595FAD" w:rsidRPr="00661595" w:rsidRDefault="00595FAD" w:rsidP="00CA29D8">
            <w:pPr>
              <w:suppressAutoHyphens/>
              <w:spacing w:before="60"/>
              <w:rPr>
                <w:rFonts w:ascii="Times New Roman" w:hAnsi="Times New Roman"/>
                <w:i/>
                <w:sz w:val="24"/>
              </w:rPr>
            </w:pPr>
            <w:r>
              <w:rPr>
                <w:rFonts w:ascii="Times New Roman" w:hAnsi="Times New Roman"/>
                <w:sz w:val="24"/>
              </w:rPr>
              <w:t>Si tiene conto dei fattori di sostegno alle PMI e alle infrastrutture di cui agli articoli 501 e 501 bis del CRR.</w:t>
            </w:r>
          </w:p>
        </w:tc>
      </w:tr>
    </w:tbl>
    <w:p w:rsidR="00595FAD" w:rsidRPr="00661595" w:rsidRDefault="00595FAD" w:rsidP="00595FAD">
      <w:pPr>
        <w:pStyle w:val="Titlelevel2"/>
        <w:spacing w:before="60" w:after="120"/>
        <w:jc w:val="both"/>
        <w:rPr>
          <w:rFonts w:ascii="Times New Roman" w:hAnsi="Times New Roman" w:cs="Times New Roman"/>
          <w:color w:val="auto"/>
          <w:sz w:val="24"/>
          <w:lang w:eastAsia="en-GB"/>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655"/>
      </w:tblGrid>
      <w:tr w:rsidR="00595FAD" w:rsidRPr="00661595" w:rsidTr="00FF15C6">
        <w:trPr>
          <w:trHeight w:val="90"/>
        </w:trPr>
        <w:tc>
          <w:tcPr>
            <w:tcW w:w="903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95FAD" w:rsidRPr="00661595" w:rsidRDefault="00595FAD" w:rsidP="00CA29D8">
            <w:pPr>
              <w:suppressAutoHyphens/>
              <w:rPr>
                <w:rFonts w:ascii="Times New Roman" w:hAnsi="Times New Roman"/>
                <w:b/>
                <w:sz w:val="24"/>
              </w:rPr>
            </w:pPr>
            <w:r>
              <w:rPr>
                <w:rFonts w:ascii="Times New Roman" w:hAnsi="Times New Roman"/>
                <w:b/>
                <w:sz w:val="24"/>
              </w:rPr>
              <w:t>Righe</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CA29D8">
            <w:pPr>
              <w:pStyle w:val="Applicationdirecte"/>
              <w:suppressAutoHyphens/>
              <w:spacing w:before="0" w:after="0"/>
            </w:pPr>
            <w:r>
              <w:t>0010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CA29D8">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Importi delle esposizioni ponderati per il rischio al termine del periodo di riferimento precedente</w:t>
            </w:r>
          </w:p>
          <w:p w:rsidR="00595FAD" w:rsidRPr="00661595" w:rsidRDefault="00595FAD" w:rsidP="00CA29D8">
            <w:pPr>
              <w:suppressAutoHyphens/>
              <w:spacing w:before="60"/>
              <w:rPr>
                <w:rFonts w:ascii="Times New Roman" w:hAnsi="Times New Roman"/>
                <w:sz w:val="24"/>
              </w:rPr>
            </w:pPr>
            <w:r>
              <w:rPr>
                <w:rFonts w:ascii="Times New Roman" w:hAnsi="Times New Roman"/>
                <w:sz w:val="24"/>
              </w:rPr>
              <w:t>Importi ponderati per il rischio delle esposizioni soggette al CCR nel quadro dell</w:t>
            </w:r>
            <w:r w:rsidR="000878EC">
              <w:rPr>
                <w:rFonts w:ascii="Times New Roman" w:hAnsi="Times New Roman"/>
                <w:sz w:val="24"/>
              </w:rPr>
              <w:t>'</w:t>
            </w:r>
            <w:r>
              <w:rPr>
                <w:rFonts w:ascii="Times New Roman" w:hAnsi="Times New Roman"/>
                <w:sz w:val="24"/>
              </w:rPr>
              <w:t>IMM alla fine del precedente periodo di riferimento per le segnalazioni</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CA29D8">
            <w:pPr>
              <w:pStyle w:val="Applicationdirecte"/>
              <w:suppressAutoHyphens/>
              <w:spacing w:before="0" w:after="0"/>
            </w:pPr>
            <w:r>
              <w:t>0020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CA29D8">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Dimensione delle attività</w:t>
            </w:r>
          </w:p>
          <w:p w:rsidR="00595FAD" w:rsidRPr="00661595" w:rsidRDefault="00595FAD" w:rsidP="00CA29D8">
            <w:pPr>
              <w:suppressAutoHyphens/>
              <w:spacing w:before="60"/>
              <w:rPr>
                <w:rFonts w:ascii="Times New Roman" w:hAnsi="Times New Roman"/>
                <w:sz w:val="24"/>
              </w:rPr>
            </w:pPr>
            <w:r>
              <w:rPr>
                <w:rFonts w:ascii="Times New Roman" w:hAnsi="Times New Roman"/>
                <w:sz w:val="24"/>
              </w:rPr>
              <w:t>Variazioni (positive o negative) dell</w:t>
            </w:r>
            <w:r w:rsidR="000878EC">
              <w:rPr>
                <w:rFonts w:ascii="Times New Roman" w:hAnsi="Times New Roman"/>
                <w:sz w:val="24"/>
              </w:rPr>
              <w:t>'</w:t>
            </w:r>
            <w:r>
              <w:rPr>
                <w:rFonts w:ascii="Times New Roman" w:hAnsi="Times New Roman"/>
                <w:sz w:val="24"/>
              </w:rPr>
              <w:t>importo dell</w:t>
            </w:r>
            <w:r w:rsidR="000878EC">
              <w:rPr>
                <w:rFonts w:ascii="Times New Roman" w:hAnsi="Times New Roman"/>
                <w:sz w:val="24"/>
              </w:rPr>
              <w:t>'</w:t>
            </w:r>
            <w:r>
              <w:rPr>
                <w:rFonts w:ascii="Times New Roman" w:hAnsi="Times New Roman"/>
                <w:sz w:val="24"/>
              </w:rPr>
              <w:t>esposizione ponderato per il rischio dovute a variazioni delle dimensioni e della composizione del portafoglio derivanti dalla normale attività operativa (compresa la creazione di nuove attività e le esposizioni in scadenza) ma escluse le variazioni di dimensione del portafoglio dovute ad acquisizioni e dismissioni di soggetti</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CA29D8">
            <w:pPr>
              <w:pStyle w:val="Applicationdirecte"/>
              <w:suppressAutoHyphens/>
              <w:spacing w:before="0" w:after="0"/>
            </w:pPr>
            <w:r>
              <w:t>0030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CA29D8">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Qualità creditizia delle controparti </w:t>
            </w:r>
          </w:p>
          <w:p w:rsidR="00595FAD" w:rsidRPr="00661595" w:rsidRDefault="00595FAD" w:rsidP="00CA29D8">
            <w:pPr>
              <w:suppressAutoHyphens/>
              <w:spacing w:before="60"/>
              <w:rPr>
                <w:rFonts w:ascii="Times New Roman" w:hAnsi="Times New Roman"/>
                <w:sz w:val="24"/>
              </w:rPr>
            </w:pPr>
            <w:r>
              <w:rPr>
                <w:rFonts w:ascii="Times New Roman" w:hAnsi="Times New Roman"/>
                <w:sz w:val="24"/>
              </w:rPr>
              <w:t>Variazioni (positive o negative) dell</w:t>
            </w:r>
            <w:r w:rsidR="000878EC">
              <w:rPr>
                <w:rFonts w:ascii="Times New Roman" w:hAnsi="Times New Roman"/>
                <w:sz w:val="24"/>
              </w:rPr>
              <w:t>'</w:t>
            </w:r>
            <w:r>
              <w:rPr>
                <w:rFonts w:ascii="Times New Roman" w:hAnsi="Times New Roman"/>
                <w:sz w:val="24"/>
              </w:rPr>
              <w:t>importo dell</w:t>
            </w:r>
            <w:r w:rsidR="000878EC">
              <w:rPr>
                <w:rFonts w:ascii="Times New Roman" w:hAnsi="Times New Roman"/>
                <w:sz w:val="24"/>
              </w:rPr>
              <w:t>'</w:t>
            </w:r>
            <w:r>
              <w:rPr>
                <w:rFonts w:ascii="Times New Roman" w:hAnsi="Times New Roman"/>
                <w:sz w:val="24"/>
              </w:rPr>
              <w:t>esposizione ponderato per il rischio dovute a variazioni della qualità valutata delle controparti dell</w:t>
            </w:r>
            <w:r w:rsidR="000878EC">
              <w:rPr>
                <w:rFonts w:ascii="Times New Roman" w:hAnsi="Times New Roman"/>
                <w:sz w:val="24"/>
              </w:rPr>
              <w:t>'</w:t>
            </w:r>
            <w:r>
              <w:rPr>
                <w:rFonts w:ascii="Times New Roman" w:hAnsi="Times New Roman"/>
                <w:sz w:val="24"/>
              </w:rPr>
              <w:t>ente misurata nell</w:t>
            </w:r>
            <w:r w:rsidR="000878EC">
              <w:rPr>
                <w:rFonts w:ascii="Times New Roman" w:hAnsi="Times New Roman"/>
                <w:sz w:val="24"/>
              </w:rPr>
              <w:t>'</w:t>
            </w:r>
            <w:r>
              <w:rPr>
                <w:rFonts w:ascii="Times New Roman" w:hAnsi="Times New Roman"/>
                <w:sz w:val="24"/>
              </w:rPr>
              <w:t>ambito del quadro del rischio di credito, qualunque sia il metodo utilizzato dall</w:t>
            </w:r>
            <w:r w:rsidR="000878EC">
              <w:rPr>
                <w:rFonts w:ascii="Times New Roman" w:hAnsi="Times New Roman"/>
                <w:sz w:val="24"/>
              </w:rPr>
              <w:t>'</w:t>
            </w:r>
            <w:r>
              <w:rPr>
                <w:rFonts w:ascii="Times New Roman" w:hAnsi="Times New Roman"/>
                <w:sz w:val="24"/>
              </w:rPr>
              <w:t>ente. Questa riga comprende anche le potenziali variazioni dell</w:t>
            </w:r>
            <w:r w:rsidR="000878EC">
              <w:rPr>
                <w:rFonts w:ascii="Times New Roman" w:hAnsi="Times New Roman"/>
                <w:sz w:val="24"/>
              </w:rPr>
              <w:t>'</w:t>
            </w:r>
            <w:r>
              <w:rPr>
                <w:rFonts w:ascii="Times New Roman" w:hAnsi="Times New Roman"/>
                <w:sz w:val="24"/>
              </w:rPr>
              <w:t>importo dell</w:t>
            </w:r>
            <w:r w:rsidR="000878EC">
              <w:rPr>
                <w:rFonts w:ascii="Times New Roman" w:hAnsi="Times New Roman"/>
                <w:sz w:val="24"/>
              </w:rPr>
              <w:t>'</w:t>
            </w:r>
            <w:r>
              <w:rPr>
                <w:rFonts w:ascii="Times New Roman" w:hAnsi="Times New Roman"/>
                <w:sz w:val="24"/>
              </w:rPr>
              <w:t>esposizione ponderato per il rischio dovute ai modelli IRB quando l</w:t>
            </w:r>
            <w:r w:rsidR="000878EC">
              <w:rPr>
                <w:rFonts w:ascii="Times New Roman" w:hAnsi="Times New Roman"/>
                <w:sz w:val="24"/>
              </w:rPr>
              <w:t>'</w:t>
            </w:r>
            <w:r>
              <w:rPr>
                <w:rFonts w:ascii="Times New Roman" w:hAnsi="Times New Roman"/>
                <w:sz w:val="24"/>
              </w:rPr>
              <w:t>ente utilizza il metodo IRB.</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CA29D8">
            <w:pPr>
              <w:pStyle w:val="Applicationdirecte"/>
              <w:suppressAutoHyphens/>
              <w:spacing w:before="0" w:after="0"/>
            </w:pPr>
            <w:r>
              <w:t>0040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CA29D8">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Aggiornamenti del modello (solo IMM)</w:t>
            </w:r>
          </w:p>
          <w:p w:rsidR="0014210E" w:rsidRDefault="00595FAD" w:rsidP="00CA29D8">
            <w:pPr>
              <w:suppressAutoHyphens/>
              <w:spacing w:before="60"/>
              <w:rPr>
                <w:rFonts w:ascii="Times New Roman" w:hAnsi="Times New Roman"/>
                <w:sz w:val="24"/>
              </w:rPr>
            </w:pPr>
            <w:r>
              <w:rPr>
                <w:rFonts w:ascii="Times New Roman" w:hAnsi="Times New Roman"/>
                <w:sz w:val="24"/>
              </w:rPr>
              <w:t>Variazioni (positive o negative) dell</w:t>
            </w:r>
            <w:r w:rsidR="000878EC">
              <w:rPr>
                <w:rFonts w:ascii="Times New Roman" w:hAnsi="Times New Roman"/>
                <w:sz w:val="24"/>
              </w:rPr>
              <w:t>'</w:t>
            </w:r>
            <w:r>
              <w:rPr>
                <w:rFonts w:ascii="Times New Roman" w:hAnsi="Times New Roman"/>
                <w:sz w:val="24"/>
              </w:rPr>
              <w:t>importo dell</w:t>
            </w:r>
            <w:r w:rsidR="000878EC">
              <w:rPr>
                <w:rFonts w:ascii="Times New Roman" w:hAnsi="Times New Roman"/>
                <w:sz w:val="24"/>
              </w:rPr>
              <w:t>'</w:t>
            </w:r>
            <w:r>
              <w:rPr>
                <w:rFonts w:ascii="Times New Roman" w:hAnsi="Times New Roman"/>
                <w:sz w:val="24"/>
              </w:rPr>
              <w:t>esposizione ponderato per il rischio dovute all</w:t>
            </w:r>
            <w:r w:rsidR="000878EC">
              <w:rPr>
                <w:rFonts w:ascii="Times New Roman" w:hAnsi="Times New Roman"/>
                <w:sz w:val="24"/>
              </w:rPr>
              <w:t>'</w:t>
            </w:r>
            <w:r>
              <w:rPr>
                <w:rFonts w:ascii="Times New Roman" w:hAnsi="Times New Roman"/>
                <w:sz w:val="24"/>
              </w:rPr>
              <w:t>attuazione del modello, a modifiche dell</w:t>
            </w:r>
            <w:r w:rsidR="000878EC">
              <w:rPr>
                <w:rFonts w:ascii="Times New Roman" w:hAnsi="Times New Roman"/>
                <w:sz w:val="24"/>
              </w:rPr>
              <w:t>'</w:t>
            </w:r>
            <w:r>
              <w:rPr>
                <w:rFonts w:ascii="Times New Roman" w:hAnsi="Times New Roman"/>
                <w:sz w:val="24"/>
              </w:rPr>
              <w:t>ambito di applicazione del modello o ad eventuali modifiche volte a ovviare alle debolezze del modello</w:t>
            </w:r>
          </w:p>
          <w:p w:rsidR="00595FAD" w:rsidRPr="00661595" w:rsidRDefault="00595FAD" w:rsidP="00CA29D8">
            <w:pPr>
              <w:suppressAutoHyphens/>
              <w:spacing w:before="60"/>
              <w:rPr>
                <w:rFonts w:ascii="Times New Roman" w:hAnsi="Times New Roman"/>
                <w:sz w:val="24"/>
              </w:rPr>
            </w:pPr>
            <w:r>
              <w:rPr>
                <w:rFonts w:ascii="Times New Roman" w:hAnsi="Times New Roman"/>
                <w:sz w:val="24"/>
              </w:rPr>
              <w:t>Questa riga si riferisce solo alle modifiche del modello IMM.</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CA29D8">
            <w:pPr>
              <w:pStyle w:val="Applicationdirecte"/>
              <w:suppressAutoHyphens/>
              <w:spacing w:before="0" w:after="0"/>
            </w:pPr>
            <w:r>
              <w:t>0050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CA29D8">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Metodologia e politica (solo IMM)</w:t>
            </w:r>
          </w:p>
          <w:p w:rsidR="00595FAD" w:rsidRPr="00661595" w:rsidRDefault="00595FAD" w:rsidP="00CA29D8">
            <w:pPr>
              <w:suppressAutoHyphens/>
              <w:spacing w:before="60"/>
              <w:rPr>
                <w:rFonts w:ascii="Times New Roman" w:hAnsi="Times New Roman"/>
                <w:sz w:val="24"/>
              </w:rPr>
            </w:pPr>
            <w:r>
              <w:rPr>
                <w:rFonts w:ascii="Times New Roman" w:hAnsi="Times New Roman"/>
                <w:sz w:val="24"/>
              </w:rPr>
              <w:t>Variazioni dell</w:t>
            </w:r>
            <w:r w:rsidR="000878EC">
              <w:rPr>
                <w:rFonts w:ascii="Times New Roman" w:hAnsi="Times New Roman"/>
                <w:sz w:val="24"/>
              </w:rPr>
              <w:t>'</w:t>
            </w:r>
            <w:r>
              <w:rPr>
                <w:rFonts w:ascii="Times New Roman" w:hAnsi="Times New Roman"/>
                <w:sz w:val="24"/>
              </w:rPr>
              <w:t>importo dell</w:t>
            </w:r>
            <w:r w:rsidR="000878EC">
              <w:rPr>
                <w:rFonts w:ascii="Times New Roman" w:hAnsi="Times New Roman"/>
                <w:sz w:val="24"/>
              </w:rPr>
              <w:t>'</w:t>
            </w:r>
            <w:r>
              <w:rPr>
                <w:rFonts w:ascii="Times New Roman" w:hAnsi="Times New Roman"/>
                <w:sz w:val="24"/>
              </w:rPr>
              <w:t>esposizione ponderato per il rischio (positive o negative) dovute a modifiche metodologiche nei calcoli derivanti da modifiche della politica di regolamentazione, come i nuovi regolamenti (solo nel modello IMM)</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CA29D8">
            <w:pPr>
              <w:pStyle w:val="Applicationdirecte"/>
              <w:suppressAutoHyphens/>
              <w:spacing w:before="0" w:after="0"/>
            </w:pPr>
            <w:r>
              <w:t>0060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CA29D8">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Acquisizioni e dismissioni</w:t>
            </w:r>
          </w:p>
          <w:p w:rsidR="00595FAD" w:rsidRPr="00661595" w:rsidRDefault="00595FAD" w:rsidP="00CA29D8">
            <w:pPr>
              <w:suppressAutoHyphens/>
              <w:spacing w:before="60"/>
              <w:rPr>
                <w:rFonts w:ascii="Times New Roman" w:hAnsi="Times New Roman"/>
                <w:sz w:val="24"/>
              </w:rPr>
            </w:pPr>
            <w:r>
              <w:rPr>
                <w:rFonts w:ascii="Times New Roman" w:hAnsi="Times New Roman"/>
                <w:sz w:val="24"/>
              </w:rPr>
              <w:t>Variazioni (positive o negative) dell</w:t>
            </w:r>
            <w:r w:rsidR="000878EC">
              <w:rPr>
                <w:rFonts w:ascii="Times New Roman" w:hAnsi="Times New Roman"/>
                <w:sz w:val="24"/>
              </w:rPr>
              <w:t>'</w:t>
            </w:r>
            <w:r>
              <w:rPr>
                <w:rFonts w:ascii="Times New Roman" w:hAnsi="Times New Roman"/>
                <w:sz w:val="24"/>
              </w:rPr>
              <w:t>importo dell</w:t>
            </w:r>
            <w:r w:rsidR="000878EC">
              <w:rPr>
                <w:rFonts w:ascii="Times New Roman" w:hAnsi="Times New Roman"/>
                <w:sz w:val="24"/>
              </w:rPr>
              <w:t>'</w:t>
            </w:r>
            <w:r>
              <w:rPr>
                <w:rFonts w:ascii="Times New Roman" w:hAnsi="Times New Roman"/>
                <w:sz w:val="24"/>
              </w:rPr>
              <w:t>esposizione ponderato per il rischio dovute a modifiche delle dimensioni del portafoglio dovute ad acquisizioni e dismissioni di soggetti</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CA29D8">
            <w:pPr>
              <w:pStyle w:val="Applicationdirecte"/>
              <w:keepNext/>
              <w:keepLines/>
              <w:suppressAutoHyphens/>
              <w:spacing w:before="0" w:after="0"/>
            </w:pPr>
            <w:r>
              <w:t>0070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CA29D8">
            <w:pPr>
              <w:keepNext/>
              <w:keepLines/>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Oscillazioni del cambio</w:t>
            </w:r>
          </w:p>
          <w:p w:rsidR="00595FAD" w:rsidRPr="00661595" w:rsidRDefault="00595FAD" w:rsidP="00CA29D8">
            <w:pPr>
              <w:keepNext/>
              <w:keepLines/>
              <w:suppressAutoHyphens/>
              <w:spacing w:before="60"/>
              <w:rPr>
                <w:rFonts w:ascii="Times New Roman" w:hAnsi="Times New Roman"/>
                <w:sz w:val="24"/>
              </w:rPr>
            </w:pPr>
            <w:r>
              <w:rPr>
                <w:rFonts w:ascii="Times New Roman" w:hAnsi="Times New Roman"/>
                <w:sz w:val="24"/>
              </w:rPr>
              <w:t>Variazioni (positive o negative) dell</w:t>
            </w:r>
            <w:r w:rsidR="000878EC">
              <w:rPr>
                <w:rFonts w:ascii="Times New Roman" w:hAnsi="Times New Roman"/>
                <w:sz w:val="24"/>
              </w:rPr>
              <w:t>'</w:t>
            </w:r>
            <w:r>
              <w:rPr>
                <w:rFonts w:ascii="Times New Roman" w:hAnsi="Times New Roman"/>
                <w:sz w:val="24"/>
              </w:rPr>
              <w:t>importo dell</w:t>
            </w:r>
            <w:r w:rsidR="000878EC">
              <w:rPr>
                <w:rFonts w:ascii="Times New Roman" w:hAnsi="Times New Roman"/>
                <w:sz w:val="24"/>
              </w:rPr>
              <w:t>'</w:t>
            </w:r>
            <w:r>
              <w:rPr>
                <w:rFonts w:ascii="Times New Roman" w:hAnsi="Times New Roman"/>
                <w:sz w:val="24"/>
              </w:rPr>
              <w:t xml:space="preserve">esposizione ponderato per il rischio dovute ad oscillazioni della conversione in valuta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CA29D8">
            <w:pPr>
              <w:pStyle w:val="Applicationdirecte"/>
              <w:suppressAutoHyphens/>
              <w:spacing w:before="0" w:after="0"/>
            </w:pPr>
            <w:r>
              <w:t>0080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CA29D8">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Altro</w:t>
            </w:r>
          </w:p>
          <w:p w:rsidR="00595FAD" w:rsidRPr="00661595" w:rsidRDefault="00595FAD" w:rsidP="00CA29D8">
            <w:pPr>
              <w:suppressAutoHyphens/>
              <w:spacing w:before="60"/>
              <w:rPr>
                <w:rFonts w:ascii="Times New Roman" w:hAnsi="Times New Roman"/>
                <w:sz w:val="24"/>
              </w:rPr>
            </w:pPr>
            <w:r>
              <w:rPr>
                <w:rFonts w:ascii="Times New Roman" w:hAnsi="Times New Roman"/>
                <w:sz w:val="24"/>
              </w:rPr>
              <w:t>Questa categoria è utilizzata per riflettere le variazioni (positive o negative) dell</w:t>
            </w:r>
            <w:r w:rsidR="000878EC">
              <w:rPr>
                <w:rFonts w:ascii="Times New Roman" w:hAnsi="Times New Roman"/>
                <w:sz w:val="24"/>
              </w:rPr>
              <w:t>'</w:t>
            </w:r>
            <w:r>
              <w:rPr>
                <w:rFonts w:ascii="Times New Roman" w:hAnsi="Times New Roman"/>
                <w:sz w:val="24"/>
              </w:rPr>
              <w:t>importo dell</w:t>
            </w:r>
            <w:r w:rsidR="000878EC">
              <w:rPr>
                <w:rFonts w:ascii="Times New Roman" w:hAnsi="Times New Roman"/>
                <w:sz w:val="24"/>
              </w:rPr>
              <w:t>'</w:t>
            </w:r>
            <w:r>
              <w:rPr>
                <w:rFonts w:ascii="Times New Roman" w:hAnsi="Times New Roman"/>
                <w:sz w:val="24"/>
              </w:rPr>
              <w:t xml:space="preserve">esposizione ponderato per il rischio che non possono essere attribuite alle suddette categorie. </w:t>
            </w:r>
          </w:p>
        </w:tc>
      </w:tr>
      <w:tr w:rsidR="00595FAD" w:rsidRPr="00661595" w:rsidTr="00FF15C6">
        <w:trPr>
          <w:trHeight w:val="680"/>
        </w:trPr>
        <w:tc>
          <w:tcPr>
            <w:tcW w:w="1384" w:type="dxa"/>
            <w:tcBorders>
              <w:top w:val="single" w:sz="4" w:space="0" w:color="auto"/>
              <w:left w:val="single" w:sz="4" w:space="0" w:color="auto"/>
              <w:bottom w:val="single" w:sz="4" w:space="0" w:color="auto"/>
              <w:right w:val="single" w:sz="4" w:space="0" w:color="auto"/>
            </w:tcBorders>
          </w:tcPr>
          <w:p w:rsidR="00595FAD" w:rsidRPr="00661595" w:rsidRDefault="00595FAD" w:rsidP="00CA29D8">
            <w:pPr>
              <w:pStyle w:val="Applicationdirecte"/>
              <w:suppressAutoHyphens/>
              <w:spacing w:before="0" w:after="0"/>
            </w:pPr>
            <w:r>
              <w:t>0090</w:t>
            </w:r>
          </w:p>
        </w:tc>
        <w:tc>
          <w:tcPr>
            <w:tcW w:w="7655" w:type="dxa"/>
            <w:tcBorders>
              <w:top w:val="single" w:sz="4" w:space="0" w:color="auto"/>
              <w:left w:val="single" w:sz="4" w:space="0" w:color="auto"/>
              <w:bottom w:val="single" w:sz="4" w:space="0" w:color="auto"/>
              <w:right w:val="single" w:sz="4" w:space="0" w:color="auto"/>
            </w:tcBorders>
            <w:vAlign w:val="center"/>
          </w:tcPr>
          <w:p w:rsidR="00595FAD" w:rsidRPr="00661595" w:rsidRDefault="00595FAD" w:rsidP="00CA29D8">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Importi delle esposizioni ponderati per il rischio al termine del periodo di riferimento corrente</w:t>
            </w:r>
          </w:p>
          <w:p w:rsidR="00595FAD" w:rsidRPr="00661595" w:rsidRDefault="00595FAD" w:rsidP="00CA29D8">
            <w:pPr>
              <w:suppressAutoHyphens/>
              <w:spacing w:before="60"/>
              <w:rPr>
                <w:rFonts w:ascii="Times New Roman" w:hAnsi="Times New Roman"/>
                <w:i/>
                <w:sz w:val="24"/>
              </w:rPr>
            </w:pPr>
            <w:r>
              <w:rPr>
                <w:rFonts w:ascii="Times New Roman" w:hAnsi="Times New Roman"/>
                <w:sz w:val="24"/>
              </w:rPr>
              <w:t>Importi ponderati per il rischio delle esposizioni soggette al CCR nel quadro dell</w:t>
            </w:r>
            <w:r w:rsidR="000878EC">
              <w:rPr>
                <w:rFonts w:ascii="Times New Roman" w:hAnsi="Times New Roman"/>
                <w:sz w:val="24"/>
              </w:rPr>
              <w:t>'</w:t>
            </w:r>
            <w:r>
              <w:rPr>
                <w:rFonts w:ascii="Times New Roman" w:hAnsi="Times New Roman"/>
                <w:sz w:val="24"/>
              </w:rPr>
              <w:t>IMM alla fine del periodo di riferimento corrente</w:t>
            </w:r>
          </w:p>
        </w:tc>
      </w:tr>
    </w:tbl>
    <w:p w:rsidR="00FC6275" w:rsidRPr="00661595" w:rsidRDefault="00FC6275">
      <w:pPr>
        <w:spacing w:before="0" w:after="0"/>
        <w:jc w:val="left"/>
        <w:rPr>
          <w:rStyle w:val="InstructionsTabelleText"/>
          <w:rFonts w:ascii="Times New Roman" w:hAnsi="Times New Roman"/>
          <w:b/>
          <w:sz w:val="24"/>
        </w:rPr>
      </w:pPr>
    </w:p>
    <w:p w:rsidR="00AC6255" w:rsidRPr="00661595" w:rsidRDefault="00CE4C49" w:rsidP="0023700C">
      <w:pPr>
        <w:pStyle w:val="Instructionsberschrift2"/>
        <w:numPr>
          <w:ilvl w:val="0"/>
          <w:numId w:val="0"/>
        </w:numPr>
        <w:ind w:left="357" w:hanging="357"/>
        <w:rPr>
          <w:rFonts w:ascii="Times New Roman" w:hAnsi="Times New Roman" w:cs="Times New Roman"/>
          <w:sz w:val="24"/>
        </w:rPr>
      </w:pPr>
      <w:bookmarkStart w:id="502" w:name="_Toc260157222"/>
      <w:bookmarkStart w:id="503" w:name="_Toc262566416"/>
      <w:bookmarkStart w:id="504" w:name="_Toc295829987"/>
      <w:bookmarkStart w:id="505" w:name="_Toc310415049"/>
      <w:bookmarkStart w:id="506" w:name="_Toc360188384"/>
      <w:bookmarkStart w:id="507" w:name="_Toc473560935"/>
      <w:bookmarkStart w:id="508" w:name="_Toc260157223"/>
      <w:bookmarkStart w:id="509" w:name="_Toc262566417"/>
      <w:bookmarkStart w:id="510" w:name="_Toc264038462"/>
      <w:bookmarkStart w:id="511" w:name="_Toc295829988"/>
      <w:bookmarkStart w:id="512" w:name="_Toc310415050"/>
      <w:bookmarkStart w:id="513" w:name="_Toc58915826"/>
      <w:r>
        <w:rPr>
          <w:rFonts w:ascii="Times New Roman" w:hAnsi="Times New Roman"/>
          <w:sz w:val="24"/>
        </w:rPr>
        <w:t>4</w:t>
      </w:r>
      <w:r w:rsidRPr="00CA29D8">
        <w:rPr>
          <w:u w:val="none"/>
        </w:rPr>
        <w:tab/>
      </w:r>
      <w:r>
        <w:rPr>
          <w:rFonts w:ascii="Times New Roman" w:hAnsi="Times New Roman"/>
          <w:sz w:val="24"/>
        </w:rPr>
        <w:t>Modelli relativi al rischio operativo</w:t>
      </w:r>
      <w:bookmarkEnd w:id="502"/>
      <w:bookmarkEnd w:id="503"/>
      <w:bookmarkEnd w:id="504"/>
      <w:bookmarkEnd w:id="505"/>
      <w:bookmarkEnd w:id="506"/>
      <w:bookmarkEnd w:id="507"/>
      <w:bookmarkEnd w:id="513"/>
    </w:p>
    <w:p w:rsidR="00AC6255" w:rsidRPr="00661595" w:rsidRDefault="00CE4C49" w:rsidP="0023700C">
      <w:pPr>
        <w:pStyle w:val="Instructionsberschrift2"/>
        <w:numPr>
          <w:ilvl w:val="0"/>
          <w:numId w:val="0"/>
        </w:numPr>
        <w:ind w:left="357" w:hanging="357"/>
        <w:rPr>
          <w:rFonts w:ascii="Times New Roman" w:hAnsi="Times New Roman" w:cs="Times New Roman"/>
          <w:sz w:val="24"/>
        </w:rPr>
      </w:pPr>
      <w:bookmarkStart w:id="514" w:name="_Toc473560936"/>
      <w:bookmarkStart w:id="515" w:name="_Toc58915827"/>
      <w:r>
        <w:rPr>
          <w:rFonts w:ascii="Times New Roman" w:hAnsi="Times New Roman"/>
          <w:sz w:val="24"/>
        </w:rPr>
        <w:t>4.1</w:t>
      </w:r>
      <w:r>
        <w:tab/>
      </w:r>
      <w:r w:rsidRPr="00CA29D8">
        <w:rPr>
          <w:u w:val="none"/>
        </w:rPr>
        <w:tab/>
      </w:r>
      <w:bookmarkStart w:id="516" w:name="_Toc360188385"/>
      <w:r>
        <w:rPr>
          <w:rFonts w:ascii="Times New Roman" w:hAnsi="Times New Roman"/>
          <w:sz w:val="24"/>
        </w:rPr>
        <w:t>C 16.00 – Rischio operativo</w:t>
      </w:r>
      <w:bookmarkEnd w:id="508"/>
      <w:bookmarkEnd w:id="509"/>
      <w:bookmarkEnd w:id="510"/>
      <w:bookmarkEnd w:id="511"/>
      <w:bookmarkEnd w:id="512"/>
      <w:bookmarkEnd w:id="516"/>
      <w:r>
        <w:rPr>
          <w:rFonts w:ascii="Times New Roman" w:hAnsi="Times New Roman"/>
          <w:sz w:val="24"/>
        </w:rPr>
        <w:t xml:space="preserve"> (OPR)</w:t>
      </w:r>
      <w:bookmarkEnd w:id="514"/>
      <w:bookmarkEnd w:id="515"/>
    </w:p>
    <w:p w:rsidR="00AC6255" w:rsidRPr="00661595" w:rsidRDefault="00CE4C49" w:rsidP="0023700C">
      <w:pPr>
        <w:pStyle w:val="Instructionsberschrift2"/>
        <w:numPr>
          <w:ilvl w:val="0"/>
          <w:numId w:val="0"/>
        </w:numPr>
        <w:ind w:left="357" w:hanging="357"/>
        <w:rPr>
          <w:rFonts w:ascii="Times New Roman" w:hAnsi="Times New Roman" w:cs="Times New Roman"/>
          <w:sz w:val="24"/>
          <w:u w:val="none"/>
        </w:rPr>
      </w:pPr>
      <w:bookmarkStart w:id="517" w:name="_Toc262566418"/>
      <w:bookmarkStart w:id="518" w:name="_Toc264038463"/>
      <w:bookmarkStart w:id="519" w:name="_Toc295829989"/>
      <w:bookmarkStart w:id="520" w:name="_Toc310415051"/>
      <w:bookmarkStart w:id="521" w:name="_Toc360188386"/>
      <w:bookmarkStart w:id="522" w:name="_Toc473560937"/>
      <w:bookmarkStart w:id="523" w:name="_Toc58915828"/>
      <w:r>
        <w:rPr>
          <w:rFonts w:ascii="Times New Roman" w:hAnsi="Times New Roman"/>
          <w:sz w:val="24"/>
          <w:u w:val="none"/>
        </w:rPr>
        <w:t>4.1.1</w:t>
      </w:r>
      <w:r w:rsidRPr="00CA29D8">
        <w:rPr>
          <w:u w:val="none"/>
        </w:rPr>
        <w:tab/>
      </w:r>
      <w:bookmarkStart w:id="524" w:name="_Toc260157224"/>
      <w:r>
        <w:rPr>
          <w:rFonts w:ascii="Times New Roman" w:hAnsi="Times New Roman"/>
          <w:sz w:val="24"/>
          <w:u w:val="none"/>
        </w:rPr>
        <w:t>Osservazioni</w:t>
      </w:r>
      <w:bookmarkEnd w:id="524"/>
      <w:r>
        <w:rPr>
          <w:rFonts w:ascii="Times New Roman" w:hAnsi="Times New Roman"/>
          <w:sz w:val="24"/>
          <w:u w:val="none"/>
        </w:rPr>
        <w:t xml:space="preserve"> di carattere generale</w:t>
      </w:r>
      <w:bookmarkEnd w:id="517"/>
      <w:bookmarkEnd w:id="518"/>
      <w:bookmarkEnd w:id="519"/>
      <w:bookmarkEnd w:id="520"/>
      <w:bookmarkEnd w:id="521"/>
      <w:bookmarkEnd w:id="522"/>
      <w:bookmarkEnd w:id="523"/>
      <w:r>
        <w:rPr>
          <w:rFonts w:ascii="Times New Roman" w:hAnsi="Times New Roman"/>
          <w:sz w:val="24"/>
          <w:u w:val="none"/>
        </w:rPr>
        <w:t xml:space="preserve"> </w:t>
      </w:r>
    </w:p>
    <w:p w:rsidR="00AC6255" w:rsidRPr="00661595" w:rsidRDefault="00A971CA" w:rsidP="00CA29D8">
      <w:pPr>
        <w:pStyle w:val="InstructionsText2"/>
        <w:numPr>
          <w:ilvl w:val="0"/>
          <w:numId w:val="0"/>
        </w:numPr>
        <w:ind w:left="1680" w:hanging="480"/>
      </w:pPr>
      <w:r>
        <w:fldChar w:fldCharType="begin"/>
      </w:r>
      <w:r>
        <w:instrText xml:space="preserve"> seq paragraphs </w:instrText>
      </w:r>
      <w:r>
        <w:fldChar w:fldCharType="separate"/>
      </w:r>
      <w:r w:rsidR="00D11E4C">
        <w:rPr>
          <w:noProof/>
        </w:rPr>
        <w:t>136</w:t>
      </w:r>
      <w:r>
        <w:rPr>
          <w:noProof/>
        </w:rPr>
        <w:fldChar w:fldCharType="end"/>
      </w:r>
      <w:r w:rsidR="00CA29D8">
        <w:t>.</w:t>
      </w:r>
      <w:r w:rsidR="00CA29D8">
        <w:tab/>
      </w:r>
      <w:r w:rsidR="00D11E4C">
        <w:t>Questo modello contiene informazioni riguardanti il calcolo dei requisiti di fondi propri conformemente agli articoli da 312 a 324 del CRR per il rischio operativo secondo il metodo base (BIA), il metodo standardizzato (TSA), il metodo standardizzato alternativo (ASA) e il metodo avanzato di misurazione (AMA). L</w:t>
      </w:r>
      <w:r w:rsidR="000878EC">
        <w:t>'</w:t>
      </w:r>
      <w:r w:rsidR="00D11E4C">
        <w:t xml:space="preserve">ente non può applicare contemporaneamente, a livello individuale, i metodi TSA e ASA per le linee di business </w:t>
      </w:r>
      <w:r w:rsidR="000878EC">
        <w:t>"</w:t>
      </w:r>
      <w:r w:rsidR="00D11E4C">
        <w:t>servizi bancari al dettaglio</w:t>
      </w:r>
      <w:r w:rsidR="000878EC">
        <w:t>"</w:t>
      </w:r>
      <w:r w:rsidR="00D11E4C">
        <w:t xml:space="preserve"> e </w:t>
      </w:r>
      <w:r w:rsidR="000878EC">
        <w:t>"</w:t>
      </w:r>
      <w:r w:rsidR="00D11E4C">
        <w:t>servizi bancari a carattere commerciale</w:t>
      </w:r>
      <w:r w:rsidR="000878EC">
        <w:t>"</w:t>
      </w:r>
      <w:r w:rsidR="00D11E4C">
        <w:t>.</w:t>
      </w:r>
    </w:p>
    <w:p w:rsidR="00AC6255" w:rsidRPr="00661595" w:rsidRDefault="00A971CA" w:rsidP="00CA29D8">
      <w:pPr>
        <w:pStyle w:val="InstructionsText2"/>
        <w:numPr>
          <w:ilvl w:val="0"/>
          <w:numId w:val="0"/>
        </w:numPr>
        <w:ind w:left="1680" w:hanging="480"/>
      </w:pPr>
      <w:r>
        <w:fldChar w:fldCharType="begin"/>
      </w:r>
      <w:r>
        <w:instrText xml:space="preserve"> seq paragraphs </w:instrText>
      </w:r>
      <w:r>
        <w:fldChar w:fldCharType="separate"/>
      </w:r>
      <w:r w:rsidR="00D11E4C">
        <w:rPr>
          <w:noProof/>
        </w:rPr>
        <w:t>137</w:t>
      </w:r>
      <w:r>
        <w:rPr>
          <w:noProof/>
        </w:rPr>
        <w:fldChar w:fldCharType="end"/>
      </w:r>
      <w:r w:rsidR="00CA29D8">
        <w:t>.</w:t>
      </w:r>
      <w:r w:rsidR="00CA29D8">
        <w:tab/>
      </w:r>
      <w:r w:rsidR="00D11E4C">
        <w:t>Gli enti che applicano i metodi BIA, TSA e/o ASA calcolano i requisiti di fondi propri sulla base delle informazioni disponibili alla fine dell</w:t>
      </w:r>
      <w:r w:rsidR="000878EC">
        <w:t>'</w:t>
      </w:r>
      <w:r w:rsidR="00D11E4C">
        <w:t>esercizio finanziario. Se non sono disponibili dati sottoposti a revisione contabile, gli enti possono utilizzare stime aziendali. Se si utilizzano dati verificati mediante revisione contabile, gli enti segnalano tali dati, che dovrebbero restare invariati. Sono ammessi scostamenti da questo principio dell</w:t>
      </w:r>
      <w:r w:rsidR="000878EC">
        <w:t>'"</w:t>
      </w:r>
      <w:r w:rsidR="00D11E4C">
        <w:t>invarianza</w:t>
      </w:r>
      <w:r w:rsidR="000878EC">
        <w:t>"</w:t>
      </w:r>
      <w:r w:rsidR="00D11E4C">
        <w:t xml:space="preserve"> se, ad esempio, nel periodo in questione si verificano circostanze eccezionali, quali acquisizioni recenti o dismissioni di soggetti o attività. </w:t>
      </w:r>
    </w:p>
    <w:p w:rsidR="00AC6255" w:rsidRPr="00661595" w:rsidRDefault="00A971CA" w:rsidP="00CA29D8">
      <w:pPr>
        <w:pStyle w:val="InstructionsText2"/>
        <w:numPr>
          <w:ilvl w:val="0"/>
          <w:numId w:val="0"/>
        </w:numPr>
        <w:ind w:left="1680" w:hanging="480"/>
      </w:pPr>
      <w:r>
        <w:fldChar w:fldCharType="begin"/>
      </w:r>
      <w:r>
        <w:instrText xml:space="preserve"> seq paragraphs </w:instrText>
      </w:r>
      <w:r>
        <w:fldChar w:fldCharType="separate"/>
      </w:r>
      <w:r w:rsidR="00D11E4C">
        <w:rPr>
          <w:noProof/>
        </w:rPr>
        <w:t>138</w:t>
      </w:r>
      <w:r>
        <w:rPr>
          <w:noProof/>
        </w:rPr>
        <w:fldChar w:fldCharType="end"/>
      </w:r>
      <w:r w:rsidR="00D11E4C">
        <w:t>.</w:t>
      </w:r>
      <w:r w:rsidR="00D11E4C">
        <w:tab/>
        <w:t xml:space="preserve"> Se un ente può dimostrare all</w:t>
      </w:r>
      <w:r w:rsidR="000878EC">
        <w:t>'</w:t>
      </w:r>
      <w:r w:rsidR="00D11E4C">
        <w:t>autorità competente che, a causa di circostanze eccezionali, quali fusioni o dismissioni di soggetti o attività, l</w:t>
      </w:r>
      <w:r w:rsidR="000878EC">
        <w:t>'</w:t>
      </w:r>
      <w:r w:rsidR="00D11E4C">
        <w:t>utilizzo della media triennale per il calcolo dell</w:t>
      </w:r>
      <w:r w:rsidR="000878EC">
        <w:t>'</w:t>
      </w:r>
      <w:r w:rsidR="00D11E4C">
        <w:t>indicatore rilevante determinerebbe una stima distorta del requisito di fondi propri per il rischio operativo, l</w:t>
      </w:r>
      <w:r w:rsidR="000878EC">
        <w:t>'</w:t>
      </w:r>
      <w:r w:rsidR="00D11E4C">
        <w:t>autorità competente può autorizzare l</w:t>
      </w:r>
      <w:r w:rsidR="000878EC">
        <w:t>'</w:t>
      </w:r>
      <w:r w:rsidR="00D11E4C">
        <w:t>ente a modificare il calcolo in modo da poter tener conto di tali circostanze. L</w:t>
      </w:r>
      <w:r w:rsidR="000878EC">
        <w:t>'</w:t>
      </w:r>
      <w:r w:rsidR="00D11E4C">
        <w:t>autorità competente può inoltre agire di propria iniziativa e richiedere all</w:t>
      </w:r>
      <w:r w:rsidR="000878EC">
        <w:t>'</w:t>
      </w:r>
      <w:r w:rsidR="00D11E4C">
        <w:t>ente di modificare il calcolo. L</w:t>
      </w:r>
      <w:r w:rsidR="000878EC">
        <w:t>'</w:t>
      </w:r>
      <w:r w:rsidR="00D11E4C">
        <w:t>ente operativo da meno di tre anni può avvalersi di stime aziendali prospettiche per il calcolo dell</w:t>
      </w:r>
      <w:r w:rsidR="000878EC">
        <w:t>'</w:t>
      </w:r>
      <w:r w:rsidR="00D11E4C">
        <w:t>indicatore rilevante, purché inizi a utilizzare dati storici non appena siano disponibili.</w:t>
      </w:r>
    </w:p>
    <w:p w:rsidR="00AC6255" w:rsidRPr="00661595" w:rsidRDefault="00A971CA" w:rsidP="00CA29D8">
      <w:pPr>
        <w:pStyle w:val="InstructionsText2"/>
        <w:numPr>
          <w:ilvl w:val="0"/>
          <w:numId w:val="0"/>
        </w:numPr>
        <w:ind w:left="1680" w:hanging="480"/>
      </w:pPr>
      <w:r>
        <w:fldChar w:fldCharType="begin"/>
      </w:r>
      <w:r>
        <w:instrText xml:space="preserve"> seq paragraphs </w:instrText>
      </w:r>
      <w:r>
        <w:fldChar w:fldCharType="separate"/>
      </w:r>
      <w:r w:rsidR="00D11E4C">
        <w:rPr>
          <w:noProof/>
        </w:rPr>
        <w:t>139</w:t>
      </w:r>
      <w:r>
        <w:rPr>
          <w:noProof/>
        </w:rPr>
        <w:fldChar w:fldCharType="end"/>
      </w:r>
      <w:r w:rsidR="00D11E4C">
        <w:t>.</w:t>
      </w:r>
      <w:r w:rsidR="00D11E4C">
        <w:tab/>
        <w:t xml:space="preserve"> Nelle colonne il modello riporta anzitutto informazioni riguardanti l</w:t>
      </w:r>
      <w:r w:rsidR="000878EC">
        <w:t>'</w:t>
      </w:r>
      <w:r w:rsidR="00D11E4C">
        <w:t>importo dell</w:t>
      </w:r>
      <w:r w:rsidR="000878EC">
        <w:t>'</w:t>
      </w:r>
      <w:r w:rsidR="00D11E4C">
        <w:t>indicatore rilevante delle attività bancarie soggette al rischio operativo, nonché l</w:t>
      </w:r>
      <w:r w:rsidR="000878EC">
        <w:t>'</w:t>
      </w:r>
      <w:r w:rsidR="00D11E4C">
        <w:t>importo dei prestiti e degli anticipi (quest</w:t>
      </w:r>
      <w:r w:rsidR="000878EC">
        <w:t>'</w:t>
      </w:r>
      <w:r w:rsidR="00D11E4C">
        <w:t>ultimo solo in caso di applicazione del metodo ASA) per gli ultimi tre anni. Nelle colonne successive sono segnalate le informazioni riguardanti l</w:t>
      </w:r>
      <w:r w:rsidR="000878EC">
        <w:t>'</w:t>
      </w:r>
      <w:r w:rsidR="00D11E4C">
        <w:t>importo dei requisiti di fondi propri per il rischio operativo. Ove applicabile, si deve specificare la parte di tale importo dovuta a un meccanismo di attribuzione. Per quanto riguarda il metodo AMA, sono aggiunte voci per memoria per illustrare in dettaglio l</w:t>
      </w:r>
      <w:r w:rsidR="000878EC">
        <w:t>'</w:t>
      </w:r>
      <w:r w:rsidR="00D11E4C">
        <w:t>effetto delle perdite attese, della diversificazione e delle tecniche di attenuazione sul requisito di fondi propri per il rischio operativo.</w:t>
      </w:r>
    </w:p>
    <w:p w:rsidR="00AC6255" w:rsidRPr="00661595" w:rsidRDefault="00A971CA" w:rsidP="00CA29D8">
      <w:pPr>
        <w:pStyle w:val="InstructionsText2"/>
        <w:numPr>
          <w:ilvl w:val="0"/>
          <w:numId w:val="0"/>
        </w:numPr>
        <w:ind w:left="1680" w:hanging="480"/>
      </w:pPr>
      <w:r>
        <w:fldChar w:fldCharType="begin"/>
      </w:r>
      <w:r>
        <w:instrText xml:space="preserve"> seq paragraphs </w:instrText>
      </w:r>
      <w:r>
        <w:fldChar w:fldCharType="separate"/>
      </w:r>
      <w:r w:rsidR="00D11E4C">
        <w:rPr>
          <w:noProof/>
        </w:rPr>
        <w:t>140</w:t>
      </w:r>
      <w:r>
        <w:rPr>
          <w:noProof/>
        </w:rPr>
        <w:fldChar w:fldCharType="end"/>
      </w:r>
      <w:r w:rsidR="00D11E4C">
        <w:t>.</w:t>
      </w:r>
      <w:r w:rsidR="00D11E4C">
        <w:tab/>
        <w:t xml:space="preserve"> Nelle righe le informazioni sono riportate in base al metodo di calcolo del requisito di fondi propri per il rischio operativo, con specificazione delle linee di business per i metodi TSA e ASA.</w:t>
      </w:r>
    </w:p>
    <w:p w:rsidR="00AC6255" w:rsidRPr="00661595" w:rsidRDefault="00A971CA" w:rsidP="00CA29D8">
      <w:pPr>
        <w:pStyle w:val="InstructionsText2"/>
        <w:numPr>
          <w:ilvl w:val="0"/>
          <w:numId w:val="0"/>
        </w:numPr>
        <w:ind w:left="1680" w:hanging="480"/>
      </w:pPr>
      <w:r>
        <w:fldChar w:fldCharType="begin"/>
      </w:r>
      <w:r>
        <w:instrText xml:space="preserve"> seq paragraphs </w:instrText>
      </w:r>
      <w:r>
        <w:fldChar w:fldCharType="separate"/>
      </w:r>
      <w:r w:rsidR="00D11E4C">
        <w:rPr>
          <w:noProof/>
        </w:rPr>
        <w:t>141</w:t>
      </w:r>
      <w:r>
        <w:rPr>
          <w:noProof/>
        </w:rPr>
        <w:fldChar w:fldCharType="end"/>
      </w:r>
      <w:r w:rsidR="00D11E4C">
        <w:t>.</w:t>
      </w:r>
      <w:r w:rsidR="00D11E4C">
        <w:tab/>
        <w:t xml:space="preserve"> Questo modello è trasmesso da tutti gli enti soggetti al requisito di fondi propri per il rischio operativo.</w:t>
      </w:r>
    </w:p>
    <w:p w:rsidR="00AC6255" w:rsidRPr="00661595" w:rsidRDefault="00125707" w:rsidP="0023700C">
      <w:pPr>
        <w:pStyle w:val="Instructionsberschrift2"/>
        <w:numPr>
          <w:ilvl w:val="0"/>
          <w:numId w:val="0"/>
        </w:numPr>
        <w:ind w:left="357" w:hanging="357"/>
        <w:rPr>
          <w:rFonts w:ascii="Times New Roman" w:hAnsi="Times New Roman" w:cs="Times New Roman"/>
          <w:sz w:val="24"/>
        </w:rPr>
      </w:pPr>
      <w:bookmarkStart w:id="525" w:name="_Toc260157225"/>
      <w:bookmarkStart w:id="526" w:name="_Toc262566419"/>
      <w:bookmarkStart w:id="527" w:name="_Toc264038464"/>
      <w:bookmarkStart w:id="528" w:name="_Toc295829990"/>
      <w:bookmarkStart w:id="529" w:name="_Toc310415052"/>
      <w:bookmarkStart w:id="530" w:name="_Toc360188387"/>
      <w:bookmarkStart w:id="531" w:name="_Toc473560938"/>
      <w:bookmarkStart w:id="532" w:name="_Toc58915829"/>
      <w:r>
        <w:rPr>
          <w:rFonts w:ascii="Times New Roman" w:hAnsi="Times New Roman"/>
          <w:sz w:val="24"/>
          <w:u w:val="none"/>
        </w:rPr>
        <w:t>4.1.2.</w:t>
      </w:r>
      <w:r w:rsidRPr="00CA29D8">
        <w:rPr>
          <w:u w:val="none"/>
        </w:rPr>
        <w:tab/>
      </w:r>
      <w:r>
        <w:rPr>
          <w:rFonts w:ascii="Times New Roman" w:hAnsi="Times New Roman"/>
          <w:sz w:val="24"/>
        </w:rPr>
        <w:t>Istruzioni relative a posizioni specifiche</w:t>
      </w:r>
      <w:bookmarkEnd w:id="525"/>
      <w:bookmarkEnd w:id="526"/>
      <w:bookmarkEnd w:id="527"/>
      <w:bookmarkEnd w:id="528"/>
      <w:bookmarkEnd w:id="529"/>
      <w:bookmarkEnd w:id="530"/>
      <w:bookmarkEnd w:id="531"/>
      <w:bookmarkEnd w:id="532"/>
    </w:p>
    <w:p w:rsidR="00AC6255" w:rsidRPr="00661595" w:rsidRDefault="00AC6255" w:rsidP="00AC6255">
      <w:pPr>
        <w:autoSpaceDE w:val="0"/>
        <w:autoSpaceDN w:val="0"/>
        <w:adjustRightInd w:val="0"/>
        <w:spacing w:before="0" w:after="0"/>
        <w:rPr>
          <w:rFonts w:ascii="Times New Roman" w:hAnsi="Times New Roman"/>
          <w:sz w:val="24"/>
          <w:lang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661595" w:rsidTr="00672D2A">
        <w:trPr>
          <w:trHeight w:val="553"/>
        </w:trPr>
        <w:tc>
          <w:tcPr>
            <w:tcW w:w="8862" w:type="dxa"/>
            <w:gridSpan w:val="2"/>
            <w:shd w:val="clear" w:color="auto" w:fill="CCCCCC"/>
          </w:tcPr>
          <w:p w:rsidR="00AC6255" w:rsidRPr="00661595" w:rsidRDefault="00AC6255" w:rsidP="00774F99">
            <w:pPr>
              <w:suppressAutoHyphens/>
              <w:autoSpaceDE w:val="0"/>
              <w:autoSpaceDN w:val="0"/>
              <w:adjustRightInd w:val="0"/>
              <w:spacing w:after="0"/>
              <w:rPr>
                <w:rFonts w:ascii="Times New Roman" w:hAnsi="Times New Roman"/>
                <w:b/>
                <w:bCs/>
                <w:sz w:val="24"/>
              </w:rPr>
            </w:pPr>
            <w:r>
              <w:rPr>
                <w:rFonts w:ascii="Times New Roman" w:hAnsi="Times New Roman"/>
                <w:b/>
                <w:bCs/>
                <w:sz w:val="24"/>
              </w:rPr>
              <w:t>Colonne</w:t>
            </w:r>
          </w:p>
        </w:tc>
      </w:tr>
      <w:tr w:rsidR="00AC6255" w:rsidRPr="00661595" w:rsidTr="00672D2A">
        <w:tc>
          <w:tcPr>
            <w:tcW w:w="985" w:type="dxa"/>
          </w:tcPr>
          <w:p w:rsidR="00AC6255" w:rsidRPr="00661595" w:rsidRDefault="00F20C33" w:rsidP="00774F99">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0010-0030</w:t>
            </w:r>
          </w:p>
        </w:tc>
        <w:tc>
          <w:tcPr>
            <w:tcW w:w="7877" w:type="dxa"/>
          </w:tcPr>
          <w:p w:rsidR="00AC6255" w:rsidRPr="00661595" w:rsidRDefault="00AC6255" w:rsidP="00774F99">
            <w:pPr>
              <w:suppressAutoHyphens/>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INDICATORE RILEVANTE</w:t>
            </w:r>
          </w:p>
          <w:p w:rsidR="00AC6255" w:rsidRPr="00661595" w:rsidRDefault="00AC6255" w:rsidP="00774F99">
            <w:pPr>
              <w:suppressAutoHyphens/>
              <w:autoSpaceDE w:val="0"/>
              <w:autoSpaceDN w:val="0"/>
              <w:adjustRightInd w:val="0"/>
              <w:spacing w:before="0" w:after="0"/>
              <w:jc w:val="left"/>
              <w:rPr>
                <w:rFonts w:ascii="Times New Roman" w:hAnsi="Times New Roman"/>
                <w:bCs/>
                <w:sz w:val="24"/>
                <w:lang w:eastAsia="nl-BE"/>
              </w:rPr>
            </w:pPr>
          </w:p>
          <w:p w:rsidR="00AC6255" w:rsidRPr="00661595" w:rsidRDefault="00AC6255" w:rsidP="00774F99">
            <w:pPr>
              <w:suppressAutoHyphens/>
              <w:autoSpaceDE w:val="0"/>
              <w:autoSpaceDN w:val="0"/>
              <w:adjustRightInd w:val="0"/>
              <w:spacing w:before="0" w:after="0"/>
              <w:rPr>
                <w:rFonts w:ascii="Times New Roman" w:hAnsi="Times New Roman"/>
                <w:sz w:val="24"/>
              </w:rPr>
            </w:pPr>
            <w:r>
              <w:rPr>
                <w:rFonts w:ascii="Times New Roman" w:hAnsi="Times New Roman"/>
                <w:sz w:val="24"/>
              </w:rPr>
              <w:t>Gli enti che utilizzano l</w:t>
            </w:r>
            <w:r w:rsidR="000878EC">
              <w:rPr>
                <w:rFonts w:ascii="Times New Roman" w:hAnsi="Times New Roman"/>
                <w:sz w:val="24"/>
              </w:rPr>
              <w:t>'</w:t>
            </w:r>
            <w:r>
              <w:rPr>
                <w:rFonts w:ascii="Times New Roman" w:hAnsi="Times New Roman"/>
                <w:sz w:val="24"/>
              </w:rPr>
              <w:t>indicatore rilevante per calcolare il requisito di fondi propri per il rischio operativo (secondo i metodi BIA, TSA e ASA) segnalano l</w:t>
            </w:r>
            <w:r w:rsidR="000878EC">
              <w:rPr>
                <w:rFonts w:ascii="Times New Roman" w:hAnsi="Times New Roman"/>
                <w:sz w:val="24"/>
              </w:rPr>
              <w:t>'</w:t>
            </w:r>
            <w:r>
              <w:rPr>
                <w:rFonts w:ascii="Times New Roman" w:hAnsi="Times New Roman"/>
                <w:sz w:val="24"/>
              </w:rPr>
              <w:t>indicatore rilevante per i rispettivi anni nelle colonne da 0010 a 0030. Inoltre, in caso di uso combinato di diversi metodi, previsto dall</w:t>
            </w:r>
            <w:r w:rsidR="000878EC">
              <w:rPr>
                <w:rFonts w:ascii="Times New Roman" w:hAnsi="Times New Roman"/>
                <w:sz w:val="24"/>
              </w:rPr>
              <w:t>'</w:t>
            </w:r>
            <w:r>
              <w:rPr>
                <w:rFonts w:ascii="Times New Roman" w:hAnsi="Times New Roman"/>
                <w:sz w:val="24"/>
              </w:rPr>
              <w:t>articolo 314 del CRR, gli enti segnalano anche, a fini informativi, l</w:t>
            </w:r>
            <w:r w:rsidR="000878EC">
              <w:rPr>
                <w:rFonts w:ascii="Times New Roman" w:hAnsi="Times New Roman"/>
                <w:sz w:val="24"/>
              </w:rPr>
              <w:t>'</w:t>
            </w:r>
            <w:r>
              <w:rPr>
                <w:rFonts w:ascii="Times New Roman" w:hAnsi="Times New Roman"/>
                <w:sz w:val="24"/>
              </w:rPr>
              <w:t>indicatore rilevante per le attività soggette al metodo AMA. Lo stesso vale per tutte le altre banche che applicano il metodo AMA.</w:t>
            </w:r>
          </w:p>
          <w:p w:rsidR="00AC6255" w:rsidRPr="00661595" w:rsidRDefault="00AC6255" w:rsidP="00774F99">
            <w:pPr>
              <w:suppressAutoHyphens/>
              <w:autoSpaceDE w:val="0"/>
              <w:autoSpaceDN w:val="0"/>
              <w:adjustRightInd w:val="0"/>
              <w:spacing w:before="0" w:after="0"/>
              <w:rPr>
                <w:rFonts w:ascii="Times New Roman" w:hAnsi="Times New Roman"/>
                <w:bCs/>
                <w:strike/>
                <w:sz w:val="24"/>
                <w:lang w:eastAsia="nl-BE"/>
              </w:rPr>
            </w:pPr>
          </w:p>
          <w:p w:rsidR="00AC6255" w:rsidRPr="00661595" w:rsidRDefault="00AC6255" w:rsidP="00774F99">
            <w:pPr>
              <w:suppressAutoHyphens/>
              <w:autoSpaceDE w:val="0"/>
              <w:autoSpaceDN w:val="0"/>
              <w:adjustRightInd w:val="0"/>
              <w:spacing w:before="0" w:after="0"/>
              <w:rPr>
                <w:rFonts w:ascii="Times New Roman" w:hAnsi="Times New Roman"/>
                <w:bCs/>
                <w:sz w:val="24"/>
              </w:rPr>
            </w:pPr>
            <w:r>
              <w:rPr>
                <w:rFonts w:ascii="Times New Roman" w:hAnsi="Times New Roman"/>
                <w:sz w:val="24"/>
              </w:rPr>
              <w:t xml:space="preserve">Di seguito, il termine </w:t>
            </w:r>
            <w:r w:rsidR="000878EC">
              <w:rPr>
                <w:rFonts w:ascii="Times New Roman" w:hAnsi="Times New Roman"/>
                <w:sz w:val="24"/>
              </w:rPr>
              <w:t>"</w:t>
            </w:r>
            <w:r>
              <w:rPr>
                <w:rFonts w:ascii="Times New Roman" w:hAnsi="Times New Roman"/>
                <w:sz w:val="24"/>
              </w:rPr>
              <w:t>indicatore rilevante</w:t>
            </w:r>
            <w:r w:rsidR="000878EC">
              <w:rPr>
                <w:rFonts w:ascii="Times New Roman" w:hAnsi="Times New Roman"/>
                <w:sz w:val="24"/>
              </w:rPr>
              <w:t>"</w:t>
            </w:r>
            <w:r>
              <w:rPr>
                <w:rFonts w:ascii="Times New Roman" w:hAnsi="Times New Roman"/>
                <w:sz w:val="24"/>
              </w:rPr>
              <w:t xml:space="preserve"> si riferisce alla </w:t>
            </w:r>
            <w:r w:rsidR="000878EC">
              <w:rPr>
                <w:rFonts w:ascii="Times New Roman" w:hAnsi="Times New Roman"/>
                <w:sz w:val="24"/>
              </w:rPr>
              <w:t>"</w:t>
            </w:r>
            <w:r>
              <w:rPr>
                <w:rFonts w:ascii="Times New Roman" w:hAnsi="Times New Roman"/>
                <w:sz w:val="24"/>
              </w:rPr>
              <w:t>somma degli elementi</w:t>
            </w:r>
            <w:r w:rsidR="000878EC">
              <w:rPr>
                <w:rFonts w:ascii="Times New Roman" w:hAnsi="Times New Roman"/>
                <w:sz w:val="24"/>
              </w:rPr>
              <w:t>"</w:t>
            </w:r>
            <w:r>
              <w:rPr>
                <w:rFonts w:ascii="Times New Roman" w:hAnsi="Times New Roman"/>
                <w:sz w:val="24"/>
              </w:rPr>
              <w:t xml:space="preserve"> alla fine dell</w:t>
            </w:r>
            <w:r w:rsidR="000878EC">
              <w:rPr>
                <w:rFonts w:ascii="Times New Roman" w:hAnsi="Times New Roman"/>
                <w:sz w:val="24"/>
              </w:rPr>
              <w:t>'</w:t>
            </w:r>
            <w:r>
              <w:rPr>
                <w:rFonts w:ascii="Times New Roman" w:hAnsi="Times New Roman"/>
                <w:sz w:val="24"/>
              </w:rPr>
              <w:t>esercizio finanziario di cui al punto 1 della tabella 1 dell</w:t>
            </w:r>
            <w:r w:rsidR="000878EC">
              <w:rPr>
                <w:rFonts w:ascii="Times New Roman" w:hAnsi="Times New Roman"/>
                <w:sz w:val="24"/>
              </w:rPr>
              <w:t>'</w:t>
            </w:r>
            <w:r>
              <w:rPr>
                <w:rFonts w:ascii="Times New Roman" w:hAnsi="Times New Roman"/>
                <w:sz w:val="24"/>
              </w:rPr>
              <w:t xml:space="preserve">articolo 316 del CRR. </w:t>
            </w:r>
          </w:p>
          <w:p w:rsidR="00AC6255" w:rsidRPr="00661595" w:rsidRDefault="00AC6255" w:rsidP="00774F99">
            <w:pPr>
              <w:suppressAutoHyphens/>
              <w:autoSpaceDE w:val="0"/>
              <w:autoSpaceDN w:val="0"/>
              <w:adjustRightInd w:val="0"/>
              <w:spacing w:before="0" w:after="0"/>
              <w:rPr>
                <w:rFonts w:ascii="Times New Roman" w:hAnsi="Times New Roman"/>
                <w:sz w:val="24"/>
                <w:lang w:eastAsia="de-DE"/>
              </w:rPr>
            </w:pPr>
          </w:p>
          <w:p w:rsidR="00AC6255" w:rsidRPr="00661595" w:rsidRDefault="001C3443" w:rsidP="00774F99">
            <w:pPr>
              <w:suppressAutoHyphens/>
              <w:autoSpaceDE w:val="0"/>
              <w:autoSpaceDN w:val="0"/>
              <w:adjustRightInd w:val="0"/>
              <w:spacing w:before="0" w:after="0"/>
              <w:rPr>
                <w:rFonts w:ascii="Times New Roman" w:hAnsi="Times New Roman"/>
                <w:sz w:val="24"/>
              </w:rPr>
            </w:pPr>
            <w:r>
              <w:rPr>
                <w:rFonts w:ascii="Times New Roman" w:hAnsi="Times New Roman"/>
                <w:sz w:val="24"/>
              </w:rPr>
              <w:t>Se l</w:t>
            </w:r>
            <w:r w:rsidR="000878EC">
              <w:rPr>
                <w:rFonts w:ascii="Times New Roman" w:hAnsi="Times New Roman"/>
                <w:sz w:val="24"/>
              </w:rPr>
              <w:t>'</w:t>
            </w:r>
            <w:r>
              <w:rPr>
                <w:rFonts w:ascii="Times New Roman" w:hAnsi="Times New Roman"/>
                <w:sz w:val="24"/>
              </w:rPr>
              <w:t>ente dispone di dati sull</w:t>
            </w:r>
            <w:r w:rsidR="000878EC">
              <w:rPr>
                <w:rFonts w:ascii="Times New Roman" w:hAnsi="Times New Roman"/>
                <w:sz w:val="24"/>
              </w:rPr>
              <w:t>'"</w:t>
            </w:r>
            <w:r>
              <w:rPr>
                <w:rFonts w:ascii="Times New Roman" w:hAnsi="Times New Roman"/>
                <w:sz w:val="24"/>
              </w:rPr>
              <w:t>indicatore rilevante</w:t>
            </w:r>
            <w:r w:rsidR="000878EC">
              <w:rPr>
                <w:rFonts w:ascii="Times New Roman" w:hAnsi="Times New Roman"/>
                <w:sz w:val="24"/>
              </w:rPr>
              <w:t>"</w:t>
            </w:r>
            <w:r>
              <w:rPr>
                <w:rFonts w:ascii="Times New Roman" w:hAnsi="Times New Roman"/>
                <w:sz w:val="24"/>
              </w:rPr>
              <w:t xml:space="preserve"> relativi a un periodo inferiore a tre anni, i dati storici disponibili (cifre verificate mediante revisione contabile) sono attribuiti alle corrispondenti colonne del modello in via prioritaria: se, ad esempio, sono disponibili dati storici relativi a un solo anno, questi sono segnalati nella colonna 0030. Ove plausibile, le stime prospettiche sono inserite nella colonna 0020 (stima dell</w:t>
            </w:r>
            <w:r w:rsidR="000878EC">
              <w:rPr>
                <w:rFonts w:ascii="Times New Roman" w:hAnsi="Times New Roman"/>
                <w:sz w:val="24"/>
              </w:rPr>
              <w:t>'</w:t>
            </w:r>
            <w:r>
              <w:rPr>
                <w:rFonts w:ascii="Times New Roman" w:hAnsi="Times New Roman"/>
                <w:sz w:val="24"/>
              </w:rPr>
              <w:t>anno successivo) e nella colonna 0010 (stima dell</w:t>
            </w:r>
            <w:r w:rsidR="000878EC">
              <w:rPr>
                <w:rFonts w:ascii="Times New Roman" w:hAnsi="Times New Roman"/>
                <w:sz w:val="24"/>
              </w:rPr>
              <w:t>'</w:t>
            </w:r>
            <w:r>
              <w:rPr>
                <w:rFonts w:ascii="Times New Roman" w:hAnsi="Times New Roman"/>
                <w:sz w:val="24"/>
              </w:rPr>
              <w:t>anno + 2).</w:t>
            </w:r>
          </w:p>
          <w:p w:rsidR="00AC6255" w:rsidRPr="00661595" w:rsidRDefault="00AC6255" w:rsidP="00774F99">
            <w:pPr>
              <w:suppressAutoHyphens/>
              <w:autoSpaceDE w:val="0"/>
              <w:autoSpaceDN w:val="0"/>
              <w:adjustRightInd w:val="0"/>
              <w:spacing w:before="0" w:after="0"/>
              <w:rPr>
                <w:rFonts w:ascii="Times New Roman" w:hAnsi="Times New Roman"/>
                <w:i/>
                <w:sz w:val="24"/>
              </w:rPr>
            </w:pPr>
          </w:p>
          <w:p w:rsidR="00AC6255" w:rsidRPr="00661595" w:rsidRDefault="00AC6255" w:rsidP="00774F99">
            <w:pPr>
              <w:suppressAutoHyphens/>
              <w:autoSpaceDE w:val="0"/>
              <w:autoSpaceDN w:val="0"/>
              <w:adjustRightInd w:val="0"/>
              <w:spacing w:before="0" w:after="0"/>
              <w:rPr>
                <w:rFonts w:ascii="Times New Roman" w:hAnsi="Times New Roman"/>
                <w:sz w:val="24"/>
              </w:rPr>
            </w:pPr>
            <w:r>
              <w:rPr>
                <w:rFonts w:ascii="Times New Roman" w:hAnsi="Times New Roman"/>
                <w:sz w:val="24"/>
              </w:rPr>
              <w:t>L</w:t>
            </w:r>
            <w:r w:rsidR="000878EC">
              <w:rPr>
                <w:rFonts w:ascii="Times New Roman" w:hAnsi="Times New Roman"/>
                <w:sz w:val="24"/>
              </w:rPr>
              <w:t>'</w:t>
            </w:r>
            <w:r>
              <w:rPr>
                <w:rFonts w:ascii="Times New Roman" w:hAnsi="Times New Roman"/>
                <w:sz w:val="24"/>
              </w:rPr>
              <w:t>ente che non dispone di dati storici sull</w:t>
            </w:r>
            <w:r w:rsidR="000878EC">
              <w:rPr>
                <w:rFonts w:ascii="Times New Roman" w:hAnsi="Times New Roman"/>
                <w:sz w:val="24"/>
              </w:rPr>
              <w:t>'"</w:t>
            </w:r>
            <w:r>
              <w:rPr>
                <w:rFonts w:ascii="Times New Roman" w:hAnsi="Times New Roman"/>
                <w:sz w:val="24"/>
              </w:rPr>
              <w:t>indicatore rilevante</w:t>
            </w:r>
            <w:r w:rsidR="000878EC">
              <w:rPr>
                <w:rFonts w:ascii="Times New Roman" w:hAnsi="Times New Roman"/>
                <w:sz w:val="24"/>
              </w:rPr>
              <w:t>"</w:t>
            </w:r>
            <w:r>
              <w:rPr>
                <w:rFonts w:ascii="Times New Roman" w:hAnsi="Times New Roman"/>
                <w:sz w:val="24"/>
              </w:rPr>
              <w:t xml:space="preserve"> può utilizzare stime aziendali prospettiche.</w:t>
            </w:r>
          </w:p>
          <w:p w:rsidR="00AC6255" w:rsidRPr="00661595" w:rsidRDefault="00AC6255" w:rsidP="00774F99">
            <w:pPr>
              <w:suppressAutoHyphens/>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774F99">
            <w:pPr>
              <w:keepNext/>
              <w:keepLines/>
              <w:suppressAutoHyphens/>
              <w:autoSpaceDE w:val="0"/>
              <w:autoSpaceDN w:val="0"/>
              <w:adjustRightInd w:val="0"/>
              <w:spacing w:before="0" w:after="0"/>
              <w:rPr>
                <w:rFonts w:ascii="Times New Roman" w:hAnsi="Times New Roman"/>
                <w:bCs/>
                <w:sz w:val="24"/>
              </w:rPr>
            </w:pPr>
            <w:r>
              <w:rPr>
                <w:rFonts w:ascii="Times New Roman" w:hAnsi="Times New Roman"/>
                <w:bCs/>
                <w:sz w:val="24"/>
              </w:rPr>
              <w:t>0040-0060</w:t>
            </w:r>
          </w:p>
        </w:tc>
        <w:tc>
          <w:tcPr>
            <w:tcW w:w="7877" w:type="dxa"/>
          </w:tcPr>
          <w:p w:rsidR="00AC6255" w:rsidRPr="00661595" w:rsidRDefault="00AC6255" w:rsidP="00774F99">
            <w:pPr>
              <w:keepNext/>
              <w:keepLines/>
              <w:suppressAutoHyphens/>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PRESTITI E ANTICIPI (IN CASO DI APPLICAZIONE DEL METODO STANDARDIZZATO ALTERNATIVO)</w:t>
            </w:r>
          </w:p>
          <w:p w:rsidR="00AC6255" w:rsidRPr="00661595" w:rsidRDefault="00AC6255" w:rsidP="00774F99">
            <w:pPr>
              <w:keepNext/>
              <w:keepLines/>
              <w:suppressAutoHyphens/>
              <w:autoSpaceDE w:val="0"/>
              <w:autoSpaceDN w:val="0"/>
              <w:adjustRightInd w:val="0"/>
              <w:spacing w:before="0" w:after="0"/>
              <w:jc w:val="left"/>
              <w:rPr>
                <w:rFonts w:ascii="Times New Roman" w:hAnsi="Times New Roman"/>
                <w:bCs/>
                <w:sz w:val="24"/>
                <w:lang w:eastAsia="nl-BE"/>
              </w:rPr>
            </w:pPr>
          </w:p>
          <w:p w:rsidR="00AC6255" w:rsidRPr="00661595" w:rsidRDefault="00AC6255" w:rsidP="00774F99">
            <w:pPr>
              <w:keepNext/>
              <w:keepLines/>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In queste colonne sono segnalati gli importi dei prestiti e degli anticipi delle linee di business </w:t>
            </w:r>
            <w:r w:rsidR="000878EC">
              <w:rPr>
                <w:rFonts w:ascii="Times New Roman" w:hAnsi="Times New Roman"/>
                <w:sz w:val="24"/>
              </w:rPr>
              <w:t>"</w:t>
            </w:r>
            <w:r>
              <w:rPr>
                <w:rFonts w:ascii="Times New Roman" w:hAnsi="Times New Roman"/>
                <w:sz w:val="24"/>
              </w:rPr>
              <w:t>servizi bancari a carattere commerciale</w:t>
            </w:r>
            <w:r w:rsidR="000878EC">
              <w:rPr>
                <w:rFonts w:ascii="Times New Roman" w:hAnsi="Times New Roman"/>
                <w:sz w:val="24"/>
              </w:rPr>
              <w:t>"</w:t>
            </w:r>
            <w:r>
              <w:rPr>
                <w:rFonts w:ascii="Times New Roman" w:hAnsi="Times New Roman"/>
                <w:sz w:val="24"/>
              </w:rPr>
              <w:t xml:space="preserve"> e </w:t>
            </w:r>
            <w:r w:rsidR="000878EC">
              <w:rPr>
                <w:rFonts w:ascii="Times New Roman" w:hAnsi="Times New Roman"/>
                <w:sz w:val="24"/>
              </w:rPr>
              <w:t>"</w:t>
            </w:r>
            <w:r>
              <w:rPr>
                <w:rFonts w:ascii="Times New Roman" w:hAnsi="Times New Roman"/>
                <w:sz w:val="24"/>
              </w:rPr>
              <w:t>servizi bancari al dettaglio</w:t>
            </w:r>
            <w:r w:rsidR="000878EC">
              <w:rPr>
                <w:rFonts w:ascii="Times New Roman" w:hAnsi="Times New Roman"/>
                <w:sz w:val="24"/>
              </w:rPr>
              <w:t>"</w:t>
            </w:r>
            <w:r>
              <w:rPr>
                <w:rFonts w:ascii="Times New Roman" w:hAnsi="Times New Roman"/>
                <w:sz w:val="24"/>
              </w:rPr>
              <w:t xml:space="preserve"> di cui all</w:t>
            </w:r>
            <w:r w:rsidR="000878EC">
              <w:rPr>
                <w:rFonts w:ascii="Times New Roman" w:hAnsi="Times New Roman"/>
                <w:sz w:val="24"/>
              </w:rPr>
              <w:t>'</w:t>
            </w:r>
            <w:r>
              <w:rPr>
                <w:rFonts w:ascii="Times New Roman" w:hAnsi="Times New Roman"/>
                <w:sz w:val="24"/>
              </w:rPr>
              <w:t>articolo 319, paragrafo 1, lettera b), del CRR. Detti importi servono per il calcolo dell</w:t>
            </w:r>
            <w:r w:rsidR="000878EC">
              <w:rPr>
                <w:rFonts w:ascii="Times New Roman" w:hAnsi="Times New Roman"/>
                <w:sz w:val="24"/>
              </w:rPr>
              <w:t>'</w:t>
            </w:r>
            <w:r>
              <w:rPr>
                <w:rFonts w:ascii="Times New Roman" w:hAnsi="Times New Roman"/>
                <w:sz w:val="24"/>
              </w:rPr>
              <w:t xml:space="preserve">indicatore rilevante alternativo per determinare i requisiti di fondi propri corrispondenti alle attività soggette al metodo standardizzato alternativo (articolo 319, paragrafo 1, lettera a), del CRR). </w:t>
            </w:r>
          </w:p>
          <w:p w:rsidR="00AC6255" w:rsidRPr="00661595" w:rsidRDefault="00AC6255" w:rsidP="00774F99">
            <w:pPr>
              <w:keepNext/>
              <w:keepLines/>
              <w:suppressAutoHyphens/>
              <w:autoSpaceDE w:val="0"/>
              <w:autoSpaceDN w:val="0"/>
              <w:adjustRightInd w:val="0"/>
              <w:spacing w:before="0" w:after="0"/>
              <w:rPr>
                <w:rFonts w:ascii="Times New Roman" w:hAnsi="Times New Roman"/>
                <w:sz w:val="24"/>
              </w:rPr>
            </w:pPr>
          </w:p>
          <w:p w:rsidR="00AC6255" w:rsidRPr="00661595" w:rsidRDefault="00AC6255" w:rsidP="00774F99">
            <w:pPr>
              <w:keepNext/>
              <w:keepLines/>
              <w:suppressAutoHyphens/>
              <w:autoSpaceDE w:val="0"/>
              <w:autoSpaceDN w:val="0"/>
              <w:adjustRightInd w:val="0"/>
              <w:spacing w:before="0" w:after="0"/>
              <w:rPr>
                <w:rFonts w:ascii="Times New Roman" w:hAnsi="Times New Roman"/>
                <w:bCs/>
                <w:sz w:val="24"/>
              </w:rPr>
            </w:pPr>
            <w:r>
              <w:rPr>
                <w:rFonts w:ascii="Times New Roman" w:hAnsi="Times New Roman"/>
                <w:sz w:val="24"/>
              </w:rPr>
              <w:t xml:space="preserve">Per la linea di business </w:t>
            </w:r>
            <w:r w:rsidR="000878EC">
              <w:rPr>
                <w:rFonts w:ascii="Times New Roman" w:hAnsi="Times New Roman"/>
                <w:sz w:val="24"/>
              </w:rPr>
              <w:t>"</w:t>
            </w:r>
            <w:r>
              <w:rPr>
                <w:rFonts w:ascii="Times New Roman" w:hAnsi="Times New Roman"/>
                <w:sz w:val="24"/>
              </w:rPr>
              <w:t>servizi bancari a carattere commerciale</w:t>
            </w:r>
            <w:r w:rsidR="000878EC">
              <w:rPr>
                <w:rFonts w:ascii="Times New Roman" w:hAnsi="Times New Roman"/>
                <w:sz w:val="24"/>
              </w:rPr>
              <w:t>"</w:t>
            </w:r>
            <w:r>
              <w:rPr>
                <w:rFonts w:ascii="Times New Roman" w:hAnsi="Times New Roman"/>
                <w:sz w:val="24"/>
              </w:rPr>
              <w:t xml:space="preserve"> sono inclusi anche i titoli detenuti all</w:t>
            </w:r>
            <w:r w:rsidR="000878EC">
              <w:rPr>
                <w:rFonts w:ascii="Times New Roman" w:hAnsi="Times New Roman"/>
                <w:sz w:val="24"/>
              </w:rPr>
              <w:t>'</w:t>
            </w:r>
            <w:r>
              <w:rPr>
                <w:rFonts w:ascii="Times New Roman" w:hAnsi="Times New Roman"/>
                <w:sz w:val="24"/>
              </w:rPr>
              <w:t>esterno del portafoglio di negoziazione.</w:t>
            </w:r>
          </w:p>
        </w:tc>
      </w:tr>
      <w:tr w:rsidR="00AC6255" w:rsidRPr="00661595" w:rsidTr="00672D2A">
        <w:tc>
          <w:tcPr>
            <w:tcW w:w="985" w:type="dxa"/>
          </w:tcPr>
          <w:p w:rsidR="00AC6255" w:rsidRPr="00661595" w:rsidRDefault="00F20C33" w:rsidP="00774F99">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0070</w:t>
            </w:r>
          </w:p>
        </w:tc>
        <w:tc>
          <w:tcPr>
            <w:tcW w:w="7877" w:type="dxa"/>
          </w:tcPr>
          <w:p w:rsidR="00AC6255" w:rsidRPr="00661595" w:rsidRDefault="00AC6255" w:rsidP="00774F99">
            <w:pPr>
              <w:suppressAutoHyphens/>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REQUISITO DI FONDI PROPRI</w:t>
            </w:r>
          </w:p>
          <w:p w:rsidR="00AC6255" w:rsidRPr="00661595" w:rsidRDefault="00AC6255" w:rsidP="00774F99">
            <w:pPr>
              <w:suppressAutoHyphens/>
              <w:autoSpaceDE w:val="0"/>
              <w:autoSpaceDN w:val="0"/>
              <w:adjustRightInd w:val="0"/>
              <w:spacing w:before="0" w:after="0"/>
              <w:jc w:val="left"/>
              <w:rPr>
                <w:rFonts w:ascii="Times New Roman" w:hAnsi="Times New Roman"/>
                <w:sz w:val="24"/>
                <w:lang w:eastAsia="de-DE"/>
              </w:rPr>
            </w:pPr>
          </w:p>
          <w:p w:rsidR="00AC6255" w:rsidRPr="00661595" w:rsidRDefault="00AC6255" w:rsidP="00774F99">
            <w:pPr>
              <w:suppressAutoHyphens/>
              <w:autoSpaceDE w:val="0"/>
              <w:autoSpaceDN w:val="0"/>
              <w:adjustRightInd w:val="0"/>
              <w:spacing w:before="0" w:after="0"/>
              <w:jc w:val="left"/>
              <w:rPr>
                <w:rFonts w:ascii="Times New Roman" w:hAnsi="Times New Roman"/>
                <w:bCs/>
                <w:sz w:val="24"/>
              </w:rPr>
            </w:pPr>
            <w:r>
              <w:rPr>
                <w:rFonts w:ascii="Times New Roman" w:hAnsi="Times New Roman"/>
                <w:sz w:val="24"/>
              </w:rPr>
              <w:t>Il requisito di fondi propri si calcola in base ai metodi applicati e conformemente agli articoli da 312 a 324 del CRR. L</w:t>
            </w:r>
            <w:r w:rsidR="000878EC">
              <w:rPr>
                <w:rFonts w:ascii="Times New Roman" w:hAnsi="Times New Roman"/>
                <w:sz w:val="24"/>
              </w:rPr>
              <w:t>'</w:t>
            </w:r>
            <w:r>
              <w:rPr>
                <w:rFonts w:ascii="Times New Roman" w:hAnsi="Times New Roman"/>
                <w:sz w:val="24"/>
              </w:rPr>
              <w:t>importo risultante è segnalato nella colonna 0070.</w:t>
            </w:r>
          </w:p>
        </w:tc>
      </w:tr>
      <w:tr w:rsidR="00AC6255" w:rsidRPr="00661595" w:rsidTr="00672D2A">
        <w:tc>
          <w:tcPr>
            <w:tcW w:w="985" w:type="dxa"/>
          </w:tcPr>
          <w:p w:rsidR="00AC6255" w:rsidRPr="00661595" w:rsidRDefault="00F20C33" w:rsidP="00774F99">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0071</w:t>
            </w:r>
          </w:p>
        </w:tc>
        <w:tc>
          <w:tcPr>
            <w:tcW w:w="7877" w:type="dxa"/>
          </w:tcPr>
          <w:p w:rsidR="00AC6255" w:rsidRPr="00661595" w:rsidRDefault="00AC6255" w:rsidP="00774F99">
            <w:pPr>
              <w:suppressAutoHyphens/>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IMPORTO COMPLESSIVO DELL</w:t>
            </w:r>
            <w:r w:rsidR="000878EC">
              <w:rPr>
                <w:rStyle w:val="InstructionsTabelleberschrift"/>
                <w:rFonts w:ascii="Times New Roman" w:hAnsi="Times New Roman"/>
                <w:sz w:val="24"/>
              </w:rPr>
              <w:t>'</w:t>
            </w:r>
            <w:r>
              <w:rPr>
                <w:rStyle w:val="InstructionsTabelleberschrift"/>
                <w:rFonts w:ascii="Times New Roman" w:hAnsi="Times New Roman"/>
                <w:sz w:val="24"/>
              </w:rPr>
              <w:t>ESPOSIZIONE AL RISCHIO OPERATIVO</w:t>
            </w:r>
          </w:p>
          <w:p w:rsidR="00454CFC" w:rsidRPr="00661595" w:rsidRDefault="00AC6255" w:rsidP="00774F99">
            <w:pPr>
              <w:suppressAutoHyphens/>
              <w:rPr>
                <w:rFonts w:ascii="Times New Roman" w:hAnsi="Times New Roman"/>
                <w:sz w:val="24"/>
              </w:rPr>
            </w:pPr>
            <w:r>
              <w:t xml:space="preserve">Articolo 92, paragrafo 4, del CRR. </w:t>
            </w:r>
          </w:p>
          <w:p w:rsidR="00AC6255" w:rsidRPr="00661595" w:rsidRDefault="00AC6255" w:rsidP="00774F99">
            <w:pPr>
              <w:suppressAutoHyphens/>
              <w:rPr>
                <w:rStyle w:val="InstructionsTabelleberschrift"/>
                <w:rFonts w:ascii="Times New Roman" w:hAnsi="Times New Roman"/>
                <w:b w:val="0"/>
                <w:sz w:val="24"/>
              </w:rPr>
            </w:pPr>
            <w:r>
              <w:rPr>
                <w:rFonts w:ascii="Times New Roman" w:hAnsi="Times New Roman"/>
                <w:sz w:val="24"/>
              </w:rPr>
              <w:t>Requisiti di fondi propri nella colonna 0070 moltiplicati per 12,5.</w:t>
            </w:r>
          </w:p>
        </w:tc>
      </w:tr>
      <w:tr w:rsidR="00AC6255" w:rsidRPr="00661595" w:rsidTr="00672D2A">
        <w:tc>
          <w:tcPr>
            <w:tcW w:w="985" w:type="dxa"/>
          </w:tcPr>
          <w:p w:rsidR="00AC6255" w:rsidRPr="00661595" w:rsidRDefault="00F20C33" w:rsidP="00774F99">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7877" w:type="dxa"/>
          </w:tcPr>
          <w:p w:rsidR="00AC6255" w:rsidRPr="00661595" w:rsidRDefault="00AC6255" w:rsidP="00774F99">
            <w:pPr>
              <w:suppressAutoHyphens/>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DI CUI: DOVUTO A UN MECCANISMO DI ATTRIBUZIONE</w:t>
            </w:r>
          </w:p>
          <w:p w:rsidR="00AC6255" w:rsidRPr="00661595" w:rsidRDefault="00AC6255" w:rsidP="00774F99">
            <w:pPr>
              <w:suppressAutoHyphens/>
              <w:autoSpaceDE w:val="0"/>
              <w:autoSpaceDN w:val="0"/>
              <w:adjustRightInd w:val="0"/>
              <w:spacing w:before="0" w:after="0"/>
              <w:jc w:val="left"/>
              <w:rPr>
                <w:rFonts w:ascii="Times New Roman" w:hAnsi="Times New Roman"/>
                <w:bCs/>
                <w:sz w:val="24"/>
                <w:lang w:eastAsia="nl-BE"/>
              </w:rPr>
            </w:pPr>
          </w:p>
          <w:p w:rsidR="00AC6255" w:rsidRPr="00661595" w:rsidRDefault="003E7AEC" w:rsidP="00774F99">
            <w:pPr>
              <w:suppressAutoHyphens/>
              <w:jc w:val="left"/>
              <w:rPr>
                <w:rFonts w:ascii="Times New Roman" w:hAnsi="Times New Roman"/>
                <w:bCs/>
                <w:sz w:val="24"/>
              </w:rPr>
            </w:pPr>
            <w:r>
              <w:rPr>
                <w:rFonts w:ascii="Times New Roman" w:hAnsi="Times New Roman"/>
                <w:bCs/>
                <w:sz w:val="24"/>
              </w:rPr>
              <w:t>Se è stato autorizzato l</w:t>
            </w:r>
            <w:r w:rsidR="000878EC">
              <w:rPr>
                <w:rFonts w:ascii="Times New Roman" w:hAnsi="Times New Roman"/>
                <w:bCs/>
                <w:sz w:val="24"/>
              </w:rPr>
              <w:t>'</w:t>
            </w:r>
            <w:r>
              <w:rPr>
                <w:rFonts w:ascii="Times New Roman" w:hAnsi="Times New Roman"/>
                <w:bCs/>
                <w:sz w:val="24"/>
              </w:rPr>
              <w:t xml:space="preserve">utilizzo del metodo AMA </w:t>
            </w:r>
            <w:r w:rsidR="00774F99">
              <w:rPr>
                <w:rFonts w:ascii="Times New Roman" w:hAnsi="Times New Roman"/>
                <w:bCs/>
                <w:sz w:val="24"/>
              </w:rPr>
              <w:t>a livello consolidato (articolo </w:t>
            </w:r>
            <w:r>
              <w:rPr>
                <w:rFonts w:ascii="Times New Roman" w:hAnsi="Times New Roman"/>
                <w:bCs/>
                <w:sz w:val="24"/>
              </w:rPr>
              <w:t>18, paragrafo 1, del CRR),</w:t>
            </w:r>
            <w:r>
              <w:rPr>
                <w:rFonts w:ascii="Times New Roman" w:hAnsi="Times New Roman"/>
                <w:sz w:val="24"/>
              </w:rPr>
              <w:t xml:space="preserve"> conformeme</w:t>
            </w:r>
            <w:r w:rsidR="00774F99">
              <w:rPr>
                <w:rFonts w:ascii="Times New Roman" w:hAnsi="Times New Roman"/>
                <w:sz w:val="24"/>
              </w:rPr>
              <w:t>nte all</w:t>
            </w:r>
            <w:r w:rsidR="000878EC">
              <w:rPr>
                <w:rFonts w:ascii="Times New Roman" w:hAnsi="Times New Roman"/>
                <w:sz w:val="24"/>
              </w:rPr>
              <w:t>'</w:t>
            </w:r>
            <w:r w:rsidR="00774F99">
              <w:rPr>
                <w:rFonts w:ascii="Times New Roman" w:hAnsi="Times New Roman"/>
                <w:sz w:val="24"/>
              </w:rPr>
              <w:t>articolo 312, paragrafo </w:t>
            </w:r>
            <w:r>
              <w:rPr>
                <w:rFonts w:ascii="Times New Roman" w:hAnsi="Times New Roman"/>
                <w:sz w:val="24"/>
              </w:rPr>
              <w:t>2, del CRR, il capitale di copertura del rischio operativo è ripartito tra i diversi soggetti del gruppo sulla base della metodologia applicata dagli enti per tener conto degli effetti della diversificazione nel sistema di misurazione del rischio utilizzato da un ente creditizio impresa madre nell</w:t>
            </w:r>
            <w:r w:rsidR="000878EC">
              <w:rPr>
                <w:rFonts w:ascii="Times New Roman" w:hAnsi="Times New Roman"/>
                <w:sz w:val="24"/>
              </w:rPr>
              <w:t>'</w:t>
            </w:r>
            <w:r>
              <w:rPr>
                <w:rFonts w:ascii="Times New Roman" w:hAnsi="Times New Roman"/>
                <w:sz w:val="24"/>
              </w:rPr>
              <w:t>UE e dalle sue filiazioni, oppure congiuntamente dalle filiazioni di una società di partecipazione finanziaria madre nell</w:t>
            </w:r>
            <w:r w:rsidR="000878EC">
              <w:rPr>
                <w:rFonts w:ascii="Times New Roman" w:hAnsi="Times New Roman"/>
                <w:sz w:val="24"/>
              </w:rPr>
              <w:t>'</w:t>
            </w:r>
            <w:r>
              <w:rPr>
                <w:rFonts w:ascii="Times New Roman" w:hAnsi="Times New Roman"/>
                <w:sz w:val="24"/>
              </w:rPr>
              <w:t>UE o di una società di partecipazione finanziaria mista madre nell</w:t>
            </w:r>
            <w:r w:rsidR="000878EC">
              <w:rPr>
                <w:rFonts w:ascii="Times New Roman" w:hAnsi="Times New Roman"/>
                <w:sz w:val="24"/>
              </w:rPr>
              <w:t>'</w:t>
            </w:r>
            <w:r>
              <w:rPr>
                <w:rFonts w:ascii="Times New Roman" w:hAnsi="Times New Roman"/>
                <w:sz w:val="24"/>
              </w:rPr>
              <w:t xml:space="preserve">UE. Il risultato di tale ripartizione è segnalato in questa colonna. </w:t>
            </w:r>
          </w:p>
          <w:p w:rsidR="00AC6255" w:rsidRPr="00661595" w:rsidRDefault="00AC6255" w:rsidP="00774F99">
            <w:pPr>
              <w:suppressAutoHyphens/>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774F99">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0090-0120</w:t>
            </w:r>
          </w:p>
        </w:tc>
        <w:tc>
          <w:tcPr>
            <w:tcW w:w="7877" w:type="dxa"/>
          </w:tcPr>
          <w:p w:rsidR="00AC6255" w:rsidRPr="00661595" w:rsidRDefault="00AC6255" w:rsidP="00774F99">
            <w:pPr>
              <w:suppressAutoHyphens/>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VOCI PER MEMORIA NELL</w:t>
            </w:r>
            <w:r w:rsidR="000878EC">
              <w:rPr>
                <w:rStyle w:val="InstructionsTabelleberschrift"/>
                <w:rFonts w:ascii="Times New Roman" w:hAnsi="Times New Roman"/>
                <w:sz w:val="24"/>
              </w:rPr>
              <w:t>'</w:t>
            </w:r>
            <w:r>
              <w:rPr>
                <w:rStyle w:val="InstructionsTabelleberschrift"/>
                <w:rFonts w:ascii="Times New Roman" w:hAnsi="Times New Roman"/>
                <w:sz w:val="24"/>
              </w:rPr>
              <w:t>AMBITO DEI METODI AVANZATI DI MISURAZIONE DA RIPORTARE SE APPLICABILI</w:t>
            </w:r>
          </w:p>
        </w:tc>
      </w:tr>
      <w:tr w:rsidR="00AC6255" w:rsidRPr="00661595" w:rsidTr="00672D2A">
        <w:tc>
          <w:tcPr>
            <w:tcW w:w="985" w:type="dxa"/>
          </w:tcPr>
          <w:p w:rsidR="00AC6255" w:rsidRPr="00661595" w:rsidRDefault="00F20C33" w:rsidP="00774F99">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0090</w:t>
            </w:r>
          </w:p>
        </w:tc>
        <w:tc>
          <w:tcPr>
            <w:tcW w:w="7877" w:type="dxa"/>
          </w:tcPr>
          <w:p w:rsidR="00AC6255" w:rsidRPr="00661595" w:rsidRDefault="00AC6255" w:rsidP="00774F99">
            <w:pPr>
              <w:suppressAutoHyphens/>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REQUISITO DI FONDI PROPRI PRIMA DELLA RIDUZIONE DOVUTA ALLE PERDITE ATTESE, ALLA DIVERSIFICAZIONE E ALLE TECNICHE DI ATTENUAZIONE DEL RISCHIO</w:t>
            </w:r>
          </w:p>
          <w:p w:rsidR="00AC6255" w:rsidRPr="00661595" w:rsidRDefault="00AC6255" w:rsidP="00774F99">
            <w:pPr>
              <w:suppressAutoHyphens/>
              <w:autoSpaceDE w:val="0"/>
              <w:autoSpaceDN w:val="0"/>
              <w:adjustRightInd w:val="0"/>
              <w:spacing w:before="0" w:after="0"/>
              <w:jc w:val="left"/>
              <w:rPr>
                <w:rFonts w:ascii="Times New Roman" w:hAnsi="Times New Roman"/>
                <w:bCs/>
                <w:sz w:val="24"/>
                <w:lang w:eastAsia="nl-BE"/>
              </w:rPr>
            </w:pPr>
          </w:p>
          <w:p w:rsidR="00AC6255" w:rsidRPr="00661595" w:rsidRDefault="00AC6255" w:rsidP="00774F99">
            <w:pPr>
              <w:suppressAutoHyphens/>
              <w:autoSpaceDE w:val="0"/>
              <w:autoSpaceDN w:val="0"/>
              <w:adjustRightInd w:val="0"/>
              <w:spacing w:before="0" w:after="0"/>
              <w:rPr>
                <w:rFonts w:ascii="Times New Roman" w:hAnsi="Times New Roman"/>
                <w:sz w:val="24"/>
              </w:rPr>
            </w:pPr>
            <w:r>
              <w:rPr>
                <w:rFonts w:ascii="Times New Roman" w:hAnsi="Times New Roman"/>
                <w:sz w:val="24"/>
              </w:rPr>
              <w:t>Il requisito di fondi propri segnalato nella colonna 090 è quello della colonna 070, calcolato però prima di tener conto degli effetti di riduzione dovuti alle perdite attese, alla diversificazione e alle tecniche di attenuazione del rischio (cfr. sotto).</w:t>
            </w:r>
          </w:p>
          <w:p w:rsidR="00AC6255" w:rsidRPr="00661595" w:rsidRDefault="00AC6255" w:rsidP="00774F99">
            <w:pPr>
              <w:suppressAutoHyphens/>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774F99">
            <w:pPr>
              <w:keepNext/>
              <w:keepLines/>
              <w:suppressAutoHyphens/>
              <w:autoSpaceDE w:val="0"/>
              <w:autoSpaceDN w:val="0"/>
              <w:adjustRightInd w:val="0"/>
              <w:spacing w:before="0" w:after="0"/>
              <w:rPr>
                <w:rFonts w:ascii="Times New Roman" w:hAnsi="Times New Roman"/>
                <w:bCs/>
                <w:sz w:val="24"/>
              </w:rPr>
            </w:pPr>
            <w:r>
              <w:rPr>
                <w:rFonts w:ascii="Times New Roman" w:hAnsi="Times New Roman"/>
                <w:bCs/>
                <w:sz w:val="24"/>
              </w:rPr>
              <w:t>0100</w:t>
            </w:r>
          </w:p>
        </w:tc>
        <w:tc>
          <w:tcPr>
            <w:tcW w:w="7877" w:type="dxa"/>
          </w:tcPr>
          <w:p w:rsidR="00AC6255" w:rsidRPr="00661595" w:rsidRDefault="00AC6255" w:rsidP="00774F99">
            <w:pPr>
              <w:keepNext/>
              <w:keepLines/>
              <w:suppressAutoHyphens/>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RIDUZIONE DEL REQUISITO DI FONDI PROPRI DOVUTA ALLE PERDITE ATTESE STIMATE NELLE PRASSI OPERATIVE</w:t>
            </w:r>
          </w:p>
          <w:p w:rsidR="00AC6255" w:rsidRPr="00661595" w:rsidRDefault="00AC6255" w:rsidP="00774F99">
            <w:pPr>
              <w:keepNext/>
              <w:keepLines/>
              <w:suppressAutoHyphens/>
              <w:autoSpaceDE w:val="0"/>
              <w:autoSpaceDN w:val="0"/>
              <w:adjustRightInd w:val="0"/>
              <w:spacing w:before="0" w:after="0"/>
              <w:jc w:val="left"/>
              <w:rPr>
                <w:rFonts w:ascii="Times New Roman" w:hAnsi="Times New Roman"/>
                <w:bCs/>
                <w:sz w:val="24"/>
                <w:lang w:eastAsia="nl-BE"/>
              </w:rPr>
            </w:pPr>
          </w:p>
          <w:p w:rsidR="00AC6255" w:rsidRPr="00661595" w:rsidRDefault="00AC6255" w:rsidP="00774F99">
            <w:pPr>
              <w:keepNext/>
              <w:keepLines/>
              <w:suppressAutoHyphens/>
              <w:autoSpaceDE w:val="0"/>
              <w:autoSpaceDN w:val="0"/>
              <w:adjustRightInd w:val="0"/>
              <w:spacing w:before="0" w:after="0"/>
              <w:rPr>
                <w:rFonts w:ascii="Times New Roman" w:hAnsi="Times New Roman"/>
                <w:sz w:val="24"/>
              </w:rPr>
            </w:pPr>
            <w:r>
              <w:rPr>
                <w:rFonts w:ascii="Times New Roman" w:hAnsi="Times New Roman"/>
                <w:sz w:val="24"/>
              </w:rPr>
              <w:t>Nella colonna 100 è segnalata la riduzione dei requisiti di fondi propri dovuta alle perdite attese stimate nelle prassi operative interne (di cui all</w:t>
            </w:r>
            <w:r w:rsidR="000878EC">
              <w:rPr>
                <w:rFonts w:ascii="Times New Roman" w:hAnsi="Times New Roman"/>
                <w:sz w:val="24"/>
              </w:rPr>
              <w:t>'</w:t>
            </w:r>
            <w:r>
              <w:rPr>
                <w:rFonts w:ascii="Times New Roman" w:hAnsi="Times New Roman"/>
                <w:sz w:val="24"/>
              </w:rPr>
              <w:t>articolo 322, paragrafo 2, lettera a), del CRR).</w:t>
            </w:r>
          </w:p>
          <w:p w:rsidR="00AC6255" w:rsidRPr="00661595" w:rsidRDefault="00AC6255" w:rsidP="00774F99">
            <w:pPr>
              <w:keepNext/>
              <w:keepLines/>
              <w:suppressAutoHyphens/>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774F99">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0110</w:t>
            </w:r>
          </w:p>
        </w:tc>
        <w:tc>
          <w:tcPr>
            <w:tcW w:w="7877" w:type="dxa"/>
          </w:tcPr>
          <w:p w:rsidR="00AC6255" w:rsidRPr="00661595" w:rsidRDefault="00AC6255" w:rsidP="00774F99">
            <w:pPr>
              <w:suppressAutoHyphens/>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 RIDUZIONE DEL REQUISITO DI FONDI PROPRI DOVUTA ALLA DIVERSIFICAZIONE</w:t>
            </w:r>
          </w:p>
          <w:p w:rsidR="00AC6255" w:rsidRPr="00661595" w:rsidRDefault="00AC6255" w:rsidP="00774F99">
            <w:pPr>
              <w:suppressAutoHyphens/>
              <w:rPr>
                <w:rFonts w:ascii="Times New Roman" w:hAnsi="Times New Roman"/>
                <w:sz w:val="24"/>
              </w:rPr>
            </w:pPr>
            <w:r>
              <w:rPr>
                <w:rFonts w:ascii="Times New Roman" w:hAnsi="Times New Roman"/>
                <w:sz w:val="24"/>
              </w:rPr>
              <w:t>L</w:t>
            </w:r>
            <w:r w:rsidR="000878EC">
              <w:rPr>
                <w:rFonts w:ascii="Times New Roman" w:hAnsi="Times New Roman"/>
                <w:sz w:val="24"/>
              </w:rPr>
              <w:t>'</w:t>
            </w:r>
            <w:r>
              <w:rPr>
                <w:rFonts w:ascii="Times New Roman" w:hAnsi="Times New Roman"/>
                <w:sz w:val="24"/>
              </w:rPr>
              <w:t xml:space="preserve">effetto della diversificazione riportato in questa colonna è la differenza tra la somma dei requisiti di fondi propri calcolati separatamente per ciascuna classe di rischio operativo (ossia una situazione di </w:t>
            </w:r>
            <w:r w:rsidR="000878EC">
              <w:rPr>
                <w:rFonts w:ascii="Times New Roman" w:hAnsi="Times New Roman"/>
                <w:sz w:val="24"/>
              </w:rPr>
              <w:t>"</w:t>
            </w:r>
            <w:r>
              <w:rPr>
                <w:rFonts w:ascii="Times New Roman" w:hAnsi="Times New Roman"/>
                <w:sz w:val="24"/>
              </w:rPr>
              <w:t>dipendenza perfetta</w:t>
            </w:r>
            <w:r w:rsidR="000878EC">
              <w:rPr>
                <w:rFonts w:ascii="Times New Roman" w:hAnsi="Times New Roman"/>
                <w:sz w:val="24"/>
              </w:rPr>
              <w:t>"</w:t>
            </w:r>
            <w:r>
              <w:rPr>
                <w:rFonts w:ascii="Times New Roman" w:hAnsi="Times New Roman"/>
                <w:sz w:val="24"/>
              </w:rPr>
              <w:t xml:space="preserve">) e il requisito diversificato di fondi propri calcolato tenendo conto delle correlazioni e delle dipendenze (presumendo, cioè, una </w:t>
            </w:r>
            <w:r w:rsidR="000878EC">
              <w:rPr>
                <w:rFonts w:ascii="Times New Roman" w:hAnsi="Times New Roman"/>
                <w:sz w:val="24"/>
              </w:rPr>
              <w:t>"</w:t>
            </w:r>
            <w:r>
              <w:rPr>
                <w:rFonts w:ascii="Times New Roman" w:hAnsi="Times New Roman"/>
                <w:sz w:val="24"/>
              </w:rPr>
              <w:t>dipendenza meno che perfetta</w:t>
            </w:r>
            <w:r w:rsidR="000878EC">
              <w:rPr>
                <w:rFonts w:ascii="Times New Roman" w:hAnsi="Times New Roman"/>
                <w:sz w:val="24"/>
              </w:rPr>
              <w:t>"</w:t>
            </w:r>
            <w:r>
              <w:rPr>
                <w:rFonts w:ascii="Times New Roman" w:hAnsi="Times New Roman"/>
                <w:sz w:val="24"/>
              </w:rPr>
              <w:t xml:space="preserve"> tra le classi di rischio). La situazione di </w:t>
            </w:r>
            <w:r w:rsidR="000878EC">
              <w:rPr>
                <w:rFonts w:ascii="Times New Roman" w:hAnsi="Times New Roman"/>
                <w:sz w:val="24"/>
              </w:rPr>
              <w:t>"</w:t>
            </w:r>
            <w:r>
              <w:rPr>
                <w:rFonts w:ascii="Times New Roman" w:hAnsi="Times New Roman"/>
                <w:sz w:val="24"/>
              </w:rPr>
              <w:t>dipendenza perfetta</w:t>
            </w:r>
            <w:r w:rsidR="000878EC">
              <w:rPr>
                <w:rFonts w:ascii="Times New Roman" w:hAnsi="Times New Roman"/>
                <w:sz w:val="24"/>
              </w:rPr>
              <w:t>"</w:t>
            </w:r>
            <w:r>
              <w:rPr>
                <w:rFonts w:ascii="Times New Roman" w:hAnsi="Times New Roman"/>
                <w:sz w:val="24"/>
              </w:rPr>
              <w:t xml:space="preserve"> si verifica nel </w:t>
            </w:r>
            <w:r w:rsidR="000878EC">
              <w:rPr>
                <w:rFonts w:ascii="Times New Roman" w:hAnsi="Times New Roman"/>
                <w:sz w:val="24"/>
              </w:rPr>
              <w:t>"</w:t>
            </w:r>
            <w:r>
              <w:rPr>
                <w:rFonts w:ascii="Times New Roman" w:hAnsi="Times New Roman"/>
                <w:sz w:val="24"/>
              </w:rPr>
              <w:t>caso normale</w:t>
            </w:r>
            <w:r w:rsidR="000878EC">
              <w:rPr>
                <w:rFonts w:ascii="Times New Roman" w:hAnsi="Times New Roman"/>
                <w:sz w:val="24"/>
              </w:rPr>
              <w:t>"</w:t>
            </w:r>
            <w:r>
              <w:rPr>
                <w:rFonts w:ascii="Times New Roman" w:hAnsi="Times New Roman"/>
                <w:sz w:val="24"/>
              </w:rPr>
              <w:t>, ossia se l</w:t>
            </w:r>
            <w:r w:rsidR="000878EC">
              <w:rPr>
                <w:rFonts w:ascii="Times New Roman" w:hAnsi="Times New Roman"/>
                <w:sz w:val="24"/>
              </w:rPr>
              <w:t>'</w:t>
            </w:r>
            <w:r>
              <w:rPr>
                <w:rFonts w:ascii="Times New Roman" w:hAnsi="Times New Roman"/>
                <w:sz w:val="24"/>
              </w:rPr>
              <w:t>ente non applica una struttura esplicita di correlazioni tra le classi di rischio, e quindi il capitale secondo il metodo AMA è calcolato come somma delle misure individuali di rischio operativo delle classi di rischio selezionate. In questo caso si presume che la correlazione tra le classi di rischio sia del 100 % e il valore della colonna deve essere posto a zero. Per contro, se calcola una struttura esplicita di correlazioni tra le classi di rischio, l</w:t>
            </w:r>
            <w:r w:rsidR="000878EC">
              <w:rPr>
                <w:rFonts w:ascii="Times New Roman" w:hAnsi="Times New Roman"/>
                <w:sz w:val="24"/>
              </w:rPr>
              <w:t>'</w:t>
            </w:r>
            <w:r>
              <w:rPr>
                <w:rFonts w:ascii="Times New Roman" w:hAnsi="Times New Roman"/>
                <w:sz w:val="24"/>
              </w:rPr>
              <w:t xml:space="preserve">ente deve inserire in questa colonna la differenza tra il capitale secondo il metodo AMA derivante dal </w:t>
            </w:r>
            <w:r w:rsidR="000878EC">
              <w:rPr>
                <w:rFonts w:ascii="Times New Roman" w:hAnsi="Times New Roman"/>
                <w:sz w:val="24"/>
              </w:rPr>
              <w:t>"</w:t>
            </w:r>
            <w:r>
              <w:rPr>
                <w:rFonts w:ascii="Times New Roman" w:hAnsi="Times New Roman"/>
                <w:sz w:val="24"/>
              </w:rPr>
              <w:t>caso normale</w:t>
            </w:r>
            <w:r w:rsidR="000878EC">
              <w:rPr>
                <w:rFonts w:ascii="Times New Roman" w:hAnsi="Times New Roman"/>
                <w:sz w:val="24"/>
              </w:rPr>
              <w:t>"</w:t>
            </w:r>
            <w:r>
              <w:rPr>
                <w:rFonts w:ascii="Times New Roman" w:hAnsi="Times New Roman"/>
                <w:sz w:val="24"/>
              </w:rPr>
              <w:t>, e il capitale secondo il metodo AMA ottenuto dopo l</w:t>
            </w:r>
            <w:r w:rsidR="000878EC">
              <w:rPr>
                <w:rFonts w:ascii="Times New Roman" w:hAnsi="Times New Roman"/>
                <w:sz w:val="24"/>
              </w:rPr>
              <w:t>'</w:t>
            </w:r>
            <w:r>
              <w:rPr>
                <w:rFonts w:ascii="Times New Roman" w:hAnsi="Times New Roman"/>
                <w:sz w:val="24"/>
              </w:rPr>
              <w:t xml:space="preserve">applicazione della struttura di correlazioni tra le classi di rischio. Il valore ottenuto esprime la </w:t>
            </w:r>
            <w:r w:rsidR="000878EC">
              <w:rPr>
                <w:rFonts w:ascii="Times New Roman" w:hAnsi="Times New Roman"/>
                <w:sz w:val="24"/>
              </w:rPr>
              <w:t>"</w:t>
            </w:r>
            <w:r>
              <w:rPr>
                <w:rFonts w:ascii="Times New Roman" w:hAnsi="Times New Roman"/>
                <w:sz w:val="24"/>
              </w:rPr>
              <w:t>capacità di diversificazione</w:t>
            </w:r>
            <w:r w:rsidR="000878EC">
              <w:rPr>
                <w:rFonts w:ascii="Times New Roman" w:hAnsi="Times New Roman"/>
                <w:sz w:val="24"/>
              </w:rPr>
              <w:t>"</w:t>
            </w:r>
            <w:r>
              <w:rPr>
                <w:rFonts w:ascii="Times New Roman" w:hAnsi="Times New Roman"/>
                <w:sz w:val="24"/>
              </w:rPr>
              <w:t xml:space="preserve"> del modello AMA, cioè la sua capacità di cogliere l</w:t>
            </w:r>
            <w:r w:rsidR="000878EC">
              <w:rPr>
                <w:rFonts w:ascii="Times New Roman" w:hAnsi="Times New Roman"/>
                <w:sz w:val="24"/>
              </w:rPr>
              <w:t>'</w:t>
            </w:r>
            <w:r>
              <w:rPr>
                <w:rFonts w:ascii="Times New Roman" w:hAnsi="Times New Roman"/>
                <w:sz w:val="24"/>
              </w:rPr>
              <w:t>insorgenza non simultanea di gravi eventi di perdita dovuti al rischio operativo. Nella colonna 110 deve essere segnalato l</w:t>
            </w:r>
            <w:r w:rsidR="000878EC">
              <w:rPr>
                <w:rFonts w:ascii="Times New Roman" w:hAnsi="Times New Roman"/>
                <w:sz w:val="24"/>
              </w:rPr>
              <w:t>'</w:t>
            </w:r>
            <w:r>
              <w:rPr>
                <w:rFonts w:ascii="Times New Roman" w:hAnsi="Times New Roman"/>
                <w:sz w:val="24"/>
              </w:rPr>
              <w:t>importo di cui l</w:t>
            </w:r>
            <w:r w:rsidR="000878EC">
              <w:rPr>
                <w:rFonts w:ascii="Times New Roman" w:hAnsi="Times New Roman"/>
                <w:sz w:val="24"/>
              </w:rPr>
              <w:t>'</w:t>
            </w:r>
            <w:r>
              <w:rPr>
                <w:rFonts w:ascii="Times New Roman" w:hAnsi="Times New Roman"/>
                <w:sz w:val="24"/>
              </w:rPr>
              <w:t>assunta struttura di correlazioni riduce il capitale AMA rispetto alla correlazione del 100 %.</w:t>
            </w:r>
          </w:p>
          <w:p w:rsidR="00AC6255" w:rsidRPr="00661595" w:rsidRDefault="00AC6255" w:rsidP="00774F99">
            <w:pPr>
              <w:suppressAutoHyphens/>
              <w:autoSpaceDE w:val="0"/>
              <w:autoSpaceDN w:val="0"/>
              <w:adjustRightInd w:val="0"/>
              <w:spacing w:before="0" w:after="0"/>
              <w:jc w:val="left"/>
              <w:rPr>
                <w:rFonts w:ascii="Times New Roman" w:hAnsi="Times New Roman"/>
                <w:bCs/>
                <w:sz w:val="24"/>
                <w:lang w:eastAsia="nl-BE"/>
              </w:rPr>
            </w:pPr>
          </w:p>
        </w:tc>
      </w:tr>
      <w:tr w:rsidR="00AC6255" w:rsidRPr="00661595" w:rsidTr="00672D2A">
        <w:tc>
          <w:tcPr>
            <w:tcW w:w="985" w:type="dxa"/>
          </w:tcPr>
          <w:p w:rsidR="00AC6255" w:rsidRPr="00661595" w:rsidRDefault="00F20C33" w:rsidP="00774F99">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0120</w:t>
            </w:r>
          </w:p>
        </w:tc>
        <w:tc>
          <w:tcPr>
            <w:tcW w:w="7877" w:type="dxa"/>
          </w:tcPr>
          <w:p w:rsidR="00AC6255" w:rsidRPr="00661595" w:rsidRDefault="00AC6255" w:rsidP="00774F99">
            <w:pPr>
              <w:suppressAutoHyphens/>
              <w:autoSpaceDE w:val="0"/>
              <w:autoSpaceDN w:val="0"/>
              <w:adjustRightInd w:val="0"/>
              <w:spacing w:before="0" w:after="0"/>
              <w:jc w:val="left"/>
              <w:rPr>
                <w:rFonts w:ascii="Times New Roman" w:hAnsi="Times New Roman"/>
                <w:sz w:val="24"/>
              </w:rPr>
            </w:pPr>
            <w:r>
              <w:rPr>
                <w:rStyle w:val="InstructionsTabelleberschrift"/>
                <w:rFonts w:ascii="Times New Roman" w:hAnsi="Times New Roman"/>
                <w:sz w:val="24"/>
              </w:rPr>
              <w:t>(-) RIDUZIONE DEL REQUISITO DI FONDI PROPRI DOVUTA ALLE TECNICHE DI ATTENUAZIONE DEL RISCHIO (ASSICURAZIONE E ALTRI MECCANISMI DI TRASFERIMENTO DEL RISCHIO)</w:t>
            </w:r>
          </w:p>
          <w:p w:rsidR="00AC6255" w:rsidRPr="00661595" w:rsidRDefault="00AC6255" w:rsidP="00774F99">
            <w:pPr>
              <w:suppressAutoHyphens/>
              <w:autoSpaceDE w:val="0"/>
              <w:autoSpaceDN w:val="0"/>
              <w:adjustRightInd w:val="0"/>
              <w:spacing w:before="0" w:after="0"/>
              <w:jc w:val="left"/>
              <w:rPr>
                <w:rFonts w:ascii="Times New Roman" w:hAnsi="Times New Roman"/>
                <w:sz w:val="24"/>
                <w:lang w:eastAsia="de-DE"/>
              </w:rPr>
            </w:pPr>
          </w:p>
          <w:p w:rsidR="00AC6255" w:rsidRPr="00661595" w:rsidRDefault="005E7FAD" w:rsidP="00774F99">
            <w:pPr>
              <w:suppressAutoHyphens/>
              <w:autoSpaceDE w:val="0"/>
              <w:autoSpaceDN w:val="0"/>
              <w:adjustRightInd w:val="0"/>
              <w:spacing w:before="0" w:after="0"/>
              <w:jc w:val="left"/>
              <w:rPr>
                <w:rFonts w:ascii="Times New Roman" w:hAnsi="Times New Roman"/>
                <w:sz w:val="24"/>
              </w:rPr>
            </w:pPr>
            <w:r>
              <w:rPr>
                <w:rFonts w:ascii="Times New Roman" w:hAnsi="Times New Roman"/>
                <w:sz w:val="24"/>
              </w:rPr>
              <w:t>In questa colonna è segnalato l</w:t>
            </w:r>
            <w:r w:rsidR="000878EC">
              <w:rPr>
                <w:rFonts w:ascii="Times New Roman" w:hAnsi="Times New Roman"/>
                <w:sz w:val="24"/>
              </w:rPr>
              <w:t>'</w:t>
            </w:r>
            <w:r>
              <w:rPr>
                <w:rFonts w:ascii="Times New Roman" w:hAnsi="Times New Roman"/>
                <w:sz w:val="24"/>
              </w:rPr>
              <w:t>impatto delle assicurazioni e di altri meccanismi di trasferimento del rischio conformemente all</w:t>
            </w:r>
            <w:r w:rsidR="000878EC">
              <w:rPr>
                <w:rFonts w:ascii="Times New Roman" w:hAnsi="Times New Roman"/>
                <w:sz w:val="24"/>
              </w:rPr>
              <w:t>'</w:t>
            </w:r>
            <w:r>
              <w:rPr>
                <w:rFonts w:ascii="Times New Roman" w:hAnsi="Times New Roman"/>
                <w:sz w:val="24"/>
              </w:rPr>
              <w:t>articolo 323 del CRR.</w:t>
            </w:r>
          </w:p>
          <w:p w:rsidR="00AC6255" w:rsidRPr="00661595" w:rsidRDefault="00AC6255" w:rsidP="00774F99">
            <w:pPr>
              <w:suppressAutoHyphens/>
              <w:autoSpaceDE w:val="0"/>
              <w:autoSpaceDN w:val="0"/>
              <w:adjustRightInd w:val="0"/>
              <w:spacing w:before="0" w:after="0"/>
              <w:jc w:val="left"/>
              <w:rPr>
                <w:rFonts w:ascii="Times New Roman" w:hAnsi="Times New Roman"/>
                <w:bCs/>
                <w:sz w:val="24"/>
                <w:lang w:eastAsia="nl-BE"/>
              </w:rPr>
            </w:pPr>
          </w:p>
        </w:tc>
      </w:tr>
    </w:tbl>
    <w:p w:rsidR="00AC6255" w:rsidRPr="00661595" w:rsidRDefault="00AC6255" w:rsidP="00AC6255">
      <w:pPr>
        <w:autoSpaceDE w:val="0"/>
        <w:autoSpaceDN w:val="0"/>
        <w:adjustRightInd w:val="0"/>
        <w:spacing w:before="0" w:after="0"/>
        <w:rPr>
          <w:rFonts w:ascii="Times New Roman" w:hAnsi="Times New Roman"/>
          <w:sz w:val="24"/>
          <w:lang w:eastAsia="de-DE"/>
        </w:rPr>
      </w:pPr>
    </w:p>
    <w:p w:rsidR="00AC6255" w:rsidRPr="00661595" w:rsidRDefault="00AC6255" w:rsidP="00AC6255">
      <w:pPr>
        <w:autoSpaceDE w:val="0"/>
        <w:autoSpaceDN w:val="0"/>
        <w:adjustRightInd w:val="0"/>
        <w:spacing w:before="0" w:after="0"/>
        <w:rPr>
          <w:rFonts w:ascii="Times New Roman" w:hAnsi="Times New Roman"/>
          <w:sz w:val="24"/>
          <w:lang w:eastAsia="de-DE"/>
        </w:rPr>
      </w:pPr>
    </w:p>
    <w:p w:rsidR="00AC6255" w:rsidRPr="005730EA" w:rsidRDefault="00AC6255" w:rsidP="00AC6255">
      <w:pPr>
        <w:pStyle w:val="PlainText"/>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
        <w:gridCol w:w="7877"/>
      </w:tblGrid>
      <w:tr w:rsidR="00AC6255" w:rsidRPr="00661595" w:rsidTr="00672D2A">
        <w:trPr>
          <w:trHeight w:val="518"/>
        </w:trPr>
        <w:tc>
          <w:tcPr>
            <w:tcW w:w="8862" w:type="dxa"/>
            <w:gridSpan w:val="2"/>
            <w:shd w:val="clear" w:color="auto" w:fill="CCCCCC"/>
          </w:tcPr>
          <w:p w:rsidR="00AC6255" w:rsidRPr="00661595" w:rsidRDefault="00AC6255" w:rsidP="00774F99">
            <w:pPr>
              <w:suppressAutoHyphens/>
              <w:autoSpaceDE w:val="0"/>
              <w:autoSpaceDN w:val="0"/>
              <w:adjustRightInd w:val="0"/>
              <w:spacing w:after="0"/>
              <w:rPr>
                <w:rFonts w:ascii="Times New Roman" w:hAnsi="Times New Roman"/>
                <w:b/>
                <w:bCs/>
                <w:sz w:val="24"/>
              </w:rPr>
            </w:pPr>
            <w:r>
              <w:rPr>
                <w:rFonts w:ascii="Times New Roman" w:hAnsi="Times New Roman"/>
                <w:b/>
                <w:bCs/>
                <w:sz w:val="24"/>
              </w:rPr>
              <w:t>Righe</w:t>
            </w:r>
          </w:p>
        </w:tc>
      </w:tr>
      <w:tr w:rsidR="00AC6255" w:rsidRPr="00661595" w:rsidTr="00672D2A">
        <w:tc>
          <w:tcPr>
            <w:tcW w:w="985" w:type="dxa"/>
          </w:tcPr>
          <w:p w:rsidR="00AC6255" w:rsidRPr="00661595" w:rsidRDefault="005E7FAD" w:rsidP="00774F99">
            <w:pPr>
              <w:suppressAutoHyphens/>
              <w:autoSpaceDE w:val="0"/>
              <w:autoSpaceDN w:val="0"/>
              <w:adjustRightInd w:val="0"/>
              <w:spacing w:before="0" w:after="0"/>
              <w:rPr>
                <w:rFonts w:ascii="Times New Roman" w:hAnsi="Times New Roman"/>
                <w:bCs/>
                <w:sz w:val="24"/>
              </w:rPr>
            </w:pPr>
            <w:r>
              <w:rPr>
                <w:rFonts w:ascii="Times New Roman" w:hAnsi="Times New Roman"/>
                <w:bCs/>
                <w:sz w:val="24"/>
              </w:rPr>
              <w:t xml:space="preserve">0010 </w:t>
            </w:r>
          </w:p>
        </w:tc>
        <w:tc>
          <w:tcPr>
            <w:tcW w:w="7877" w:type="dxa"/>
          </w:tcPr>
          <w:p w:rsidR="00AC6255" w:rsidRPr="00661595" w:rsidRDefault="00AC6255" w:rsidP="00774F99">
            <w:pPr>
              <w:suppressAutoHyphens/>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ATTIVITÀ BANCARIE SOGGETTE AL METODO BASE (BIA)</w:t>
            </w:r>
          </w:p>
          <w:p w:rsidR="00AC6255" w:rsidRPr="005730EA" w:rsidRDefault="00AC6255" w:rsidP="00774F99">
            <w:pPr>
              <w:pStyle w:val="PlainText"/>
              <w:suppressAutoHyphens/>
              <w:jc w:val="both"/>
              <w:rPr>
                <w:rFonts w:ascii="Times New Roman" w:eastAsia="Times New Roman" w:hAnsi="Times New Roman"/>
                <w:sz w:val="24"/>
                <w:szCs w:val="24"/>
                <w:lang w:eastAsia="de-DE"/>
              </w:rPr>
            </w:pPr>
          </w:p>
          <w:p w:rsidR="00AC6255" w:rsidRPr="00661595" w:rsidRDefault="00AC6255" w:rsidP="00774F99">
            <w:pPr>
              <w:pStyle w:val="PlainText"/>
              <w:suppressAutoHyphens/>
              <w:jc w:val="both"/>
              <w:rPr>
                <w:rFonts w:ascii="Times New Roman" w:eastAsia="Times New Roman" w:hAnsi="Times New Roman"/>
                <w:sz w:val="24"/>
                <w:szCs w:val="24"/>
              </w:rPr>
            </w:pPr>
            <w:r>
              <w:rPr>
                <w:rFonts w:ascii="Times New Roman" w:hAnsi="Times New Roman"/>
                <w:sz w:val="24"/>
                <w:szCs w:val="24"/>
              </w:rPr>
              <w:t>Questa riga contiene gli importi corrispondenti alle attività soggette al metodo base per il calcolo del requisito di fondi propri per il rischio operativo (articoli 315 e 316 del CRR).</w:t>
            </w:r>
          </w:p>
          <w:p w:rsidR="00AC6255" w:rsidRPr="005730EA" w:rsidRDefault="00AC6255" w:rsidP="00774F99">
            <w:pPr>
              <w:pStyle w:val="PlainText"/>
              <w:suppressAutoHyphens/>
              <w:jc w:val="both"/>
              <w:rPr>
                <w:rFonts w:ascii="Times New Roman" w:eastAsia="Times New Roman" w:hAnsi="Times New Roman"/>
                <w:bCs/>
                <w:sz w:val="24"/>
                <w:szCs w:val="24"/>
                <w:lang w:eastAsia="nl-BE"/>
              </w:rPr>
            </w:pPr>
          </w:p>
        </w:tc>
      </w:tr>
      <w:tr w:rsidR="00AC6255" w:rsidRPr="00661595" w:rsidTr="00672D2A">
        <w:tc>
          <w:tcPr>
            <w:tcW w:w="985" w:type="dxa"/>
          </w:tcPr>
          <w:p w:rsidR="00AC6255" w:rsidRPr="00661595" w:rsidRDefault="005E7FAD" w:rsidP="00774F99">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0020</w:t>
            </w:r>
          </w:p>
        </w:tc>
        <w:tc>
          <w:tcPr>
            <w:tcW w:w="7877" w:type="dxa"/>
          </w:tcPr>
          <w:p w:rsidR="00AC6255" w:rsidRPr="00661595" w:rsidRDefault="00AC6255" w:rsidP="00774F99">
            <w:pPr>
              <w:suppressAutoHyphens/>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ATTIVITÀ BANCARIE SOGGETTE AL METODO STANDARDIZZATO/AL METODO STANDARDIZZATO ALTERNATIVO</w:t>
            </w:r>
          </w:p>
          <w:p w:rsidR="00AC6255" w:rsidRPr="00661595" w:rsidRDefault="00AC6255" w:rsidP="00774F99">
            <w:pPr>
              <w:suppressAutoHyphens/>
              <w:autoSpaceDE w:val="0"/>
              <w:autoSpaceDN w:val="0"/>
              <w:adjustRightInd w:val="0"/>
              <w:spacing w:before="0" w:after="0"/>
              <w:rPr>
                <w:rFonts w:ascii="Times New Roman" w:hAnsi="Times New Roman"/>
                <w:sz w:val="24"/>
                <w:lang w:eastAsia="de-DE"/>
              </w:rPr>
            </w:pPr>
          </w:p>
          <w:p w:rsidR="00AC6255" w:rsidRPr="00661595" w:rsidRDefault="00AC6255" w:rsidP="00774F99">
            <w:pPr>
              <w:suppressAutoHyphens/>
              <w:autoSpaceDE w:val="0"/>
              <w:autoSpaceDN w:val="0"/>
              <w:adjustRightInd w:val="0"/>
              <w:spacing w:before="0" w:after="0"/>
              <w:rPr>
                <w:rFonts w:ascii="Times New Roman" w:hAnsi="Times New Roman"/>
                <w:sz w:val="24"/>
              </w:rPr>
            </w:pPr>
            <w:r>
              <w:rPr>
                <w:rFonts w:ascii="Times New Roman" w:hAnsi="Times New Roman"/>
                <w:sz w:val="24"/>
              </w:rPr>
              <w:t>In questa riga è segnalato il requisito di fondi propri calcolato in base al metodo standardizzato e al metodo standardizzato alternativo (articoli 317, 318 e 319 del CRR).</w:t>
            </w:r>
          </w:p>
          <w:p w:rsidR="00AC6255" w:rsidRPr="00661595" w:rsidRDefault="00AC6255" w:rsidP="00774F99">
            <w:pPr>
              <w:suppressAutoHyphens/>
              <w:autoSpaceDE w:val="0"/>
              <w:autoSpaceDN w:val="0"/>
              <w:adjustRightInd w:val="0"/>
              <w:spacing w:before="0" w:after="0"/>
              <w:rPr>
                <w:rFonts w:ascii="Times New Roman" w:hAnsi="Times New Roman"/>
                <w:bCs/>
                <w:sz w:val="24"/>
                <w:lang w:eastAsia="nl-BE"/>
              </w:rPr>
            </w:pPr>
          </w:p>
        </w:tc>
      </w:tr>
      <w:tr w:rsidR="00AC6255" w:rsidRPr="00661595" w:rsidTr="00672D2A">
        <w:trPr>
          <w:trHeight w:val="1705"/>
        </w:trPr>
        <w:tc>
          <w:tcPr>
            <w:tcW w:w="985" w:type="dxa"/>
          </w:tcPr>
          <w:p w:rsidR="00AC6255" w:rsidRPr="00661595" w:rsidRDefault="005E7FAD" w:rsidP="00774F99">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0030-0100</w:t>
            </w:r>
          </w:p>
        </w:tc>
        <w:tc>
          <w:tcPr>
            <w:tcW w:w="7877" w:type="dxa"/>
          </w:tcPr>
          <w:p w:rsidR="00AC6255" w:rsidRPr="00661595" w:rsidRDefault="00AC6255" w:rsidP="00774F99">
            <w:pPr>
              <w:suppressAutoHyphens/>
              <w:rPr>
                <w:rStyle w:val="InstructionsTabelleberschrift"/>
                <w:rFonts w:ascii="Times New Roman" w:hAnsi="Times New Roman"/>
                <w:sz w:val="24"/>
              </w:rPr>
            </w:pPr>
            <w:r>
              <w:rPr>
                <w:rStyle w:val="InstructionsTabelleberschrift"/>
                <w:rFonts w:ascii="Times New Roman" w:hAnsi="Times New Roman"/>
                <w:sz w:val="24"/>
              </w:rPr>
              <w:t>SOGGETTE AL METODO STANDARDIZZATO</w:t>
            </w:r>
          </w:p>
          <w:p w:rsidR="00AC6255" w:rsidRPr="00661595" w:rsidRDefault="001C3443" w:rsidP="00774F99">
            <w:pPr>
              <w:suppressAutoHyphens/>
              <w:autoSpaceDE w:val="0"/>
              <w:autoSpaceDN w:val="0"/>
              <w:adjustRightInd w:val="0"/>
              <w:spacing w:before="0" w:after="0"/>
              <w:jc w:val="left"/>
              <w:rPr>
                <w:rFonts w:ascii="Times New Roman" w:hAnsi="Times New Roman"/>
                <w:bCs/>
                <w:sz w:val="24"/>
              </w:rPr>
            </w:pPr>
            <w:r>
              <w:rPr>
                <w:rFonts w:ascii="Times New Roman" w:hAnsi="Times New Roman"/>
                <w:sz w:val="24"/>
              </w:rPr>
              <w:t>In caso di uso del metodo TSA l</w:t>
            </w:r>
            <w:r w:rsidR="000878EC">
              <w:rPr>
                <w:rFonts w:ascii="Times New Roman" w:hAnsi="Times New Roman"/>
                <w:sz w:val="24"/>
              </w:rPr>
              <w:t>'</w:t>
            </w:r>
            <w:r>
              <w:rPr>
                <w:rFonts w:ascii="Times New Roman" w:hAnsi="Times New Roman"/>
                <w:sz w:val="24"/>
              </w:rPr>
              <w:t>indicatore rilevante di ciascun anno è riportato nelle righe da 0030 a 0100 in corrispondenza delle linee di business elencate nella tabella 2 dell</w:t>
            </w:r>
            <w:r w:rsidR="000878EC">
              <w:rPr>
                <w:rFonts w:ascii="Times New Roman" w:hAnsi="Times New Roman"/>
                <w:sz w:val="24"/>
              </w:rPr>
              <w:t>'</w:t>
            </w:r>
            <w:r>
              <w:rPr>
                <w:rFonts w:ascii="Times New Roman" w:hAnsi="Times New Roman"/>
                <w:sz w:val="24"/>
              </w:rPr>
              <w:t>articolo 317 del CRR. Le attività sono classificate nelle varie linee di business conformemente ai principi di cui all</w:t>
            </w:r>
            <w:r w:rsidR="000878EC">
              <w:rPr>
                <w:rFonts w:ascii="Times New Roman" w:hAnsi="Times New Roman"/>
                <w:sz w:val="24"/>
              </w:rPr>
              <w:t>'</w:t>
            </w:r>
            <w:r>
              <w:rPr>
                <w:rFonts w:ascii="Times New Roman" w:hAnsi="Times New Roman"/>
                <w:sz w:val="24"/>
              </w:rPr>
              <w:t>articolo 318 del CRR.</w:t>
            </w:r>
          </w:p>
        </w:tc>
      </w:tr>
      <w:tr w:rsidR="00AC6255" w:rsidRPr="00661595" w:rsidTr="00672D2A">
        <w:tc>
          <w:tcPr>
            <w:tcW w:w="985" w:type="dxa"/>
          </w:tcPr>
          <w:p w:rsidR="00AC6255" w:rsidRPr="00661595" w:rsidRDefault="005E7FAD" w:rsidP="00774F99">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0110-0120</w:t>
            </w:r>
          </w:p>
        </w:tc>
        <w:tc>
          <w:tcPr>
            <w:tcW w:w="7877" w:type="dxa"/>
          </w:tcPr>
          <w:p w:rsidR="00AC6255" w:rsidRPr="00661595" w:rsidRDefault="00AC6255" w:rsidP="00774F99">
            <w:pPr>
              <w:suppressAutoHyphens/>
              <w:autoSpaceDE w:val="0"/>
              <w:autoSpaceDN w:val="0"/>
              <w:adjustRightInd w:val="0"/>
              <w:spacing w:before="0" w:after="0"/>
              <w:jc w:val="left"/>
              <w:rPr>
                <w:rStyle w:val="InstructionsTabelleberschrift"/>
                <w:rFonts w:ascii="Times New Roman" w:hAnsi="Times New Roman"/>
                <w:sz w:val="24"/>
              </w:rPr>
            </w:pPr>
            <w:r>
              <w:rPr>
                <w:rStyle w:val="InstructionsTabelleberschrift"/>
                <w:rFonts w:ascii="Times New Roman" w:hAnsi="Times New Roman"/>
                <w:sz w:val="24"/>
              </w:rPr>
              <w:t>SOGGETTE AL METODO STANDARDIZZATO ALTERNATIVO</w:t>
            </w:r>
          </w:p>
          <w:p w:rsidR="00AC6255" w:rsidRPr="00661595" w:rsidRDefault="00AC6255" w:rsidP="00774F99">
            <w:pPr>
              <w:suppressAutoHyphens/>
              <w:rPr>
                <w:rFonts w:ascii="Times New Roman" w:hAnsi="Times New Roman"/>
                <w:sz w:val="24"/>
              </w:rPr>
            </w:pPr>
            <w:r>
              <w:rPr>
                <w:rFonts w:ascii="Times New Roman" w:hAnsi="Times New Roman"/>
                <w:sz w:val="24"/>
              </w:rPr>
              <w:t>Gli enti che utilizzano il metodo ASA (articolo 319 del CRR) riportano l</w:t>
            </w:r>
            <w:r w:rsidR="000878EC">
              <w:rPr>
                <w:rFonts w:ascii="Times New Roman" w:hAnsi="Times New Roman"/>
                <w:sz w:val="24"/>
              </w:rPr>
              <w:t>'</w:t>
            </w:r>
            <w:r>
              <w:rPr>
                <w:rFonts w:ascii="Times New Roman" w:hAnsi="Times New Roman"/>
                <w:sz w:val="24"/>
              </w:rPr>
              <w:t xml:space="preserve">indicatore rilevante per gli anni corrispondenti, separatamente per ciascuna linea di business nelle righe da 0030 a 0050 e da </w:t>
            </w:r>
            <w:r w:rsidR="00774F99">
              <w:rPr>
                <w:rFonts w:ascii="Times New Roman" w:hAnsi="Times New Roman"/>
                <w:sz w:val="24"/>
              </w:rPr>
              <w:t>0080 a 0100, nonché nelle righe </w:t>
            </w:r>
            <w:r>
              <w:rPr>
                <w:rFonts w:ascii="Times New Roman" w:hAnsi="Times New Roman"/>
                <w:sz w:val="24"/>
              </w:rPr>
              <w:t xml:space="preserve">0110 e 0120 per le linee di business </w:t>
            </w:r>
            <w:r w:rsidR="000878EC">
              <w:rPr>
                <w:rFonts w:ascii="Times New Roman" w:hAnsi="Times New Roman"/>
                <w:sz w:val="24"/>
              </w:rPr>
              <w:t>"</w:t>
            </w:r>
            <w:r>
              <w:rPr>
                <w:rFonts w:ascii="Times New Roman" w:hAnsi="Times New Roman"/>
                <w:sz w:val="24"/>
              </w:rPr>
              <w:t>servizi bancari a carattere commerciale</w:t>
            </w:r>
            <w:r w:rsidR="000878EC">
              <w:rPr>
                <w:rFonts w:ascii="Times New Roman" w:hAnsi="Times New Roman"/>
                <w:sz w:val="24"/>
              </w:rPr>
              <w:t>"</w:t>
            </w:r>
            <w:r>
              <w:rPr>
                <w:rFonts w:ascii="Times New Roman" w:hAnsi="Times New Roman"/>
                <w:sz w:val="24"/>
              </w:rPr>
              <w:t xml:space="preserve"> e </w:t>
            </w:r>
            <w:r w:rsidR="000878EC">
              <w:rPr>
                <w:rFonts w:ascii="Times New Roman" w:hAnsi="Times New Roman"/>
                <w:sz w:val="24"/>
              </w:rPr>
              <w:t>"</w:t>
            </w:r>
            <w:r>
              <w:rPr>
                <w:rFonts w:ascii="Times New Roman" w:hAnsi="Times New Roman"/>
                <w:sz w:val="24"/>
              </w:rPr>
              <w:t>servizi bancari al dettaglio</w:t>
            </w:r>
            <w:r w:rsidR="000878EC">
              <w:rPr>
                <w:rFonts w:ascii="Times New Roman" w:hAnsi="Times New Roman"/>
                <w:sz w:val="24"/>
              </w:rPr>
              <w:t>"</w:t>
            </w:r>
            <w:r>
              <w:rPr>
                <w:rFonts w:ascii="Times New Roman" w:hAnsi="Times New Roman"/>
                <w:sz w:val="24"/>
              </w:rPr>
              <w:t xml:space="preserve">. </w:t>
            </w:r>
          </w:p>
          <w:p w:rsidR="00AC6255" w:rsidRPr="00661595" w:rsidRDefault="00AC6255" w:rsidP="00774F99">
            <w:pPr>
              <w:suppressAutoHyphens/>
              <w:autoSpaceDE w:val="0"/>
              <w:autoSpaceDN w:val="0"/>
              <w:adjustRightInd w:val="0"/>
              <w:spacing w:before="0" w:after="0"/>
              <w:rPr>
                <w:rFonts w:ascii="Times New Roman" w:hAnsi="Times New Roman"/>
                <w:bCs/>
                <w:sz w:val="24"/>
              </w:rPr>
            </w:pPr>
            <w:r>
              <w:rPr>
                <w:rStyle w:val="InstructionsTabelleText"/>
                <w:rFonts w:ascii="Times New Roman" w:hAnsi="Times New Roman"/>
                <w:sz w:val="24"/>
              </w:rPr>
              <w:t>Le righe 110 e 120 riportano l</w:t>
            </w:r>
            <w:r w:rsidR="000878EC">
              <w:rPr>
                <w:rStyle w:val="InstructionsTabelleText"/>
                <w:rFonts w:ascii="Times New Roman" w:hAnsi="Times New Roman"/>
                <w:sz w:val="24"/>
              </w:rPr>
              <w:t>'</w:t>
            </w:r>
            <w:r>
              <w:rPr>
                <w:rStyle w:val="InstructionsTabelleText"/>
                <w:rFonts w:ascii="Times New Roman" w:hAnsi="Times New Roman"/>
                <w:sz w:val="24"/>
              </w:rPr>
              <w:t>importo dell</w:t>
            </w:r>
            <w:r w:rsidR="000878EC">
              <w:rPr>
                <w:rStyle w:val="InstructionsTabelleText"/>
                <w:rFonts w:ascii="Times New Roman" w:hAnsi="Times New Roman"/>
                <w:sz w:val="24"/>
              </w:rPr>
              <w:t>'</w:t>
            </w:r>
            <w:r>
              <w:rPr>
                <w:rStyle w:val="InstructionsTabelleText"/>
                <w:rFonts w:ascii="Times New Roman" w:hAnsi="Times New Roman"/>
                <w:sz w:val="24"/>
              </w:rPr>
              <w:t>indicatore rilevante delle attività soggette al metodo ASA distinguendo tra l</w:t>
            </w:r>
            <w:r w:rsidR="000878EC">
              <w:rPr>
                <w:rStyle w:val="InstructionsTabelleText"/>
                <w:rFonts w:ascii="Times New Roman" w:hAnsi="Times New Roman"/>
                <w:sz w:val="24"/>
              </w:rPr>
              <w:t>'</w:t>
            </w:r>
            <w:r>
              <w:rPr>
                <w:rStyle w:val="InstructionsTabelleText"/>
                <w:rFonts w:ascii="Times New Roman" w:hAnsi="Times New Roman"/>
                <w:sz w:val="24"/>
              </w:rPr>
              <w:t xml:space="preserve">importo relativo alla linea di business </w:t>
            </w:r>
            <w:r w:rsidR="000878EC">
              <w:rPr>
                <w:rStyle w:val="InstructionsTabelleText"/>
                <w:rFonts w:ascii="Times New Roman" w:hAnsi="Times New Roman"/>
                <w:sz w:val="24"/>
              </w:rPr>
              <w:t>"</w:t>
            </w:r>
            <w:r>
              <w:rPr>
                <w:rStyle w:val="InstructionsTabelleText"/>
                <w:rFonts w:ascii="Times New Roman" w:hAnsi="Times New Roman"/>
                <w:sz w:val="24"/>
              </w:rPr>
              <w:t>servizi bancari a carattere commerciale</w:t>
            </w:r>
            <w:r w:rsidR="000878EC">
              <w:rPr>
                <w:rStyle w:val="InstructionsTabelleText"/>
                <w:rFonts w:ascii="Times New Roman" w:hAnsi="Times New Roman"/>
                <w:sz w:val="24"/>
              </w:rPr>
              <w:t>"</w:t>
            </w:r>
            <w:r>
              <w:rPr>
                <w:rStyle w:val="InstructionsTabelleText"/>
                <w:rFonts w:ascii="Times New Roman" w:hAnsi="Times New Roman"/>
                <w:sz w:val="24"/>
              </w:rPr>
              <w:t xml:space="preserve"> e gli importi relativi alla linea di business </w:t>
            </w:r>
            <w:r w:rsidR="000878EC">
              <w:rPr>
                <w:rStyle w:val="InstructionsTabelleText"/>
                <w:rFonts w:ascii="Times New Roman" w:hAnsi="Times New Roman"/>
                <w:sz w:val="24"/>
              </w:rPr>
              <w:t>"</w:t>
            </w:r>
            <w:r>
              <w:rPr>
                <w:rStyle w:val="InstructionsTabelleText"/>
                <w:rFonts w:ascii="Times New Roman" w:hAnsi="Times New Roman"/>
                <w:sz w:val="24"/>
              </w:rPr>
              <w:t>servizi bancari al dettaglio</w:t>
            </w:r>
            <w:r w:rsidR="000878EC">
              <w:rPr>
                <w:rStyle w:val="InstructionsTabelleText"/>
                <w:rFonts w:ascii="Times New Roman" w:hAnsi="Times New Roman"/>
                <w:sz w:val="24"/>
              </w:rPr>
              <w:t>"</w:t>
            </w:r>
            <w:r>
              <w:rPr>
                <w:rStyle w:val="InstructionsTabelleText"/>
                <w:rFonts w:ascii="Times New Roman" w:hAnsi="Times New Roman"/>
                <w:sz w:val="24"/>
              </w:rPr>
              <w:t xml:space="preserve"> (articolo 319</w:t>
            </w:r>
            <w:r>
              <w:rPr>
                <w:rFonts w:ascii="Times New Roman" w:hAnsi="Times New Roman"/>
                <w:sz w:val="24"/>
              </w:rPr>
              <w:t xml:space="preserve"> del CRR</w:t>
            </w:r>
            <w:r>
              <w:rPr>
                <w:rStyle w:val="InstructionsTabelleText"/>
                <w:rFonts w:ascii="Times New Roman" w:hAnsi="Times New Roman"/>
                <w:sz w:val="24"/>
              </w:rPr>
              <w:t xml:space="preserve">). Vi possono essere importi nelle righe relative ai </w:t>
            </w:r>
            <w:r w:rsidR="000878EC">
              <w:rPr>
                <w:rStyle w:val="InstructionsTabelleText"/>
                <w:rFonts w:ascii="Times New Roman" w:hAnsi="Times New Roman"/>
                <w:sz w:val="24"/>
              </w:rPr>
              <w:t>"</w:t>
            </w:r>
            <w:r>
              <w:rPr>
                <w:rStyle w:val="InstructionsTabelleText"/>
                <w:rFonts w:ascii="Times New Roman" w:hAnsi="Times New Roman"/>
                <w:sz w:val="24"/>
              </w:rPr>
              <w:t>servizi bancari a carattere commerciale</w:t>
            </w:r>
            <w:r w:rsidR="000878EC">
              <w:rPr>
                <w:rStyle w:val="InstructionsTabelleText"/>
                <w:rFonts w:ascii="Times New Roman" w:hAnsi="Times New Roman"/>
                <w:sz w:val="24"/>
              </w:rPr>
              <w:t>"</w:t>
            </w:r>
            <w:r>
              <w:rPr>
                <w:rStyle w:val="InstructionsTabelleText"/>
                <w:rFonts w:ascii="Times New Roman" w:hAnsi="Times New Roman"/>
                <w:sz w:val="24"/>
              </w:rPr>
              <w:t xml:space="preserve"> e ai </w:t>
            </w:r>
            <w:r w:rsidR="000878EC">
              <w:rPr>
                <w:rStyle w:val="InstructionsTabelleText"/>
                <w:rFonts w:ascii="Times New Roman" w:hAnsi="Times New Roman"/>
                <w:sz w:val="24"/>
              </w:rPr>
              <w:t>"</w:t>
            </w:r>
            <w:r>
              <w:rPr>
                <w:rStyle w:val="InstructionsTabelleText"/>
                <w:rFonts w:ascii="Times New Roman" w:hAnsi="Times New Roman"/>
                <w:sz w:val="24"/>
              </w:rPr>
              <w:t>servizi bancari al dettaglio</w:t>
            </w:r>
            <w:r w:rsidR="000878EC">
              <w:rPr>
                <w:rStyle w:val="InstructionsTabelleText"/>
                <w:rFonts w:ascii="Times New Roman" w:hAnsi="Times New Roman"/>
                <w:sz w:val="24"/>
              </w:rPr>
              <w:t>"</w:t>
            </w:r>
            <w:r>
              <w:rPr>
                <w:rStyle w:val="InstructionsTabelleText"/>
                <w:rFonts w:ascii="Times New Roman" w:hAnsi="Times New Roman"/>
                <w:sz w:val="24"/>
              </w:rPr>
              <w:t xml:space="preserve"> sia per il metodo TSA (righe 0060 e 0070) sia per il metodo ASA (righe 0110 e 0120), ad esempio quando una filiazione applica il metodo TSA mentre l</w:t>
            </w:r>
            <w:r w:rsidR="000878EC">
              <w:rPr>
                <w:rStyle w:val="InstructionsTabelleText"/>
                <w:rFonts w:ascii="Times New Roman" w:hAnsi="Times New Roman"/>
                <w:sz w:val="24"/>
              </w:rPr>
              <w:t>'</w:t>
            </w:r>
            <w:r>
              <w:rPr>
                <w:rStyle w:val="InstructionsTabelleText"/>
                <w:rFonts w:ascii="Times New Roman" w:hAnsi="Times New Roman"/>
                <w:sz w:val="24"/>
              </w:rPr>
              <w:t>ente impresa madre applica il metodo ASA.</w:t>
            </w:r>
          </w:p>
        </w:tc>
      </w:tr>
      <w:tr w:rsidR="00AC6255" w:rsidRPr="00661595" w:rsidTr="00672D2A">
        <w:tc>
          <w:tcPr>
            <w:tcW w:w="985" w:type="dxa"/>
          </w:tcPr>
          <w:p w:rsidR="00AC6255" w:rsidRPr="00661595" w:rsidRDefault="005E7FAD" w:rsidP="00774F99">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0130</w:t>
            </w:r>
          </w:p>
        </w:tc>
        <w:tc>
          <w:tcPr>
            <w:tcW w:w="7877" w:type="dxa"/>
          </w:tcPr>
          <w:p w:rsidR="00AC6255" w:rsidRPr="00661595" w:rsidRDefault="00AC6255" w:rsidP="00774F99">
            <w:pPr>
              <w:suppressAutoHyphens/>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ATTIVITÀ BANCARIE SOGGETTE AI METODI AVANZATI DI MISURAZIONE</w:t>
            </w:r>
          </w:p>
          <w:p w:rsidR="00AC6255" w:rsidRPr="00661595" w:rsidRDefault="00AC6255" w:rsidP="00774F99">
            <w:pPr>
              <w:suppressAutoHyphens/>
              <w:autoSpaceDE w:val="0"/>
              <w:autoSpaceDN w:val="0"/>
              <w:adjustRightInd w:val="0"/>
              <w:spacing w:before="0" w:after="0"/>
              <w:rPr>
                <w:rFonts w:ascii="Times New Roman" w:hAnsi="Times New Roman"/>
                <w:bCs/>
                <w:sz w:val="24"/>
                <w:lang w:eastAsia="nl-BE"/>
              </w:rPr>
            </w:pPr>
          </w:p>
          <w:p w:rsidR="00AC6255" w:rsidRPr="00661595" w:rsidRDefault="00AC6255" w:rsidP="00774F99">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In questa riga sono segnalati i dati pertinenti agli enti che applicano il metodo AMA (articolo 312, paragrafo 2, e articoli 321, 322 e 323 del CRR). </w:t>
            </w:r>
          </w:p>
          <w:p w:rsidR="00AC6255" w:rsidRPr="00661595" w:rsidRDefault="00AC6255" w:rsidP="00774F99">
            <w:pPr>
              <w:suppressAutoHyphens/>
              <w:autoSpaceDE w:val="0"/>
              <w:autoSpaceDN w:val="0"/>
              <w:adjustRightInd w:val="0"/>
              <w:spacing w:before="0" w:after="0"/>
              <w:rPr>
                <w:rFonts w:ascii="Times New Roman" w:hAnsi="Times New Roman"/>
                <w:sz w:val="24"/>
              </w:rPr>
            </w:pPr>
          </w:p>
          <w:p w:rsidR="00AC6255" w:rsidRPr="00661595" w:rsidRDefault="00A369C3" w:rsidP="00774F99">
            <w:pPr>
              <w:suppressAutoHyphens/>
              <w:autoSpaceDE w:val="0"/>
              <w:autoSpaceDN w:val="0"/>
              <w:adjustRightInd w:val="0"/>
              <w:spacing w:before="0" w:after="0"/>
              <w:rPr>
                <w:rFonts w:ascii="Times New Roman" w:hAnsi="Times New Roman"/>
                <w:sz w:val="24"/>
              </w:rPr>
            </w:pPr>
            <w:r>
              <w:rPr>
                <w:rFonts w:ascii="Times New Roman" w:hAnsi="Times New Roman"/>
                <w:sz w:val="24"/>
              </w:rPr>
              <w:t>In caso di uso combinato di diversi metodi, previsto dall</w:t>
            </w:r>
            <w:r w:rsidR="000878EC">
              <w:rPr>
                <w:rFonts w:ascii="Times New Roman" w:hAnsi="Times New Roman"/>
                <w:sz w:val="24"/>
              </w:rPr>
              <w:t>'</w:t>
            </w:r>
            <w:r>
              <w:rPr>
                <w:rFonts w:ascii="Times New Roman" w:hAnsi="Times New Roman"/>
                <w:sz w:val="24"/>
              </w:rPr>
              <w:t>articolo 314 del CRR, sono riportate informazioni sull</w:t>
            </w:r>
            <w:r w:rsidR="000878EC">
              <w:rPr>
                <w:rFonts w:ascii="Times New Roman" w:hAnsi="Times New Roman"/>
                <w:sz w:val="24"/>
              </w:rPr>
              <w:t>'</w:t>
            </w:r>
            <w:r>
              <w:rPr>
                <w:rFonts w:ascii="Times New Roman" w:hAnsi="Times New Roman"/>
                <w:sz w:val="24"/>
              </w:rPr>
              <w:t>indicatore rilevante per le attività soggette al metodo AMA. Lo stesso vale per tutte le altre banche che applicano il metodo AMA.</w:t>
            </w:r>
          </w:p>
          <w:p w:rsidR="00AC6255" w:rsidRPr="00661595" w:rsidRDefault="00AC6255" w:rsidP="00774F99">
            <w:pPr>
              <w:suppressAutoHyphens/>
              <w:autoSpaceDE w:val="0"/>
              <w:autoSpaceDN w:val="0"/>
              <w:adjustRightInd w:val="0"/>
              <w:spacing w:before="0" w:after="0"/>
              <w:rPr>
                <w:rFonts w:ascii="Times New Roman" w:hAnsi="Times New Roman"/>
                <w:bCs/>
                <w:sz w:val="24"/>
                <w:lang w:eastAsia="nl-BE"/>
              </w:rPr>
            </w:pPr>
          </w:p>
        </w:tc>
      </w:tr>
    </w:tbl>
    <w:p w:rsidR="00AC6255" w:rsidRPr="005730EA" w:rsidRDefault="00AC6255" w:rsidP="00AC6255">
      <w:pPr>
        <w:pStyle w:val="PlainText"/>
        <w:jc w:val="both"/>
        <w:rPr>
          <w:rFonts w:ascii="Times New Roman" w:hAnsi="Times New Roman"/>
          <w:sz w:val="24"/>
          <w:szCs w:val="24"/>
        </w:rPr>
      </w:pPr>
    </w:p>
    <w:p w:rsidR="00AC6255" w:rsidRPr="00661595" w:rsidRDefault="00AC6255" w:rsidP="00AC6255">
      <w:pPr>
        <w:rPr>
          <w:rFonts w:ascii="Times New Roman" w:hAnsi="Times New Roman"/>
          <w:sz w:val="24"/>
        </w:rPr>
      </w:pPr>
    </w:p>
    <w:p w:rsidR="00FD54FC" w:rsidRPr="00661595" w:rsidRDefault="00125707" w:rsidP="00774F99">
      <w:pPr>
        <w:pStyle w:val="Instructionsberschrift2"/>
        <w:keepLines/>
        <w:numPr>
          <w:ilvl w:val="0"/>
          <w:numId w:val="0"/>
        </w:numPr>
        <w:ind w:left="357" w:hanging="357"/>
        <w:rPr>
          <w:rFonts w:ascii="Times New Roman" w:hAnsi="Times New Roman" w:cs="Times New Roman"/>
          <w:sz w:val="24"/>
        </w:rPr>
      </w:pPr>
      <w:bookmarkStart w:id="533" w:name="_Toc473560939"/>
      <w:bookmarkStart w:id="534" w:name="_Toc473560940"/>
      <w:bookmarkStart w:id="535" w:name="_Toc473560941"/>
      <w:bookmarkStart w:id="536" w:name="_Toc473560942"/>
      <w:bookmarkStart w:id="537" w:name="_Toc473560943"/>
      <w:bookmarkStart w:id="538" w:name="_Toc473560944"/>
      <w:bookmarkStart w:id="539" w:name="_Toc473560945"/>
      <w:bookmarkStart w:id="540" w:name="_Toc473560946"/>
      <w:bookmarkStart w:id="541" w:name="_Toc473560947"/>
      <w:bookmarkStart w:id="542" w:name="_Toc473560948"/>
      <w:bookmarkStart w:id="543" w:name="_Toc473560949"/>
      <w:bookmarkStart w:id="544" w:name="_Toc473560950"/>
      <w:bookmarkStart w:id="545" w:name="_Toc473560951"/>
      <w:bookmarkStart w:id="546" w:name="_Toc473560952"/>
      <w:bookmarkStart w:id="547" w:name="_Toc473560953"/>
      <w:bookmarkStart w:id="548" w:name="_Toc473560954"/>
      <w:bookmarkStart w:id="549" w:name="_Toc473560955"/>
      <w:bookmarkStart w:id="550" w:name="_Toc473560956"/>
      <w:bookmarkStart w:id="551" w:name="_Toc473560957"/>
      <w:bookmarkStart w:id="552" w:name="_Toc473560958"/>
      <w:bookmarkStart w:id="553" w:name="_Toc473560959"/>
      <w:bookmarkStart w:id="554" w:name="_Toc473560960"/>
      <w:bookmarkStart w:id="555" w:name="_Toc473560961"/>
      <w:bookmarkStart w:id="556" w:name="_Toc473560962"/>
      <w:bookmarkStart w:id="557" w:name="_Toc473560963"/>
      <w:bookmarkStart w:id="558" w:name="_Toc473560964"/>
      <w:bookmarkStart w:id="559" w:name="_Toc473560965"/>
      <w:bookmarkStart w:id="560" w:name="_Toc473560966"/>
      <w:bookmarkStart w:id="561" w:name="_Toc473560967"/>
      <w:bookmarkStart w:id="562" w:name="_Toc473560968"/>
      <w:bookmarkStart w:id="563" w:name="_Toc473560969"/>
      <w:bookmarkStart w:id="564" w:name="_Toc473560970"/>
      <w:bookmarkStart w:id="565" w:name="_Toc473560989"/>
      <w:bookmarkStart w:id="566" w:name="_Toc473560990"/>
      <w:bookmarkStart w:id="567" w:name="_Toc473561022"/>
      <w:bookmarkStart w:id="568" w:name="_Toc473561023"/>
      <w:bookmarkStart w:id="569" w:name="_Toc58915830"/>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r>
        <w:rPr>
          <w:rFonts w:ascii="Times New Roman" w:hAnsi="Times New Roman"/>
          <w:sz w:val="24"/>
          <w:u w:val="none"/>
        </w:rPr>
        <w:t>4.2.</w:t>
      </w:r>
      <w:r w:rsidRPr="00774F99">
        <w:rPr>
          <w:u w:val="none"/>
        </w:rPr>
        <w:tab/>
      </w:r>
      <w:r>
        <w:rPr>
          <w:rFonts w:ascii="Times New Roman" w:hAnsi="Times New Roman"/>
          <w:sz w:val="24"/>
        </w:rPr>
        <w:t>Rischio operativo: informazioni dettagliate sulle perdite nel corso dell</w:t>
      </w:r>
      <w:r w:rsidR="000878EC">
        <w:rPr>
          <w:rFonts w:ascii="Times New Roman" w:hAnsi="Times New Roman"/>
          <w:sz w:val="24"/>
        </w:rPr>
        <w:t>'</w:t>
      </w:r>
      <w:r>
        <w:rPr>
          <w:rFonts w:ascii="Times New Roman" w:hAnsi="Times New Roman"/>
          <w:sz w:val="24"/>
        </w:rPr>
        <w:t>ultimo anno (OPR DETAILS)</w:t>
      </w:r>
      <w:bookmarkEnd w:id="568"/>
      <w:bookmarkEnd w:id="569"/>
    </w:p>
    <w:p w:rsidR="00FD54FC" w:rsidRPr="00661595" w:rsidRDefault="00125707" w:rsidP="00774F99">
      <w:pPr>
        <w:pStyle w:val="Instructionsberschrift2"/>
        <w:keepLines/>
        <w:numPr>
          <w:ilvl w:val="0"/>
          <w:numId w:val="0"/>
        </w:numPr>
        <w:ind w:left="357" w:hanging="357"/>
        <w:rPr>
          <w:rFonts w:ascii="Times New Roman" w:hAnsi="Times New Roman" w:cs="Times New Roman"/>
          <w:sz w:val="24"/>
        </w:rPr>
      </w:pPr>
      <w:bookmarkStart w:id="570" w:name="_Toc473561024"/>
      <w:bookmarkStart w:id="571" w:name="_Toc58915831"/>
      <w:r>
        <w:rPr>
          <w:rFonts w:ascii="Times New Roman" w:hAnsi="Times New Roman"/>
          <w:sz w:val="24"/>
          <w:u w:val="none"/>
        </w:rPr>
        <w:t>4.2.1.</w:t>
      </w:r>
      <w:r w:rsidRPr="00774F99">
        <w:rPr>
          <w:u w:val="none"/>
        </w:rPr>
        <w:tab/>
      </w:r>
      <w:r>
        <w:rPr>
          <w:rFonts w:ascii="Times New Roman" w:hAnsi="Times New Roman"/>
          <w:sz w:val="24"/>
        </w:rPr>
        <w:t>Osservazioni di carattere generale</w:t>
      </w:r>
      <w:bookmarkEnd w:id="570"/>
      <w:bookmarkEnd w:id="571"/>
    </w:p>
    <w:p w:rsidR="00FD54FC" w:rsidRPr="00661595" w:rsidRDefault="00A971CA" w:rsidP="0002604C">
      <w:pPr>
        <w:pStyle w:val="InstructionsText2"/>
        <w:keepNext/>
        <w:keepLines/>
        <w:numPr>
          <w:ilvl w:val="0"/>
          <w:numId w:val="0"/>
        </w:numPr>
        <w:ind w:left="1680" w:hanging="480"/>
      </w:pPr>
      <w:r>
        <w:fldChar w:fldCharType="begin"/>
      </w:r>
      <w:r>
        <w:instrText xml:space="preserve"> seq paragraphs </w:instrText>
      </w:r>
      <w:r>
        <w:fldChar w:fldCharType="separate"/>
      </w:r>
      <w:r w:rsidR="00D11E4C">
        <w:rPr>
          <w:noProof/>
        </w:rPr>
        <w:t>142</w:t>
      </w:r>
      <w:r>
        <w:rPr>
          <w:noProof/>
        </w:rPr>
        <w:fldChar w:fldCharType="end"/>
      </w:r>
      <w:r w:rsidR="0002604C">
        <w:t>.</w:t>
      </w:r>
      <w:r w:rsidR="0002604C">
        <w:tab/>
      </w:r>
      <w:r w:rsidR="00D11E4C">
        <w:t>Il modello C 17.01 (OPR DETAILS 1) riassume le informazioni riguardanti le perdite lorde e i recuperi delle perdite registrati dall</w:t>
      </w:r>
      <w:r w:rsidR="000878EC">
        <w:t>'</w:t>
      </w:r>
      <w:r w:rsidR="00D11E4C">
        <w:t>ente nell</w:t>
      </w:r>
      <w:r w:rsidR="000878EC">
        <w:t>'</w:t>
      </w:r>
      <w:r w:rsidR="00D11E4C">
        <w:t xml:space="preserve">ultimo anno per tipologie di eventi e linee di business. </w:t>
      </w:r>
      <w:r w:rsidR="0002604C">
        <w:t>Il modello C 17.02 (OPR DETAILS </w:t>
      </w:r>
      <w:r w:rsidR="00D11E4C">
        <w:t>2) fornisce informazioni dettagliate sui principali eventi di perdita nel corso dell</w:t>
      </w:r>
      <w:r w:rsidR="000878EC">
        <w:t>'</w:t>
      </w:r>
      <w:r w:rsidR="00D11E4C">
        <w:t xml:space="preserve">ultimo anno. </w:t>
      </w:r>
    </w:p>
    <w:p w:rsidR="00FD54FC" w:rsidRPr="00661595" w:rsidRDefault="00A971CA" w:rsidP="0002604C">
      <w:pPr>
        <w:pStyle w:val="InstructionsText2"/>
        <w:numPr>
          <w:ilvl w:val="0"/>
          <w:numId w:val="0"/>
        </w:numPr>
        <w:ind w:left="1680" w:hanging="480"/>
      </w:pPr>
      <w:r>
        <w:fldChar w:fldCharType="begin"/>
      </w:r>
      <w:r>
        <w:instrText xml:space="preserve"> seq paragraphs </w:instrText>
      </w:r>
      <w:r>
        <w:fldChar w:fldCharType="separate"/>
      </w:r>
      <w:r w:rsidR="00D11E4C">
        <w:rPr>
          <w:noProof/>
        </w:rPr>
        <w:t>143</w:t>
      </w:r>
      <w:r>
        <w:rPr>
          <w:noProof/>
        </w:rPr>
        <w:fldChar w:fldCharType="end"/>
      </w:r>
      <w:r w:rsidR="00D11E4C">
        <w:t>. Le perdite per rischio operativo che sono collegate al rischio di credito e soggette a requisiti di fondi propri per il rischio di credito (eventi di rischio operativo di confine con i rischi di credito) non sono considerate né nel modello C 17.01 né nel modello C 17.02.</w:t>
      </w:r>
    </w:p>
    <w:p w:rsidR="00FD54FC" w:rsidRPr="00661595" w:rsidRDefault="00A971CA" w:rsidP="0002604C">
      <w:pPr>
        <w:pStyle w:val="InstructionsText2"/>
        <w:numPr>
          <w:ilvl w:val="0"/>
          <w:numId w:val="0"/>
        </w:numPr>
        <w:ind w:left="1680" w:hanging="480"/>
      </w:pPr>
      <w:r>
        <w:fldChar w:fldCharType="begin"/>
      </w:r>
      <w:r>
        <w:instrText xml:space="preserve"> seq paragraphs </w:instrText>
      </w:r>
      <w:r>
        <w:fldChar w:fldCharType="separate"/>
      </w:r>
      <w:r w:rsidR="00D11E4C">
        <w:rPr>
          <w:noProof/>
        </w:rPr>
        <w:t>144</w:t>
      </w:r>
      <w:r>
        <w:rPr>
          <w:noProof/>
        </w:rPr>
        <w:fldChar w:fldCharType="end"/>
      </w:r>
      <w:r w:rsidR="00D11E4C">
        <w:t>. In caso di uso combinato di diversi metodi per il calcolo dei requisiti di fondi propri per il rischio operativo in conformità dell</w:t>
      </w:r>
      <w:r w:rsidR="000878EC">
        <w:t>'</w:t>
      </w:r>
      <w:r w:rsidR="00D11E4C">
        <w:t>articolo 314 del CRR, le perdite e i recuperi registrati dall</w:t>
      </w:r>
      <w:r w:rsidR="000878EC">
        <w:t>'</w:t>
      </w:r>
      <w:r w:rsidR="00D11E4C">
        <w:t>ente sono segnalati nei modelli C 17.01 e C 17.02, indipendentemente dal metodo applicato ai fini del calcolo dei requisiti di fondi propri.</w:t>
      </w:r>
    </w:p>
    <w:p w:rsidR="00FD54FC" w:rsidRPr="00661595" w:rsidRDefault="00A971CA" w:rsidP="0002604C">
      <w:pPr>
        <w:pStyle w:val="InstructionsText2"/>
        <w:numPr>
          <w:ilvl w:val="0"/>
          <w:numId w:val="0"/>
        </w:numPr>
        <w:ind w:left="1680" w:hanging="480"/>
      </w:pPr>
      <w:r>
        <w:fldChar w:fldCharType="begin"/>
      </w:r>
      <w:r>
        <w:instrText xml:space="preserve"> seq paragraphs </w:instrText>
      </w:r>
      <w:r>
        <w:fldChar w:fldCharType="separate"/>
      </w:r>
      <w:r w:rsidR="00D11E4C">
        <w:rPr>
          <w:noProof/>
        </w:rPr>
        <w:t>145</w:t>
      </w:r>
      <w:r>
        <w:rPr>
          <w:noProof/>
        </w:rPr>
        <w:fldChar w:fldCharType="end"/>
      </w:r>
      <w:r w:rsidR="00D11E4C">
        <w:t xml:space="preserve">. Per </w:t>
      </w:r>
      <w:r w:rsidR="000878EC">
        <w:t>"</w:t>
      </w:r>
      <w:r w:rsidR="00D11E4C">
        <w:t>perdita lorda</w:t>
      </w:r>
      <w:r w:rsidR="000878EC">
        <w:t>"</w:t>
      </w:r>
      <w:r w:rsidR="00D11E4C">
        <w:t xml:space="preserve"> si intende la perdita, di cui all</w:t>
      </w:r>
      <w:r w:rsidR="000878EC">
        <w:t>'</w:t>
      </w:r>
      <w:r w:rsidR="00D11E4C">
        <w:t xml:space="preserve">articolo 322, paragrafo 3, lettera b), del CRR, dovuta ad una tipologia di evento di rischio operativo o di evento di perdita prima di recuperi di qualsiasi tipo, fatti salvi gli </w:t>
      </w:r>
      <w:r w:rsidR="000878EC">
        <w:t>"</w:t>
      </w:r>
      <w:r w:rsidR="00D11E4C">
        <w:t>eventi di perdita recuperata rapidamente</w:t>
      </w:r>
      <w:r w:rsidR="000878EC">
        <w:t>"</w:t>
      </w:r>
      <w:r w:rsidR="00D11E4C">
        <w:t xml:space="preserve"> così come definiti di seguito. </w:t>
      </w:r>
    </w:p>
    <w:p w:rsidR="00FD54FC" w:rsidRPr="00661595" w:rsidRDefault="00A971CA" w:rsidP="0002604C">
      <w:pPr>
        <w:pStyle w:val="InstructionsText2"/>
        <w:numPr>
          <w:ilvl w:val="0"/>
          <w:numId w:val="0"/>
        </w:numPr>
        <w:ind w:left="1680" w:hanging="480"/>
      </w:pPr>
      <w:r>
        <w:fldChar w:fldCharType="begin"/>
      </w:r>
      <w:r>
        <w:instrText xml:space="preserve"> seq paragraphs </w:instrText>
      </w:r>
      <w:r>
        <w:fldChar w:fldCharType="separate"/>
      </w:r>
      <w:r w:rsidR="00D11E4C">
        <w:rPr>
          <w:noProof/>
        </w:rPr>
        <w:t>146</w:t>
      </w:r>
      <w:r>
        <w:rPr>
          <w:noProof/>
        </w:rPr>
        <w:fldChar w:fldCharType="end"/>
      </w:r>
      <w:r w:rsidR="00D11E4C">
        <w:t xml:space="preserve">. Per </w:t>
      </w:r>
      <w:r w:rsidR="000878EC">
        <w:t>"</w:t>
      </w:r>
      <w:r w:rsidR="00D11E4C">
        <w:t>recupero</w:t>
      </w:r>
      <w:r w:rsidR="000878EC">
        <w:t>"</w:t>
      </w:r>
      <w:r w:rsidR="00D11E4C">
        <w:t xml:space="preserve"> si intende un evento indipendente relativo alla perdita originaria dovuta al rischio operativo che è separata nel tempo, in cui i fondi o i flussi di benefici economici sono ricevuti da prime o terze parti, quali imprese di assicurazione o altre parti. I recuperi sono ripartiti tra recuperi da assicurazioni e altri meccanismi di trasferimento del rischio e recuperi diretti.</w:t>
      </w:r>
    </w:p>
    <w:p w:rsidR="00FD54FC" w:rsidRPr="00661595" w:rsidRDefault="00A971CA" w:rsidP="0002604C">
      <w:pPr>
        <w:pStyle w:val="InstructionsText2"/>
        <w:numPr>
          <w:ilvl w:val="0"/>
          <w:numId w:val="0"/>
        </w:numPr>
        <w:ind w:left="1680" w:hanging="480"/>
      </w:pPr>
      <w:r>
        <w:fldChar w:fldCharType="begin"/>
      </w:r>
      <w:r>
        <w:instrText xml:space="preserve"> seq paragraphs </w:instrText>
      </w:r>
      <w:r>
        <w:fldChar w:fldCharType="separate"/>
      </w:r>
      <w:r w:rsidR="00D11E4C">
        <w:rPr>
          <w:noProof/>
        </w:rPr>
        <w:t>147</w:t>
      </w:r>
      <w:r>
        <w:rPr>
          <w:noProof/>
        </w:rPr>
        <w:fldChar w:fldCharType="end"/>
      </w:r>
      <w:r w:rsidR="00D11E4C">
        <w:t>.</w:t>
      </w:r>
      <w:r w:rsidR="00D11E4C">
        <w:tab/>
        <w:t xml:space="preserve"> Per </w:t>
      </w:r>
      <w:r w:rsidR="000878EC">
        <w:t>"</w:t>
      </w:r>
      <w:r w:rsidR="00D11E4C">
        <w:t>eventi di perdita recuperata rapidamente</w:t>
      </w:r>
      <w:r w:rsidR="000878EC">
        <w:t>"</w:t>
      </w:r>
      <w:r w:rsidR="00D11E4C">
        <w:t xml:space="preserve"> si intende gli eventi di rischio operativo che portano a perdite che sono parzialmente o totalmente recuperate entro cinque giorni lavorativi. In caso di evento di perdita recuperata rapidamente, soltanto la parte della perdita che non è recuperata interamente (ossia la perdita al netto della parte recuperata rapidamente) rientra nella definizione di perdita lorda. Di conseguenza, gli eventi di perdita che portano a perdite recuperate interamente entro cinque giorni lavorativi non rientrano nella definizione di perdita lorda, né sono inclusi nella segnalazione degli OPR DETAILS.</w:t>
      </w:r>
    </w:p>
    <w:p w:rsidR="00FD54FC" w:rsidRPr="00661595" w:rsidRDefault="00A971CA" w:rsidP="0002604C">
      <w:pPr>
        <w:pStyle w:val="InstructionsText2"/>
        <w:numPr>
          <w:ilvl w:val="0"/>
          <w:numId w:val="0"/>
        </w:numPr>
        <w:ind w:left="1680" w:hanging="480"/>
      </w:pPr>
      <w:r>
        <w:fldChar w:fldCharType="begin"/>
      </w:r>
      <w:r>
        <w:instrText xml:space="preserve"> seq paragraphs </w:instrText>
      </w:r>
      <w:r>
        <w:fldChar w:fldCharType="separate"/>
      </w:r>
      <w:r w:rsidR="00D11E4C">
        <w:rPr>
          <w:noProof/>
        </w:rPr>
        <w:t>148</w:t>
      </w:r>
      <w:r>
        <w:rPr>
          <w:noProof/>
        </w:rPr>
        <w:fldChar w:fldCharType="end"/>
      </w:r>
      <w:r w:rsidR="00D11E4C">
        <w:t>.</w:t>
      </w:r>
      <w:r w:rsidR="00D11E4C">
        <w:tab/>
        <w:t xml:space="preserve"> Per </w:t>
      </w:r>
      <w:r w:rsidR="000878EC">
        <w:t>"</w:t>
      </w:r>
      <w:r w:rsidR="00D11E4C">
        <w:t>data della contabilizzazione</w:t>
      </w:r>
      <w:r w:rsidR="000878EC">
        <w:t>"</w:t>
      </w:r>
      <w:r w:rsidR="00D11E4C">
        <w:t xml:space="preserve"> si intende la data in cui la perdita o la riserva/l</w:t>
      </w:r>
      <w:r w:rsidR="000878EC">
        <w:t>'</w:t>
      </w:r>
      <w:r w:rsidR="00D11E4C">
        <w:t xml:space="preserve">accantonamento a fronte di una perdita dovuta al rischio operativo sono state rilevate per la prima volta nel conto profitti e perdite. Questa data segue logicamente la </w:t>
      </w:r>
      <w:r w:rsidR="000878EC">
        <w:t>"</w:t>
      </w:r>
      <w:r w:rsidR="00D11E4C">
        <w:t>data dell</w:t>
      </w:r>
      <w:r w:rsidR="000878EC">
        <w:t>'</w:t>
      </w:r>
      <w:r w:rsidR="00D11E4C">
        <w:t>evento</w:t>
      </w:r>
      <w:r w:rsidR="000878EC">
        <w:t>"</w:t>
      </w:r>
      <w:r w:rsidR="00D11E4C">
        <w:t xml:space="preserve"> (ossia la data in cui l</w:t>
      </w:r>
      <w:r w:rsidR="000878EC">
        <w:t>'</w:t>
      </w:r>
      <w:r w:rsidR="00D11E4C">
        <w:t xml:space="preserve">evento di rischio operativo è avvenuto o è iniziato) e la </w:t>
      </w:r>
      <w:r w:rsidR="000878EC">
        <w:t>"</w:t>
      </w:r>
      <w:r w:rsidR="00D11E4C">
        <w:t>data di scoperta</w:t>
      </w:r>
      <w:r w:rsidR="000878EC">
        <w:t>"</w:t>
      </w:r>
      <w:r w:rsidR="00D11E4C">
        <w:t xml:space="preserve"> (ossia la data in cui l</w:t>
      </w:r>
      <w:r w:rsidR="000878EC">
        <w:t>'</w:t>
      </w:r>
      <w:r w:rsidR="00D11E4C">
        <w:t>ente ha avuto conoscenza dell</w:t>
      </w:r>
      <w:r w:rsidR="000878EC">
        <w:t>'</w:t>
      </w:r>
      <w:r w:rsidR="00D11E4C">
        <w:t xml:space="preserve">evento di rischio operativo). </w:t>
      </w:r>
    </w:p>
    <w:p w:rsidR="00FD54FC" w:rsidRPr="00661595" w:rsidRDefault="00A971CA" w:rsidP="0002604C">
      <w:pPr>
        <w:pStyle w:val="InstructionsText2"/>
        <w:numPr>
          <w:ilvl w:val="0"/>
          <w:numId w:val="0"/>
        </w:numPr>
        <w:ind w:left="1680" w:hanging="480"/>
      </w:pPr>
      <w:r>
        <w:fldChar w:fldCharType="begin"/>
      </w:r>
      <w:r>
        <w:instrText xml:space="preserve"> seq paragraphs </w:instrText>
      </w:r>
      <w:r>
        <w:fldChar w:fldCharType="separate"/>
      </w:r>
      <w:r w:rsidR="00D11E4C">
        <w:rPr>
          <w:noProof/>
        </w:rPr>
        <w:t>149</w:t>
      </w:r>
      <w:r>
        <w:rPr>
          <w:noProof/>
        </w:rPr>
        <w:fldChar w:fldCharType="end"/>
      </w:r>
      <w:r w:rsidR="00D11E4C">
        <w:t>.</w:t>
      </w:r>
      <w:r w:rsidR="00D11E4C">
        <w:tab/>
        <w:t xml:space="preserve"> Le perdite derivanti da un evento comune di rischio operativo o da molteplici eventi collegati ad un primo evento di rischio operativo che genera eventi o perdite (</w:t>
      </w:r>
      <w:r w:rsidR="000878EC">
        <w:t>"</w:t>
      </w:r>
      <w:r w:rsidR="00D11E4C">
        <w:t>root-event</w:t>
      </w:r>
      <w:r w:rsidR="000878EC">
        <w:t>"</w:t>
      </w:r>
      <w:r w:rsidR="00D11E4C">
        <w:t>) sono raggruppate. Gli eventi raggruppati sono considerati e segnalati come un unico evento, e quindi i relativi importi delle perdite lorde o gli adeguamenti per perdite sono sommati.</w:t>
      </w:r>
    </w:p>
    <w:p w:rsidR="00FD54FC" w:rsidRPr="00661595" w:rsidRDefault="00A971CA" w:rsidP="0002604C">
      <w:pPr>
        <w:pStyle w:val="InstructionsText2"/>
        <w:numPr>
          <w:ilvl w:val="0"/>
          <w:numId w:val="0"/>
        </w:numPr>
        <w:ind w:left="1680" w:hanging="480"/>
      </w:pPr>
      <w:r>
        <w:fldChar w:fldCharType="begin"/>
      </w:r>
      <w:r>
        <w:instrText xml:space="preserve"> seq paragraphs </w:instrText>
      </w:r>
      <w:r>
        <w:fldChar w:fldCharType="separate"/>
      </w:r>
      <w:r w:rsidR="00D11E4C">
        <w:rPr>
          <w:noProof/>
        </w:rPr>
        <w:t>150</w:t>
      </w:r>
      <w:r>
        <w:rPr>
          <w:noProof/>
        </w:rPr>
        <w:fldChar w:fldCharType="end"/>
      </w:r>
      <w:r w:rsidR="00D11E4C">
        <w:t>.</w:t>
      </w:r>
      <w:r w:rsidR="00D11E4C">
        <w:tab/>
        <w:t xml:space="preserve"> Le cifre segnalate nel giugno del rispettivo anno sono dati provvisori, mentre i dati definitivi sono segnalati in dicembre. Di conseguenza i dati di giugno hanno un periodo di riferimento di sei mesi (vale a dire dal 1° gennaio al 30 giugno dell</w:t>
      </w:r>
      <w:r w:rsidR="000878EC">
        <w:t>'</w:t>
      </w:r>
      <w:r w:rsidR="00D11E4C">
        <w:t>anno civile) mentre i dati di dicembre hanno un periodo di riferimento di dodici mesi (vale a dire dal 1° gennaio al 31 dicembre dell</w:t>
      </w:r>
      <w:r w:rsidR="000878EC">
        <w:t>'</w:t>
      </w:r>
      <w:r w:rsidR="00D11E4C">
        <w:t xml:space="preserve">anno civile). Per i dati segnalati sia a giugno che a dicembre, per </w:t>
      </w:r>
      <w:r w:rsidR="000878EC">
        <w:t>"</w:t>
      </w:r>
      <w:r w:rsidR="00D11E4C">
        <w:t>precedenti periodi di riferimento per le segnalazioni</w:t>
      </w:r>
      <w:r w:rsidR="000878EC">
        <w:t>"</w:t>
      </w:r>
      <w:r w:rsidR="00D11E4C">
        <w:t xml:space="preserve"> si intendono tutti i periodi di riferimento per le segnalazioni fino a quello che termina alla fine dell</w:t>
      </w:r>
      <w:r w:rsidR="000878EC">
        <w:t>'</w:t>
      </w:r>
      <w:r w:rsidR="00D11E4C">
        <w:t>anno civile precedente compreso.</w:t>
      </w:r>
    </w:p>
    <w:p w:rsidR="00FD54FC" w:rsidRPr="00661595" w:rsidRDefault="00FD54FC" w:rsidP="0002604C">
      <w:pPr>
        <w:pStyle w:val="InstructionsText2"/>
        <w:numPr>
          <w:ilvl w:val="0"/>
          <w:numId w:val="0"/>
        </w:numPr>
        <w:ind w:left="1200"/>
      </w:pP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72" w:name="_Toc473561025"/>
      <w:bookmarkStart w:id="573" w:name="_Toc58915832"/>
      <w:r>
        <w:rPr>
          <w:rFonts w:ascii="Times New Roman" w:hAnsi="Times New Roman"/>
          <w:sz w:val="24"/>
          <w:u w:val="none"/>
        </w:rPr>
        <w:t>4.2.2.</w:t>
      </w:r>
      <w:r w:rsidRPr="0002604C">
        <w:rPr>
          <w:u w:val="none"/>
        </w:rPr>
        <w:tab/>
      </w:r>
      <w:r>
        <w:rPr>
          <w:rFonts w:ascii="Times New Roman" w:hAnsi="Times New Roman"/>
          <w:sz w:val="24"/>
        </w:rPr>
        <w:t>C 17.01: Perdite e recuperi da rischio operativo per linea di business e tipologia di evento di perdita nell</w:t>
      </w:r>
      <w:r w:rsidR="000878EC">
        <w:rPr>
          <w:rFonts w:ascii="Times New Roman" w:hAnsi="Times New Roman"/>
          <w:sz w:val="24"/>
        </w:rPr>
        <w:t>'</w:t>
      </w:r>
      <w:r>
        <w:rPr>
          <w:rFonts w:ascii="Times New Roman" w:hAnsi="Times New Roman"/>
          <w:sz w:val="24"/>
        </w:rPr>
        <w:t>ultimo anno (OPR DETAILS 1)</w:t>
      </w:r>
      <w:bookmarkEnd w:id="572"/>
      <w:bookmarkEnd w:id="573"/>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74" w:name="_Toc473561026"/>
      <w:bookmarkStart w:id="575" w:name="_Toc58915833"/>
      <w:r>
        <w:rPr>
          <w:rFonts w:ascii="Times New Roman" w:hAnsi="Times New Roman"/>
          <w:sz w:val="24"/>
          <w:u w:val="none"/>
        </w:rPr>
        <w:t>4.2.2.1.</w:t>
      </w:r>
      <w:r w:rsidRPr="0002604C">
        <w:rPr>
          <w:u w:val="none"/>
        </w:rPr>
        <w:tab/>
      </w:r>
      <w:r>
        <w:rPr>
          <w:rFonts w:ascii="Times New Roman" w:hAnsi="Times New Roman"/>
          <w:sz w:val="24"/>
        </w:rPr>
        <w:t>Osservazioni di carattere generale</w:t>
      </w:r>
      <w:bookmarkEnd w:id="574"/>
      <w:bookmarkEnd w:id="575"/>
    </w:p>
    <w:p w:rsidR="00FD54FC" w:rsidRPr="00661595" w:rsidRDefault="00A971CA" w:rsidP="002568B5">
      <w:pPr>
        <w:pStyle w:val="InstructionsText2"/>
        <w:numPr>
          <w:ilvl w:val="0"/>
          <w:numId w:val="0"/>
        </w:numPr>
        <w:ind w:left="1680" w:hanging="480"/>
      </w:pPr>
      <w:r>
        <w:fldChar w:fldCharType="begin"/>
      </w:r>
      <w:r>
        <w:instrText xml:space="preserve"> seq paragraphs </w:instrText>
      </w:r>
      <w:r>
        <w:fldChar w:fldCharType="separate"/>
      </w:r>
      <w:r w:rsidR="00D11E4C">
        <w:rPr>
          <w:noProof/>
        </w:rPr>
        <w:t>151</w:t>
      </w:r>
      <w:r>
        <w:rPr>
          <w:noProof/>
        </w:rPr>
        <w:fldChar w:fldCharType="end"/>
      </w:r>
      <w:r w:rsidR="002568B5">
        <w:t>.</w:t>
      </w:r>
      <w:r w:rsidR="002568B5">
        <w:tab/>
      </w:r>
      <w:r w:rsidR="00D11E4C">
        <w:t>Nel modello C 17.01 le informazioni sono riportate distribuendo le perdite e i recuperi superiori alle soglie interne tra le diverse linee di business (elencate nella tabella 2 dell</w:t>
      </w:r>
      <w:r w:rsidR="000878EC">
        <w:t>'</w:t>
      </w:r>
      <w:r w:rsidR="00D11E4C">
        <w:t xml:space="preserve">articolo 317 del CRR, compresa la linea di business aggiuntiva </w:t>
      </w:r>
      <w:r w:rsidR="000878EC">
        <w:t>"</w:t>
      </w:r>
      <w:r w:rsidR="00D11E4C">
        <w:t>elementi d</w:t>
      </w:r>
      <w:r w:rsidR="000878EC">
        <w:t>'</w:t>
      </w:r>
      <w:r w:rsidR="00D11E4C">
        <w:t>impresa</w:t>
      </w:r>
      <w:r w:rsidR="000878EC">
        <w:t>"</w:t>
      </w:r>
      <w:r w:rsidR="00D11E4C">
        <w:t xml:space="preserve"> di cui all</w:t>
      </w:r>
      <w:r w:rsidR="000878EC">
        <w:t>'</w:t>
      </w:r>
      <w:r w:rsidR="00D11E4C">
        <w:t>articolo 322, paragrafo 3, lettera b), del CRR) e le diverse tipologie di eventi di perdita (di cui all</w:t>
      </w:r>
      <w:r w:rsidR="000878EC">
        <w:t>'</w:t>
      </w:r>
      <w:r w:rsidR="00D11E4C">
        <w:t>articolo 324 del CRR). È possibile che le perdite associate a un unico evento di perdita siano ripartite tra una pluralità di linee di business.</w:t>
      </w:r>
    </w:p>
    <w:p w:rsidR="00FD54FC" w:rsidRPr="00661595" w:rsidRDefault="00A971CA" w:rsidP="002568B5">
      <w:pPr>
        <w:pStyle w:val="InstructionsText2"/>
        <w:numPr>
          <w:ilvl w:val="0"/>
          <w:numId w:val="0"/>
        </w:numPr>
        <w:ind w:left="1680" w:hanging="480"/>
      </w:pPr>
      <w:r>
        <w:fldChar w:fldCharType="begin"/>
      </w:r>
      <w:r>
        <w:instrText xml:space="preserve"> seq paragraphs </w:instrText>
      </w:r>
      <w:r>
        <w:fldChar w:fldCharType="separate"/>
      </w:r>
      <w:r w:rsidR="00D11E4C">
        <w:rPr>
          <w:noProof/>
        </w:rPr>
        <w:t>152</w:t>
      </w:r>
      <w:r>
        <w:rPr>
          <w:noProof/>
        </w:rPr>
        <w:fldChar w:fldCharType="end"/>
      </w:r>
      <w:r w:rsidR="002568B5">
        <w:t>.</w:t>
      </w:r>
      <w:r w:rsidR="002568B5">
        <w:tab/>
      </w:r>
      <w:r w:rsidR="00D11E4C">
        <w:t>Nelle colonne sono esposte le diverse tipologie di eventi di perdita e i totali di ciascuna linea di business, insieme a una voce per memoria che indica la soglia interna minima applicata nella raccolta dei dati relativi alle perdite; qualora vi sia più di una soglia, per ciascuna linea di business sono riportate sia la soglia minima che quella massima.</w:t>
      </w:r>
    </w:p>
    <w:p w:rsidR="00FD54FC" w:rsidRPr="00661595" w:rsidRDefault="00A971CA" w:rsidP="002568B5">
      <w:pPr>
        <w:pStyle w:val="InstructionsText2"/>
        <w:numPr>
          <w:ilvl w:val="0"/>
          <w:numId w:val="0"/>
        </w:numPr>
        <w:ind w:left="1680" w:hanging="480"/>
      </w:pPr>
      <w:r>
        <w:fldChar w:fldCharType="begin"/>
      </w:r>
      <w:r>
        <w:instrText xml:space="preserve"> seq paragraphs </w:instrText>
      </w:r>
      <w:r>
        <w:fldChar w:fldCharType="separate"/>
      </w:r>
      <w:r w:rsidR="00D11E4C">
        <w:rPr>
          <w:noProof/>
        </w:rPr>
        <w:t>153</w:t>
      </w:r>
      <w:r>
        <w:rPr>
          <w:noProof/>
        </w:rPr>
        <w:fldChar w:fldCharType="end"/>
      </w:r>
      <w:r w:rsidR="00D11E4C">
        <w:t>.</w:t>
      </w:r>
      <w:r w:rsidR="00D11E4C">
        <w:tab/>
        <w:t xml:space="preserve"> Nelle righe sono riportate le linee di business, e all</w:t>
      </w:r>
      <w:r w:rsidR="000878EC">
        <w:t>'</w:t>
      </w:r>
      <w:r w:rsidR="00D11E4C">
        <w:t>interno di ciascuna di esse sono contenute informazioni sul numero di eventi di perdita (eventi di perdita nuovi), l</w:t>
      </w:r>
      <w:r w:rsidR="000878EC">
        <w:t>'</w:t>
      </w:r>
      <w:r w:rsidR="00D11E4C">
        <w:t>importo delle perdite lorde (eventi di perdita nuovi), il numero di eventi di perdita soggetti ad adeguamenti per perdite, gli adeguamenti per perdite relativi a precedenti periodi di riferimento, la perdita singola massima, la somma delle cinque maggiori perdite e l</w:t>
      </w:r>
      <w:r w:rsidR="000878EC">
        <w:t>'</w:t>
      </w:r>
      <w:r w:rsidR="00D11E4C">
        <w:t>importo complessivo dei recuperi (recuperi diretti e recuperi da assicurazioni e altri meccanismi di trasferimento del rischio).</w:t>
      </w:r>
    </w:p>
    <w:p w:rsidR="00FD54FC" w:rsidRPr="00661595" w:rsidRDefault="00A971CA" w:rsidP="002568B5">
      <w:pPr>
        <w:pStyle w:val="InstructionsText2"/>
        <w:numPr>
          <w:ilvl w:val="0"/>
          <w:numId w:val="0"/>
        </w:numPr>
        <w:ind w:left="1680" w:hanging="480"/>
      </w:pPr>
      <w:r>
        <w:fldChar w:fldCharType="begin"/>
      </w:r>
      <w:r>
        <w:instrText xml:space="preserve"> seq paragraphs </w:instrText>
      </w:r>
      <w:r>
        <w:fldChar w:fldCharType="separate"/>
      </w:r>
      <w:r w:rsidR="00D11E4C">
        <w:rPr>
          <w:noProof/>
        </w:rPr>
        <w:t>154</w:t>
      </w:r>
      <w:r>
        <w:rPr>
          <w:noProof/>
        </w:rPr>
        <w:fldChar w:fldCharType="end"/>
      </w:r>
      <w:r w:rsidR="002568B5">
        <w:t>.</w:t>
      </w:r>
      <w:r w:rsidR="002568B5">
        <w:tab/>
      </w:r>
      <w:r w:rsidR="00D11E4C">
        <w:t>Per le linee di business totali sono segnalati anche i dati sul numero di eventi di perdita e l</w:t>
      </w:r>
      <w:r w:rsidR="000878EC">
        <w:t>'</w:t>
      </w:r>
      <w:r w:rsidR="00D11E4C">
        <w:t>importo delle perdite lorde per alcuni intervalli sulla base di soglie prestabilite: 10 000, 20 000, 100 000 e 1 000 000. Le soglie sono fissate in euro e sono incluse a fini di comparabilità tra gli enti delle perdite segnalate; pertanto esse non si riferiscono necessariamente alle soglie minime di perdita utilizzate per la raccolta interna dei dati sulle perdite, da segnalare in un</w:t>
      </w:r>
      <w:r w:rsidR="000878EC">
        <w:t>'</w:t>
      </w:r>
      <w:r w:rsidR="00D11E4C">
        <w:t>altra sezione del modello.</w:t>
      </w: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76" w:name="_Toc473561027"/>
      <w:bookmarkStart w:id="577" w:name="_Toc58915834"/>
      <w:r>
        <w:rPr>
          <w:rFonts w:ascii="Times New Roman" w:hAnsi="Times New Roman"/>
          <w:sz w:val="24"/>
          <w:u w:val="none"/>
        </w:rPr>
        <w:t>4.2.2.2.</w:t>
      </w:r>
      <w:r w:rsidRPr="002568B5">
        <w:rPr>
          <w:u w:val="none"/>
        </w:rPr>
        <w:tab/>
      </w:r>
      <w:r>
        <w:rPr>
          <w:rFonts w:ascii="Times New Roman" w:hAnsi="Times New Roman"/>
          <w:sz w:val="24"/>
        </w:rPr>
        <w:t>Istruzioni relative a posizioni specifiche</w:t>
      </w:r>
      <w:bookmarkEnd w:id="576"/>
      <w:bookmarkEnd w:id="5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1"/>
        <w:gridCol w:w="8081"/>
      </w:tblGrid>
      <w:tr w:rsidR="00FD54FC" w:rsidRPr="00661595" w:rsidTr="00672D2A">
        <w:trPr>
          <w:trHeight w:val="576"/>
        </w:trPr>
        <w:tc>
          <w:tcPr>
            <w:tcW w:w="9180" w:type="dxa"/>
            <w:gridSpan w:val="2"/>
            <w:shd w:val="clear" w:color="auto" w:fill="CCCCCC"/>
          </w:tcPr>
          <w:p w:rsidR="00FD54FC" w:rsidRPr="00661595" w:rsidRDefault="00FD54FC" w:rsidP="002568B5">
            <w:pPr>
              <w:suppressAutoHyphens/>
              <w:autoSpaceDE w:val="0"/>
              <w:autoSpaceDN w:val="0"/>
              <w:adjustRightInd w:val="0"/>
              <w:spacing w:after="0"/>
              <w:rPr>
                <w:rFonts w:ascii="Times New Roman" w:hAnsi="Times New Roman"/>
                <w:b/>
                <w:bCs/>
                <w:sz w:val="24"/>
              </w:rPr>
            </w:pPr>
            <w:r>
              <w:rPr>
                <w:rFonts w:ascii="Times New Roman" w:hAnsi="Times New Roman"/>
                <w:b/>
                <w:bCs/>
                <w:sz w:val="24"/>
              </w:rPr>
              <w:t>Colonne</w:t>
            </w:r>
          </w:p>
        </w:tc>
      </w:tr>
      <w:tr w:rsidR="00FD54FC" w:rsidRPr="00661595" w:rsidTr="00672D2A">
        <w:tc>
          <w:tcPr>
            <w:tcW w:w="985" w:type="dxa"/>
          </w:tcPr>
          <w:p w:rsidR="00FD54FC" w:rsidRPr="00661595" w:rsidRDefault="00C93FC2" w:rsidP="002568B5">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0010-0070</w:t>
            </w:r>
          </w:p>
        </w:tc>
        <w:tc>
          <w:tcPr>
            <w:tcW w:w="8195" w:type="dxa"/>
          </w:tcPr>
          <w:p w:rsidR="00FD54FC" w:rsidRPr="00661595" w:rsidRDefault="00FD54FC" w:rsidP="002568B5">
            <w:pPr>
              <w:suppressAutoHyphens/>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TIPOLOGIE DI EVENTI</w:t>
            </w:r>
          </w:p>
          <w:p w:rsidR="00FD54FC" w:rsidRPr="00661595" w:rsidRDefault="00FD54FC" w:rsidP="002568B5">
            <w:pPr>
              <w:suppressAutoHyphens/>
              <w:rPr>
                <w:rFonts w:ascii="Times New Roman" w:hAnsi="Times New Roman"/>
                <w:sz w:val="24"/>
              </w:rPr>
            </w:pPr>
            <w:r>
              <w:rPr>
                <w:rFonts w:ascii="Times New Roman" w:hAnsi="Times New Roman"/>
                <w:sz w:val="24"/>
              </w:rPr>
              <w:t>Gli enti segnalano le perdite nelle rispettive colonne da 0010 a 0070 in base alle tipologie di eventi di perdita di cui all</w:t>
            </w:r>
            <w:r w:rsidR="000878EC">
              <w:rPr>
                <w:rFonts w:ascii="Times New Roman" w:hAnsi="Times New Roman"/>
                <w:sz w:val="24"/>
              </w:rPr>
              <w:t>'</w:t>
            </w:r>
            <w:r>
              <w:rPr>
                <w:rFonts w:ascii="Times New Roman" w:hAnsi="Times New Roman"/>
                <w:sz w:val="24"/>
              </w:rPr>
              <w:t xml:space="preserve">articolo 324 del CRR. </w:t>
            </w:r>
          </w:p>
          <w:p w:rsidR="00FD54FC" w:rsidRPr="00661595" w:rsidRDefault="00FD54FC" w:rsidP="002568B5">
            <w:pPr>
              <w:suppressAutoHyphens/>
              <w:rPr>
                <w:rFonts w:ascii="Times New Roman" w:hAnsi="Times New Roman"/>
                <w:bCs/>
                <w:sz w:val="24"/>
              </w:rPr>
            </w:pPr>
            <w:r>
              <w:rPr>
                <w:rFonts w:ascii="Times New Roman" w:hAnsi="Times New Roman"/>
                <w:bCs/>
                <w:sz w:val="24"/>
              </w:rPr>
              <w:t>Gli enti che calcolano il requisito di fondi propri secondo il metodo BIA possono segnalare solo nella colonna 080 le perdite dovute a una tipologia di evento di perdita non identificata.</w:t>
            </w:r>
          </w:p>
        </w:tc>
      </w:tr>
      <w:tr w:rsidR="00FD54FC" w:rsidRPr="00661595" w:rsidTr="00672D2A">
        <w:tc>
          <w:tcPr>
            <w:tcW w:w="985" w:type="dxa"/>
          </w:tcPr>
          <w:p w:rsidR="00FD54FC" w:rsidRPr="00661595" w:rsidRDefault="00C93FC2" w:rsidP="002568B5">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0080</w:t>
            </w:r>
          </w:p>
        </w:tc>
        <w:tc>
          <w:tcPr>
            <w:tcW w:w="8195" w:type="dxa"/>
          </w:tcPr>
          <w:p w:rsidR="00FD54FC" w:rsidRPr="00661595" w:rsidRDefault="00FD54FC" w:rsidP="002568B5">
            <w:pPr>
              <w:suppressAutoHyphens/>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TOTALE TIPOLOGIE DI EVENTI DI PERDITA </w:t>
            </w:r>
          </w:p>
          <w:p w:rsidR="008D30F0" w:rsidRPr="00661595" w:rsidRDefault="00FD54FC" w:rsidP="002568B5">
            <w:pPr>
              <w:suppressAutoHyphens/>
              <w:rPr>
                <w:rStyle w:val="InstructionsTabelleText"/>
                <w:rFonts w:ascii="Times New Roman" w:hAnsi="Times New Roman"/>
                <w:sz w:val="24"/>
              </w:rPr>
            </w:pPr>
            <w:r>
              <w:rPr>
                <w:rStyle w:val="InstructionsTabelleText"/>
                <w:rFonts w:ascii="Times New Roman" w:hAnsi="Times New Roman"/>
                <w:sz w:val="24"/>
              </w:rPr>
              <w:t xml:space="preserve">Nella colonna 0080, per ciascuna linea di business gli enti segnalano il </w:t>
            </w:r>
            <w:r w:rsidR="000878EC">
              <w:rPr>
                <w:rStyle w:val="InstructionsTabelleText"/>
                <w:rFonts w:ascii="Times New Roman" w:hAnsi="Times New Roman"/>
                <w:sz w:val="24"/>
              </w:rPr>
              <w:t>"</w:t>
            </w:r>
            <w:r>
              <w:rPr>
                <w:rStyle w:val="InstructionsTabelleText"/>
                <w:rFonts w:ascii="Times New Roman" w:hAnsi="Times New Roman"/>
                <w:sz w:val="24"/>
              </w:rPr>
              <w:t>numero di eventi di perdita (eventi di perdita nuovi)</w:t>
            </w:r>
            <w:r w:rsidR="000878EC">
              <w:rPr>
                <w:rStyle w:val="InstructionsTabelleText"/>
                <w:rFonts w:ascii="Times New Roman" w:hAnsi="Times New Roman"/>
                <w:sz w:val="24"/>
              </w:rPr>
              <w:t>"</w:t>
            </w:r>
            <w:r>
              <w:rPr>
                <w:rStyle w:val="InstructionsTabelleText"/>
                <w:rFonts w:ascii="Times New Roman" w:hAnsi="Times New Roman"/>
                <w:sz w:val="24"/>
              </w:rPr>
              <w:t xml:space="preserve"> totale, l</w:t>
            </w:r>
            <w:r w:rsidR="000878EC">
              <w:rPr>
                <w:rStyle w:val="InstructionsTabelleText"/>
                <w:rFonts w:ascii="Times New Roman" w:hAnsi="Times New Roman"/>
                <w:sz w:val="24"/>
              </w:rPr>
              <w:t>'"</w:t>
            </w:r>
            <w:r>
              <w:rPr>
                <w:rStyle w:val="InstructionsTabelleText"/>
                <w:rFonts w:ascii="Times New Roman" w:hAnsi="Times New Roman"/>
                <w:sz w:val="24"/>
              </w:rPr>
              <w:t>importo delle perdite lorde (eventi di perdita nuovi)</w:t>
            </w:r>
            <w:r w:rsidR="000878EC">
              <w:rPr>
                <w:rStyle w:val="InstructionsTabelleText"/>
                <w:rFonts w:ascii="Times New Roman" w:hAnsi="Times New Roman"/>
                <w:sz w:val="24"/>
              </w:rPr>
              <w:t>"</w:t>
            </w:r>
            <w:r>
              <w:rPr>
                <w:rStyle w:val="InstructionsTabelleText"/>
                <w:rFonts w:ascii="Times New Roman" w:hAnsi="Times New Roman"/>
                <w:sz w:val="24"/>
              </w:rPr>
              <w:t xml:space="preserve"> totale, il </w:t>
            </w:r>
            <w:r w:rsidR="000878EC">
              <w:rPr>
                <w:rStyle w:val="InstructionsTabelleText"/>
                <w:rFonts w:ascii="Times New Roman" w:hAnsi="Times New Roman"/>
                <w:sz w:val="24"/>
              </w:rPr>
              <w:t>"</w:t>
            </w:r>
            <w:r>
              <w:rPr>
                <w:rStyle w:val="InstructionsTabelleText"/>
                <w:rFonts w:ascii="Times New Roman" w:hAnsi="Times New Roman"/>
                <w:sz w:val="24"/>
              </w:rPr>
              <w:t>numero di eventi di perdita soggetti ad adeguamenti per perdite</w:t>
            </w:r>
            <w:r w:rsidR="000878EC">
              <w:rPr>
                <w:rStyle w:val="InstructionsTabelleText"/>
                <w:rFonts w:ascii="Times New Roman" w:hAnsi="Times New Roman"/>
                <w:sz w:val="24"/>
              </w:rPr>
              <w:t>"</w:t>
            </w:r>
            <w:r>
              <w:rPr>
                <w:rStyle w:val="InstructionsTabelleText"/>
                <w:rFonts w:ascii="Times New Roman" w:hAnsi="Times New Roman"/>
                <w:sz w:val="24"/>
              </w:rPr>
              <w:t xml:space="preserve"> totale, gli </w:t>
            </w:r>
            <w:r w:rsidR="000878EC">
              <w:rPr>
                <w:rStyle w:val="InstructionsTabelleText"/>
                <w:rFonts w:ascii="Times New Roman" w:hAnsi="Times New Roman"/>
                <w:sz w:val="24"/>
              </w:rPr>
              <w:t>"</w:t>
            </w:r>
            <w:r>
              <w:rPr>
                <w:rStyle w:val="InstructionsTabelleText"/>
                <w:rFonts w:ascii="Times New Roman" w:hAnsi="Times New Roman"/>
                <w:sz w:val="24"/>
              </w:rPr>
              <w:t>adeguamenti per perdite relativi a precedenti periodi di riferimento</w:t>
            </w:r>
            <w:r w:rsidR="000878EC">
              <w:rPr>
                <w:rStyle w:val="InstructionsTabelleText"/>
                <w:rFonts w:ascii="Times New Roman" w:hAnsi="Times New Roman"/>
                <w:sz w:val="24"/>
              </w:rPr>
              <w:t>"</w:t>
            </w:r>
            <w:r>
              <w:rPr>
                <w:rStyle w:val="InstructionsTabelleText"/>
                <w:rFonts w:ascii="Times New Roman" w:hAnsi="Times New Roman"/>
                <w:sz w:val="24"/>
              </w:rPr>
              <w:t xml:space="preserve"> totali, la </w:t>
            </w:r>
            <w:r w:rsidR="000878EC">
              <w:rPr>
                <w:rStyle w:val="InstructionsTabelleText"/>
                <w:rFonts w:ascii="Times New Roman" w:hAnsi="Times New Roman"/>
                <w:sz w:val="24"/>
              </w:rPr>
              <w:t>"</w:t>
            </w:r>
            <w:r>
              <w:rPr>
                <w:rStyle w:val="InstructionsTabelleText"/>
                <w:rFonts w:ascii="Times New Roman" w:hAnsi="Times New Roman"/>
                <w:sz w:val="24"/>
              </w:rPr>
              <w:t>perdita singola massima</w:t>
            </w:r>
            <w:r w:rsidR="000878EC">
              <w:rPr>
                <w:rStyle w:val="InstructionsTabelleText"/>
                <w:rFonts w:ascii="Times New Roman" w:hAnsi="Times New Roman"/>
                <w:sz w:val="24"/>
              </w:rPr>
              <w:t>"</w:t>
            </w:r>
            <w:r>
              <w:rPr>
                <w:rStyle w:val="InstructionsTabelleText"/>
                <w:rFonts w:ascii="Times New Roman" w:hAnsi="Times New Roman"/>
                <w:sz w:val="24"/>
              </w:rPr>
              <w:t xml:space="preserve">, la </w:t>
            </w:r>
            <w:r w:rsidR="000878EC">
              <w:rPr>
                <w:rStyle w:val="InstructionsTabelleText"/>
                <w:rFonts w:ascii="Times New Roman" w:hAnsi="Times New Roman"/>
                <w:sz w:val="24"/>
              </w:rPr>
              <w:t>"</w:t>
            </w:r>
            <w:r>
              <w:rPr>
                <w:rStyle w:val="InstructionsTabelleText"/>
                <w:rFonts w:ascii="Times New Roman" w:hAnsi="Times New Roman"/>
                <w:sz w:val="24"/>
              </w:rPr>
              <w:t>somma delle cinque maggiori perdite</w:t>
            </w:r>
            <w:r w:rsidR="000878EC">
              <w:rPr>
                <w:rStyle w:val="InstructionsTabelleText"/>
                <w:rFonts w:ascii="Times New Roman" w:hAnsi="Times New Roman"/>
                <w:sz w:val="24"/>
              </w:rPr>
              <w:t>"</w:t>
            </w:r>
            <w:r>
              <w:rPr>
                <w:rStyle w:val="InstructionsTabelleText"/>
                <w:rFonts w:ascii="Times New Roman" w:hAnsi="Times New Roman"/>
                <w:sz w:val="24"/>
              </w:rPr>
              <w:t>, il totale dell</w:t>
            </w:r>
            <w:r w:rsidR="000878EC">
              <w:rPr>
                <w:rStyle w:val="InstructionsTabelleText"/>
                <w:rFonts w:ascii="Times New Roman" w:hAnsi="Times New Roman"/>
                <w:sz w:val="24"/>
              </w:rPr>
              <w:t>'"</w:t>
            </w:r>
            <w:r>
              <w:rPr>
                <w:rStyle w:val="InstructionsTabelleText"/>
                <w:rFonts w:ascii="Times New Roman" w:hAnsi="Times New Roman"/>
                <w:sz w:val="24"/>
              </w:rPr>
              <w:t>importo complessivo dei recuperi diretti</w:t>
            </w:r>
            <w:r w:rsidR="000878EC">
              <w:rPr>
                <w:rStyle w:val="InstructionsTabelleText"/>
                <w:rFonts w:ascii="Times New Roman" w:hAnsi="Times New Roman"/>
                <w:sz w:val="24"/>
              </w:rPr>
              <w:t>"</w:t>
            </w:r>
            <w:r>
              <w:rPr>
                <w:rStyle w:val="InstructionsTabelleText"/>
                <w:rFonts w:ascii="Times New Roman" w:hAnsi="Times New Roman"/>
                <w:sz w:val="24"/>
              </w:rPr>
              <w:t xml:space="preserve"> e il totale dell</w:t>
            </w:r>
            <w:r w:rsidR="000878EC">
              <w:rPr>
                <w:rStyle w:val="InstructionsTabelleText"/>
                <w:rFonts w:ascii="Times New Roman" w:hAnsi="Times New Roman"/>
                <w:sz w:val="24"/>
              </w:rPr>
              <w:t>'"</w:t>
            </w:r>
            <w:r>
              <w:rPr>
                <w:rStyle w:val="InstructionsTabelleText"/>
                <w:rFonts w:ascii="Times New Roman" w:hAnsi="Times New Roman"/>
                <w:sz w:val="24"/>
              </w:rPr>
              <w:t>importo complessivo dei recuperi da assicurazioni e altri meccanismi di trasferimento del rischio</w:t>
            </w:r>
            <w:r w:rsidR="000878EC">
              <w:rPr>
                <w:rStyle w:val="InstructionsTabelleText"/>
                <w:rFonts w:ascii="Times New Roman" w:hAnsi="Times New Roman"/>
                <w:sz w:val="24"/>
              </w:rPr>
              <w:t>"</w:t>
            </w:r>
            <w:r>
              <w:rPr>
                <w:rStyle w:val="InstructionsTabelleText"/>
                <w:rFonts w:ascii="Times New Roman" w:hAnsi="Times New Roman"/>
                <w:sz w:val="24"/>
              </w:rPr>
              <w:t>.</w:t>
            </w:r>
          </w:p>
          <w:p w:rsidR="00FD54FC" w:rsidRPr="00661595" w:rsidRDefault="00FD54FC" w:rsidP="002568B5">
            <w:pPr>
              <w:suppressAutoHyphens/>
              <w:rPr>
                <w:rStyle w:val="InstructionsTabelleText"/>
                <w:rFonts w:ascii="Times New Roman" w:hAnsi="Times New Roman"/>
                <w:sz w:val="24"/>
              </w:rPr>
            </w:pPr>
            <w:r>
              <w:rPr>
                <w:rStyle w:val="InstructionsTabelleText"/>
                <w:rFonts w:ascii="Times New Roman" w:hAnsi="Times New Roman"/>
                <w:sz w:val="24"/>
              </w:rPr>
              <w:t>A condizione che l</w:t>
            </w:r>
            <w:r w:rsidR="000878EC">
              <w:rPr>
                <w:rStyle w:val="InstructionsTabelleText"/>
                <w:rFonts w:ascii="Times New Roman" w:hAnsi="Times New Roman"/>
                <w:sz w:val="24"/>
              </w:rPr>
              <w:t>'</w:t>
            </w:r>
            <w:r>
              <w:rPr>
                <w:rStyle w:val="InstructionsTabelleText"/>
                <w:rFonts w:ascii="Times New Roman" w:hAnsi="Times New Roman"/>
                <w:sz w:val="24"/>
              </w:rPr>
              <w:t xml:space="preserve">ente abbia individuato le tipologie di eventi di perdita per tutte le perdite, la colonna 080 illustra la semplice aggregazione del numero degli eventi di perdita, degli importi complessivi delle perdite lorde, degli importi complessivi dei recuperi e degli adeguamenti per perdite relativi a precedenti periodi di riferimento riportati nelle colonne da 0010 a 0070. </w:t>
            </w:r>
          </w:p>
          <w:p w:rsidR="00FD54FC" w:rsidRPr="00661595" w:rsidRDefault="00FD54FC" w:rsidP="002568B5">
            <w:pPr>
              <w:suppressAutoHyphens/>
              <w:rPr>
                <w:rStyle w:val="InstructionsTabelleText"/>
                <w:rFonts w:ascii="Times New Roman" w:hAnsi="Times New Roman"/>
                <w:sz w:val="24"/>
              </w:rPr>
            </w:pPr>
            <w:r>
              <w:rPr>
                <w:rStyle w:val="InstructionsTabelleText"/>
                <w:rFonts w:ascii="Times New Roman" w:hAnsi="Times New Roman"/>
                <w:sz w:val="24"/>
              </w:rPr>
              <w:t xml:space="preserve">La </w:t>
            </w:r>
            <w:r w:rsidR="000878EC">
              <w:rPr>
                <w:rStyle w:val="InstructionsTabelleText"/>
                <w:rFonts w:ascii="Times New Roman" w:hAnsi="Times New Roman"/>
                <w:sz w:val="24"/>
              </w:rPr>
              <w:t>"</w:t>
            </w:r>
            <w:r>
              <w:rPr>
                <w:rStyle w:val="InstructionsTabelleText"/>
                <w:rFonts w:ascii="Times New Roman" w:hAnsi="Times New Roman"/>
                <w:sz w:val="24"/>
              </w:rPr>
              <w:t>perdita singola massima</w:t>
            </w:r>
            <w:r w:rsidR="000878EC">
              <w:rPr>
                <w:rStyle w:val="InstructionsTabelleText"/>
                <w:rFonts w:ascii="Times New Roman" w:hAnsi="Times New Roman"/>
                <w:sz w:val="24"/>
              </w:rPr>
              <w:t>"</w:t>
            </w:r>
            <w:r>
              <w:rPr>
                <w:rStyle w:val="InstructionsTabelleText"/>
                <w:rFonts w:ascii="Times New Roman" w:hAnsi="Times New Roman"/>
                <w:sz w:val="24"/>
              </w:rPr>
              <w:t xml:space="preserve"> segnalata nella colonna 0080 è la perdita singola massima all</w:t>
            </w:r>
            <w:r w:rsidR="000878EC">
              <w:rPr>
                <w:rStyle w:val="InstructionsTabelleText"/>
                <w:rFonts w:ascii="Times New Roman" w:hAnsi="Times New Roman"/>
                <w:sz w:val="24"/>
              </w:rPr>
              <w:t>'</w:t>
            </w:r>
            <w:r>
              <w:rPr>
                <w:rStyle w:val="InstructionsTabelleText"/>
                <w:rFonts w:ascii="Times New Roman" w:hAnsi="Times New Roman"/>
                <w:sz w:val="24"/>
              </w:rPr>
              <w:t xml:space="preserve">interno di una linea di business ed è identica al massimo delle </w:t>
            </w:r>
            <w:r w:rsidR="000878EC">
              <w:rPr>
                <w:rStyle w:val="InstructionsTabelleText"/>
                <w:rFonts w:ascii="Times New Roman" w:hAnsi="Times New Roman"/>
                <w:sz w:val="24"/>
              </w:rPr>
              <w:t>"</w:t>
            </w:r>
            <w:r>
              <w:rPr>
                <w:rStyle w:val="InstructionsTabelleText"/>
                <w:rFonts w:ascii="Times New Roman" w:hAnsi="Times New Roman"/>
                <w:sz w:val="24"/>
              </w:rPr>
              <w:t>perdite singole massime</w:t>
            </w:r>
            <w:r w:rsidR="000878EC">
              <w:rPr>
                <w:rStyle w:val="InstructionsTabelleText"/>
                <w:rFonts w:ascii="Times New Roman" w:hAnsi="Times New Roman"/>
                <w:sz w:val="24"/>
              </w:rPr>
              <w:t>"</w:t>
            </w:r>
            <w:r>
              <w:rPr>
                <w:rStyle w:val="InstructionsTabelleText"/>
                <w:rFonts w:ascii="Times New Roman" w:hAnsi="Times New Roman"/>
                <w:sz w:val="24"/>
              </w:rPr>
              <w:t xml:space="preserve"> indicate nelle colonne da 0010 a 0070, a condizione che l</w:t>
            </w:r>
            <w:r w:rsidR="000878EC">
              <w:rPr>
                <w:rStyle w:val="InstructionsTabelleText"/>
                <w:rFonts w:ascii="Times New Roman" w:hAnsi="Times New Roman"/>
                <w:sz w:val="24"/>
              </w:rPr>
              <w:t>'</w:t>
            </w:r>
            <w:r>
              <w:rPr>
                <w:rStyle w:val="InstructionsTabelleText"/>
                <w:rFonts w:ascii="Times New Roman" w:hAnsi="Times New Roman"/>
                <w:sz w:val="24"/>
              </w:rPr>
              <w:t xml:space="preserve">ente abbia individuato le tipologie di eventi di perdita per tutte le perdite. </w:t>
            </w:r>
          </w:p>
          <w:p w:rsidR="00FD54FC" w:rsidRPr="00661595" w:rsidRDefault="00FD54FC" w:rsidP="002568B5">
            <w:pPr>
              <w:suppressAutoHyphens/>
              <w:rPr>
                <w:rFonts w:ascii="Times New Roman" w:hAnsi="Times New Roman"/>
                <w:bCs/>
                <w:sz w:val="24"/>
              </w:rPr>
            </w:pPr>
            <w:r>
              <w:rPr>
                <w:rStyle w:val="InstructionsTabelleText"/>
                <w:rFonts w:ascii="Times New Roman" w:hAnsi="Times New Roman"/>
                <w:sz w:val="24"/>
              </w:rPr>
              <w:t>Come somma delle cinque maggiori perdite, nella colonna 0080 è segnalata la somma delle cinque maggiori perdite all</w:t>
            </w:r>
            <w:r w:rsidR="000878EC">
              <w:rPr>
                <w:rStyle w:val="InstructionsTabelleText"/>
                <w:rFonts w:ascii="Times New Roman" w:hAnsi="Times New Roman"/>
                <w:sz w:val="24"/>
              </w:rPr>
              <w:t>'</w:t>
            </w:r>
            <w:r>
              <w:rPr>
                <w:rStyle w:val="InstructionsTabelleText"/>
                <w:rFonts w:ascii="Times New Roman" w:hAnsi="Times New Roman"/>
                <w:sz w:val="24"/>
              </w:rPr>
              <w:t>interno della corrispondente linea di business.</w:t>
            </w:r>
          </w:p>
        </w:tc>
      </w:tr>
      <w:tr w:rsidR="00FD54FC" w:rsidRPr="00661595" w:rsidTr="00672D2A">
        <w:tc>
          <w:tcPr>
            <w:tcW w:w="985" w:type="dxa"/>
          </w:tcPr>
          <w:p w:rsidR="00FD54FC" w:rsidRPr="00661595" w:rsidRDefault="00C93FC2" w:rsidP="002568B5">
            <w:pPr>
              <w:suppressAutoHyphens/>
              <w:autoSpaceDE w:val="0"/>
              <w:autoSpaceDN w:val="0"/>
              <w:adjustRightInd w:val="0"/>
              <w:spacing w:before="0" w:after="0"/>
              <w:rPr>
                <w:rFonts w:ascii="Times New Roman" w:hAnsi="Times New Roman"/>
                <w:bCs/>
                <w:sz w:val="24"/>
              </w:rPr>
            </w:pPr>
            <w:r>
              <w:rPr>
                <w:rFonts w:ascii="Times New Roman" w:hAnsi="Times New Roman"/>
                <w:bCs/>
                <w:sz w:val="24"/>
              </w:rPr>
              <w:t>0090-0100</w:t>
            </w:r>
          </w:p>
        </w:tc>
        <w:tc>
          <w:tcPr>
            <w:tcW w:w="8195" w:type="dxa"/>
          </w:tcPr>
          <w:p w:rsidR="00FD54FC" w:rsidRPr="00661595" w:rsidRDefault="00FD54FC" w:rsidP="002568B5">
            <w:pPr>
              <w:suppressAutoHyphens/>
              <w:autoSpaceDE w:val="0"/>
              <w:autoSpaceDN w:val="0"/>
              <w:adjustRightInd w:val="0"/>
              <w:spacing w:before="0" w:after="0"/>
              <w:rPr>
                <w:rFonts w:ascii="Times New Roman" w:hAnsi="Times New Roman"/>
                <w:sz w:val="24"/>
              </w:rPr>
            </w:pPr>
            <w:r>
              <w:rPr>
                <w:rStyle w:val="InstructionsTabelleberschrift"/>
                <w:rFonts w:ascii="Times New Roman" w:hAnsi="Times New Roman"/>
                <w:sz w:val="24"/>
              </w:rPr>
              <w:t>VOCE PER MEMORIA: SOGLIA APPLICATA NELLA RACCOLTA DI DATI</w:t>
            </w:r>
          </w:p>
          <w:p w:rsidR="00FD54FC" w:rsidRPr="00661595" w:rsidRDefault="00FD54FC" w:rsidP="002568B5">
            <w:pPr>
              <w:suppressAutoHyphens/>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Gli enti segnalano nelle colonne 0090 e 0100 le soglie minime di perdita che applicano alla raccolta di dati interni sulle perdite conformemente all</w:t>
            </w:r>
            <w:r w:rsidR="000878EC">
              <w:rPr>
                <w:rStyle w:val="InstructionsTabelleText"/>
                <w:rFonts w:ascii="Times New Roman" w:hAnsi="Times New Roman"/>
                <w:sz w:val="24"/>
              </w:rPr>
              <w:t>'</w:t>
            </w:r>
            <w:r>
              <w:rPr>
                <w:rStyle w:val="InstructionsTabelleText"/>
                <w:rFonts w:ascii="Times New Roman" w:hAnsi="Times New Roman"/>
                <w:sz w:val="24"/>
              </w:rPr>
              <w:t xml:space="preserve">articolo 322, paragrafo 3, lettera c), ultima frase, del CRR. </w:t>
            </w:r>
          </w:p>
          <w:p w:rsidR="00FD54FC" w:rsidRPr="00661595" w:rsidRDefault="001F6487" w:rsidP="002568B5">
            <w:pPr>
              <w:suppressAutoHyphens/>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Se applica una sola soglia in ciascuna linea di business, l</w:t>
            </w:r>
            <w:r w:rsidR="000878EC">
              <w:rPr>
                <w:rStyle w:val="InstructionsTabelleText"/>
                <w:rFonts w:ascii="Times New Roman" w:hAnsi="Times New Roman"/>
                <w:sz w:val="24"/>
              </w:rPr>
              <w:t>'</w:t>
            </w:r>
            <w:r>
              <w:rPr>
                <w:rStyle w:val="InstructionsTabelleText"/>
                <w:rFonts w:ascii="Times New Roman" w:hAnsi="Times New Roman"/>
                <w:sz w:val="24"/>
              </w:rPr>
              <w:t xml:space="preserve">ente compila soltanto la colonna 0090. </w:t>
            </w:r>
          </w:p>
          <w:p w:rsidR="00650B6C" w:rsidRPr="00661595" w:rsidRDefault="001F6487" w:rsidP="002568B5">
            <w:pPr>
              <w:suppressAutoHyphens/>
              <w:rPr>
                <w:rStyle w:val="InstructionsTabelleText"/>
                <w:rFonts w:ascii="Times New Roman" w:hAnsi="Times New Roman"/>
                <w:sz w:val="24"/>
              </w:rPr>
            </w:pPr>
            <w:r>
              <w:rPr>
                <w:rStyle w:val="InstructionsTabelleText"/>
                <w:rFonts w:ascii="Times New Roman" w:hAnsi="Times New Roman"/>
                <w:sz w:val="24"/>
              </w:rPr>
              <w:t>Se applica soglie differenti all</w:t>
            </w:r>
            <w:r w:rsidR="000878EC">
              <w:rPr>
                <w:rStyle w:val="InstructionsTabelleText"/>
                <w:rFonts w:ascii="Times New Roman" w:hAnsi="Times New Roman"/>
                <w:sz w:val="24"/>
              </w:rPr>
              <w:t>'</w:t>
            </w:r>
            <w:r>
              <w:rPr>
                <w:rStyle w:val="InstructionsTabelleText"/>
                <w:rFonts w:ascii="Times New Roman" w:hAnsi="Times New Roman"/>
                <w:sz w:val="24"/>
              </w:rPr>
              <w:t>interno della medesima linea di business regolamentare, segnala anche la soglia massima applicabile (colonna 0100).</w:t>
            </w:r>
          </w:p>
        </w:tc>
      </w:tr>
    </w:tbl>
    <w:p w:rsidR="00FD54FC" w:rsidRPr="005730EA" w:rsidRDefault="00FD54FC" w:rsidP="00FD54FC">
      <w:pPr>
        <w:pStyle w:val="PlainText"/>
        <w:jc w:val="both"/>
        <w:rPr>
          <w:rFonts w:ascii="Times New Roman" w:hAnsi="Times New Roman"/>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4"/>
        <w:gridCol w:w="7968"/>
      </w:tblGrid>
      <w:tr w:rsidR="00FD54FC" w:rsidRPr="00661595" w:rsidTr="00672D2A">
        <w:trPr>
          <w:trHeight w:val="504"/>
        </w:trPr>
        <w:tc>
          <w:tcPr>
            <w:tcW w:w="9180" w:type="dxa"/>
            <w:gridSpan w:val="2"/>
            <w:shd w:val="clear" w:color="auto" w:fill="CCCCCC"/>
          </w:tcPr>
          <w:p w:rsidR="00FD54FC" w:rsidRPr="00661595" w:rsidRDefault="00FD54FC" w:rsidP="002568B5">
            <w:pPr>
              <w:keepNext/>
              <w:keepLines/>
              <w:suppressAutoHyphens/>
              <w:autoSpaceDE w:val="0"/>
              <w:autoSpaceDN w:val="0"/>
              <w:adjustRightInd w:val="0"/>
              <w:spacing w:after="0"/>
              <w:rPr>
                <w:rFonts w:ascii="Times New Roman" w:hAnsi="Times New Roman"/>
                <w:b/>
                <w:bCs/>
                <w:sz w:val="24"/>
              </w:rPr>
            </w:pPr>
            <w:r>
              <w:rPr>
                <w:rFonts w:ascii="Times New Roman" w:hAnsi="Times New Roman"/>
                <w:b/>
                <w:bCs/>
                <w:sz w:val="24"/>
              </w:rPr>
              <w:t>Righe</w:t>
            </w:r>
          </w:p>
        </w:tc>
      </w:tr>
      <w:tr w:rsidR="00FD54FC" w:rsidRPr="00661595" w:rsidTr="00672D2A">
        <w:tc>
          <w:tcPr>
            <w:tcW w:w="1101" w:type="dxa"/>
          </w:tcPr>
          <w:p w:rsidR="00FD54FC" w:rsidRPr="00661595" w:rsidRDefault="00C93FC2" w:rsidP="002568B5">
            <w:pPr>
              <w:suppressAutoHyphens/>
              <w:rPr>
                <w:rFonts w:ascii="Times New Roman" w:hAnsi="Times New Roman"/>
                <w:bCs/>
                <w:sz w:val="24"/>
              </w:rPr>
            </w:pPr>
            <w:r>
              <w:rPr>
                <w:rFonts w:ascii="Times New Roman" w:hAnsi="Times New Roman"/>
                <w:sz w:val="24"/>
              </w:rPr>
              <w:t>0010</w:t>
            </w:r>
            <w:r>
              <w:rPr>
                <w:rFonts w:ascii="Times New Roman" w:hAnsi="Times New Roman"/>
                <w:bCs/>
                <w:sz w:val="24"/>
              </w:rPr>
              <w:t>-0880</w:t>
            </w:r>
          </w:p>
        </w:tc>
        <w:tc>
          <w:tcPr>
            <w:tcW w:w="8079" w:type="dxa"/>
          </w:tcPr>
          <w:p w:rsidR="00FD54FC" w:rsidRPr="00661595" w:rsidRDefault="00FD54FC" w:rsidP="002568B5">
            <w:pPr>
              <w:suppressAutoHyphens/>
              <w:rPr>
                <w:rStyle w:val="InstructionsTabelleberschrift"/>
                <w:rFonts w:ascii="Times New Roman" w:hAnsi="Times New Roman"/>
                <w:sz w:val="24"/>
              </w:rPr>
            </w:pPr>
            <w:r>
              <w:rPr>
                <w:rStyle w:val="InstructionsTabelleberschrift"/>
                <w:rFonts w:ascii="Times New Roman" w:hAnsi="Times New Roman"/>
                <w:sz w:val="24"/>
              </w:rPr>
              <w:t>LINEE DI BUSINESS: SERVIZI FINANZIARI PER L</w:t>
            </w:r>
            <w:r w:rsidR="000878EC">
              <w:rPr>
                <w:rStyle w:val="InstructionsTabelleberschrift"/>
                <w:rFonts w:ascii="Times New Roman" w:hAnsi="Times New Roman"/>
                <w:sz w:val="24"/>
              </w:rPr>
              <w:t>'</w:t>
            </w:r>
            <w:r>
              <w:rPr>
                <w:rStyle w:val="InstructionsTabelleberschrift"/>
                <w:rFonts w:ascii="Times New Roman" w:hAnsi="Times New Roman"/>
                <w:sz w:val="24"/>
              </w:rPr>
              <w:t>IMPRESA (CORPORATE FINANCE) [CF], NEGOZIAZIONI E VENDITE (TRADING AND SALES) [TS], INTERMEDIAZIONE AL DETTAGLIO (RETAIL BROKERAGE) [RBr], SERVIZI BANCARI A CARATTERE COMMERCIALE (COMMERCIAL BANKING) [CB], SERVIZI BANCARI AL DETTAGLIO (RETAIL BANKING) [RB], PAGAMENTI E REGOLAMENTI (PAYMENT AND SETTLEMENT) [PS], GESTIONI FIDUCIARIE (AGENCY SERVICES) [AS], GESTIONI PATRIMONIALI (ASSET MANAGEMENT) [AM], ELEMENTI D</w:t>
            </w:r>
            <w:r w:rsidR="000878EC">
              <w:rPr>
                <w:rStyle w:val="InstructionsTabelleberschrift"/>
                <w:rFonts w:ascii="Times New Roman" w:hAnsi="Times New Roman"/>
                <w:sz w:val="24"/>
              </w:rPr>
              <w:t>'</w:t>
            </w:r>
            <w:r>
              <w:rPr>
                <w:rStyle w:val="InstructionsTabelleberschrift"/>
                <w:rFonts w:ascii="Times New Roman" w:hAnsi="Times New Roman"/>
                <w:sz w:val="24"/>
              </w:rPr>
              <w:t>IMPRESA (CORPORATE ITEMS) [CI]</w:t>
            </w:r>
          </w:p>
          <w:p w:rsidR="00FD54FC" w:rsidRPr="00661595" w:rsidRDefault="00FD54FC" w:rsidP="002568B5">
            <w:pPr>
              <w:pStyle w:val="PlainText"/>
              <w:suppressAutoHyphens/>
              <w:jc w:val="both"/>
              <w:rPr>
                <w:rFonts w:ascii="Times New Roman" w:hAnsi="Times New Roman"/>
                <w:sz w:val="24"/>
                <w:szCs w:val="24"/>
              </w:rPr>
            </w:pPr>
            <w:r>
              <w:rPr>
                <w:rFonts w:ascii="Times New Roman" w:hAnsi="Times New Roman"/>
                <w:sz w:val="24"/>
                <w:szCs w:val="24"/>
              </w:rPr>
              <w:t>Per ciascuna linea di business di cui alla tabella 2 dell</w:t>
            </w:r>
            <w:r w:rsidR="000878EC">
              <w:rPr>
                <w:rFonts w:ascii="Times New Roman" w:hAnsi="Times New Roman"/>
                <w:sz w:val="24"/>
                <w:szCs w:val="24"/>
              </w:rPr>
              <w:t>'</w:t>
            </w:r>
            <w:r>
              <w:rPr>
                <w:rFonts w:ascii="Times New Roman" w:hAnsi="Times New Roman"/>
                <w:sz w:val="24"/>
                <w:szCs w:val="24"/>
              </w:rPr>
              <w:t xml:space="preserve">articolo 317, paragrafo 4, del CRR, compresa la linea di business aggiuntiva </w:t>
            </w:r>
            <w:r w:rsidR="000878EC">
              <w:rPr>
                <w:rFonts w:ascii="Times New Roman" w:hAnsi="Times New Roman"/>
                <w:sz w:val="24"/>
                <w:szCs w:val="24"/>
              </w:rPr>
              <w:t>"</w:t>
            </w:r>
            <w:r>
              <w:rPr>
                <w:rFonts w:ascii="Times New Roman" w:hAnsi="Times New Roman"/>
                <w:sz w:val="24"/>
                <w:szCs w:val="24"/>
              </w:rPr>
              <w:t>elementi d</w:t>
            </w:r>
            <w:r w:rsidR="000878EC">
              <w:rPr>
                <w:rFonts w:ascii="Times New Roman" w:hAnsi="Times New Roman"/>
                <w:sz w:val="24"/>
                <w:szCs w:val="24"/>
              </w:rPr>
              <w:t>'</w:t>
            </w:r>
            <w:r>
              <w:rPr>
                <w:rFonts w:ascii="Times New Roman" w:hAnsi="Times New Roman"/>
                <w:sz w:val="24"/>
                <w:szCs w:val="24"/>
              </w:rPr>
              <w:t>impresa</w:t>
            </w:r>
            <w:r w:rsidR="000878EC">
              <w:rPr>
                <w:rFonts w:ascii="Times New Roman" w:hAnsi="Times New Roman"/>
                <w:sz w:val="24"/>
                <w:szCs w:val="24"/>
              </w:rPr>
              <w:t>"</w:t>
            </w:r>
            <w:r>
              <w:rPr>
                <w:rFonts w:ascii="Times New Roman" w:hAnsi="Times New Roman"/>
                <w:sz w:val="24"/>
                <w:szCs w:val="24"/>
              </w:rPr>
              <w:t xml:space="preserve"> di cui all</w:t>
            </w:r>
            <w:r w:rsidR="000878EC">
              <w:rPr>
                <w:rFonts w:ascii="Times New Roman" w:hAnsi="Times New Roman"/>
                <w:sz w:val="24"/>
                <w:szCs w:val="24"/>
              </w:rPr>
              <w:t>'</w:t>
            </w:r>
            <w:r>
              <w:rPr>
                <w:rFonts w:ascii="Times New Roman" w:hAnsi="Times New Roman"/>
                <w:sz w:val="24"/>
                <w:szCs w:val="24"/>
              </w:rPr>
              <w:t>articolo 322, paragrafo 3, lettera b), del CRR, e per ciascuna tipologia di evento di perdita, l</w:t>
            </w:r>
            <w:r w:rsidR="000878EC">
              <w:rPr>
                <w:rFonts w:ascii="Times New Roman" w:hAnsi="Times New Roman"/>
                <w:sz w:val="24"/>
                <w:szCs w:val="24"/>
              </w:rPr>
              <w:t>'</w:t>
            </w:r>
            <w:r>
              <w:rPr>
                <w:rFonts w:ascii="Times New Roman" w:hAnsi="Times New Roman"/>
                <w:sz w:val="24"/>
                <w:szCs w:val="24"/>
              </w:rPr>
              <w:t xml:space="preserve">ente segnala le seguenti informazioni in base alle soglie interne: il </w:t>
            </w:r>
            <w:r w:rsidR="000878EC">
              <w:rPr>
                <w:rFonts w:ascii="Times New Roman" w:hAnsi="Times New Roman"/>
                <w:sz w:val="24"/>
                <w:szCs w:val="24"/>
              </w:rPr>
              <w:t>"</w:t>
            </w:r>
            <w:r>
              <w:rPr>
                <w:rFonts w:ascii="Times New Roman" w:hAnsi="Times New Roman"/>
                <w:sz w:val="24"/>
                <w:szCs w:val="24"/>
              </w:rPr>
              <w:t>numero di eventi di perdita (eventi di perdita nuovi)</w:t>
            </w:r>
            <w:r w:rsidR="000878EC">
              <w:rPr>
                <w:rFonts w:ascii="Times New Roman" w:hAnsi="Times New Roman"/>
                <w:sz w:val="24"/>
                <w:szCs w:val="24"/>
              </w:rPr>
              <w:t>"</w:t>
            </w:r>
            <w:r>
              <w:rPr>
                <w:rFonts w:ascii="Times New Roman" w:hAnsi="Times New Roman"/>
                <w:sz w:val="24"/>
                <w:szCs w:val="24"/>
              </w:rPr>
              <w:t>, l</w:t>
            </w:r>
            <w:r w:rsidR="000878EC">
              <w:rPr>
                <w:rFonts w:ascii="Times New Roman" w:hAnsi="Times New Roman"/>
                <w:sz w:val="24"/>
                <w:szCs w:val="24"/>
              </w:rPr>
              <w:t>'"</w:t>
            </w:r>
            <w:r>
              <w:rPr>
                <w:rFonts w:ascii="Times New Roman" w:hAnsi="Times New Roman"/>
                <w:sz w:val="24"/>
                <w:szCs w:val="24"/>
              </w:rPr>
              <w:t>importo delle perdite lorde (eventi di perdita nuovi)</w:t>
            </w:r>
            <w:r w:rsidR="000878EC">
              <w:rPr>
                <w:rFonts w:ascii="Times New Roman" w:hAnsi="Times New Roman"/>
                <w:sz w:val="24"/>
                <w:szCs w:val="24"/>
              </w:rPr>
              <w:t>"</w:t>
            </w:r>
            <w:r>
              <w:rPr>
                <w:rFonts w:ascii="Times New Roman" w:hAnsi="Times New Roman"/>
                <w:sz w:val="24"/>
                <w:szCs w:val="24"/>
              </w:rPr>
              <w:t xml:space="preserve">, il </w:t>
            </w:r>
            <w:r w:rsidR="000878EC">
              <w:rPr>
                <w:rFonts w:ascii="Times New Roman" w:hAnsi="Times New Roman"/>
                <w:sz w:val="24"/>
                <w:szCs w:val="24"/>
              </w:rPr>
              <w:t>"</w:t>
            </w:r>
            <w:r>
              <w:rPr>
                <w:rFonts w:ascii="Times New Roman" w:hAnsi="Times New Roman"/>
                <w:sz w:val="24"/>
                <w:szCs w:val="24"/>
              </w:rPr>
              <w:t>numero di eventi di perdita soggetti ad adeguamenti per perdite</w:t>
            </w:r>
            <w:r w:rsidR="000878EC">
              <w:rPr>
                <w:rFonts w:ascii="Times New Roman" w:hAnsi="Times New Roman"/>
                <w:sz w:val="24"/>
                <w:szCs w:val="24"/>
              </w:rPr>
              <w:t>"</w:t>
            </w:r>
            <w:r>
              <w:rPr>
                <w:rFonts w:ascii="Times New Roman" w:hAnsi="Times New Roman"/>
                <w:sz w:val="24"/>
                <w:szCs w:val="24"/>
              </w:rPr>
              <w:t xml:space="preserve">, gli </w:t>
            </w:r>
            <w:r w:rsidR="000878EC">
              <w:rPr>
                <w:rFonts w:ascii="Times New Roman" w:hAnsi="Times New Roman"/>
                <w:sz w:val="24"/>
                <w:szCs w:val="24"/>
              </w:rPr>
              <w:t>"</w:t>
            </w:r>
            <w:r>
              <w:rPr>
                <w:rFonts w:ascii="Times New Roman" w:hAnsi="Times New Roman"/>
                <w:sz w:val="24"/>
                <w:szCs w:val="24"/>
              </w:rPr>
              <w:t>adeguamenti per perdite relativi a precedenti periodi di riferimento</w:t>
            </w:r>
            <w:r w:rsidR="000878EC">
              <w:rPr>
                <w:rFonts w:ascii="Times New Roman" w:hAnsi="Times New Roman"/>
                <w:sz w:val="24"/>
                <w:szCs w:val="24"/>
              </w:rPr>
              <w:t>"</w:t>
            </w:r>
            <w:r>
              <w:rPr>
                <w:rFonts w:ascii="Times New Roman" w:hAnsi="Times New Roman"/>
                <w:sz w:val="24"/>
                <w:szCs w:val="24"/>
              </w:rPr>
              <w:t xml:space="preserve">, la </w:t>
            </w:r>
            <w:r w:rsidR="000878EC">
              <w:rPr>
                <w:rFonts w:ascii="Times New Roman" w:hAnsi="Times New Roman"/>
                <w:sz w:val="24"/>
                <w:szCs w:val="24"/>
              </w:rPr>
              <w:t>"</w:t>
            </w:r>
            <w:r>
              <w:rPr>
                <w:rFonts w:ascii="Times New Roman" w:hAnsi="Times New Roman"/>
                <w:sz w:val="24"/>
                <w:szCs w:val="24"/>
              </w:rPr>
              <w:t>perdita singola massima</w:t>
            </w:r>
            <w:r w:rsidR="000878EC">
              <w:rPr>
                <w:rFonts w:ascii="Times New Roman" w:hAnsi="Times New Roman"/>
                <w:sz w:val="24"/>
                <w:szCs w:val="24"/>
              </w:rPr>
              <w:t>"</w:t>
            </w:r>
            <w:r>
              <w:rPr>
                <w:rFonts w:ascii="Times New Roman" w:hAnsi="Times New Roman"/>
                <w:sz w:val="24"/>
                <w:szCs w:val="24"/>
              </w:rPr>
              <w:t xml:space="preserve">, la </w:t>
            </w:r>
            <w:r w:rsidR="000878EC">
              <w:rPr>
                <w:rFonts w:ascii="Times New Roman" w:hAnsi="Times New Roman"/>
                <w:sz w:val="24"/>
                <w:szCs w:val="24"/>
              </w:rPr>
              <w:t>"</w:t>
            </w:r>
            <w:r>
              <w:rPr>
                <w:rFonts w:ascii="Times New Roman" w:hAnsi="Times New Roman"/>
                <w:sz w:val="24"/>
                <w:szCs w:val="24"/>
              </w:rPr>
              <w:t>somma delle cinque maggiori perdite</w:t>
            </w:r>
            <w:r w:rsidR="000878EC">
              <w:rPr>
                <w:rFonts w:ascii="Times New Roman" w:hAnsi="Times New Roman"/>
                <w:sz w:val="24"/>
                <w:szCs w:val="24"/>
              </w:rPr>
              <w:t>"</w:t>
            </w:r>
            <w:r>
              <w:rPr>
                <w:rFonts w:ascii="Times New Roman" w:hAnsi="Times New Roman"/>
                <w:sz w:val="24"/>
                <w:szCs w:val="24"/>
              </w:rPr>
              <w:t>, l</w:t>
            </w:r>
            <w:r w:rsidR="000878EC">
              <w:rPr>
                <w:rFonts w:ascii="Times New Roman" w:hAnsi="Times New Roman"/>
                <w:sz w:val="24"/>
                <w:szCs w:val="24"/>
              </w:rPr>
              <w:t>'"</w:t>
            </w:r>
            <w:r>
              <w:rPr>
                <w:rFonts w:ascii="Times New Roman" w:hAnsi="Times New Roman"/>
                <w:sz w:val="24"/>
                <w:szCs w:val="24"/>
              </w:rPr>
              <w:t>importo complessivo dei recuperi diretti</w:t>
            </w:r>
            <w:r w:rsidR="000878EC">
              <w:rPr>
                <w:rFonts w:ascii="Times New Roman" w:hAnsi="Times New Roman"/>
                <w:sz w:val="24"/>
                <w:szCs w:val="24"/>
              </w:rPr>
              <w:t>"</w:t>
            </w:r>
            <w:r>
              <w:rPr>
                <w:rFonts w:ascii="Times New Roman" w:hAnsi="Times New Roman"/>
                <w:sz w:val="24"/>
                <w:szCs w:val="24"/>
              </w:rPr>
              <w:t xml:space="preserve"> e l</w:t>
            </w:r>
            <w:r w:rsidR="000878EC">
              <w:rPr>
                <w:rFonts w:ascii="Times New Roman" w:hAnsi="Times New Roman"/>
                <w:sz w:val="24"/>
                <w:szCs w:val="24"/>
              </w:rPr>
              <w:t>'"</w:t>
            </w:r>
            <w:r>
              <w:rPr>
                <w:rFonts w:ascii="Times New Roman" w:hAnsi="Times New Roman"/>
                <w:sz w:val="24"/>
                <w:szCs w:val="24"/>
              </w:rPr>
              <w:t>importo complessivo dei recuperi da assicurazioni e altri meccanismi di trasferimento del rischio</w:t>
            </w:r>
            <w:r w:rsidR="000878EC">
              <w:rPr>
                <w:rFonts w:ascii="Times New Roman" w:hAnsi="Times New Roman"/>
                <w:sz w:val="24"/>
                <w:szCs w:val="24"/>
              </w:rPr>
              <w:t>"</w:t>
            </w:r>
            <w:r>
              <w:rPr>
                <w:rFonts w:ascii="Times New Roman" w:hAnsi="Times New Roman"/>
                <w:sz w:val="24"/>
                <w:szCs w:val="24"/>
              </w:rPr>
              <w:t>.</w:t>
            </w:r>
          </w:p>
          <w:p w:rsidR="00FD54FC" w:rsidRPr="00661595" w:rsidRDefault="00FD54FC" w:rsidP="002568B5">
            <w:pPr>
              <w:suppressAutoHyphens/>
              <w:rPr>
                <w:rFonts w:ascii="Times New Roman" w:hAnsi="Times New Roman"/>
                <w:sz w:val="24"/>
              </w:rPr>
            </w:pPr>
            <w:r>
              <w:rPr>
                <w:rFonts w:ascii="Times New Roman" w:hAnsi="Times New Roman"/>
                <w:sz w:val="24"/>
              </w:rPr>
              <w:t>Nel caso di un evento di perdita che riguardi più di una linea di business, l</w:t>
            </w:r>
            <w:r w:rsidR="000878EC">
              <w:rPr>
                <w:rFonts w:ascii="Times New Roman" w:hAnsi="Times New Roman"/>
                <w:sz w:val="24"/>
              </w:rPr>
              <w:t>'"</w:t>
            </w:r>
            <w:r>
              <w:rPr>
                <w:rFonts w:ascii="Times New Roman" w:hAnsi="Times New Roman"/>
                <w:sz w:val="24"/>
              </w:rPr>
              <w:t>importo delle perdite lorde</w:t>
            </w:r>
            <w:r w:rsidR="000878EC">
              <w:rPr>
                <w:rFonts w:ascii="Times New Roman" w:hAnsi="Times New Roman"/>
                <w:sz w:val="24"/>
              </w:rPr>
              <w:t>"</w:t>
            </w:r>
            <w:r>
              <w:rPr>
                <w:rFonts w:ascii="Times New Roman" w:hAnsi="Times New Roman"/>
                <w:sz w:val="24"/>
              </w:rPr>
              <w:t xml:space="preserve"> è distribuito tra tutte le linee di business interessate.</w:t>
            </w:r>
          </w:p>
          <w:p w:rsidR="00FD54FC" w:rsidRPr="00661595" w:rsidRDefault="00FD54FC" w:rsidP="002568B5">
            <w:pPr>
              <w:suppressAutoHyphens/>
              <w:rPr>
                <w:rFonts w:ascii="Times New Roman" w:hAnsi="Times New Roman"/>
                <w:bCs/>
                <w:sz w:val="24"/>
              </w:rPr>
            </w:pPr>
            <w:r>
              <w:rPr>
                <w:rFonts w:ascii="Times New Roman" w:hAnsi="Times New Roman"/>
                <w:sz w:val="24"/>
              </w:rPr>
              <w:t>Gli enti che calcolano il requisito di fondi propri secondo il metodo BIA possono segnalare solo nelle righe 0910-0980 le perdite relative a una linea di business non identificata.</w:t>
            </w:r>
          </w:p>
        </w:tc>
      </w:tr>
      <w:tr w:rsidR="00FD54FC" w:rsidRPr="00661595" w:rsidTr="00672D2A">
        <w:tc>
          <w:tcPr>
            <w:tcW w:w="1101" w:type="dxa"/>
          </w:tcPr>
          <w:p w:rsidR="00FD54FC" w:rsidRPr="00661595" w:rsidRDefault="00C93FC2" w:rsidP="002568B5">
            <w:pPr>
              <w:suppressAutoHyphens/>
              <w:rPr>
                <w:rFonts w:ascii="Times New Roman" w:hAnsi="Times New Roman"/>
                <w:bCs/>
                <w:sz w:val="24"/>
              </w:rPr>
            </w:pPr>
            <w:r>
              <w:rPr>
                <w:rFonts w:ascii="Times New Roman" w:hAnsi="Times New Roman"/>
                <w:bCs/>
                <w:sz w:val="24"/>
              </w:rPr>
              <w:t>0010, 0110, 0210, 0310, 0410, 0510, 0610, 0710, 0810</w:t>
            </w:r>
          </w:p>
        </w:tc>
        <w:tc>
          <w:tcPr>
            <w:tcW w:w="8079" w:type="dxa"/>
          </w:tcPr>
          <w:p w:rsidR="00FD54FC" w:rsidRPr="00661595" w:rsidRDefault="00FD54FC" w:rsidP="002568B5">
            <w:pPr>
              <w:suppressAutoHyphens/>
              <w:rPr>
                <w:rStyle w:val="InstructionsTabelleberschrift"/>
                <w:rFonts w:ascii="Times New Roman" w:hAnsi="Times New Roman"/>
                <w:sz w:val="24"/>
              </w:rPr>
            </w:pPr>
            <w:r>
              <w:rPr>
                <w:rStyle w:val="InstructionsTabelleberschrift"/>
                <w:rFonts w:ascii="Times New Roman" w:hAnsi="Times New Roman"/>
                <w:sz w:val="24"/>
              </w:rPr>
              <w:t>Numero di eventi di perdita (eventi di perdita nuovi)</w:t>
            </w:r>
          </w:p>
          <w:p w:rsidR="00FD54FC" w:rsidRPr="00661595" w:rsidRDefault="00FD54FC" w:rsidP="002568B5">
            <w:pPr>
              <w:suppressAutoHyphens/>
              <w:rPr>
                <w:rFonts w:ascii="Times New Roman" w:hAnsi="Times New Roman"/>
                <w:sz w:val="24"/>
              </w:rPr>
            </w:pPr>
            <w:r>
              <w:rPr>
                <w:rFonts w:ascii="Times New Roman" w:hAnsi="Times New Roman"/>
                <w:sz w:val="24"/>
              </w:rPr>
              <w:t>Il numero di eventi di perdita è il numero di eventi di perdita per cui sono state contabilizzate perdite lorde nel periodo di riferimento per le segnalazioni.</w:t>
            </w:r>
          </w:p>
          <w:p w:rsidR="00FD54FC" w:rsidRPr="00661595" w:rsidRDefault="00FD54FC" w:rsidP="002568B5">
            <w:pPr>
              <w:suppressAutoHyphens/>
              <w:rPr>
                <w:rFonts w:ascii="Times New Roman" w:hAnsi="Times New Roman"/>
                <w:sz w:val="24"/>
              </w:rPr>
            </w:pPr>
            <w:r>
              <w:rPr>
                <w:rFonts w:ascii="Times New Roman" w:hAnsi="Times New Roman"/>
                <w:sz w:val="24"/>
              </w:rPr>
              <w:t xml:space="preserve">Il numero di eventi di perdita fa riferimento a </w:t>
            </w:r>
            <w:r w:rsidR="000878EC">
              <w:rPr>
                <w:rFonts w:ascii="Times New Roman" w:hAnsi="Times New Roman"/>
                <w:sz w:val="24"/>
              </w:rPr>
              <w:t>"</w:t>
            </w:r>
            <w:r>
              <w:rPr>
                <w:rFonts w:ascii="Times New Roman" w:hAnsi="Times New Roman"/>
                <w:sz w:val="24"/>
              </w:rPr>
              <w:t>eventi nuovi</w:t>
            </w:r>
            <w:r w:rsidR="000878EC">
              <w:rPr>
                <w:rFonts w:ascii="Times New Roman" w:hAnsi="Times New Roman"/>
                <w:sz w:val="24"/>
              </w:rPr>
              <w:t>"</w:t>
            </w:r>
            <w:r>
              <w:rPr>
                <w:rFonts w:ascii="Times New Roman" w:hAnsi="Times New Roman"/>
                <w:sz w:val="24"/>
              </w:rPr>
              <w:t>, vale a dire eventi di rischio operativo</w:t>
            </w:r>
          </w:p>
          <w:p w:rsidR="00FD54FC" w:rsidRPr="00661595" w:rsidRDefault="00FD54FC" w:rsidP="002568B5">
            <w:pPr>
              <w:tabs>
                <w:tab w:val="left" w:pos="459"/>
              </w:tabs>
              <w:suppressAutoHyphens/>
              <w:ind w:left="459" w:hanging="459"/>
              <w:rPr>
                <w:rFonts w:ascii="Times New Roman" w:hAnsi="Times New Roman"/>
                <w:sz w:val="24"/>
              </w:rPr>
            </w:pPr>
            <w:r>
              <w:rPr>
                <w:rFonts w:ascii="Times New Roman" w:hAnsi="Times New Roman"/>
                <w:sz w:val="24"/>
              </w:rPr>
              <w:t>i)</w:t>
            </w:r>
            <w:r>
              <w:tab/>
            </w:r>
            <w:r w:rsidR="000878EC">
              <w:rPr>
                <w:rFonts w:ascii="Times New Roman" w:hAnsi="Times New Roman"/>
                <w:sz w:val="24"/>
              </w:rPr>
              <w:t>"</w:t>
            </w:r>
            <w:r>
              <w:rPr>
                <w:rFonts w:ascii="Times New Roman" w:hAnsi="Times New Roman"/>
                <w:sz w:val="24"/>
              </w:rPr>
              <w:t>contabilizzati per la prima volta</w:t>
            </w:r>
            <w:r w:rsidR="000878EC">
              <w:rPr>
                <w:rFonts w:ascii="Times New Roman" w:hAnsi="Times New Roman"/>
                <w:sz w:val="24"/>
              </w:rPr>
              <w:t>"</w:t>
            </w:r>
            <w:r>
              <w:rPr>
                <w:rFonts w:ascii="Times New Roman" w:hAnsi="Times New Roman"/>
                <w:sz w:val="24"/>
              </w:rPr>
              <w:t xml:space="preserve"> nel periodo di riferimento per le segnalazioni; o</w:t>
            </w:r>
          </w:p>
          <w:p w:rsidR="00FD54FC" w:rsidRPr="00661595" w:rsidRDefault="00FD54FC" w:rsidP="002568B5">
            <w:pPr>
              <w:tabs>
                <w:tab w:val="left" w:pos="459"/>
              </w:tabs>
              <w:suppressAutoHyphens/>
              <w:ind w:left="459" w:hanging="459"/>
              <w:rPr>
                <w:rFonts w:ascii="Times New Roman" w:hAnsi="Times New Roman"/>
                <w:sz w:val="24"/>
              </w:rPr>
            </w:pPr>
            <w:r>
              <w:rPr>
                <w:rFonts w:ascii="Times New Roman" w:hAnsi="Times New Roman"/>
                <w:sz w:val="24"/>
              </w:rPr>
              <w:t>ii)</w:t>
            </w:r>
            <w:r>
              <w:tab/>
            </w:r>
            <w:r w:rsidR="000878EC">
              <w:rPr>
                <w:rFonts w:ascii="Times New Roman" w:hAnsi="Times New Roman"/>
                <w:sz w:val="24"/>
              </w:rPr>
              <w:t>"</w:t>
            </w:r>
            <w:r>
              <w:rPr>
                <w:rFonts w:ascii="Times New Roman" w:hAnsi="Times New Roman"/>
                <w:sz w:val="24"/>
              </w:rPr>
              <w:t>contabilizzati per la prima volta</w:t>
            </w:r>
            <w:r w:rsidR="000878EC">
              <w:rPr>
                <w:rFonts w:ascii="Times New Roman" w:hAnsi="Times New Roman"/>
                <w:sz w:val="24"/>
              </w:rPr>
              <w:t>"</w:t>
            </w:r>
            <w:r>
              <w:rPr>
                <w:rFonts w:ascii="Times New Roman" w:hAnsi="Times New Roman"/>
                <w:sz w:val="24"/>
              </w:rPr>
              <w:t xml:space="preserve"> in un precedente periodo di riferimento per le segnalazioni, se l</w:t>
            </w:r>
            <w:r w:rsidR="000878EC">
              <w:rPr>
                <w:rFonts w:ascii="Times New Roman" w:hAnsi="Times New Roman"/>
                <w:sz w:val="24"/>
              </w:rPr>
              <w:t>'</w:t>
            </w:r>
            <w:r>
              <w:rPr>
                <w:rFonts w:ascii="Times New Roman" w:hAnsi="Times New Roman"/>
                <w:sz w:val="24"/>
              </w:rPr>
              <w:t>evento di perdita non era stato incluso in nessuna precedente segnalazione ai fini di vigilanza, per esempio perché è stato identificato come evento di perdita dovuto al rischio operativo solo nell</w:t>
            </w:r>
            <w:r w:rsidR="000878EC">
              <w:rPr>
                <w:rFonts w:ascii="Times New Roman" w:hAnsi="Times New Roman"/>
                <w:sz w:val="24"/>
              </w:rPr>
              <w:t>'</w:t>
            </w:r>
            <w:r>
              <w:rPr>
                <w:rFonts w:ascii="Times New Roman" w:hAnsi="Times New Roman"/>
                <w:sz w:val="24"/>
              </w:rPr>
              <w:t>attuale periodo di riferimento per le segnalazioni o perché la perdita accumulata imputabile a tale evento di perdita (ossia la perdita originaria più/meno tutti gli adeguamenti per perdite effettuati nei precedenti periodi di riferimento per le segnalazioni) ha superato la soglia per la raccolta di dati interni soltanto nell</w:t>
            </w:r>
            <w:r w:rsidR="000878EC">
              <w:rPr>
                <w:rFonts w:ascii="Times New Roman" w:hAnsi="Times New Roman"/>
                <w:sz w:val="24"/>
              </w:rPr>
              <w:t>'</w:t>
            </w:r>
            <w:r>
              <w:rPr>
                <w:rFonts w:ascii="Times New Roman" w:hAnsi="Times New Roman"/>
                <w:sz w:val="24"/>
              </w:rPr>
              <w:t>attuale periodo di riferimento per le segnalazioni.</w:t>
            </w:r>
          </w:p>
          <w:p w:rsidR="00FD54FC" w:rsidRPr="00661595" w:rsidRDefault="00FD54FC" w:rsidP="002568B5">
            <w:pPr>
              <w:suppressAutoHyphens/>
              <w:rPr>
                <w:rStyle w:val="InstructionsTabelleberschrift"/>
                <w:rFonts w:ascii="Times New Roman" w:hAnsi="Times New Roman"/>
                <w:sz w:val="24"/>
              </w:rPr>
            </w:pPr>
            <w:r>
              <w:rPr>
                <w:rFonts w:ascii="Times New Roman" w:hAnsi="Times New Roman"/>
                <w:sz w:val="24"/>
              </w:rPr>
              <w:t xml:space="preserve">Gli </w:t>
            </w:r>
            <w:r w:rsidR="000878EC">
              <w:rPr>
                <w:rFonts w:ascii="Times New Roman" w:hAnsi="Times New Roman"/>
                <w:sz w:val="24"/>
              </w:rPr>
              <w:t>"</w:t>
            </w:r>
            <w:r>
              <w:rPr>
                <w:rFonts w:ascii="Times New Roman" w:hAnsi="Times New Roman"/>
                <w:sz w:val="24"/>
              </w:rPr>
              <w:t>eventi di perdita nuovi</w:t>
            </w:r>
            <w:r w:rsidR="000878EC">
              <w:rPr>
                <w:rFonts w:ascii="Times New Roman" w:hAnsi="Times New Roman"/>
                <w:sz w:val="24"/>
              </w:rPr>
              <w:t>"</w:t>
            </w:r>
            <w:r>
              <w:rPr>
                <w:rFonts w:ascii="Times New Roman" w:hAnsi="Times New Roman"/>
                <w:sz w:val="24"/>
              </w:rPr>
              <w:t xml:space="preserve"> non comprendono gli eventi di perdita </w:t>
            </w:r>
            <w:r w:rsidR="000878EC">
              <w:rPr>
                <w:rFonts w:ascii="Times New Roman" w:hAnsi="Times New Roman"/>
                <w:sz w:val="24"/>
              </w:rPr>
              <w:t>"</w:t>
            </w:r>
            <w:r>
              <w:rPr>
                <w:rFonts w:ascii="Times New Roman" w:hAnsi="Times New Roman"/>
                <w:sz w:val="24"/>
              </w:rPr>
              <w:t>contabilizzati per la prima volta</w:t>
            </w:r>
            <w:r w:rsidR="000878EC">
              <w:rPr>
                <w:rFonts w:ascii="Times New Roman" w:hAnsi="Times New Roman"/>
                <w:sz w:val="24"/>
              </w:rPr>
              <w:t>"</w:t>
            </w:r>
            <w:r>
              <w:rPr>
                <w:rFonts w:ascii="Times New Roman" w:hAnsi="Times New Roman"/>
                <w:sz w:val="24"/>
              </w:rPr>
              <w:t xml:space="preserve"> in un precedente periodo di riferimento per le segnalazioni già inclusi in precedenti segnalazioni ai fini di vigilanza.</w:t>
            </w:r>
          </w:p>
        </w:tc>
      </w:tr>
      <w:tr w:rsidR="00FD54FC" w:rsidRPr="00661595" w:rsidTr="00672D2A">
        <w:tc>
          <w:tcPr>
            <w:tcW w:w="1101" w:type="dxa"/>
          </w:tcPr>
          <w:p w:rsidR="00FD54FC" w:rsidRPr="00661595" w:rsidRDefault="00C93FC2" w:rsidP="002568B5">
            <w:pPr>
              <w:suppressAutoHyphens/>
              <w:rPr>
                <w:rFonts w:ascii="Times New Roman" w:hAnsi="Times New Roman"/>
                <w:bCs/>
                <w:sz w:val="24"/>
              </w:rPr>
            </w:pPr>
            <w:r>
              <w:rPr>
                <w:rFonts w:ascii="Times New Roman" w:hAnsi="Times New Roman"/>
                <w:bCs/>
                <w:sz w:val="24"/>
              </w:rPr>
              <w:t>0020, 0120, 0220, 0320, 0420, 0520, 0620, 0720, 0820</w:t>
            </w:r>
          </w:p>
        </w:tc>
        <w:tc>
          <w:tcPr>
            <w:tcW w:w="8079" w:type="dxa"/>
          </w:tcPr>
          <w:p w:rsidR="00FD54FC" w:rsidRPr="00661595" w:rsidRDefault="00FD54FC" w:rsidP="002568B5">
            <w:pPr>
              <w:suppressAutoHyphens/>
              <w:rPr>
                <w:rStyle w:val="InstructionsTabelleberschrift"/>
                <w:rFonts w:ascii="Times New Roman" w:hAnsi="Times New Roman"/>
                <w:sz w:val="24"/>
              </w:rPr>
            </w:pPr>
            <w:r>
              <w:rPr>
                <w:rStyle w:val="InstructionsTabelleberschrift"/>
                <w:rFonts w:ascii="Times New Roman" w:hAnsi="Times New Roman"/>
                <w:sz w:val="24"/>
              </w:rPr>
              <w:t>Importo delle perdite lorde (eventi di perdita nuovi)</w:t>
            </w:r>
          </w:p>
          <w:p w:rsidR="00FD54FC" w:rsidRPr="00661595" w:rsidRDefault="00FD54FC" w:rsidP="002568B5">
            <w:pPr>
              <w:suppressAutoHyphens/>
              <w:rPr>
                <w:rFonts w:ascii="Times New Roman" w:hAnsi="Times New Roman"/>
                <w:sz w:val="24"/>
              </w:rPr>
            </w:pPr>
            <w:r>
              <w:rPr>
                <w:rFonts w:ascii="Times New Roman" w:hAnsi="Times New Roman"/>
                <w:sz w:val="24"/>
              </w:rPr>
              <w:t>L</w:t>
            </w:r>
            <w:r w:rsidR="000878EC">
              <w:rPr>
                <w:rFonts w:ascii="Times New Roman" w:hAnsi="Times New Roman"/>
                <w:sz w:val="24"/>
              </w:rPr>
              <w:t>'</w:t>
            </w:r>
            <w:r>
              <w:rPr>
                <w:rFonts w:ascii="Times New Roman" w:hAnsi="Times New Roman"/>
                <w:sz w:val="24"/>
              </w:rPr>
              <w:t>importo delle perdite lorde è l</w:t>
            </w:r>
            <w:r w:rsidR="000878EC">
              <w:rPr>
                <w:rFonts w:ascii="Times New Roman" w:hAnsi="Times New Roman"/>
                <w:sz w:val="24"/>
              </w:rPr>
              <w:t>'</w:t>
            </w:r>
            <w:r>
              <w:rPr>
                <w:rFonts w:ascii="Times New Roman" w:hAnsi="Times New Roman"/>
                <w:sz w:val="24"/>
              </w:rPr>
              <w:t>importo delle perdite lorde riferito agli eventi di perdita dovuti al rischio operativo (ad esempio costi diretti, accantonamenti, regolamenti). Tutte le perdite connesse a un singolo evento di perdita che sono contabilizzate nel periodo di riferimento per le segnalazioni sono sommate e considerate come le perdite lorde per tale evento di perdita nel periodo di riferimento per le segnalazioni in questione.</w:t>
            </w:r>
          </w:p>
          <w:p w:rsidR="00FD54FC" w:rsidRPr="00661595" w:rsidRDefault="00FD54FC" w:rsidP="002568B5">
            <w:pPr>
              <w:suppressAutoHyphens/>
              <w:rPr>
                <w:rFonts w:ascii="Times New Roman" w:hAnsi="Times New Roman"/>
                <w:sz w:val="24"/>
              </w:rPr>
            </w:pPr>
            <w:r>
              <w:rPr>
                <w:rFonts w:ascii="Times New Roman" w:hAnsi="Times New Roman"/>
                <w:sz w:val="24"/>
              </w:rPr>
              <w:t>L</w:t>
            </w:r>
            <w:r w:rsidR="000878EC">
              <w:rPr>
                <w:rFonts w:ascii="Times New Roman" w:hAnsi="Times New Roman"/>
                <w:sz w:val="24"/>
              </w:rPr>
              <w:t>'</w:t>
            </w:r>
            <w:r>
              <w:rPr>
                <w:rFonts w:ascii="Times New Roman" w:hAnsi="Times New Roman"/>
                <w:sz w:val="24"/>
              </w:rPr>
              <w:t xml:space="preserve">importo delle perdite lorde segnalato si riferisce agli </w:t>
            </w:r>
            <w:r w:rsidR="000878EC">
              <w:rPr>
                <w:rFonts w:ascii="Times New Roman" w:hAnsi="Times New Roman"/>
                <w:sz w:val="24"/>
              </w:rPr>
              <w:t>"</w:t>
            </w:r>
            <w:r>
              <w:rPr>
                <w:rFonts w:ascii="Times New Roman" w:hAnsi="Times New Roman"/>
                <w:sz w:val="24"/>
              </w:rPr>
              <w:t>eventi di perdita nuovi</w:t>
            </w:r>
            <w:r w:rsidR="000878EC">
              <w:rPr>
                <w:rFonts w:ascii="Times New Roman" w:hAnsi="Times New Roman"/>
                <w:sz w:val="24"/>
              </w:rPr>
              <w:t>"</w:t>
            </w:r>
            <w:r>
              <w:rPr>
                <w:rFonts w:ascii="Times New Roman" w:hAnsi="Times New Roman"/>
                <w:sz w:val="24"/>
              </w:rPr>
              <w:t xml:space="preserve"> di cui alla riga precedente della presente tabella. Per gli eventi di perdita </w:t>
            </w:r>
            <w:r w:rsidR="000878EC">
              <w:rPr>
                <w:rFonts w:ascii="Times New Roman" w:hAnsi="Times New Roman"/>
                <w:sz w:val="24"/>
              </w:rPr>
              <w:t>"</w:t>
            </w:r>
            <w:r>
              <w:rPr>
                <w:rFonts w:ascii="Times New Roman" w:hAnsi="Times New Roman"/>
                <w:sz w:val="24"/>
              </w:rPr>
              <w:t>contabilizzati per la prima volta</w:t>
            </w:r>
            <w:r w:rsidR="000878EC">
              <w:rPr>
                <w:rFonts w:ascii="Times New Roman" w:hAnsi="Times New Roman"/>
                <w:sz w:val="24"/>
              </w:rPr>
              <w:t>"</w:t>
            </w:r>
            <w:r>
              <w:rPr>
                <w:rFonts w:ascii="Times New Roman" w:hAnsi="Times New Roman"/>
                <w:sz w:val="24"/>
              </w:rPr>
              <w:t xml:space="preserve"> in un precedente periodo di riferimento per le segnalazioni non inclusi in nessuna precedente segnalazione ai fini di vigilanza, la perdita totale accumulata fino alla data di riferimento per le segnalazioni (ossia la perdita originaria più/meno tutti gli adeguamenti per perdite effettuati nei precedenti periodi di riferimento per le segnalazioni) è indicata come perdita lorda alla data di riferimento per le segnalazioni.</w:t>
            </w:r>
          </w:p>
          <w:p w:rsidR="00FD54FC" w:rsidRPr="00661595" w:rsidRDefault="00FD54FC" w:rsidP="002568B5">
            <w:pPr>
              <w:suppressAutoHyphens/>
              <w:rPr>
                <w:rStyle w:val="InstructionsTabelleberschrift"/>
                <w:rFonts w:ascii="Times New Roman" w:hAnsi="Times New Roman"/>
                <w:sz w:val="24"/>
              </w:rPr>
            </w:pPr>
            <w:r>
              <w:rPr>
                <w:rFonts w:ascii="Times New Roman" w:hAnsi="Times New Roman"/>
                <w:sz w:val="24"/>
              </w:rPr>
              <w:t>Gli importi da segnalare non tengono conto dei recuperi ottenuti.</w:t>
            </w:r>
          </w:p>
        </w:tc>
      </w:tr>
      <w:tr w:rsidR="00FD54FC" w:rsidRPr="00661595" w:rsidTr="00672D2A">
        <w:tc>
          <w:tcPr>
            <w:tcW w:w="1101" w:type="dxa"/>
          </w:tcPr>
          <w:p w:rsidR="00FD54FC" w:rsidRPr="00661595" w:rsidRDefault="00C93FC2" w:rsidP="002568B5">
            <w:pPr>
              <w:suppressAutoHyphens/>
              <w:rPr>
                <w:rFonts w:ascii="Times New Roman" w:hAnsi="Times New Roman"/>
                <w:bCs/>
                <w:sz w:val="24"/>
              </w:rPr>
            </w:pPr>
            <w:r>
              <w:rPr>
                <w:rFonts w:ascii="Times New Roman" w:hAnsi="Times New Roman"/>
                <w:bCs/>
                <w:sz w:val="24"/>
              </w:rPr>
              <w:t>0030, 0130, 0230, 0330, 0430, 0530, 0630, 0730, 0830</w:t>
            </w:r>
          </w:p>
        </w:tc>
        <w:tc>
          <w:tcPr>
            <w:tcW w:w="8079" w:type="dxa"/>
          </w:tcPr>
          <w:p w:rsidR="00FD54FC" w:rsidRPr="00661595" w:rsidRDefault="00FD54FC" w:rsidP="002568B5">
            <w:pPr>
              <w:suppressAutoHyphens/>
              <w:rPr>
                <w:rStyle w:val="InstructionsTabelleberschrift"/>
                <w:rFonts w:ascii="Times New Roman" w:hAnsi="Times New Roman"/>
                <w:sz w:val="24"/>
              </w:rPr>
            </w:pPr>
            <w:r>
              <w:rPr>
                <w:rStyle w:val="InstructionsTabelleberschrift"/>
                <w:rFonts w:ascii="Times New Roman" w:hAnsi="Times New Roman"/>
                <w:sz w:val="24"/>
              </w:rPr>
              <w:t>Numero di eventi di perdita soggetti ad adeguamenti per perdite</w:t>
            </w:r>
          </w:p>
          <w:p w:rsidR="00FD54FC" w:rsidRPr="00661595" w:rsidRDefault="00FD54FC" w:rsidP="002568B5">
            <w:pPr>
              <w:suppressAutoHyphens/>
              <w:rPr>
                <w:rFonts w:ascii="Times New Roman" w:hAnsi="Times New Roman"/>
                <w:sz w:val="24"/>
              </w:rPr>
            </w:pPr>
            <w:r>
              <w:rPr>
                <w:rFonts w:ascii="Times New Roman" w:hAnsi="Times New Roman"/>
                <w:sz w:val="24"/>
              </w:rPr>
              <w:t xml:space="preserve">Il numero degli eventi di perdita soggetti ad adeguamenti per perdite è il numero di eventi di perdita dovuti al rischio operativo </w:t>
            </w:r>
            <w:r w:rsidR="000878EC">
              <w:rPr>
                <w:rFonts w:ascii="Times New Roman" w:hAnsi="Times New Roman"/>
                <w:sz w:val="24"/>
              </w:rPr>
              <w:t>"</w:t>
            </w:r>
            <w:r>
              <w:rPr>
                <w:rFonts w:ascii="Times New Roman" w:hAnsi="Times New Roman"/>
                <w:sz w:val="24"/>
              </w:rPr>
              <w:t>contabilizzati per la prima volta</w:t>
            </w:r>
            <w:r w:rsidR="000878EC">
              <w:rPr>
                <w:rFonts w:ascii="Times New Roman" w:hAnsi="Times New Roman"/>
                <w:sz w:val="24"/>
              </w:rPr>
              <w:t>"</w:t>
            </w:r>
            <w:r>
              <w:rPr>
                <w:rFonts w:ascii="Times New Roman" w:hAnsi="Times New Roman"/>
                <w:sz w:val="24"/>
              </w:rPr>
              <w:t xml:space="preserve"> in precedenti periodi di riferimento per le segnalazioni e già inclusi nelle precedenti segnalazioni, in relazione ai quali sono stati effettuati adeguamenti per perdite nell</w:t>
            </w:r>
            <w:r w:rsidR="000878EC">
              <w:rPr>
                <w:rFonts w:ascii="Times New Roman" w:hAnsi="Times New Roman"/>
                <w:sz w:val="24"/>
              </w:rPr>
              <w:t>'</w:t>
            </w:r>
            <w:r>
              <w:rPr>
                <w:rFonts w:ascii="Times New Roman" w:hAnsi="Times New Roman"/>
                <w:sz w:val="24"/>
              </w:rPr>
              <w:t xml:space="preserve">attuale periodo di riferimento per le segnalazioni. </w:t>
            </w:r>
          </w:p>
          <w:p w:rsidR="00FD54FC" w:rsidRPr="00661595" w:rsidRDefault="001F6487" w:rsidP="002568B5">
            <w:pPr>
              <w:suppressAutoHyphens/>
              <w:rPr>
                <w:b/>
                <w:sz w:val="24"/>
              </w:rPr>
            </w:pPr>
            <w:r>
              <w:rPr>
                <w:rFonts w:ascii="Times New Roman" w:hAnsi="Times New Roman"/>
                <w:sz w:val="24"/>
              </w:rPr>
              <w:t>Se per un evento di perdita è stato effettuato più di un adeguamento per perdite nel periodo di riferimento per le segnalazioni, la somma di tali adeguamenti per perdite è considerata come un unico adeguamento nel periodo in questione.</w:t>
            </w:r>
          </w:p>
        </w:tc>
      </w:tr>
      <w:tr w:rsidR="00FD54FC" w:rsidRPr="00661595" w:rsidTr="00672D2A">
        <w:tc>
          <w:tcPr>
            <w:tcW w:w="1101" w:type="dxa"/>
          </w:tcPr>
          <w:p w:rsidR="00FD54FC" w:rsidRPr="00661595" w:rsidRDefault="00C93FC2" w:rsidP="002568B5">
            <w:pPr>
              <w:suppressAutoHyphens/>
              <w:rPr>
                <w:rFonts w:ascii="Times New Roman" w:hAnsi="Times New Roman"/>
                <w:bCs/>
                <w:sz w:val="24"/>
              </w:rPr>
            </w:pPr>
            <w:r>
              <w:rPr>
                <w:rFonts w:ascii="Times New Roman" w:hAnsi="Times New Roman"/>
                <w:bCs/>
                <w:sz w:val="24"/>
              </w:rPr>
              <w:t>0040, 0140, 0240, 0340, 0440, 0540, 0640, 0</w:t>
            </w:r>
            <w:r>
              <w:rPr>
                <w:rFonts w:ascii="Times New Roman" w:hAnsi="Times New Roman"/>
                <w:sz w:val="24"/>
              </w:rPr>
              <w:t>740</w:t>
            </w:r>
            <w:r>
              <w:rPr>
                <w:rFonts w:ascii="Times New Roman" w:hAnsi="Times New Roman"/>
                <w:bCs/>
                <w:sz w:val="24"/>
              </w:rPr>
              <w:t>, 0840</w:t>
            </w:r>
          </w:p>
        </w:tc>
        <w:tc>
          <w:tcPr>
            <w:tcW w:w="8079" w:type="dxa"/>
          </w:tcPr>
          <w:p w:rsidR="00FD54FC" w:rsidRPr="00661595" w:rsidRDefault="00FD54FC" w:rsidP="002568B5">
            <w:pPr>
              <w:suppressAutoHyphens/>
              <w:rPr>
                <w:rStyle w:val="InstructionsTabelleberschrift"/>
                <w:rFonts w:ascii="Times New Roman" w:hAnsi="Times New Roman"/>
                <w:sz w:val="24"/>
              </w:rPr>
            </w:pPr>
            <w:r>
              <w:rPr>
                <w:rStyle w:val="InstructionsTabelleberschrift"/>
                <w:rFonts w:ascii="Times New Roman" w:hAnsi="Times New Roman"/>
                <w:sz w:val="24"/>
              </w:rPr>
              <w:t>Adeguamenti per perdite relativi a precedenti periodi di riferimento</w:t>
            </w:r>
          </w:p>
          <w:p w:rsidR="00FD54FC" w:rsidRPr="00661595" w:rsidRDefault="00FD54FC" w:rsidP="002568B5">
            <w:pPr>
              <w:suppressAutoHyphens/>
              <w:rPr>
                <w:rFonts w:ascii="Times New Roman" w:hAnsi="Times New Roman"/>
                <w:sz w:val="24"/>
              </w:rPr>
            </w:pPr>
            <w:r>
              <w:rPr>
                <w:rFonts w:ascii="Times New Roman" w:hAnsi="Times New Roman"/>
                <w:sz w:val="24"/>
              </w:rPr>
              <w:t>Gli adeguamenti per perdite relativi a precedenti periodi di riferimento sono pari alla somma dei seguenti elementi (positivi o negativi):</w:t>
            </w:r>
          </w:p>
          <w:p w:rsidR="00FD54FC" w:rsidRPr="00661595" w:rsidRDefault="00FD54FC" w:rsidP="002568B5">
            <w:pPr>
              <w:tabs>
                <w:tab w:val="left" w:pos="459"/>
              </w:tabs>
              <w:suppressAutoHyphen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 xml:space="preserve">gli importi delle perdite lorde riferiti agli adeguamenti positivi per perdite effettuati nel periodo di riferimento per le segnalazioni (ad esempio aumento degli accantonamenti, eventi di perdita collegati, ulteriori regolamenti) per eventi di rischio operativo </w:t>
            </w:r>
            <w:r w:rsidR="000878EC">
              <w:rPr>
                <w:rFonts w:ascii="Times New Roman" w:hAnsi="Times New Roman"/>
                <w:sz w:val="24"/>
              </w:rPr>
              <w:t>"</w:t>
            </w:r>
            <w:r>
              <w:rPr>
                <w:rFonts w:ascii="Times New Roman" w:hAnsi="Times New Roman"/>
                <w:sz w:val="24"/>
              </w:rPr>
              <w:t>contabilizzati per la prima volta</w:t>
            </w:r>
            <w:r w:rsidR="000878EC">
              <w:rPr>
                <w:rFonts w:ascii="Times New Roman" w:hAnsi="Times New Roman"/>
                <w:sz w:val="24"/>
              </w:rPr>
              <w:t>"</w:t>
            </w:r>
            <w:r>
              <w:rPr>
                <w:rFonts w:ascii="Times New Roman" w:hAnsi="Times New Roman"/>
                <w:sz w:val="24"/>
              </w:rPr>
              <w:t xml:space="preserve"> e segnalati in precedenti periodi di riferimento per le segnalazioni;</w:t>
            </w:r>
          </w:p>
          <w:p w:rsidR="00FD54FC" w:rsidRPr="00661595" w:rsidRDefault="00FD54FC" w:rsidP="002568B5">
            <w:pPr>
              <w:tabs>
                <w:tab w:val="left" w:pos="459"/>
              </w:tabs>
              <w:suppressAutoHyphen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 xml:space="preserve">gli importi delle perdite lorde riferiti agli adeguamenti negativi per perdite effettuati nel periodo di riferimento per le segnalazioni (ad esempio dovuti alla diminuzione degli accantonamenti) per eventi di perdita dovuti al rischio operativo </w:t>
            </w:r>
            <w:r w:rsidR="000878EC">
              <w:rPr>
                <w:rFonts w:ascii="Times New Roman" w:hAnsi="Times New Roman"/>
                <w:sz w:val="24"/>
              </w:rPr>
              <w:t>"</w:t>
            </w:r>
            <w:r>
              <w:rPr>
                <w:rFonts w:ascii="Times New Roman" w:hAnsi="Times New Roman"/>
                <w:sz w:val="24"/>
              </w:rPr>
              <w:t>contabilizzati per la prima volta</w:t>
            </w:r>
            <w:r w:rsidR="000878EC">
              <w:rPr>
                <w:rFonts w:ascii="Times New Roman" w:hAnsi="Times New Roman"/>
                <w:sz w:val="24"/>
              </w:rPr>
              <w:t>"</w:t>
            </w:r>
            <w:r>
              <w:rPr>
                <w:rFonts w:ascii="Times New Roman" w:hAnsi="Times New Roman"/>
                <w:sz w:val="24"/>
              </w:rPr>
              <w:t xml:space="preserve"> e segnalati in precedenti periodi di riferimento per le segnalazioni. </w:t>
            </w:r>
          </w:p>
          <w:p w:rsidR="00FD54FC" w:rsidRPr="00661595" w:rsidRDefault="001F6487" w:rsidP="002568B5">
            <w:pPr>
              <w:keepNext/>
              <w:keepLines/>
              <w:suppressAutoHyphens/>
              <w:rPr>
                <w:rFonts w:ascii="Times New Roman" w:hAnsi="Times New Roman"/>
                <w:sz w:val="24"/>
              </w:rPr>
            </w:pPr>
            <w:r>
              <w:rPr>
                <w:rFonts w:ascii="Times New Roman" w:hAnsi="Times New Roman"/>
                <w:sz w:val="24"/>
              </w:rPr>
              <w:t>Se per un evento di perdita è stato effettuato più di un adeguamento per perdite nel periodo di riferimento per le segnalazioni, sono sommati tutti gli importi di tali adeguamenti per perdite, tenendo conto del segno (positivo o negativo) degli adeguamenti stessi. Questa somma è considerata come l</w:t>
            </w:r>
            <w:r w:rsidR="000878EC">
              <w:rPr>
                <w:rFonts w:ascii="Times New Roman" w:hAnsi="Times New Roman"/>
                <w:sz w:val="24"/>
              </w:rPr>
              <w:t>'</w:t>
            </w:r>
            <w:r>
              <w:rPr>
                <w:rFonts w:ascii="Times New Roman" w:hAnsi="Times New Roman"/>
                <w:sz w:val="24"/>
              </w:rPr>
              <w:t>adeguamento per perdite per tale evento nel periodo di riferimento per le segnalazioni in questione.</w:t>
            </w:r>
          </w:p>
          <w:p w:rsidR="00FD54FC" w:rsidRPr="00661595" w:rsidRDefault="001F6487" w:rsidP="002568B5">
            <w:pPr>
              <w:suppressAutoHyphens/>
              <w:rPr>
                <w:rFonts w:ascii="Times New Roman" w:hAnsi="Times New Roman"/>
                <w:sz w:val="24"/>
              </w:rPr>
            </w:pPr>
            <w:r>
              <w:rPr>
                <w:rFonts w:ascii="Times New Roman" w:hAnsi="Times New Roman"/>
                <w:sz w:val="24"/>
              </w:rPr>
              <w:t>Se, a causa di un adeguamento per perdite negativo, l</w:t>
            </w:r>
            <w:r w:rsidR="000878EC">
              <w:rPr>
                <w:rFonts w:ascii="Times New Roman" w:hAnsi="Times New Roman"/>
                <w:sz w:val="24"/>
              </w:rPr>
              <w:t>'</w:t>
            </w:r>
            <w:r>
              <w:rPr>
                <w:rFonts w:ascii="Times New Roman" w:hAnsi="Times New Roman"/>
                <w:sz w:val="24"/>
              </w:rPr>
              <w:t>importo delle perdite adeguato imputabile a un evento di perdita scende al di sotto della soglia per la raccolta di dati interni dell</w:t>
            </w:r>
            <w:r w:rsidR="000878EC">
              <w:rPr>
                <w:rFonts w:ascii="Times New Roman" w:hAnsi="Times New Roman"/>
                <w:sz w:val="24"/>
              </w:rPr>
              <w:t>'</w:t>
            </w:r>
            <w:r>
              <w:rPr>
                <w:rFonts w:ascii="Times New Roman" w:hAnsi="Times New Roman"/>
                <w:sz w:val="24"/>
              </w:rPr>
              <w:t>ente, l</w:t>
            </w:r>
            <w:r w:rsidR="000878EC">
              <w:rPr>
                <w:rFonts w:ascii="Times New Roman" w:hAnsi="Times New Roman"/>
                <w:sz w:val="24"/>
              </w:rPr>
              <w:t>'</w:t>
            </w:r>
            <w:r>
              <w:rPr>
                <w:rFonts w:ascii="Times New Roman" w:hAnsi="Times New Roman"/>
                <w:sz w:val="24"/>
              </w:rPr>
              <w:t>ente segnala l</w:t>
            </w:r>
            <w:r w:rsidR="000878EC">
              <w:rPr>
                <w:rFonts w:ascii="Times New Roman" w:hAnsi="Times New Roman"/>
                <w:sz w:val="24"/>
              </w:rPr>
              <w:t>'</w:t>
            </w:r>
            <w:r>
              <w:rPr>
                <w:rFonts w:ascii="Times New Roman" w:hAnsi="Times New Roman"/>
                <w:sz w:val="24"/>
              </w:rPr>
              <w:t>importo complessivo delle perdite per tale evento di perdita accumulate fino all</w:t>
            </w:r>
            <w:r w:rsidR="000878EC">
              <w:rPr>
                <w:rFonts w:ascii="Times New Roman" w:hAnsi="Times New Roman"/>
                <w:sz w:val="24"/>
              </w:rPr>
              <w:t>'</w:t>
            </w:r>
            <w:r>
              <w:rPr>
                <w:rFonts w:ascii="Times New Roman" w:hAnsi="Times New Roman"/>
                <w:sz w:val="24"/>
              </w:rPr>
              <w:t>ultima volta in cui l</w:t>
            </w:r>
            <w:r w:rsidR="000878EC">
              <w:rPr>
                <w:rFonts w:ascii="Times New Roman" w:hAnsi="Times New Roman"/>
                <w:sz w:val="24"/>
              </w:rPr>
              <w:t>'</w:t>
            </w:r>
            <w:r>
              <w:rPr>
                <w:rFonts w:ascii="Times New Roman" w:hAnsi="Times New Roman"/>
                <w:sz w:val="24"/>
              </w:rPr>
              <w:t>evento è stato segnalato ad una data di riferimento di dicembre (ossia la perdita originaria più/meno tutti gli adeguamenti per perdite effettuati nei precedenti periodi di riferimento per le segnalazioni) con un segno negativo anziché l</w:t>
            </w:r>
            <w:r w:rsidR="000878EC">
              <w:rPr>
                <w:rFonts w:ascii="Times New Roman" w:hAnsi="Times New Roman"/>
                <w:sz w:val="24"/>
              </w:rPr>
              <w:t>'</w:t>
            </w:r>
            <w:r>
              <w:rPr>
                <w:rFonts w:ascii="Times New Roman" w:hAnsi="Times New Roman"/>
                <w:sz w:val="24"/>
              </w:rPr>
              <w:t>importo dell</w:t>
            </w:r>
            <w:r w:rsidR="000878EC">
              <w:rPr>
                <w:rFonts w:ascii="Times New Roman" w:hAnsi="Times New Roman"/>
                <w:sz w:val="24"/>
              </w:rPr>
              <w:t>'</w:t>
            </w:r>
            <w:r>
              <w:rPr>
                <w:rFonts w:ascii="Times New Roman" w:hAnsi="Times New Roman"/>
                <w:sz w:val="24"/>
              </w:rPr>
              <w:t>adeguamento per perdite negativo stesso.</w:t>
            </w:r>
          </w:p>
          <w:p w:rsidR="00FD54FC" w:rsidRPr="00661595" w:rsidRDefault="00FD54FC" w:rsidP="002568B5">
            <w:pPr>
              <w:suppressAutoHyphens/>
              <w:rPr>
                <w:b/>
                <w:sz w:val="24"/>
              </w:rPr>
            </w:pPr>
            <w:r>
              <w:rPr>
                <w:rFonts w:ascii="Times New Roman" w:hAnsi="Times New Roman"/>
                <w:sz w:val="24"/>
              </w:rPr>
              <w:t>Gli importi da segnalare non tengono conto dei recuperi ottenuti.</w:t>
            </w:r>
          </w:p>
        </w:tc>
      </w:tr>
      <w:tr w:rsidR="00FD54FC" w:rsidRPr="00661595" w:rsidTr="00672D2A">
        <w:tc>
          <w:tcPr>
            <w:tcW w:w="1101" w:type="dxa"/>
          </w:tcPr>
          <w:p w:rsidR="00FD54FC" w:rsidRPr="00661595" w:rsidRDefault="00C93FC2" w:rsidP="002568B5">
            <w:pPr>
              <w:suppressAutoHyphens/>
              <w:rPr>
                <w:rFonts w:ascii="Times New Roman" w:hAnsi="Times New Roman"/>
                <w:bCs/>
                <w:sz w:val="24"/>
              </w:rPr>
            </w:pPr>
            <w:r>
              <w:rPr>
                <w:rFonts w:ascii="Times New Roman" w:hAnsi="Times New Roman"/>
                <w:bCs/>
                <w:sz w:val="24"/>
              </w:rPr>
              <w:t>0050, 0150, 0250, 0350, 0450, 0550, 0650, 0750, 0850</w:t>
            </w:r>
          </w:p>
        </w:tc>
        <w:tc>
          <w:tcPr>
            <w:tcW w:w="8079" w:type="dxa"/>
          </w:tcPr>
          <w:p w:rsidR="00FD54FC" w:rsidRPr="00661595" w:rsidRDefault="00FD54FC" w:rsidP="002568B5">
            <w:pPr>
              <w:suppressAutoHyphens/>
              <w:rPr>
                <w:rStyle w:val="InstructionsTabelleberschrift"/>
                <w:rFonts w:ascii="Times New Roman" w:hAnsi="Times New Roman"/>
                <w:sz w:val="24"/>
              </w:rPr>
            </w:pPr>
            <w:r>
              <w:rPr>
                <w:rStyle w:val="InstructionsTabelleberschrift"/>
                <w:rFonts w:ascii="Times New Roman" w:hAnsi="Times New Roman"/>
                <w:sz w:val="24"/>
              </w:rPr>
              <w:t>Perdita singola massima</w:t>
            </w:r>
          </w:p>
          <w:p w:rsidR="00FD54FC" w:rsidRPr="00661595" w:rsidRDefault="00FD54FC" w:rsidP="002568B5">
            <w:pPr>
              <w:suppressAutoHyphens/>
              <w:rPr>
                <w:rFonts w:ascii="Times New Roman" w:hAnsi="Times New Roman"/>
                <w:sz w:val="24"/>
              </w:rPr>
            </w:pPr>
            <w:r>
              <w:rPr>
                <w:rFonts w:ascii="Times New Roman" w:hAnsi="Times New Roman"/>
                <w:sz w:val="24"/>
              </w:rPr>
              <w:t>La perdita singola massima è l</w:t>
            </w:r>
            <w:r w:rsidR="000878EC">
              <w:rPr>
                <w:rFonts w:ascii="Times New Roman" w:hAnsi="Times New Roman"/>
                <w:sz w:val="24"/>
              </w:rPr>
              <w:t>'</w:t>
            </w:r>
            <w:r>
              <w:rPr>
                <w:rFonts w:ascii="Times New Roman" w:hAnsi="Times New Roman"/>
                <w:sz w:val="24"/>
              </w:rPr>
              <w:t>importo maggiore tra:</w:t>
            </w:r>
          </w:p>
          <w:p w:rsidR="00FD54FC" w:rsidRPr="00661595" w:rsidRDefault="00FD54FC" w:rsidP="002568B5">
            <w:pPr>
              <w:tabs>
                <w:tab w:val="left" w:pos="459"/>
              </w:tabs>
              <w:suppressAutoHyphen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l</w:t>
            </w:r>
            <w:r w:rsidR="000878EC">
              <w:rPr>
                <w:rFonts w:ascii="Times New Roman" w:hAnsi="Times New Roman"/>
                <w:sz w:val="24"/>
              </w:rPr>
              <w:t>'</w:t>
            </w:r>
            <w:r>
              <w:rPr>
                <w:rFonts w:ascii="Times New Roman" w:hAnsi="Times New Roman"/>
                <w:sz w:val="24"/>
              </w:rPr>
              <w:t>importo maggiore delle perdite lorde relativo a un evento di perdita segnalato per la prima volta nel periodo di riferimento per le segnalazioni e e</w:t>
            </w:r>
          </w:p>
          <w:p w:rsidR="00FD54FC" w:rsidRPr="00661595" w:rsidRDefault="00FD54FC" w:rsidP="002568B5">
            <w:pPr>
              <w:tabs>
                <w:tab w:val="left" w:pos="459"/>
              </w:tabs>
              <w:suppressAutoHyphen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l</w:t>
            </w:r>
            <w:r w:rsidR="000878EC">
              <w:rPr>
                <w:rFonts w:ascii="Times New Roman" w:hAnsi="Times New Roman"/>
                <w:sz w:val="24"/>
              </w:rPr>
              <w:t>'</w:t>
            </w:r>
            <w:r>
              <w:rPr>
                <w:rFonts w:ascii="Times New Roman" w:hAnsi="Times New Roman"/>
                <w:sz w:val="24"/>
              </w:rPr>
              <w:t>importo positivo maggiore degli adeguamenti per perdite (di cui alle precedenti righe 0040, 0140, …, 0840) relativo a un evento di perdita segnalato per la prima volta in un precedente periodo di riferimento per le segnalazioni.</w:t>
            </w:r>
          </w:p>
          <w:p w:rsidR="00FD54FC" w:rsidRPr="00661595" w:rsidRDefault="00FD54FC" w:rsidP="002568B5">
            <w:pPr>
              <w:suppressAutoHyphens/>
              <w:rPr>
                <w:sz w:val="24"/>
              </w:rPr>
            </w:pPr>
            <w:r>
              <w:rPr>
                <w:rFonts w:ascii="Times New Roman" w:hAnsi="Times New Roman"/>
                <w:sz w:val="24"/>
              </w:rPr>
              <w:t>Gli importi da segnalare non tengono conto dei recuperi ottenuti.</w:t>
            </w:r>
          </w:p>
        </w:tc>
      </w:tr>
      <w:tr w:rsidR="00FD54FC" w:rsidRPr="00661595" w:rsidTr="00672D2A">
        <w:tc>
          <w:tcPr>
            <w:tcW w:w="1101" w:type="dxa"/>
          </w:tcPr>
          <w:p w:rsidR="00FD54FC" w:rsidRPr="00661595" w:rsidRDefault="00C93FC2" w:rsidP="002568B5">
            <w:pPr>
              <w:suppressAutoHyphens/>
              <w:rPr>
                <w:rFonts w:ascii="Times New Roman" w:hAnsi="Times New Roman"/>
                <w:bCs/>
                <w:sz w:val="24"/>
              </w:rPr>
            </w:pPr>
            <w:r>
              <w:rPr>
                <w:rFonts w:ascii="Times New Roman" w:hAnsi="Times New Roman"/>
                <w:bCs/>
                <w:sz w:val="24"/>
              </w:rPr>
              <w:t>0060, 0160, 0260, 0360, 0460, 0560, 0660, 0760, 0860</w:t>
            </w:r>
          </w:p>
        </w:tc>
        <w:tc>
          <w:tcPr>
            <w:tcW w:w="8079" w:type="dxa"/>
          </w:tcPr>
          <w:p w:rsidR="00FD54FC" w:rsidRPr="00661595" w:rsidRDefault="00FD54FC" w:rsidP="002568B5">
            <w:pPr>
              <w:suppressAutoHyphens/>
              <w:rPr>
                <w:rStyle w:val="InstructionsTabelleberschrift"/>
                <w:rFonts w:ascii="Times New Roman" w:hAnsi="Times New Roman"/>
                <w:sz w:val="24"/>
              </w:rPr>
            </w:pPr>
            <w:r>
              <w:rPr>
                <w:rStyle w:val="InstructionsTabelleberschrift"/>
                <w:rFonts w:ascii="Times New Roman" w:hAnsi="Times New Roman"/>
                <w:sz w:val="24"/>
              </w:rPr>
              <w:t>Somma delle cinque maggiori perdite</w:t>
            </w:r>
          </w:p>
          <w:p w:rsidR="00FD54FC" w:rsidRPr="00661595" w:rsidRDefault="00FD54FC" w:rsidP="002568B5">
            <w:pPr>
              <w:suppressAutoHyphens/>
              <w:rPr>
                <w:rFonts w:ascii="Times New Roman" w:hAnsi="Times New Roman"/>
                <w:sz w:val="24"/>
              </w:rPr>
            </w:pPr>
            <w:r>
              <w:rPr>
                <w:rFonts w:ascii="Times New Roman" w:hAnsi="Times New Roman"/>
                <w:sz w:val="24"/>
              </w:rPr>
              <w:t>La somma delle cinque maggiori perdite è la somma dei cinque maggiori importi tra:</w:t>
            </w:r>
          </w:p>
          <w:p w:rsidR="00FD54FC" w:rsidRPr="00661595" w:rsidRDefault="00FD54FC" w:rsidP="002568B5">
            <w:pPr>
              <w:tabs>
                <w:tab w:val="left" w:pos="459"/>
              </w:tabs>
              <w:suppressAutoHyphens/>
              <w:ind w:left="459" w:hanging="459"/>
              <w:rPr>
                <w:rFonts w:ascii="Times New Roman" w:hAnsi="Times New Roman"/>
                <w:sz w:val="24"/>
              </w:rPr>
            </w:pPr>
            <w:r>
              <w:rPr>
                <w:rFonts w:ascii="Times New Roman" w:hAnsi="Times New Roman"/>
                <w:sz w:val="24"/>
              </w:rPr>
              <w:t>i)</w:t>
            </w:r>
            <w:r>
              <w:tab/>
            </w:r>
            <w:r>
              <w:rPr>
                <w:rFonts w:ascii="Times New Roman" w:hAnsi="Times New Roman"/>
                <w:sz w:val="24"/>
              </w:rPr>
              <w:t>gli importi delle perdite lorde per eventi di perdita segnalati per la prima volta nel periodo di riferimento per le segnalazioni e</w:t>
            </w:r>
          </w:p>
          <w:p w:rsidR="00FD54FC" w:rsidRPr="00661595" w:rsidRDefault="00FD54FC" w:rsidP="002568B5">
            <w:pPr>
              <w:tabs>
                <w:tab w:val="left" w:pos="459"/>
              </w:tabs>
              <w:suppressAutoHyphens/>
              <w:ind w:left="459" w:hanging="459"/>
              <w:rPr>
                <w:rFonts w:ascii="Times New Roman" w:hAnsi="Times New Roman"/>
                <w:sz w:val="24"/>
              </w:rPr>
            </w:pPr>
            <w:r>
              <w:rPr>
                <w:rFonts w:ascii="Times New Roman" w:hAnsi="Times New Roman"/>
                <w:sz w:val="24"/>
              </w:rPr>
              <w:t>ii)</w:t>
            </w:r>
            <w:r>
              <w:tab/>
            </w:r>
            <w:r>
              <w:rPr>
                <w:rFonts w:ascii="Times New Roman" w:hAnsi="Times New Roman"/>
                <w:sz w:val="24"/>
              </w:rPr>
              <w:t>gli importi positivi degli adeguamenti per perdite (come definiti per le precedenti righe 0040, 0140, …, 0840) relativi ad eventi di perdita segnalati per la prima volta in un precedente periodo di riferimento per le segnalazioni. L</w:t>
            </w:r>
            <w:r w:rsidR="000878EC">
              <w:rPr>
                <w:rFonts w:ascii="Times New Roman" w:hAnsi="Times New Roman"/>
                <w:sz w:val="24"/>
              </w:rPr>
              <w:t>'</w:t>
            </w:r>
            <w:r>
              <w:rPr>
                <w:rFonts w:ascii="Times New Roman" w:hAnsi="Times New Roman"/>
                <w:sz w:val="24"/>
              </w:rPr>
              <w:t>importo che può configurarsi come uno dei cinque maggiori è l</w:t>
            </w:r>
            <w:r w:rsidR="000878EC">
              <w:rPr>
                <w:rFonts w:ascii="Times New Roman" w:hAnsi="Times New Roman"/>
                <w:sz w:val="24"/>
              </w:rPr>
              <w:t>'</w:t>
            </w:r>
            <w:r>
              <w:rPr>
                <w:rFonts w:ascii="Times New Roman" w:hAnsi="Times New Roman"/>
                <w:sz w:val="24"/>
              </w:rPr>
              <w:t>importo dell</w:t>
            </w:r>
            <w:r w:rsidR="000878EC">
              <w:rPr>
                <w:rFonts w:ascii="Times New Roman" w:hAnsi="Times New Roman"/>
                <w:sz w:val="24"/>
              </w:rPr>
              <w:t>'</w:t>
            </w:r>
            <w:r>
              <w:rPr>
                <w:rFonts w:ascii="Times New Roman" w:hAnsi="Times New Roman"/>
                <w:sz w:val="24"/>
              </w:rPr>
              <w:t>adeguamento per perdite stesso, non la perdita totale associata al rispettivo evento di perdita prima o dopo l</w:t>
            </w:r>
            <w:r w:rsidR="000878EC">
              <w:rPr>
                <w:rFonts w:ascii="Times New Roman" w:hAnsi="Times New Roman"/>
                <w:sz w:val="24"/>
              </w:rPr>
              <w:t>'</w:t>
            </w:r>
            <w:r>
              <w:rPr>
                <w:rFonts w:ascii="Times New Roman" w:hAnsi="Times New Roman"/>
                <w:sz w:val="24"/>
              </w:rPr>
              <w:t>adeguamento per perdite.</w:t>
            </w:r>
          </w:p>
          <w:p w:rsidR="00FD54FC" w:rsidRPr="00661595" w:rsidRDefault="00FD54FC" w:rsidP="002568B5">
            <w:pPr>
              <w:suppressAutoHyphens/>
              <w:rPr>
                <w:sz w:val="24"/>
              </w:rPr>
            </w:pPr>
            <w:r>
              <w:rPr>
                <w:rFonts w:ascii="Times New Roman" w:hAnsi="Times New Roman"/>
                <w:sz w:val="24"/>
              </w:rPr>
              <w:t>Gli importi da segnalare non tengono conto dei recuperi ottenuti.</w:t>
            </w:r>
          </w:p>
        </w:tc>
      </w:tr>
      <w:tr w:rsidR="00FD54FC" w:rsidRPr="00661595" w:rsidTr="00672D2A">
        <w:tc>
          <w:tcPr>
            <w:tcW w:w="1101" w:type="dxa"/>
          </w:tcPr>
          <w:p w:rsidR="00FD54FC" w:rsidRPr="00661595" w:rsidRDefault="00C93FC2" w:rsidP="002568B5">
            <w:pPr>
              <w:suppressAutoHyphens/>
              <w:rPr>
                <w:rFonts w:ascii="Times New Roman" w:hAnsi="Times New Roman"/>
                <w:bCs/>
                <w:sz w:val="24"/>
              </w:rPr>
            </w:pPr>
            <w:r>
              <w:rPr>
                <w:rFonts w:ascii="Times New Roman" w:hAnsi="Times New Roman"/>
                <w:bCs/>
                <w:sz w:val="24"/>
              </w:rPr>
              <w:t>0070, 0170, 0270, 0370, 0470, 0570, 0670, 0770, 0870</w:t>
            </w:r>
          </w:p>
        </w:tc>
        <w:tc>
          <w:tcPr>
            <w:tcW w:w="8079" w:type="dxa"/>
          </w:tcPr>
          <w:p w:rsidR="00FD54FC" w:rsidRPr="00661595" w:rsidRDefault="00B34B0B" w:rsidP="002568B5">
            <w:pPr>
              <w:suppressAutoHyphens/>
              <w:rPr>
                <w:sz w:val="24"/>
              </w:rPr>
            </w:pPr>
            <w:r>
              <w:rPr>
                <w:rStyle w:val="InstructionsTabelleberschrift"/>
                <w:rFonts w:ascii="Times New Roman" w:hAnsi="Times New Roman"/>
                <w:sz w:val="24"/>
              </w:rPr>
              <w:t>Importo complessivo dei recuperi diretti</w:t>
            </w:r>
          </w:p>
          <w:p w:rsidR="00FD54FC" w:rsidRPr="00661595" w:rsidRDefault="00FD54FC" w:rsidP="002568B5">
            <w:pPr>
              <w:suppressAutoHyphens/>
              <w:rPr>
                <w:rFonts w:ascii="Times New Roman" w:hAnsi="Times New Roman"/>
                <w:sz w:val="24"/>
              </w:rPr>
            </w:pPr>
            <w:r>
              <w:rPr>
                <w:rFonts w:ascii="Times New Roman" w:hAnsi="Times New Roman"/>
                <w:sz w:val="24"/>
              </w:rPr>
              <w:t>I recuperi diretti sono tutti i recuperi ottenuti, ad eccezione di quelli soggetti all</w:t>
            </w:r>
            <w:r w:rsidR="000878EC">
              <w:rPr>
                <w:rFonts w:ascii="Times New Roman" w:hAnsi="Times New Roman"/>
                <w:sz w:val="24"/>
              </w:rPr>
              <w:t>'</w:t>
            </w:r>
            <w:r>
              <w:rPr>
                <w:rFonts w:ascii="Times New Roman" w:hAnsi="Times New Roman"/>
                <w:sz w:val="24"/>
              </w:rPr>
              <w:t xml:space="preserve">articolo 323 del CRR di cui alla riga successiva di questa tabella. </w:t>
            </w:r>
          </w:p>
          <w:p w:rsidR="00FD54FC" w:rsidRPr="00661595" w:rsidRDefault="00FD54FC" w:rsidP="002568B5">
            <w:pPr>
              <w:suppressAutoHyphens/>
              <w:rPr>
                <w:b/>
                <w:sz w:val="24"/>
              </w:rPr>
            </w:pPr>
            <w:r>
              <w:rPr>
                <w:rFonts w:ascii="Times New Roman" w:hAnsi="Times New Roman"/>
                <w:sz w:val="24"/>
              </w:rPr>
              <w:t>L</w:t>
            </w:r>
            <w:r w:rsidR="000878EC">
              <w:rPr>
                <w:rFonts w:ascii="Times New Roman" w:hAnsi="Times New Roman"/>
                <w:sz w:val="24"/>
              </w:rPr>
              <w:t>'</w:t>
            </w:r>
            <w:r>
              <w:rPr>
                <w:rFonts w:ascii="Times New Roman" w:hAnsi="Times New Roman"/>
                <w:sz w:val="24"/>
              </w:rPr>
              <w:t>importo complessivo dei recuperi diretti è la somma di tutti i recuperi diretti e degli adeguamenti ai recuperi diretti contabilizzati nel periodo di riferimento e riferiti a eventi di perdita dovuti al rischio operativo contabilizzati per la prima volta nel periodo di riferimento per le segnalazioni o in precedenti periodi di riferimento per le segnalazioni.</w:t>
            </w:r>
          </w:p>
        </w:tc>
      </w:tr>
      <w:tr w:rsidR="00FD54FC" w:rsidRPr="00661595" w:rsidTr="00672D2A">
        <w:tc>
          <w:tcPr>
            <w:tcW w:w="1101" w:type="dxa"/>
          </w:tcPr>
          <w:p w:rsidR="00FD54FC" w:rsidRPr="00661595" w:rsidRDefault="00C93FC2" w:rsidP="002568B5">
            <w:pPr>
              <w:suppressAutoHyphens/>
              <w:rPr>
                <w:rFonts w:ascii="Times New Roman" w:hAnsi="Times New Roman"/>
                <w:bCs/>
                <w:sz w:val="24"/>
              </w:rPr>
            </w:pPr>
            <w:r>
              <w:rPr>
                <w:rFonts w:ascii="Times New Roman" w:hAnsi="Times New Roman"/>
                <w:bCs/>
                <w:sz w:val="24"/>
              </w:rPr>
              <w:t>0080, 0180, 0</w:t>
            </w:r>
            <w:r>
              <w:rPr>
                <w:rFonts w:ascii="Times New Roman" w:hAnsi="Times New Roman"/>
                <w:sz w:val="24"/>
              </w:rPr>
              <w:t>280</w:t>
            </w:r>
            <w:r>
              <w:rPr>
                <w:rFonts w:ascii="Times New Roman" w:hAnsi="Times New Roman"/>
                <w:bCs/>
                <w:sz w:val="24"/>
              </w:rPr>
              <w:t>, 0380, 0480, 0580, 0680, 0780, 0880</w:t>
            </w:r>
          </w:p>
        </w:tc>
        <w:tc>
          <w:tcPr>
            <w:tcW w:w="8079" w:type="dxa"/>
          </w:tcPr>
          <w:p w:rsidR="00FD54FC" w:rsidRPr="00661595" w:rsidRDefault="00FD54FC" w:rsidP="002568B5">
            <w:pPr>
              <w:suppressAutoHyphens/>
              <w:rPr>
                <w:rStyle w:val="InstructionsTabelleberschrift"/>
                <w:rFonts w:ascii="Times New Roman" w:hAnsi="Times New Roman"/>
                <w:sz w:val="24"/>
              </w:rPr>
            </w:pPr>
            <w:r>
              <w:rPr>
                <w:rStyle w:val="InstructionsTabelleberschrift"/>
                <w:rFonts w:ascii="Times New Roman" w:hAnsi="Times New Roman"/>
                <w:sz w:val="24"/>
              </w:rPr>
              <w:t>Importo complessivo dei recuperi da assicurazioni e altri meccanismi di trasferimento del rischio</w:t>
            </w:r>
          </w:p>
          <w:p w:rsidR="00FD54FC" w:rsidRPr="00661595" w:rsidRDefault="00FD54FC" w:rsidP="002568B5">
            <w:pPr>
              <w:suppressAutoHyphens/>
              <w:rPr>
                <w:rFonts w:ascii="Times New Roman" w:hAnsi="Times New Roman"/>
                <w:sz w:val="24"/>
              </w:rPr>
            </w:pPr>
            <w:r>
              <w:rPr>
                <w:rFonts w:ascii="Times New Roman" w:hAnsi="Times New Roman"/>
                <w:sz w:val="24"/>
              </w:rPr>
              <w:t>Per recuperi da assicurazioni e altri meccanismi di trasferimento del rischio si intendono i recuperi soggetti all</w:t>
            </w:r>
            <w:r w:rsidR="000878EC">
              <w:rPr>
                <w:rFonts w:ascii="Times New Roman" w:hAnsi="Times New Roman"/>
                <w:sz w:val="24"/>
              </w:rPr>
              <w:t>'</w:t>
            </w:r>
            <w:r>
              <w:rPr>
                <w:rFonts w:ascii="Times New Roman" w:hAnsi="Times New Roman"/>
                <w:sz w:val="24"/>
              </w:rPr>
              <w:t xml:space="preserve">articolo 323 del CRR. </w:t>
            </w:r>
          </w:p>
          <w:p w:rsidR="00FD54FC" w:rsidRPr="00661595" w:rsidRDefault="00FD54FC" w:rsidP="002568B5">
            <w:pPr>
              <w:suppressAutoHyphens/>
              <w:rPr>
                <w:sz w:val="24"/>
              </w:rPr>
            </w:pPr>
            <w:r>
              <w:rPr>
                <w:rFonts w:ascii="Times New Roman" w:hAnsi="Times New Roman"/>
                <w:sz w:val="24"/>
              </w:rPr>
              <w:t>L</w:t>
            </w:r>
            <w:r w:rsidR="000878EC">
              <w:rPr>
                <w:rFonts w:ascii="Times New Roman" w:hAnsi="Times New Roman"/>
                <w:sz w:val="24"/>
              </w:rPr>
              <w:t>'</w:t>
            </w:r>
            <w:r>
              <w:rPr>
                <w:rFonts w:ascii="Times New Roman" w:hAnsi="Times New Roman"/>
                <w:sz w:val="24"/>
              </w:rPr>
              <w:t>importo complessivo dei recuperi da assicurazioni e altri meccanismi di trasferimento del rischio è la somma di tutti i recuperi da assicurazioni e altri meccanismi di trasferimento del rischio e degli adeguamenti a tali recuperi contabilizzati nel periodo di riferimento e riferiti a eventi di perdita dovuti al rischio operativo contabilizzati per la prima volta nel periodo di riferimento per le segnalazioni o in precedenti periodi di riferimento per le segnalazioni.</w:t>
            </w:r>
          </w:p>
        </w:tc>
      </w:tr>
      <w:tr w:rsidR="00FD54FC" w:rsidRPr="00661595" w:rsidTr="00672D2A">
        <w:tc>
          <w:tcPr>
            <w:tcW w:w="1101" w:type="dxa"/>
          </w:tcPr>
          <w:p w:rsidR="00FD54FC" w:rsidRPr="00661595" w:rsidRDefault="00C93FC2" w:rsidP="002568B5">
            <w:pPr>
              <w:suppressAutoHyphens/>
              <w:rPr>
                <w:rFonts w:ascii="Times New Roman" w:hAnsi="Times New Roman"/>
                <w:bCs/>
                <w:sz w:val="24"/>
              </w:rPr>
            </w:pPr>
            <w:r>
              <w:rPr>
                <w:rFonts w:ascii="Times New Roman" w:hAnsi="Times New Roman"/>
                <w:sz w:val="24"/>
              </w:rPr>
              <w:t>0910</w:t>
            </w:r>
            <w:r>
              <w:rPr>
                <w:rFonts w:ascii="Times New Roman" w:hAnsi="Times New Roman"/>
                <w:bCs/>
                <w:sz w:val="24"/>
              </w:rPr>
              <w:t>-0980</w:t>
            </w:r>
          </w:p>
        </w:tc>
        <w:tc>
          <w:tcPr>
            <w:tcW w:w="8079" w:type="dxa"/>
          </w:tcPr>
          <w:p w:rsidR="00FD54FC" w:rsidRPr="00661595" w:rsidRDefault="00FD54FC" w:rsidP="002568B5">
            <w:pPr>
              <w:suppressAutoHyphens/>
              <w:rPr>
                <w:rStyle w:val="InstructionsTabelleberschrift"/>
                <w:rFonts w:ascii="Times New Roman" w:hAnsi="Times New Roman"/>
                <w:sz w:val="24"/>
              </w:rPr>
            </w:pPr>
            <w:r>
              <w:rPr>
                <w:rStyle w:val="InstructionsTabelleberschrift"/>
                <w:rFonts w:ascii="Times New Roman" w:hAnsi="Times New Roman"/>
                <w:sz w:val="24"/>
              </w:rPr>
              <w:t>LINEE DI BUSINESS TOTALI</w:t>
            </w:r>
          </w:p>
          <w:p w:rsidR="00FD54FC" w:rsidRPr="00661595" w:rsidRDefault="00FD54FC" w:rsidP="002568B5">
            <w:pPr>
              <w:suppressAutoHyphens/>
              <w:rPr>
                <w:rFonts w:ascii="Times New Roman" w:hAnsi="Times New Roman"/>
                <w:sz w:val="24"/>
              </w:rPr>
            </w:pPr>
            <w:r>
              <w:rPr>
                <w:rFonts w:ascii="Times New Roman" w:hAnsi="Times New Roman"/>
                <w:sz w:val="24"/>
              </w:rPr>
              <w:t>Per ciascuna tipologia di evento di perdita (colonne da 0010 a 0080) devono essere segnalate le informazioni relative alle linee di business totali.</w:t>
            </w:r>
          </w:p>
        </w:tc>
      </w:tr>
      <w:tr w:rsidR="00FD54FC" w:rsidRPr="00661595" w:rsidTr="00672D2A">
        <w:tc>
          <w:tcPr>
            <w:tcW w:w="1101" w:type="dxa"/>
          </w:tcPr>
          <w:p w:rsidR="00FD54FC" w:rsidRPr="00661595" w:rsidRDefault="00C93FC2" w:rsidP="002568B5">
            <w:pPr>
              <w:suppressAutoHyphens/>
              <w:rPr>
                <w:rFonts w:ascii="Times New Roman" w:hAnsi="Times New Roman"/>
                <w:bCs/>
                <w:sz w:val="24"/>
              </w:rPr>
            </w:pPr>
            <w:r>
              <w:rPr>
                <w:rFonts w:ascii="Times New Roman" w:hAnsi="Times New Roman"/>
                <w:bCs/>
                <w:sz w:val="24"/>
              </w:rPr>
              <w:t>0910-0914</w:t>
            </w:r>
          </w:p>
        </w:tc>
        <w:tc>
          <w:tcPr>
            <w:tcW w:w="8079" w:type="dxa"/>
          </w:tcPr>
          <w:p w:rsidR="00FD54FC" w:rsidRPr="00661595" w:rsidRDefault="00FD54FC" w:rsidP="002568B5">
            <w:pPr>
              <w:suppressAutoHyphens/>
              <w:rPr>
                <w:rStyle w:val="InstructionsTabelleberschrift"/>
                <w:rFonts w:ascii="Times New Roman" w:hAnsi="Times New Roman"/>
                <w:sz w:val="24"/>
              </w:rPr>
            </w:pPr>
            <w:r>
              <w:rPr>
                <w:rStyle w:val="InstructionsTabelleberschrift"/>
                <w:rFonts w:ascii="Times New Roman" w:hAnsi="Times New Roman"/>
                <w:sz w:val="24"/>
              </w:rPr>
              <w:t>Numero di eventi di perdita</w:t>
            </w:r>
          </w:p>
          <w:p w:rsidR="00FD54FC" w:rsidRPr="00661595" w:rsidRDefault="00FD54FC" w:rsidP="002568B5">
            <w:pPr>
              <w:suppressAutoHyphens/>
              <w:rPr>
                <w:rFonts w:ascii="Times New Roman" w:hAnsi="Times New Roman"/>
                <w:sz w:val="24"/>
              </w:rPr>
            </w:pPr>
            <w:r>
              <w:rPr>
                <w:rFonts w:ascii="Times New Roman" w:hAnsi="Times New Roman"/>
                <w:sz w:val="24"/>
              </w:rPr>
              <w:t>Alla riga 0910 è indicato il numero degli eventi di perdita superiori alla soglia interna ripartiti per tipologia di evento di perdita nelle linee di business totali. Questo valore può essere minore dell</w:t>
            </w:r>
            <w:r w:rsidR="000878EC">
              <w:rPr>
                <w:rFonts w:ascii="Times New Roman" w:hAnsi="Times New Roman"/>
                <w:sz w:val="24"/>
              </w:rPr>
              <w:t>'</w:t>
            </w:r>
            <w:r>
              <w:rPr>
                <w:rFonts w:ascii="Times New Roman" w:hAnsi="Times New Roman"/>
                <w:sz w:val="24"/>
              </w:rPr>
              <w:t>aggregazione del numero di eventi di perdita per linee di business, perché gli eventi di perdita con impatti multipli (impatti su più linee di business) sono considerati un evento unico. Può essere più elevato se un ente che calcola i requisiti di fondi propri conformemente al metodo BIA non è in grado di individuare per ogni caso la linea di business interessata (o le linee di business interessate) dalla perdita.</w:t>
            </w:r>
          </w:p>
          <w:p w:rsidR="00FD54FC" w:rsidRPr="00661595" w:rsidRDefault="00FD54FC" w:rsidP="002568B5">
            <w:pPr>
              <w:suppressAutoHyphens/>
              <w:rPr>
                <w:rFonts w:ascii="Times New Roman" w:hAnsi="Times New Roman"/>
                <w:sz w:val="24"/>
              </w:rPr>
            </w:pPr>
            <w:r>
              <w:rPr>
                <w:rFonts w:ascii="Times New Roman" w:hAnsi="Times New Roman"/>
                <w:sz w:val="24"/>
              </w:rPr>
              <w:t>Alle righe 0911-0914 è indicato il numero di eventi di perdita il cui importo delle perdite lorde rientra negli intervalli definiti nelle righe pertinenti del modello.</w:t>
            </w:r>
          </w:p>
          <w:p w:rsidR="00FD54FC" w:rsidRPr="00661595" w:rsidRDefault="00FD54FC" w:rsidP="002568B5">
            <w:pPr>
              <w:suppressAutoHyphens/>
              <w:rPr>
                <w:rFonts w:ascii="Times New Roman" w:hAnsi="Times New Roman"/>
                <w:sz w:val="24"/>
              </w:rPr>
            </w:pPr>
            <w:r>
              <w:rPr>
                <w:rFonts w:ascii="Times New Roman" w:hAnsi="Times New Roman"/>
                <w:sz w:val="24"/>
              </w:rPr>
              <w:t>Se l</w:t>
            </w:r>
            <w:r w:rsidR="000878EC">
              <w:rPr>
                <w:rFonts w:ascii="Times New Roman" w:hAnsi="Times New Roman"/>
                <w:sz w:val="24"/>
              </w:rPr>
              <w:t>'</w:t>
            </w:r>
            <w:r>
              <w:rPr>
                <w:rFonts w:ascii="Times New Roman" w:hAnsi="Times New Roman"/>
                <w:sz w:val="24"/>
              </w:rPr>
              <w:t>ente ha assegnato tutte le sue perdite ad una linea di business elencata nella tabella 2 dell</w:t>
            </w:r>
            <w:r w:rsidR="000878EC">
              <w:rPr>
                <w:rFonts w:ascii="Times New Roman" w:hAnsi="Times New Roman"/>
                <w:sz w:val="24"/>
              </w:rPr>
              <w:t>'</w:t>
            </w:r>
            <w:r>
              <w:rPr>
                <w:rFonts w:ascii="Times New Roman" w:hAnsi="Times New Roman"/>
                <w:sz w:val="24"/>
              </w:rPr>
              <w:t xml:space="preserve">articolo 317, paragrafo 4, del CRR o alla linea di business </w:t>
            </w:r>
            <w:r w:rsidR="000878EC">
              <w:rPr>
                <w:rFonts w:ascii="Times New Roman" w:hAnsi="Times New Roman"/>
                <w:sz w:val="24"/>
              </w:rPr>
              <w:t>"</w:t>
            </w:r>
            <w:r>
              <w:rPr>
                <w:rFonts w:ascii="Times New Roman" w:hAnsi="Times New Roman"/>
                <w:sz w:val="24"/>
              </w:rPr>
              <w:t>elementi d</w:t>
            </w:r>
            <w:r w:rsidR="000878EC">
              <w:rPr>
                <w:rFonts w:ascii="Times New Roman" w:hAnsi="Times New Roman"/>
                <w:sz w:val="24"/>
              </w:rPr>
              <w:t>'</w:t>
            </w:r>
            <w:r>
              <w:rPr>
                <w:rFonts w:ascii="Times New Roman" w:hAnsi="Times New Roman"/>
                <w:sz w:val="24"/>
              </w:rPr>
              <w:t>impresa</w:t>
            </w:r>
            <w:r w:rsidR="000878EC">
              <w:rPr>
                <w:rFonts w:ascii="Times New Roman" w:hAnsi="Times New Roman"/>
                <w:sz w:val="24"/>
              </w:rPr>
              <w:t>"</w:t>
            </w:r>
            <w:r>
              <w:rPr>
                <w:rFonts w:ascii="Times New Roman" w:hAnsi="Times New Roman"/>
                <w:sz w:val="24"/>
              </w:rPr>
              <w:t xml:space="preserve"> di cui all</w:t>
            </w:r>
            <w:r w:rsidR="000878EC">
              <w:rPr>
                <w:rFonts w:ascii="Times New Roman" w:hAnsi="Times New Roman"/>
                <w:sz w:val="24"/>
              </w:rPr>
              <w:t>'</w:t>
            </w:r>
            <w:r>
              <w:rPr>
                <w:rFonts w:ascii="Times New Roman" w:hAnsi="Times New Roman"/>
                <w:sz w:val="24"/>
              </w:rPr>
              <w:t>articolo 322, paragrafo 3, lettera b), del CRR o ha individuato le tipologie di eventi di perdita per tutte le perdite, per la colonna 0080 si applicano le disposizioni seguenti, a seconda dei casi:</w:t>
            </w:r>
          </w:p>
          <w:p w:rsidR="00FD54FC" w:rsidRPr="00661595" w:rsidRDefault="00125707" w:rsidP="002568B5">
            <w:pPr>
              <w:suppressAutoHyphens/>
              <w:ind w:left="360" w:hanging="360"/>
              <w:rPr>
                <w:rFonts w:ascii="Times New Roman" w:hAnsi="Times New Roman"/>
                <w:sz w:val="24"/>
              </w:rPr>
            </w:pPr>
            <w:r>
              <w:rPr>
                <w:rFonts w:ascii="Times New Roman" w:hAnsi="Times New Roman"/>
                <w:sz w:val="24"/>
              </w:rPr>
              <w:t>-</w:t>
            </w:r>
            <w:r>
              <w:tab/>
            </w:r>
            <w:r>
              <w:rPr>
                <w:rFonts w:ascii="Times New Roman" w:hAnsi="Times New Roman"/>
                <w:sz w:val="24"/>
              </w:rPr>
              <w:t>Il numero totale di eventi di perdita segnalati alle righe da 0910 a 0914 è uguale all</w:t>
            </w:r>
            <w:r w:rsidR="000878EC">
              <w:rPr>
                <w:rFonts w:ascii="Times New Roman" w:hAnsi="Times New Roman"/>
                <w:sz w:val="24"/>
              </w:rPr>
              <w:t>'</w:t>
            </w:r>
            <w:r>
              <w:rPr>
                <w:rFonts w:ascii="Times New Roman" w:hAnsi="Times New Roman"/>
                <w:sz w:val="24"/>
              </w:rPr>
              <w:t>aggregazione orizzontale del numero di eventi di perdita di cui alla riga corrispondente, dato che quei valori tengono già conto degli eventi di perdita con impatti su più linee di business come se fossero un evento di perdita unico.</w:t>
            </w:r>
          </w:p>
          <w:p w:rsidR="00FD54FC" w:rsidRPr="00661595" w:rsidRDefault="00125707" w:rsidP="002568B5">
            <w:pPr>
              <w:suppressAutoHyphens/>
              <w:ind w:left="360" w:hanging="360"/>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w:t>
            </w:r>
            <w:r>
              <w:tab/>
            </w:r>
            <w:r>
              <w:rPr>
                <w:rFonts w:ascii="Times New Roman" w:hAnsi="Times New Roman"/>
                <w:sz w:val="24"/>
              </w:rPr>
              <w:t>L</w:t>
            </w:r>
            <w:r w:rsidR="000878EC">
              <w:rPr>
                <w:rFonts w:ascii="Times New Roman" w:hAnsi="Times New Roman"/>
                <w:sz w:val="24"/>
              </w:rPr>
              <w:t>'</w:t>
            </w:r>
            <w:r>
              <w:rPr>
                <w:rFonts w:ascii="Times New Roman" w:hAnsi="Times New Roman"/>
                <w:sz w:val="24"/>
              </w:rPr>
              <w:t>importo segnalato alla colonna 0080, riga 0910 non è necessariamente uguale all</w:t>
            </w:r>
            <w:r w:rsidR="000878EC">
              <w:rPr>
                <w:rFonts w:ascii="Times New Roman" w:hAnsi="Times New Roman"/>
                <w:sz w:val="24"/>
              </w:rPr>
              <w:t>'</w:t>
            </w:r>
            <w:r>
              <w:rPr>
                <w:rFonts w:ascii="Times New Roman" w:hAnsi="Times New Roman"/>
                <w:sz w:val="24"/>
              </w:rPr>
              <w:t>aggregazione verticale del numero di eventi di perdita di cui alla colonna 0080, considerato che un evento di perdita può avere impatti su più linee di business simultaneamente.</w:t>
            </w:r>
          </w:p>
        </w:tc>
      </w:tr>
      <w:tr w:rsidR="00FD54FC" w:rsidRPr="00661595" w:rsidTr="00672D2A">
        <w:tc>
          <w:tcPr>
            <w:tcW w:w="1101" w:type="dxa"/>
          </w:tcPr>
          <w:p w:rsidR="00FD54FC" w:rsidRPr="00661595" w:rsidRDefault="00C93FC2" w:rsidP="002568B5">
            <w:pPr>
              <w:keepNext/>
              <w:keepLines/>
              <w:suppressAutoHyphens/>
              <w:rPr>
                <w:rFonts w:ascii="Times New Roman" w:hAnsi="Times New Roman"/>
                <w:bCs/>
                <w:sz w:val="24"/>
              </w:rPr>
            </w:pPr>
            <w:r>
              <w:rPr>
                <w:rFonts w:ascii="Times New Roman" w:hAnsi="Times New Roman"/>
                <w:bCs/>
                <w:sz w:val="24"/>
              </w:rPr>
              <w:t>0920-0924</w:t>
            </w:r>
          </w:p>
        </w:tc>
        <w:tc>
          <w:tcPr>
            <w:tcW w:w="8079" w:type="dxa"/>
          </w:tcPr>
          <w:p w:rsidR="00FD54FC" w:rsidRPr="00661595" w:rsidRDefault="00FD54FC" w:rsidP="002568B5">
            <w:pPr>
              <w:keepNext/>
              <w:keepLines/>
              <w:suppressAutoHyphens/>
              <w:rPr>
                <w:rStyle w:val="InstructionsTabelleberschrift"/>
                <w:rFonts w:ascii="Times New Roman" w:hAnsi="Times New Roman"/>
                <w:sz w:val="24"/>
              </w:rPr>
            </w:pPr>
            <w:r>
              <w:rPr>
                <w:rStyle w:val="InstructionsTabelleberschrift"/>
                <w:rFonts w:ascii="Times New Roman" w:hAnsi="Times New Roman"/>
                <w:sz w:val="24"/>
              </w:rPr>
              <w:t>Importo delle perdite lorde (eventi di perdita nuovi)</w:t>
            </w:r>
          </w:p>
          <w:p w:rsidR="00FD54FC" w:rsidRPr="00661595" w:rsidRDefault="00FD54FC" w:rsidP="002568B5">
            <w:pPr>
              <w:keepNext/>
              <w:keepLines/>
              <w:suppressAutoHyphens/>
              <w:rPr>
                <w:rFonts w:ascii="Times New Roman" w:hAnsi="Times New Roman"/>
                <w:sz w:val="24"/>
              </w:rPr>
            </w:pPr>
            <w:r>
              <w:rPr>
                <w:rFonts w:ascii="Times New Roman" w:hAnsi="Times New Roman"/>
                <w:sz w:val="24"/>
              </w:rPr>
              <w:t>Se l</w:t>
            </w:r>
            <w:r w:rsidR="000878EC">
              <w:rPr>
                <w:rFonts w:ascii="Times New Roman" w:hAnsi="Times New Roman"/>
                <w:sz w:val="24"/>
              </w:rPr>
              <w:t>'</w:t>
            </w:r>
            <w:r>
              <w:rPr>
                <w:rFonts w:ascii="Times New Roman" w:hAnsi="Times New Roman"/>
                <w:sz w:val="24"/>
              </w:rPr>
              <w:t>ente ha assegnato tutte le sue perdite ad una linea di business elencata nella tabella 2 dell</w:t>
            </w:r>
            <w:r w:rsidR="000878EC">
              <w:rPr>
                <w:rFonts w:ascii="Times New Roman" w:hAnsi="Times New Roman"/>
                <w:sz w:val="24"/>
              </w:rPr>
              <w:t>'</w:t>
            </w:r>
            <w:r>
              <w:rPr>
                <w:rFonts w:ascii="Times New Roman" w:hAnsi="Times New Roman"/>
                <w:sz w:val="24"/>
              </w:rPr>
              <w:t xml:space="preserve">articolo 317, paragrafo 4, del CRR o alla linea di business </w:t>
            </w:r>
            <w:r w:rsidR="000878EC">
              <w:rPr>
                <w:rFonts w:ascii="Times New Roman" w:hAnsi="Times New Roman"/>
                <w:sz w:val="24"/>
              </w:rPr>
              <w:t>"</w:t>
            </w:r>
            <w:r>
              <w:rPr>
                <w:rFonts w:ascii="Times New Roman" w:hAnsi="Times New Roman"/>
                <w:sz w:val="24"/>
              </w:rPr>
              <w:t>elementi d</w:t>
            </w:r>
            <w:r w:rsidR="000878EC">
              <w:rPr>
                <w:rFonts w:ascii="Times New Roman" w:hAnsi="Times New Roman"/>
                <w:sz w:val="24"/>
              </w:rPr>
              <w:t>'</w:t>
            </w:r>
            <w:r>
              <w:rPr>
                <w:rFonts w:ascii="Times New Roman" w:hAnsi="Times New Roman"/>
                <w:sz w:val="24"/>
              </w:rPr>
              <w:t>impresa</w:t>
            </w:r>
            <w:r w:rsidR="000878EC">
              <w:rPr>
                <w:rFonts w:ascii="Times New Roman" w:hAnsi="Times New Roman"/>
                <w:sz w:val="24"/>
              </w:rPr>
              <w:t>"</w:t>
            </w:r>
            <w:r>
              <w:rPr>
                <w:rFonts w:ascii="Times New Roman" w:hAnsi="Times New Roman"/>
                <w:sz w:val="24"/>
              </w:rPr>
              <w:t xml:space="preserve"> di cui all</w:t>
            </w:r>
            <w:r w:rsidR="000878EC">
              <w:rPr>
                <w:rFonts w:ascii="Times New Roman" w:hAnsi="Times New Roman"/>
                <w:sz w:val="24"/>
              </w:rPr>
              <w:t>'</w:t>
            </w:r>
            <w:r>
              <w:rPr>
                <w:rFonts w:ascii="Times New Roman" w:hAnsi="Times New Roman"/>
                <w:sz w:val="24"/>
              </w:rPr>
              <w:t>articolo 322, paragrafo 3, lettera b), del CRR, l</w:t>
            </w:r>
            <w:r w:rsidR="000878EC">
              <w:rPr>
                <w:rFonts w:ascii="Times New Roman" w:hAnsi="Times New Roman"/>
                <w:sz w:val="24"/>
              </w:rPr>
              <w:t>'</w:t>
            </w:r>
            <w:r>
              <w:rPr>
                <w:rFonts w:ascii="Times New Roman" w:hAnsi="Times New Roman"/>
                <w:sz w:val="24"/>
              </w:rPr>
              <w:t xml:space="preserve">importo delle perdite lorde (eventi di perdita nuovi) segnalato nella riga 0920 è la semplice aggregazione degli importi delle perdite lorde degli eventi di perdita nuovi per ciascuna linea di business. </w:t>
            </w:r>
          </w:p>
          <w:p w:rsidR="00FD54FC" w:rsidRPr="00661595" w:rsidRDefault="00FD54FC" w:rsidP="002568B5">
            <w:pPr>
              <w:keepNext/>
              <w:keepLines/>
              <w:suppressAutoHyphens/>
              <w:rPr>
                <w:rStyle w:val="InstructionsTabelleberschrift"/>
                <w:rFonts w:ascii="Times New Roman" w:hAnsi="Times New Roman"/>
                <w:sz w:val="24"/>
              </w:rPr>
            </w:pPr>
            <w:r>
              <w:rPr>
                <w:rFonts w:ascii="Times New Roman" w:hAnsi="Times New Roman"/>
                <w:sz w:val="24"/>
              </w:rPr>
              <w:t>Alle righe 0921-0924 è indicato l</w:t>
            </w:r>
            <w:r w:rsidR="000878EC">
              <w:rPr>
                <w:rFonts w:ascii="Times New Roman" w:hAnsi="Times New Roman"/>
                <w:sz w:val="24"/>
              </w:rPr>
              <w:t>'</w:t>
            </w:r>
            <w:r>
              <w:rPr>
                <w:rFonts w:ascii="Times New Roman" w:hAnsi="Times New Roman"/>
                <w:sz w:val="24"/>
              </w:rPr>
              <w:t>importo delle perdite lorde per eventi di perdita il cui importo delle perdite lorde rientra negli intervalli definiti nelle righe pertinenti.</w:t>
            </w:r>
          </w:p>
        </w:tc>
      </w:tr>
      <w:tr w:rsidR="00FD54FC" w:rsidRPr="00661595" w:rsidTr="00672D2A">
        <w:tc>
          <w:tcPr>
            <w:tcW w:w="1101" w:type="dxa"/>
          </w:tcPr>
          <w:p w:rsidR="00FD54FC" w:rsidRPr="00661595" w:rsidRDefault="00C93FC2" w:rsidP="002568B5">
            <w:pPr>
              <w:suppressAutoHyphens/>
              <w:rPr>
                <w:rFonts w:ascii="Times New Roman" w:hAnsi="Times New Roman"/>
                <w:bCs/>
                <w:sz w:val="24"/>
              </w:rPr>
            </w:pPr>
            <w:r>
              <w:rPr>
                <w:rFonts w:ascii="Times New Roman" w:hAnsi="Times New Roman"/>
                <w:sz w:val="24"/>
              </w:rPr>
              <w:t>0930, 0</w:t>
            </w:r>
            <w:r>
              <w:rPr>
                <w:rFonts w:ascii="Times New Roman" w:hAnsi="Times New Roman"/>
                <w:bCs/>
                <w:sz w:val="24"/>
              </w:rPr>
              <w:t>935, 0936</w:t>
            </w:r>
          </w:p>
        </w:tc>
        <w:tc>
          <w:tcPr>
            <w:tcW w:w="8079" w:type="dxa"/>
          </w:tcPr>
          <w:p w:rsidR="00FD54FC" w:rsidRPr="00661595" w:rsidRDefault="00FD54FC" w:rsidP="002568B5">
            <w:pPr>
              <w:suppressAutoHyphens/>
              <w:rPr>
                <w:rFonts w:ascii="Times New Roman" w:hAnsi="Times New Roman"/>
                <w:sz w:val="24"/>
              </w:rPr>
            </w:pPr>
            <w:r>
              <w:rPr>
                <w:rStyle w:val="InstructionsTabelleberschrift"/>
                <w:rFonts w:ascii="Times New Roman" w:hAnsi="Times New Roman"/>
                <w:sz w:val="24"/>
              </w:rPr>
              <w:t>Numero di eventi di perdita soggetti ad adeguamenti per perdite</w:t>
            </w:r>
          </w:p>
          <w:p w:rsidR="00FD54FC" w:rsidRPr="00661595" w:rsidRDefault="00FD54FC" w:rsidP="002568B5">
            <w:pPr>
              <w:suppressAutoHyphens/>
              <w:rPr>
                <w:rFonts w:ascii="Times New Roman" w:hAnsi="Times New Roman"/>
                <w:sz w:val="24"/>
              </w:rPr>
            </w:pPr>
            <w:r>
              <w:rPr>
                <w:rFonts w:ascii="Times New Roman" w:hAnsi="Times New Roman"/>
                <w:sz w:val="24"/>
              </w:rPr>
              <w:t>Alla riga 0930 è indicato il totale del numero di eventi di perdita soggetti ad adeguamenti per perdite di cui alle righe 0030, 0130,..., 0830. Questo valore può essere minore dell</w:t>
            </w:r>
            <w:r w:rsidR="000878EC">
              <w:rPr>
                <w:rFonts w:ascii="Times New Roman" w:hAnsi="Times New Roman"/>
                <w:sz w:val="24"/>
              </w:rPr>
              <w:t>'</w:t>
            </w:r>
            <w:r>
              <w:rPr>
                <w:rFonts w:ascii="Times New Roman" w:hAnsi="Times New Roman"/>
                <w:sz w:val="24"/>
              </w:rPr>
              <w:t>aggregazione del numero di eventi di perdita soggetti ad adeguamenti per perdite per linee di business, perché gli eventi di perdita con impatti multipli (impatti su più linee di business) sono considerati un evento unico. Può essere più elevato se un ente che calcola i requisiti di fondi propri conformemente al metodo BIA non è in grado di individuare per ogni caso la linea di business interessata (o le linee di business interessate) dalla perdita.</w:t>
            </w:r>
          </w:p>
          <w:p w:rsidR="00FD54FC" w:rsidRPr="00661595" w:rsidRDefault="00FD54FC" w:rsidP="002568B5">
            <w:pPr>
              <w:suppressAutoHyphens/>
              <w:rPr>
                <w:rStyle w:val="InstructionsTabelleberschrift"/>
                <w:rFonts w:ascii="Times New Roman" w:hAnsi="Times New Roman"/>
                <w:sz w:val="24"/>
              </w:rPr>
            </w:pPr>
            <w:r>
              <w:rPr>
                <w:rFonts w:ascii="Times New Roman" w:hAnsi="Times New Roman"/>
                <w:sz w:val="24"/>
              </w:rPr>
              <w:t>Il numero di eventi di perdita soggetti ad adeguamenti per perdite è ripartito tra il numero di eventi di perdita per i quali è stato effettuato un adeguamento per perdite positivo nel periodo di riferimento per le segnalazioni e il numero di eventi di perdita per i quali è stato effettuato un adeguamento per perdite negativo nel periodo di riferimento per le segnalazioni (tutti indicati con il segno positivo).</w:t>
            </w:r>
          </w:p>
        </w:tc>
      </w:tr>
      <w:tr w:rsidR="00FD54FC" w:rsidRPr="00661595" w:rsidTr="00672D2A">
        <w:tc>
          <w:tcPr>
            <w:tcW w:w="1101" w:type="dxa"/>
          </w:tcPr>
          <w:p w:rsidR="00FD54FC" w:rsidRPr="00661595" w:rsidRDefault="00C93FC2" w:rsidP="002568B5">
            <w:pPr>
              <w:suppressAutoHyphens/>
              <w:rPr>
                <w:rFonts w:ascii="Times New Roman" w:hAnsi="Times New Roman"/>
                <w:sz w:val="24"/>
              </w:rPr>
            </w:pPr>
            <w:r>
              <w:rPr>
                <w:rFonts w:ascii="Times New Roman" w:hAnsi="Times New Roman"/>
                <w:sz w:val="24"/>
              </w:rPr>
              <w:t>0940, 0945, 0946</w:t>
            </w:r>
          </w:p>
        </w:tc>
        <w:tc>
          <w:tcPr>
            <w:tcW w:w="8079" w:type="dxa"/>
          </w:tcPr>
          <w:p w:rsidR="00FD54FC" w:rsidRPr="00661595" w:rsidRDefault="00FD54FC" w:rsidP="002568B5">
            <w:pPr>
              <w:suppressAutoHyphens/>
              <w:rPr>
                <w:rFonts w:ascii="Times New Roman" w:hAnsi="Times New Roman"/>
                <w:sz w:val="24"/>
              </w:rPr>
            </w:pPr>
            <w:r>
              <w:rPr>
                <w:rStyle w:val="InstructionsTabelleberschrift"/>
                <w:rFonts w:ascii="Times New Roman" w:hAnsi="Times New Roman"/>
                <w:sz w:val="24"/>
              </w:rPr>
              <w:t>Adeguamenti per perdite relativi a precedenti periodi di riferimento</w:t>
            </w:r>
          </w:p>
          <w:p w:rsidR="00FD54FC" w:rsidRPr="00661595" w:rsidRDefault="00FD54FC" w:rsidP="002568B5">
            <w:pPr>
              <w:suppressAutoHyphens/>
              <w:rPr>
                <w:rFonts w:ascii="Times New Roman" w:hAnsi="Times New Roman"/>
                <w:sz w:val="24"/>
              </w:rPr>
            </w:pPr>
            <w:r>
              <w:rPr>
                <w:rFonts w:ascii="Times New Roman" w:hAnsi="Times New Roman"/>
                <w:sz w:val="24"/>
              </w:rPr>
              <w:t>Alla riga 0940 è indicato il totale degli adeguamenti per perdite relativi a precedenti periodi di riferimento per linea di business (di cui alle righe 0040, 0140,..., 0840). Se l</w:t>
            </w:r>
            <w:r w:rsidR="000878EC">
              <w:rPr>
                <w:rFonts w:ascii="Times New Roman" w:hAnsi="Times New Roman"/>
                <w:sz w:val="24"/>
              </w:rPr>
              <w:t>'</w:t>
            </w:r>
            <w:r>
              <w:rPr>
                <w:rFonts w:ascii="Times New Roman" w:hAnsi="Times New Roman"/>
                <w:sz w:val="24"/>
              </w:rPr>
              <w:t>ente ha assegnato tutte le sue perdite ad una linea di business elencata nella tabella 2 dell</w:t>
            </w:r>
            <w:r w:rsidR="000878EC">
              <w:rPr>
                <w:rFonts w:ascii="Times New Roman" w:hAnsi="Times New Roman"/>
                <w:sz w:val="24"/>
              </w:rPr>
              <w:t>'</w:t>
            </w:r>
            <w:r>
              <w:rPr>
                <w:rFonts w:ascii="Times New Roman" w:hAnsi="Times New Roman"/>
                <w:sz w:val="24"/>
              </w:rPr>
              <w:t xml:space="preserve">articolo 317, paragrafo 4, del CRR o alla linea di business </w:t>
            </w:r>
            <w:r w:rsidR="000878EC">
              <w:rPr>
                <w:rFonts w:ascii="Times New Roman" w:hAnsi="Times New Roman"/>
                <w:sz w:val="24"/>
              </w:rPr>
              <w:t>"</w:t>
            </w:r>
            <w:r>
              <w:rPr>
                <w:rFonts w:ascii="Times New Roman" w:hAnsi="Times New Roman"/>
                <w:sz w:val="24"/>
              </w:rPr>
              <w:t>elementi d</w:t>
            </w:r>
            <w:r w:rsidR="000878EC">
              <w:rPr>
                <w:rFonts w:ascii="Times New Roman" w:hAnsi="Times New Roman"/>
                <w:sz w:val="24"/>
              </w:rPr>
              <w:t>'</w:t>
            </w:r>
            <w:r>
              <w:rPr>
                <w:rFonts w:ascii="Times New Roman" w:hAnsi="Times New Roman"/>
                <w:sz w:val="24"/>
              </w:rPr>
              <w:t>impresa</w:t>
            </w:r>
            <w:r w:rsidR="000878EC">
              <w:rPr>
                <w:rFonts w:ascii="Times New Roman" w:hAnsi="Times New Roman"/>
                <w:sz w:val="24"/>
              </w:rPr>
              <w:t>"</w:t>
            </w:r>
            <w:r>
              <w:rPr>
                <w:rFonts w:ascii="Times New Roman" w:hAnsi="Times New Roman"/>
                <w:sz w:val="24"/>
              </w:rPr>
              <w:t xml:space="preserve"> di cui all</w:t>
            </w:r>
            <w:r w:rsidR="000878EC">
              <w:rPr>
                <w:rFonts w:ascii="Times New Roman" w:hAnsi="Times New Roman"/>
                <w:sz w:val="24"/>
              </w:rPr>
              <w:t>'</w:t>
            </w:r>
            <w:r>
              <w:rPr>
                <w:rFonts w:ascii="Times New Roman" w:hAnsi="Times New Roman"/>
                <w:sz w:val="24"/>
              </w:rPr>
              <w:t>articolo 322, paragrafo 3, lettera b), del CRR, l</w:t>
            </w:r>
            <w:r w:rsidR="000878EC">
              <w:rPr>
                <w:rFonts w:ascii="Times New Roman" w:hAnsi="Times New Roman"/>
                <w:sz w:val="24"/>
              </w:rPr>
              <w:t>'</w:t>
            </w:r>
            <w:r>
              <w:rPr>
                <w:rFonts w:ascii="Times New Roman" w:hAnsi="Times New Roman"/>
                <w:sz w:val="24"/>
              </w:rPr>
              <w:t>importo segnalato alla riga 0940 è la semplice aggregazione degli adeguamenti per perdite relativi a precedenti periodi di riferimento segnalati per le diverse linee di business.</w:t>
            </w:r>
          </w:p>
          <w:p w:rsidR="00FD54FC" w:rsidRPr="00661595" w:rsidRDefault="00FD54FC" w:rsidP="002568B5">
            <w:pPr>
              <w:suppressAutoHyphens/>
              <w:rPr>
                <w:rFonts w:ascii="Times New Roman" w:hAnsi="Times New Roman"/>
                <w:sz w:val="24"/>
              </w:rPr>
            </w:pPr>
            <w:r>
              <w:rPr>
                <w:rFonts w:ascii="Times New Roman" w:hAnsi="Times New Roman"/>
                <w:sz w:val="24"/>
              </w:rPr>
              <w:t>L</w:t>
            </w:r>
            <w:r w:rsidR="000878EC">
              <w:rPr>
                <w:rFonts w:ascii="Times New Roman" w:hAnsi="Times New Roman"/>
                <w:sz w:val="24"/>
              </w:rPr>
              <w:t>'</w:t>
            </w:r>
            <w:r>
              <w:rPr>
                <w:rFonts w:ascii="Times New Roman" w:hAnsi="Times New Roman"/>
                <w:sz w:val="24"/>
              </w:rPr>
              <w:t>importo degli adeguamenti per perdite è ripartito tra l</w:t>
            </w:r>
            <w:r w:rsidR="000878EC">
              <w:rPr>
                <w:rFonts w:ascii="Times New Roman" w:hAnsi="Times New Roman"/>
                <w:sz w:val="24"/>
              </w:rPr>
              <w:t>'</w:t>
            </w:r>
            <w:r>
              <w:rPr>
                <w:rFonts w:ascii="Times New Roman" w:hAnsi="Times New Roman"/>
                <w:sz w:val="24"/>
              </w:rPr>
              <w:t>importo relativo a eventi di perdita per i quali è stato effettuato un adeguamento per perdite positivo nel periodo di riferimento per le segnalazioni (riga 0945, segnalato come cifra positiva) e l</w:t>
            </w:r>
            <w:r w:rsidR="000878EC">
              <w:rPr>
                <w:rFonts w:ascii="Times New Roman" w:hAnsi="Times New Roman"/>
                <w:sz w:val="24"/>
              </w:rPr>
              <w:t>'</w:t>
            </w:r>
            <w:r>
              <w:rPr>
                <w:rFonts w:ascii="Times New Roman" w:hAnsi="Times New Roman"/>
                <w:sz w:val="24"/>
              </w:rPr>
              <w:t>importo relativo a eventi di perdita per i quali è stato effettuato un adeguamento per perdite negativo nel periodo di riferimento per le segnalazioni (riga 0946, segnalato come cifra negativa). Se, a causa di un adeguamento per perdite negativo, l</w:t>
            </w:r>
            <w:r w:rsidR="000878EC">
              <w:rPr>
                <w:rFonts w:ascii="Times New Roman" w:hAnsi="Times New Roman"/>
                <w:sz w:val="24"/>
              </w:rPr>
              <w:t>'</w:t>
            </w:r>
            <w:r>
              <w:rPr>
                <w:rFonts w:ascii="Times New Roman" w:hAnsi="Times New Roman"/>
                <w:sz w:val="24"/>
              </w:rPr>
              <w:t>importo delle perdite adeguato imputabile a un evento di perdita scende al di sotto della soglia per la raccolta di dati interni dell</w:t>
            </w:r>
            <w:r w:rsidR="000878EC">
              <w:rPr>
                <w:rFonts w:ascii="Times New Roman" w:hAnsi="Times New Roman"/>
                <w:sz w:val="24"/>
              </w:rPr>
              <w:t>'</w:t>
            </w:r>
            <w:r>
              <w:rPr>
                <w:rFonts w:ascii="Times New Roman" w:hAnsi="Times New Roman"/>
                <w:sz w:val="24"/>
              </w:rPr>
              <w:t>ente, l</w:t>
            </w:r>
            <w:r w:rsidR="000878EC">
              <w:rPr>
                <w:rFonts w:ascii="Times New Roman" w:hAnsi="Times New Roman"/>
                <w:sz w:val="24"/>
              </w:rPr>
              <w:t>'</w:t>
            </w:r>
            <w:r>
              <w:rPr>
                <w:rFonts w:ascii="Times New Roman" w:hAnsi="Times New Roman"/>
                <w:sz w:val="24"/>
              </w:rPr>
              <w:t>ente segnala l</w:t>
            </w:r>
            <w:r w:rsidR="000878EC">
              <w:rPr>
                <w:rFonts w:ascii="Times New Roman" w:hAnsi="Times New Roman"/>
                <w:sz w:val="24"/>
              </w:rPr>
              <w:t>'</w:t>
            </w:r>
            <w:r>
              <w:rPr>
                <w:rFonts w:ascii="Times New Roman" w:hAnsi="Times New Roman"/>
                <w:sz w:val="24"/>
              </w:rPr>
              <w:t>importo complessivo delle perdite per tale evento di perdita accumulate fino all</w:t>
            </w:r>
            <w:r w:rsidR="000878EC">
              <w:rPr>
                <w:rFonts w:ascii="Times New Roman" w:hAnsi="Times New Roman"/>
                <w:sz w:val="24"/>
              </w:rPr>
              <w:t>'</w:t>
            </w:r>
            <w:r>
              <w:rPr>
                <w:rFonts w:ascii="Times New Roman" w:hAnsi="Times New Roman"/>
                <w:sz w:val="24"/>
              </w:rPr>
              <w:t>ultima volta in cui l</w:t>
            </w:r>
            <w:r w:rsidR="000878EC">
              <w:rPr>
                <w:rFonts w:ascii="Times New Roman" w:hAnsi="Times New Roman"/>
                <w:sz w:val="24"/>
              </w:rPr>
              <w:t>'</w:t>
            </w:r>
            <w:r>
              <w:rPr>
                <w:rFonts w:ascii="Times New Roman" w:hAnsi="Times New Roman"/>
                <w:sz w:val="24"/>
              </w:rPr>
              <w:t>evento di perdita è stato segnalato ad una data di riferimento di dicembre (ossia la perdita originaria più/meno tutti gli adeguamenti per perdite effettuati nei precedenti periodi di riferimento per le segnalazioni) con un segno negativo alla riga 0946 anziché l</w:t>
            </w:r>
            <w:r w:rsidR="000878EC">
              <w:rPr>
                <w:rFonts w:ascii="Times New Roman" w:hAnsi="Times New Roman"/>
                <w:sz w:val="24"/>
              </w:rPr>
              <w:t>'</w:t>
            </w:r>
            <w:r>
              <w:rPr>
                <w:rFonts w:ascii="Times New Roman" w:hAnsi="Times New Roman"/>
                <w:sz w:val="24"/>
              </w:rPr>
              <w:t>importo dell</w:t>
            </w:r>
            <w:r w:rsidR="000878EC">
              <w:rPr>
                <w:rFonts w:ascii="Times New Roman" w:hAnsi="Times New Roman"/>
                <w:sz w:val="24"/>
              </w:rPr>
              <w:t>'</w:t>
            </w:r>
            <w:r>
              <w:rPr>
                <w:rFonts w:ascii="Times New Roman" w:hAnsi="Times New Roman"/>
                <w:sz w:val="24"/>
              </w:rPr>
              <w:t>adeguamento per perdite negativo stesso.</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2568B5">
            <w:pPr>
              <w:suppressAutoHyphens/>
              <w:rPr>
                <w:rFonts w:ascii="Times New Roman" w:hAnsi="Times New Roman"/>
                <w:sz w:val="24"/>
              </w:rPr>
            </w:pPr>
            <w:r>
              <w:rPr>
                <w:rFonts w:ascii="Times New Roman" w:hAnsi="Times New Roman"/>
                <w:sz w:val="24"/>
              </w:rPr>
              <w:t>0950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2568B5">
            <w:pPr>
              <w:suppressAutoHyphens/>
              <w:rPr>
                <w:rStyle w:val="InstructionsTabelleberschrift"/>
                <w:rFonts w:ascii="Times New Roman" w:hAnsi="Times New Roman"/>
                <w:sz w:val="24"/>
              </w:rPr>
            </w:pPr>
            <w:r>
              <w:rPr>
                <w:rStyle w:val="InstructionsTabelleberschrift"/>
                <w:rFonts w:ascii="Times New Roman" w:hAnsi="Times New Roman"/>
                <w:sz w:val="24"/>
              </w:rPr>
              <w:t>Perdita singola massima</w:t>
            </w:r>
          </w:p>
          <w:p w:rsidR="00FD54FC" w:rsidRPr="00661595" w:rsidRDefault="00FD54FC" w:rsidP="002568B5">
            <w:pPr>
              <w:suppressAutoHyphens/>
              <w:rPr>
                <w:rFonts w:ascii="Times New Roman" w:hAnsi="Times New Roman"/>
                <w:sz w:val="24"/>
              </w:rPr>
            </w:pPr>
            <w:r>
              <w:rPr>
                <w:rFonts w:ascii="Times New Roman" w:hAnsi="Times New Roman"/>
                <w:sz w:val="24"/>
              </w:rPr>
              <w:t>Se l</w:t>
            </w:r>
            <w:r w:rsidR="000878EC">
              <w:rPr>
                <w:rFonts w:ascii="Times New Roman" w:hAnsi="Times New Roman"/>
                <w:sz w:val="24"/>
              </w:rPr>
              <w:t>'</w:t>
            </w:r>
            <w:r>
              <w:rPr>
                <w:rFonts w:ascii="Times New Roman" w:hAnsi="Times New Roman"/>
                <w:sz w:val="24"/>
              </w:rPr>
              <w:t>ente ha assegnato tutte le sue perdite ad una linea di business elencata nella tabella 2 dell</w:t>
            </w:r>
            <w:r w:rsidR="000878EC">
              <w:rPr>
                <w:rFonts w:ascii="Times New Roman" w:hAnsi="Times New Roman"/>
                <w:sz w:val="24"/>
              </w:rPr>
              <w:t>'</w:t>
            </w:r>
            <w:r>
              <w:rPr>
                <w:rFonts w:ascii="Times New Roman" w:hAnsi="Times New Roman"/>
                <w:sz w:val="24"/>
              </w:rPr>
              <w:t xml:space="preserve">articolo 317, paragrafo 4, del CRR o alla linea di business </w:t>
            </w:r>
            <w:r w:rsidR="000878EC">
              <w:rPr>
                <w:rFonts w:ascii="Times New Roman" w:hAnsi="Times New Roman"/>
                <w:sz w:val="24"/>
              </w:rPr>
              <w:t>"</w:t>
            </w:r>
            <w:r>
              <w:rPr>
                <w:rFonts w:ascii="Times New Roman" w:hAnsi="Times New Roman"/>
                <w:sz w:val="24"/>
              </w:rPr>
              <w:t>elementi d</w:t>
            </w:r>
            <w:r w:rsidR="000878EC">
              <w:rPr>
                <w:rFonts w:ascii="Times New Roman" w:hAnsi="Times New Roman"/>
                <w:sz w:val="24"/>
              </w:rPr>
              <w:t>'</w:t>
            </w:r>
            <w:r>
              <w:rPr>
                <w:rFonts w:ascii="Times New Roman" w:hAnsi="Times New Roman"/>
                <w:sz w:val="24"/>
              </w:rPr>
              <w:t>impresa</w:t>
            </w:r>
            <w:r w:rsidR="000878EC">
              <w:rPr>
                <w:rFonts w:ascii="Times New Roman" w:hAnsi="Times New Roman"/>
                <w:sz w:val="24"/>
              </w:rPr>
              <w:t>"</w:t>
            </w:r>
            <w:r>
              <w:rPr>
                <w:rFonts w:ascii="Times New Roman" w:hAnsi="Times New Roman"/>
                <w:sz w:val="24"/>
              </w:rPr>
              <w:t xml:space="preserve"> di cui all</w:t>
            </w:r>
            <w:r w:rsidR="000878EC">
              <w:rPr>
                <w:rFonts w:ascii="Times New Roman" w:hAnsi="Times New Roman"/>
                <w:sz w:val="24"/>
              </w:rPr>
              <w:t>'</w:t>
            </w:r>
            <w:r>
              <w:rPr>
                <w:rFonts w:ascii="Times New Roman" w:hAnsi="Times New Roman"/>
                <w:sz w:val="24"/>
              </w:rPr>
              <w:t>articolo 322, paragrafo 3, lettera b), del CRR, la perdita singola massima è la perdita massima superiore alla soglia interna per ciascuna tipologia di evento di perdita considerate tutte le linee di business. Se un evento di perdita ha impatti su più linee di business, questi valori possono essere maggiori della perdita singola massima registrata in ciascuna linea di business.</w:t>
            </w:r>
          </w:p>
          <w:p w:rsidR="00FD54FC" w:rsidRPr="00661595" w:rsidRDefault="00FD54FC" w:rsidP="002568B5">
            <w:pPr>
              <w:suppressAutoHyphens/>
              <w:rPr>
                <w:rFonts w:ascii="Times New Roman" w:hAnsi="Times New Roman"/>
                <w:sz w:val="24"/>
              </w:rPr>
            </w:pPr>
            <w:r>
              <w:rPr>
                <w:rFonts w:ascii="Times New Roman" w:hAnsi="Times New Roman"/>
                <w:sz w:val="24"/>
              </w:rPr>
              <w:t>Se l</w:t>
            </w:r>
            <w:r w:rsidR="000878EC">
              <w:rPr>
                <w:rFonts w:ascii="Times New Roman" w:hAnsi="Times New Roman"/>
                <w:sz w:val="24"/>
              </w:rPr>
              <w:t>'</w:t>
            </w:r>
            <w:r>
              <w:rPr>
                <w:rFonts w:ascii="Times New Roman" w:hAnsi="Times New Roman"/>
                <w:sz w:val="24"/>
              </w:rPr>
              <w:t>ente ha assegnato tutte le sue perdite ad una linea di business elencata nella tabella 2 dell</w:t>
            </w:r>
            <w:r w:rsidR="000878EC">
              <w:rPr>
                <w:rFonts w:ascii="Times New Roman" w:hAnsi="Times New Roman"/>
                <w:sz w:val="24"/>
              </w:rPr>
              <w:t>'</w:t>
            </w:r>
            <w:r>
              <w:rPr>
                <w:rFonts w:ascii="Times New Roman" w:hAnsi="Times New Roman"/>
                <w:sz w:val="24"/>
              </w:rPr>
              <w:t xml:space="preserve">articolo 317, paragrafo 4, del CRR o alla linea di business </w:t>
            </w:r>
            <w:r w:rsidR="000878EC">
              <w:rPr>
                <w:rFonts w:ascii="Times New Roman" w:hAnsi="Times New Roman"/>
                <w:sz w:val="24"/>
              </w:rPr>
              <w:t>"</w:t>
            </w:r>
            <w:r>
              <w:rPr>
                <w:rFonts w:ascii="Times New Roman" w:hAnsi="Times New Roman"/>
                <w:sz w:val="24"/>
              </w:rPr>
              <w:t>elementi d</w:t>
            </w:r>
            <w:r w:rsidR="000878EC">
              <w:rPr>
                <w:rFonts w:ascii="Times New Roman" w:hAnsi="Times New Roman"/>
                <w:sz w:val="24"/>
              </w:rPr>
              <w:t>'</w:t>
            </w:r>
            <w:r>
              <w:rPr>
                <w:rFonts w:ascii="Times New Roman" w:hAnsi="Times New Roman"/>
                <w:sz w:val="24"/>
              </w:rPr>
              <w:t>impresa</w:t>
            </w:r>
            <w:r w:rsidR="000878EC">
              <w:rPr>
                <w:rFonts w:ascii="Times New Roman" w:hAnsi="Times New Roman"/>
                <w:sz w:val="24"/>
              </w:rPr>
              <w:t>"</w:t>
            </w:r>
            <w:r>
              <w:rPr>
                <w:rFonts w:ascii="Times New Roman" w:hAnsi="Times New Roman"/>
                <w:sz w:val="24"/>
              </w:rPr>
              <w:t xml:space="preserve"> di cui all</w:t>
            </w:r>
            <w:r w:rsidR="000878EC">
              <w:rPr>
                <w:rFonts w:ascii="Times New Roman" w:hAnsi="Times New Roman"/>
                <w:sz w:val="24"/>
              </w:rPr>
              <w:t>'</w:t>
            </w:r>
            <w:r>
              <w:rPr>
                <w:rFonts w:ascii="Times New Roman" w:hAnsi="Times New Roman"/>
                <w:sz w:val="24"/>
              </w:rPr>
              <w:t>articolo 322, paragrafo 3, lettera b), del CRR e/o ha individuato le tipologie di eventi di perdita per tutte le perdite, per la colonna 0080 si applicano le disposizioni seguenti:</w:t>
            </w:r>
          </w:p>
          <w:p w:rsidR="00FD54FC" w:rsidRPr="00661595" w:rsidRDefault="00125707" w:rsidP="002568B5">
            <w:pPr>
              <w:suppressAutoHyphens/>
              <w:ind w:left="360" w:hanging="360"/>
              <w:rPr>
                <w:rFonts w:ascii="Times New Roman" w:hAnsi="Times New Roman"/>
                <w:b/>
                <w:bCs/>
                <w:sz w:val="24"/>
                <w:u w:val="single"/>
              </w:rPr>
            </w:pPr>
            <w:r>
              <w:rPr>
                <w:rFonts w:ascii="Times New Roman" w:hAnsi="Times New Roman"/>
                <w:bCs/>
                <w:sz w:val="24"/>
              </w:rPr>
              <w:t>-</w:t>
            </w:r>
            <w:r>
              <w:tab/>
            </w:r>
            <w:r>
              <w:rPr>
                <w:rFonts w:ascii="Times New Roman" w:hAnsi="Times New Roman"/>
                <w:sz w:val="24"/>
              </w:rPr>
              <w:t>La perdita singola massima segnalata è pari al più elevato tra i valori riportati nelle colonne 0010-0070 di questa riga.</w:t>
            </w:r>
          </w:p>
          <w:p w:rsidR="00FD54FC" w:rsidRPr="00661595" w:rsidRDefault="00125707" w:rsidP="002568B5">
            <w:pPr>
              <w:suppressAutoHyphens/>
              <w:ind w:left="360" w:hanging="360"/>
              <w:rPr>
                <w:rStyle w:val="InstructionsTabelleberschrift"/>
                <w:rFonts w:ascii="Times New Roman" w:hAnsi="Times New Roman"/>
                <w:bCs w:val="0"/>
                <w:sz w:val="24"/>
              </w:rPr>
            </w:pPr>
            <w:r>
              <w:rPr>
                <w:rStyle w:val="InstructionsTabelleberschrift"/>
                <w:rFonts w:ascii="Times New Roman" w:hAnsi="Times New Roman"/>
                <w:b w:val="0"/>
                <w:bCs w:val="0"/>
                <w:sz w:val="24"/>
                <w:u w:val="none"/>
              </w:rPr>
              <w:t>-</w:t>
            </w:r>
            <w:r>
              <w:tab/>
            </w:r>
            <w:r>
              <w:rPr>
                <w:rFonts w:ascii="Times New Roman" w:hAnsi="Times New Roman"/>
                <w:sz w:val="24"/>
              </w:rPr>
              <w:t>Se vi sono eventi di perdita con impatti su più linee di business, l</w:t>
            </w:r>
            <w:r w:rsidR="000878EC">
              <w:rPr>
                <w:rFonts w:ascii="Times New Roman" w:hAnsi="Times New Roman"/>
                <w:sz w:val="24"/>
              </w:rPr>
              <w:t>'</w:t>
            </w:r>
            <w:r>
              <w:rPr>
                <w:rFonts w:ascii="Times New Roman" w:hAnsi="Times New Roman"/>
                <w:sz w:val="24"/>
              </w:rPr>
              <w:t xml:space="preserve">importo segnalato alla {r0950, c0080} può essere più elevato degli importi della </w:t>
            </w:r>
            <w:r w:rsidR="000878EC">
              <w:rPr>
                <w:rFonts w:ascii="Times New Roman" w:hAnsi="Times New Roman"/>
                <w:sz w:val="24"/>
              </w:rPr>
              <w:t>"</w:t>
            </w:r>
            <w:r>
              <w:rPr>
                <w:rFonts w:ascii="Times New Roman" w:hAnsi="Times New Roman"/>
                <w:sz w:val="24"/>
              </w:rPr>
              <w:t>perdita singola massima</w:t>
            </w:r>
            <w:r w:rsidR="000878EC">
              <w:rPr>
                <w:rFonts w:ascii="Times New Roman" w:hAnsi="Times New Roman"/>
                <w:sz w:val="24"/>
              </w:rPr>
              <w:t>"</w:t>
            </w:r>
            <w:r>
              <w:rPr>
                <w:rFonts w:ascii="Times New Roman" w:hAnsi="Times New Roman"/>
                <w:sz w:val="24"/>
              </w:rPr>
              <w:t xml:space="preserve"> per linea di business segnalati in altre righe della colonna 0080. </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2568B5">
            <w:pPr>
              <w:suppressAutoHyphens/>
              <w:rPr>
                <w:rFonts w:ascii="Times New Roman" w:hAnsi="Times New Roman"/>
                <w:sz w:val="24"/>
              </w:rPr>
            </w:pPr>
            <w:r>
              <w:rPr>
                <w:rFonts w:ascii="Times New Roman" w:hAnsi="Times New Roman"/>
                <w:sz w:val="24"/>
              </w:rPr>
              <w:t>0960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2568B5">
            <w:pPr>
              <w:suppressAutoHyphens/>
              <w:rPr>
                <w:rStyle w:val="InstructionsTabelleberschrift"/>
                <w:rFonts w:ascii="Times New Roman" w:hAnsi="Times New Roman"/>
                <w:sz w:val="24"/>
              </w:rPr>
            </w:pPr>
            <w:r>
              <w:rPr>
                <w:rStyle w:val="InstructionsTabelleberschrift"/>
                <w:rFonts w:ascii="Times New Roman" w:hAnsi="Times New Roman"/>
                <w:sz w:val="24"/>
              </w:rPr>
              <w:t>Somma delle cinque maggiori perdite</w:t>
            </w:r>
          </w:p>
          <w:p w:rsidR="00FD54FC" w:rsidRPr="00661595" w:rsidRDefault="00FD54FC" w:rsidP="002568B5">
            <w:pPr>
              <w:suppressAutoHyphens/>
              <w:rPr>
                <w:rFonts w:ascii="Times New Roman" w:hAnsi="Times New Roman"/>
                <w:sz w:val="24"/>
              </w:rPr>
            </w:pPr>
            <w:r>
              <w:rPr>
                <w:rFonts w:ascii="Times New Roman" w:hAnsi="Times New Roman"/>
                <w:sz w:val="24"/>
              </w:rPr>
              <w:t xml:space="preserve">È segnalata la somma delle cinque maggiori perdite lorde per ciascuna tipologia di evento di perdita considerate tutte le linee di business. Questa somma può essere maggiore della somma massima delle cinque maggiori perdite registrate in ciascuna linea di business e deve essere segnalata a prescindere dal numero delle perdite. </w:t>
            </w:r>
          </w:p>
          <w:p w:rsidR="00FD54FC" w:rsidRPr="00661595" w:rsidRDefault="00FD54FC" w:rsidP="002568B5">
            <w:pPr>
              <w:suppressAutoHyphens/>
              <w:rPr>
                <w:rStyle w:val="InstructionsTabelleberschrift"/>
                <w:rFonts w:ascii="Times New Roman" w:hAnsi="Times New Roman"/>
                <w:sz w:val="24"/>
              </w:rPr>
            </w:pPr>
            <w:r>
              <w:rPr>
                <w:rFonts w:ascii="Times New Roman" w:hAnsi="Times New Roman"/>
                <w:sz w:val="24"/>
              </w:rPr>
              <w:t>Se l</w:t>
            </w:r>
            <w:r w:rsidR="000878EC">
              <w:rPr>
                <w:rFonts w:ascii="Times New Roman" w:hAnsi="Times New Roman"/>
                <w:sz w:val="24"/>
              </w:rPr>
              <w:t>'</w:t>
            </w:r>
            <w:r>
              <w:rPr>
                <w:rFonts w:ascii="Times New Roman" w:hAnsi="Times New Roman"/>
                <w:sz w:val="24"/>
              </w:rPr>
              <w:t>ente ha assegnato tutte le sue perdite ad una linea di business elencata nella tabella 2 dell</w:t>
            </w:r>
            <w:r w:rsidR="000878EC">
              <w:rPr>
                <w:rFonts w:ascii="Times New Roman" w:hAnsi="Times New Roman"/>
                <w:sz w:val="24"/>
              </w:rPr>
              <w:t>'</w:t>
            </w:r>
            <w:r>
              <w:rPr>
                <w:rFonts w:ascii="Times New Roman" w:hAnsi="Times New Roman"/>
                <w:sz w:val="24"/>
              </w:rPr>
              <w:t xml:space="preserve">articolo 317, paragrafo 4, del CRR o alla linea di business </w:t>
            </w:r>
            <w:r w:rsidR="000878EC">
              <w:rPr>
                <w:rFonts w:ascii="Times New Roman" w:hAnsi="Times New Roman"/>
                <w:sz w:val="24"/>
              </w:rPr>
              <w:t>"</w:t>
            </w:r>
            <w:r>
              <w:rPr>
                <w:rFonts w:ascii="Times New Roman" w:hAnsi="Times New Roman"/>
                <w:sz w:val="24"/>
              </w:rPr>
              <w:t>elementi d</w:t>
            </w:r>
            <w:r w:rsidR="000878EC">
              <w:rPr>
                <w:rFonts w:ascii="Times New Roman" w:hAnsi="Times New Roman"/>
                <w:sz w:val="24"/>
              </w:rPr>
              <w:t>'</w:t>
            </w:r>
            <w:r>
              <w:rPr>
                <w:rFonts w:ascii="Times New Roman" w:hAnsi="Times New Roman"/>
                <w:sz w:val="24"/>
              </w:rPr>
              <w:t>impresa</w:t>
            </w:r>
            <w:r w:rsidR="000878EC">
              <w:rPr>
                <w:rFonts w:ascii="Times New Roman" w:hAnsi="Times New Roman"/>
                <w:sz w:val="24"/>
              </w:rPr>
              <w:t>"</w:t>
            </w:r>
            <w:r>
              <w:rPr>
                <w:rFonts w:ascii="Times New Roman" w:hAnsi="Times New Roman"/>
                <w:sz w:val="24"/>
              </w:rPr>
              <w:t xml:space="preserve"> di cui all</w:t>
            </w:r>
            <w:r w:rsidR="000878EC">
              <w:rPr>
                <w:rFonts w:ascii="Times New Roman" w:hAnsi="Times New Roman"/>
                <w:sz w:val="24"/>
              </w:rPr>
              <w:t>'</w:t>
            </w:r>
            <w:r>
              <w:rPr>
                <w:rFonts w:ascii="Times New Roman" w:hAnsi="Times New Roman"/>
                <w:sz w:val="24"/>
              </w:rPr>
              <w:t>articolo 322, paragrafo 3, lettera b), del CRR, e ha individuato le tipologie di eventi di perdita per tutte le perdite, nella colonna 0080 la somma delle cinque maggiori perdite è la somma delle cinque maggiori perdite dell</w:t>
            </w:r>
            <w:r w:rsidR="000878EC">
              <w:rPr>
                <w:rFonts w:ascii="Times New Roman" w:hAnsi="Times New Roman"/>
                <w:sz w:val="24"/>
              </w:rPr>
              <w:t>'</w:t>
            </w:r>
            <w:r>
              <w:rPr>
                <w:rFonts w:ascii="Times New Roman" w:hAnsi="Times New Roman"/>
                <w:sz w:val="24"/>
              </w:rPr>
              <w:t xml:space="preserve">intera matrice; ciò significa che questo importo non necessariamente è uguale al valore massimo della </w:t>
            </w:r>
            <w:r w:rsidR="000878EC">
              <w:rPr>
                <w:rFonts w:ascii="Times New Roman" w:hAnsi="Times New Roman"/>
                <w:sz w:val="24"/>
              </w:rPr>
              <w:t>"</w:t>
            </w:r>
            <w:r>
              <w:rPr>
                <w:rFonts w:ascii="Times New Roman" w:hAnsi="Times New Roman"/>
                <w:sz w:val="24"/>
              </w:rPr>
              <w:t>somma delle cinque maggiori perdite</w:t>
            </w:r>
            <w:r w:rsidR="000878EC">
              <w:rPr>
                <w:rFonts w:ascii="Times New Roman" w:hAnsi="Times New Roman"/>
                <w:sz w:val="24"/>
              </w:rPr>
              <w:t>"</w:t>
            </w:r>
            <w:r>
              <w:rPr>
                <w:rFonts w:ascii="Times New Roman" w:hAnsi="Times New Roman"/>
                <w:sz w:val="24"/>
              </w:rPr>
              <w:t xml:space="preserve"> di cui alla riga 0960 o al valore massimo della </w:t>
            </w:r>
            <w:r w:rsidR="000878EC">
              <w:rPr>
                <w:rFonts w:ascii="Times New Roman" w:hAnsi="Times New Roman"/>
                <w:sz w:val="24"/>
              </w:rPr>
              <w:t>"</w:t>
            </w:r>
            <w:r>
              <w:rPr>
                <w:rFonts w:ascii="Times New Roman" w:hAnsi="Times New Roman"/>
                <w:sz w:val="24"/>
              </w:rPr>
              <w:t>somma delle cinque maggiori perdite</w:t>
            </w:r>
            <w:r w:rsidR="000878EC">
              <w:rPr>
                <w:rFonts w:ascii="Times New Roman" w:hAnsi="Times New Roman"/>
                <w:sz w:val="24"/>
              </w:rPr>
              <w:t>"</w:t>
            </w:r>
            <w:r>
              <w:rPr>
                <w:rFonts w:ascii="Times New Roman" w:hAnsi="Times New Roman"/>
                <w:sz w:val="24"/>
              </w:rPr>
              <w:t xml:space="preserve"> di cui alla colonna 0080.</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2568B5">
            <w:pPr>
              <w:suppressAutoHyphens/>
              <w:rPr>
                <w:rFonts w:ascii="Times New Roman" w:hAnsi="Times New Roman"/>
                <w:sz w:val="24"/>
              </w:rPr>
            </w:pPr>
            <w:r>
              <w:rPr>
                <w:rFonts w:ascii="Times New Roman" w:hAnsi="Times New Roman"/>
                <w:sz w:val="24"/>
              </w:rPr>
              <w:t>0970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2568B5">
            <w:pPr>
              <w:suppressAutoHyphens/>
              <w:rPr>
                <w:rStyle w:val="InstructionsTabelleberschrift"/>
                <w:rFonts w:ascii="Times New Roman" w:hAnsi="Times New Roman"/>
                <w:sz w:val="24"/>
              </w:rPr>
            </w:pPr>
            <w:r>
              <w:rPr>
                <w:rStyle w:val="InstructionsTabelleberschrift"/>
                <w:rFonts w:ascii="Times New Roman" w:hAnsi="Times New Roman"/>
                <w:sz w:val="24"/>
              </w:rPr>
              <w:t>Importo complessivo dei recuperi diretti</w:t>
            </w:r>
          </w:p>
          <w:p w:rsidR="00FD54FC" w:rsidRPr="00661595" w:rsidRDefault="00FD54FC" w:rsidP="002568B5">
            <w:pPr>
              <w:suppressAutoHyphens/>
              <w:rPr>
                <w:rStyle w:val="InstructionsTabelleberschrift"/>
                <w:rFonts w:ascii="Times New Roman" w:hAnsi="Times New Roman"/>
                <w:sz w:val="24"/>
              </w:rPr>
            </w:pPr>
            <w:r>
              <w:rPr>
                <w:rFonts w:ascii="Times New Roman" w:hAnsi="Times New Roman"/>
                <w:sz w:val="24"/>
              </w:rPr>
              <w:t>Se l</w:t>
            </w:r>
            <w:r w:rsidR="000878EC">
              <w:rPr>
                <w:rFonts w:ascii="Times New Roman" w:hAnsi="Times New Roman"/>
                <w:sz w:val="24"/>
              </w:rPr>
              <w:t>'</w:t>
            </w:r>
            <w:r>
              <w:rPr>
                <w:rFonts w:ascii="Times New Roman" w:hAnsi="Times New Roman"/>
                <w:sz w:val="24"/>
              </w:rPr>
              <w:t>ente ha assegnato tutte le sue perdite ad una linea di business elencata nella tabella 2 dell</w:t>
            </w:r>
            <w:r w:rsidR="000878EC">
              <w:rPr>
                <w:rFonts w:ascii="Times New Roman" w:hAnsi="Times New Roman"/>
                <w:sz w:val="24"/>
              </w:rPr>
              <w:t>'</w:t>
            </w:r>
            <w:r>
              <w:rPr>
                <w:rFonts w:ascii="Times New Roman" w:hAnsi="Times New Roman"/>
                <w:sz w:val="24"/>
              </w:rPr>
              <w:t xml:space="preserve">articolo 317, paragrafo 4, del CRR o alla linea di business </w:t>
            </w:r>
            <w:r w:rsidR="000878EC">
              <w:rPr>
                <w:rFonts w:ascii="Times New Roman" w:hAnsi="Times New Roman"/>
                <w:sz w:val="24"/>
              </w:rPr>
              <w:t>"</w:t>
            </w:r>
            <w:r>
              <w:rPr>
                <w:rFonts w:ascii="Times New Roman" w:hAnsi="Times New Roman"/>
                <w:sz w:val="24"/>
              </w:rPr>
              <w:t>elementi d</w:t>
            </w:r>
            <w:r w:rsidR="000878EC">
              <w:rPr>
                <w:rFonts w:ascii="Times New Roman" w:hAnsi="Times New Roman"/>
                <w:sz w:val="24"/>
              </w:rPr>
              <w:t>'</w:t>
            </w:r>
            <w:r>
              <w:rPr>
                <w:rFonts w:ascii="Times New Roman" w:hAnsi="Times New Roman"/>
                <w:sz w:val="24"/>
              </w:rPr>
              <w:t>impresa</w:t>
            </w:r>
            <w:r w:rsidR="000878EC">
              <w:rPr>
                <w:rFonts w:ascii="Times New Roman" w:hAnsi="Times New Roman"/>
                <w:sz w:val="24"/>
              </w:rPr>
              <w:t>"</w:t>
            </w:r>
            <w:r>
              <w:rPr>
                <w:rFonts w:ascii="Times New Roman" w:hAnsi="Times New Roman"/>
                <w:sz w:val="24"/>
              </w:rPr>
              <w:t xml:space="preserve"> di cui all</w:t>
            </w:r>
            <w:r w:rsidR="000878EC">
              <w:rPr>
                <w:rFonts w:ascii="Times New Roman" w:hAnsi="Times New Roman"/>
                <w:sz w:val="24"/>
              </w:rPr>
              <w:t>'</w:t>
            </w:r>
            <w:r>
              <w:rPr>
                <w:rFonts w:ascii="Times New Roman" w:hAnsi="Times New Roman"/>
                <w:sz w:val="24"/>
              </w:rPr>
              <w:t>articolo 322, paragrafo 3, lettera b), del CRR, l</w:t>
            </w:r>
            <w:r w:rsidR="000878EC">
              <w:rPr>
                <w:rFonts w:ascii="Times New Roman" w:hAnsi="Times New Roman"/>
                <w:sz w:val="24"/>
              </w:rPr>
              <w:t>'</w:t>
            </w:r>
            <w:r>
              <w:rPr>
                <w:rFonts w:ascii="Times New Roman" w:hAnsi="Times New Roman"/>
                <w:sz w:val="24"/>
              </w:rPr>
              <w:t>importo complessivo dei recuperi diretti è la semplice aggregazione dell</w:t>
            </w:r>
            <w:r w:rsidR="000878EC">
              <w:rPr>
                <w:rFonts w:ascii="Times New Roman" w:hAnsi="Times New Roman"/>
                <w:sz w:val="24"/>
              </w:rPr>
              <w:t>'</w:t>
            </w:r>
            <w:r>
              <w:rPr>
                <w:rFonts w:ascii="Times New Roman" w:hAnsi="Times New Roman"/>
                <w:sz w:val="24"/>
              </w:rPr>
              <w:t>importo complessivo dei recuperi diretti di ciascuna linea di business.</w:t>
            </w:r>
          </w:p>
        </w:tc>
      </w:tr>
      <w:tr w:rsidR="00FD54FC" w:rsidRPr="00661595" w:rsidTr="00672D2A">
        <w:tc>
          <w:tcPr>
            <w:tcW w:w="1101" w:type="dxa"/>
            <w:tcBorders>
              <w:top w:val="single" w:sz="4" w:space="0" w:color="auto"/>
              <w:left w:val="single" w:sz="4" w:space="0" w:color="auto"/>
              <w:bottom w:val="single" w:sz="4" w:space="0" w:color="auto"/>
              <w:right w:val="single" w:sz="4" w:space="0" w:color="auto"/>
            </w:tcBorders>
          </w:tcPr>
          <w:p w:rsidR="00FD54FC" w:rsidRPr="00661595" w:rsidRDefault="00C93FC2" w:rsidP="002568B5">
            <w:pPr>
              <w:suppressAutoHyphens/>
              <w:rPr>
                <w:rFonts w:ascii="Times New Roman" w:hAnsi="Times New Roman"/>
                <w:sz w:val="24"/>
              </w:rPr>
            </w:pPr>
            <w:r>
              <w:rPr>
                <w:rFonts w:ascii="Times New Roman" w:hAnsi="Times New Roman"/>
                <w:sz w:val="24"/>
              </w:rPr>
              <w:t>0980</w:t>
            </w:r>
          </w:p>
        </w:tc>
        <w:tc>
          <w:tcPr>
            <w:tcW w:w="8079" w:type="dxa"/>
            <w:tcBorders>
              <w:top w:val="single" w:sz="4" w:space="0" w:color="auto"/>
              <w:left w:val="single" w:sz="4" w:space="0" w:color="auto"/>
              <w:bottom w:val="single" w:sz="4" w:space="0" w:color="auto"/>
              <w:right w:val="single" w:sz="4" w:space="0" w:color="auto"/>
            </w:tcBorders>
          </w:tcPr>
          <w:p w:rsidR="00FD54FC" w:rsidRPr="00661595" w:rsidRDefault="00FD54FC" w:rsidP="002568B5">
            <w:pPr>
              <w:suppressAutoHyphens/>
              <w:rPr>
                <w:rStyle w:val="InstructionsTabelleberschrift"/>
                <w:rFonts w:ascii="Times New Roman" w:hAnsi="Times New Roman"/>
                <w:sz w:val="24"/>
              </w:rPr>
            </w:pPr>
            <w:r>
              <w:rPr>
                <w:rStyle w:val="InstructionsTabelleberschrift"/>
                <w:rFonts w:ascii="Times New Roman" w:hAnsi="Times New Roman"/>
                <w:sz w:val="24"/>
              </w:rPr>
              <w:t>Importo complessivo dei recuperi da assicurazioni e altri meccanismi di trasferimento del rischio</w:t>
            </w:r>
          </w:p>
          <w:p w:rsidR="00FD54FC" w:rsidRPr="00661595" w:rsidRDefault="00FD54FC" w:rsidP="002568B5">
            <w:pPr>
              <w:suppressAutoHyphens/>
              <w:rPr>
                <w:rFonts w:ascii="Times New Roman" w:hAnsi="Times New Roman"/>
                <w:b/>
                <w:bCs/>
                <w:sz w:val="24"/>
                <w:u w:val="single"/>
              </w:rPr>
            </w:pPr>
            <w:r>
              <w:rPr>
                <w:rFonts w:ascii="Times New Roman" w:hAnsi="Times New Roman"/>
                <w:sz w:val="24"/>
              </w:rPr>
              <w:t>Se l</w:t>
            </w:r>
            <w:r w:rsidR="000878EC">
              <w:rPr>
                <w:rFonts w:ascii="Times New Roman" w:hAnsi="Times New Roman"/>
                <w:sz w:val="24"/>
              </w:rPr>
              <w:t>'</w:t>
            </w:r>
            <w:r>
              <w:rPr>
                <w:rFonts w:ascii="Times New Roman" w:hAnsi="Times New Roman"/>
                <w:sz w:val="24"/>
              </w:rPr>
              <w:t>ente ha assegnato tutte le sue perdite ad una linea di business elencata nella tabella 2 dell</w:t>
            </w:r>
            <w:r w:rsidR="000878EC">
              <w:rPr>
                <w:rFonts w:ascii="Times New Roman" w:hAnsi="Times New Roman"/>
                <w:sz w:val="24"/>
              </w:rPr>
              <w:t>'</w:t>
            </w:r>
            <w:r>
              <w:rPr>
                <w:rFonts w:ascii="Times New Roman" w:hAnsi="Times New Roman"/>
                <w:sz w:val="24"/>
              </w:rPr>
              <w:t xml:space="preserve">articolo 317, paragrafo 4, del CRR o alla linea di business </w:t>
            </w:r>
            <w:r w:rsidR="000878EC">
              <w:rPr>
                <w:rFonts w:ascii="Times New Roman" w:hAnsi="Times New Roman"/>
                <w:sz w:val="24"/>
              </w:rPr>
              <w:t>"</w:t>
            </w:r>
            <w:r>
              <w:rPr>
                <w:rFonts w:ascii="Times New Roman" w:hAnsi="Times New Roman"/>
                <w:sz w:val="24"/>
              </w:rPr>
              <w:t>elementi d</w:t>
            </w:r>
            <w:r w:rsidR="000878EC">
              <w:rPr>
                <w:rFonts w:ascii="Times New Roman" w:hAnsi="Times New Roman"/>
                <w:sz w:val="24"/>
              </w:rPr>
              <w:t>'</w:t>
            </w:r>
            <w:r>
              <w:rPr>
                <w:rFonts w:ascii="Times New Roman" w:hAnsi="Times New Roman"/>
                <w:sz w:val="24"/>
              </w:rPr>
              <w:t>impresa</w:t>
            </w:r>
            <w:r w:rsidR="000878EC">
              <w:rPr>
                <w:rFonts w:ascii="Times New Roman" w:hAnsi="Times New Roman"/>
                <w:sz w:val="24"/>
              </w:rPr>
              <w:t>"</w:t>
            </w:r>
            <w:r>
              <w:rPr>
                <w:rFonts w:ascii="Times New Roman" w:hAnsi="Times New Roman"/>
                <w:sz w:val="24"/>
              </w:rPr>
              <w:t xml:space="preserve"> di cui all</w:t>
            </w:r>
            <w:r w:rsidR="000878EC">
              <w:rPr>
                <w:rFonts w:ascii="Times New Roman" w:hAnsi="Times New Roman"/>
                <w:sz w:val="24"/>
              </w:rPr>
              <w:t>'</w:t>
            </w:r>
            <w:r>
              <w:rPr>
                <w:rFonts w:ascii="Times New Roman" w:hAnsi="Times New Roman"/>
                <w:sz w:val="24"/>
              </w:rPr>
              <w:t>articolo 322, paragrafo 3, lettera b), del CRR, l</w:t>
            </w:r>
            <w:r w:rsidR="000878EC">
              <w:rPr>
                <w:rFonts w:ascii="Times New Roman" w:hAnsi="Times New Roman"/>
                <w:sz w:val="24"/>
              </w:rPr>
              <w:t>'</w:t>
            </w:r>
            <w:r>
              <w:rPr>
                <w:rFonts w:ascii="Times New Roman" w:hAnsi="Times New Roman"/>
                <w:sz w:val="24"/>
              </w:rPr>
              <w:t>importo complessivo dei recuperi da assicurazioni e altri meccanismi di trasferimento del rischio è la semplice aggregazione degli importi complessivi dei recuperi da assicurazioni e altri meccanismi di trasferimento del rischio per ciascuna linea di business.</w:t>
            </w:r>
          </w:p>
        </w:tc>
      </w:tr>
    </w:tbl>
    <w:p w:rsidR="00FD54FC" w:rsidRPr="00661595" w:rsidRDefault="00FD54FC" w:rsidP="00FD54FC">
      <w:pPr>
        <w:spacing w:before="0" w:after="0"/>
        <w:jc w:val="left"/>
        <w:rPr>
          <w:rStyle w:val="InstructionsTabelleText"/>
          <w:rFonts w:ascii="Times New Roman" w:hAnsi="Times New Roman"/>
          <w:sz w:val="24"/>
        </w:rPr>
      </w:pP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78" w:name="_Toc473561028"/>
      <w:bookmarkStart w:id="579" w:name="_Toc58915835"/>
      <w:r>
        <w:rPr>
          <w:rFonts w:ascii="Times New Roman" w:hAnsi="Times New Roman"/>
          <w:sz w:val="24"/>
          <w:u w:val="none"/>
        </w:rPr>
        <w:t>4.2.3.</w:t>
      </w:r>
      <w:r w:rsidRPr="002568B5">
        <w:rPr>
          <w:u w:val="none"/>
        </w:rPr>
        <w:tab/>
      </w:r>
      <w:r>
        <w:rPr>
          <w:rFonts w:ascii="Times New Roman" w:hAnsi="Times New Roman"/>
          <w:sz w:val="24"/>
        </w:rPr>
        <w:t>C 17.02: Rischio operativo: informazioni dettagliate sui principali eventi di perdita nel corso dell</w:t>
      </w:r>
      <w:r w:rsidR="000878EC">
        <w:rPr>
          <w:rFonts w:ascii="Times New Roman" w:hAnsi="Times New Roman"/>
          <w:sz w:val="24"/>
        </w:rPr>
        <w:t>'</w:t>
      </w:r>
      <w:r>
        <w:rPr>
          <w:rFonts w:ascii="Times New Roman" w:hAnsi="Times New Roman"/>
          <w:sz w:val="24"/>
        </w:rPr>
        <w:t>ultimo anno (OPR DETAILS 2)</w:t>
      </w:r>
      <w:bookmarkEnd w:id="578"/>
      <w:bookmarkEnd w:id="579"/>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0" w:name="_Toc473561029"/>
      <w:bookmarkStart w:id="581" w:name="_Toc58915836"/>
      <w:r>
        <w:rPr>
          <w:rFonts w:ascii="Times New Roman" w:hAnsi="Times New Roman"/>
          <w:sz w:val="24"/>
          <w:u w:val="none"/>
        </w:rPr>
        <w:t>4.2.3.1.</w:t>
      </w:r>
      <w:r w:rsidRPr="002568B5">
        <w:rPr>
          <w:u w:val="none"/>
        </w:rPr>
        <w:tab/>
      </w:r>
      <w:r>
        <w:rPr>
          <w:rFonts w:ascii="Times New Roman" w:hAnsi="Times New Roman"/>
          <w:sz w:val="24"/>
        </w:rPr>
        <w:t>Osservazioni di carattere generale</w:t>
      </w:r>
      <w:bookmarkEnd w:id="580"/>
      <w:bookmarkEnd w:id="581"/>
    </w:p>
    <w:p w:rsidR="00FD54FC" w:rsidRPr="00661595" w:rsidRDefault="00A971CA" w:rsidP="002568B5">
      <w:pPr>
        <w:pStyle w:val="InstructionsText2"/>
        <w:numPr>
          <w:ilvl w:val="0"/>
          <w:numId w:val="0"/>
        </w:numPr>
        <w:ind w:left="1680" w:hanging="480"/>
      </w:pPr>
      <w:r>
        <w:fldChar w:fldCharType="begin"/>
      </w:r>
      <w:r>
        <w:instrText xml:space="preserve"> seq paragraphs </w:instrText>
      </w:r>
      <w:r>
        <w:fldChar w:fldCharType="separate"/>
      </w:r>
      <w:r w:rsidR="00D11E4C">
        <w:rPr>
          <w:noProof/>
        </w:rPr>
        <w:t>155</w:t>
      </w:r>
      <w:r>
        <w:rPr>
          <w:noProof/>
        </w:rPr>
        <w:fldChar w:fldCharType="end"/>
      </w:r>
      <w:r w:rsidR="002568B5">
        <w:t>.</w:t>
      </w:r>
      <w:r w:rsidR="002568B5">
        <w:tab/>
      </w:r>
      <w:r w:rsidR="00D11E4C">
        <w:t>Nel modello C 17.02 sono fornite informazioni sui singoli eventi di perdita (una riga per ciascun evento di perdita).</w:t>
      </w:r>
    </w:p>
    <w:p w:rsidR="00FD54FC" w:rsidRPr="00661595" w:rsidRDefault="00A971CA" w:rsidP="002568B5">
      <w:pPr>
        <w:pStyle w:val="InstructionsText2"/>
        <w:numPr>
          <w:ilvl w:val="0"/>
          <w:numId w:val="0"/>
        </w:numPr>
        <w:ind w:left="1680" w:hanging="480"/>
      </w:pPr>
      <w:r>
        <w:fldChar w:fldCharType="begin"/>
      </w:r>
      <w:r>
        <w:instrText xml:space="preserve"> seq paragraphs </w:instrText>
      </w:r>
      <w:r>
        <w:fldChar w:fldCharType="separate"/>
      </w:r>
      <w:r w:rsidR="00D11E4C">
        <w:rPr>
          <w:noProof/>
        </w:rPr>
        <w:t>156</w:t>
      </w:r>
      <w:r>
        <w:rPr>
          <w:noProof/>
        </w:rPr>
        <w:fldChar w:fldCharType="end"/>
      </w:r>
      <w:r w:rsidR="00D11E4C">
        <w:t>.</w:t>
      </w:r>
      <w:r w:rsidR="00D11E4C">
        <w:tab/>
        <w:t xml:space="preserve"> Le informazioni segnalate in questo modello fanno riferimento a </w:t>
      </w:r>
      <w:r w:rsidR="000878EC">
        <w:t>"</w:t>
      </w:r>
      <w:r w:rsidR="00D11E4C">
        <w:t>eventi di perdita nuovi</w:t>
      </w:r>
      <w:r w:rsidR="000878EC">
        <w:t>"</w:t>
      </w:r>
      <w:r w:rsidR="00D11E4C">
        <w:t>, vale a dire eventi di rischio operativo:</w:t>
      </w:r>
    </w:p>
    <w:p w:rsidR="00FD54FC" w:rsidRPr="00661595" w:rsidRDefault="00125707" w:rsidP="002568B5">
      <w:pPr>
        <w:pStyle w:val="InstructionsText2"/>
        <w:numPr>
          <w:ilvl w:val="0"/>
          <w:numId w:val="0"/>
        </w:numPr>
        <w:ind w:left="1680" w:hanging="480"/>
      </w:pPr>
      <w:r>
        <w:t>a)</w:t>
      </w:r>
      <w:r>
        <w:tab/>
      </w:r>
      <w:r w:rsidR="000878EC">
        <w:t>"</w:t>
      </w:r>
      <w:r>
        <w:t>contabilizzati per la prima volta</w:t>
      </w:r>
      <w:r w:rsidR="000878EC">
        <w:t>"</w:t>
      </w:r>
      <w:r>
        <w:t xml:space="preserve"> nel periodo di riferimento per le segnalazioni; o</w:t>
      </w:r>
    </w:p>
    <w:p w:rsidR="00FD54FC" w:rsidRPr="00661595" w:rsidRDefault="00125707" w:rsidP="002568B5">
      <w:pPr>
        <w:pStyle w:val="InstructionsText2"/>
        <w:numPr>
          <w:ilvl w:val="0"/>
          <w:numId w:val="0"/>
        </w:numPr>
        <w:ind w:left="1680" w:hanging="480"/>
      </w:pPr>
      <w:r>
        <w:t>b)</w:t>
      </w:r>
      <w:r>
        <w:tab/>
      </w:r>
      <w:r w:rsidR="000878EC">
        <w:t>"</w:t>
      </w:r>
      <w:r>
        <w:t>contabilizzati per la prima volta</w:t>
      </w:r>
      <w:r w:rsidR="000878EC">
        <w:t>"</w:t>
      </w:r>
      <w:r>
        <w:t xml:space="preserve"> in un precedente periodo di riferimento per le segnalazioni, se l</w:t>
      </w:r>
      <w:r w:rsidR="000878EC">
        <w:t>'</w:t>
      </w:r>
      <w:r>
        <w:t>evento di perdita non era stato incluso in nessuna precedente segnalazione ai fini di vigilanza, per esempio perché è stato identificato come evento di perdita dovuto al rischio operativo solo nell</w:t>
      </w:r>
      <w:r w:rsidR="000878EC">
        <w:t>'</w:t>
      </w:r>
      <w:r>
        <w:t>attuale periodo di riferimento per le segnalazioni o perché la perdita accumulata imputabile a tale evento di perdita (ossia la perdita originaria più/meno tutti gli adeguamenti per perdite effettuati nei precedenti periodi di riferimento per le segnalazioni) ha superato la soglia per la raccolta di dati interni soltanto nell</w:t>
      </w:r>
      <w:r w:rsidR="000878EC">
        <w:t>'</w:t>
      </w:r>
      <w:r>
        <w:t>attuale periodo di riferimento per le segnalazioni.</w:t>
      </w:r>
    </w:p>
    <w:p w:rsidR="00F41508" w:rsidRPr="00661595" w:rsidRDefault="00A971CA" w:rsidP="002568B5">
      <w:pPr>
        <w:pStyle w:val="InstructionsText2"/>
        <w:numPr>
          <w:ilvl w:val="0"/>
          <w:numId w:val="0"/>
        </w:numPr>
        <w:ind w:left="1680" w:hanging="480"/>
      </w:pPr>
      <w:r>
        <w:fldChar w:fldCharType="begin"/>
      </w:r>
      <w:r>
        <w:instrText xml:space="preserve"> seq paragraphs </w:instrText>
      </w:r>
      <w:r>
        <w:fldChar w:fldCharType="separate"/>
      </w:r>
      <w:r w:rsidR="00D11E4C">
        <w:rPr>
          <w:noProof/>
        </w:rPr>
        <w:t>157</w:t>
      </w:r>
      <w:r>
        <w:rPr>
          <w:noProof/>
        </w:rPr>
        <w:fldChar w:fldCharType="end"/>
      </w:r>
      <w:r w:rsidR="002568B5">
        <w:t>.</w:t>
      </w:r>
      <w:r w:rsidR="002568B5">
        <w:tab/>
      </w:r>
      <w:r w:rsidR="00D11E4C">
        <w:t>Sono segnalati soltanto gli eventi di perdita che comportano una perdita lorda pari o superiore a 100 000 EUR.</w:t>
      </w:r>
    </w:p>
    <w:p w:rsidR="00FD54FC" w:rsidRPr="00661595" w:rsidRDefault="00FD54FC" w:rsidP="002568B5">
      <w:pPr>
        <w:pStyle w:val="InstructionsText2"/>
        <w:numPr>
          <w:ilvl w:val="0"/>
          <w:numId w:val="0"/>
        </w:numPr>
        <w:ind w:left="1680" w:hanging="480"/>
      </w:pPr>
      <w:r>
        <w:t>Tenuto conto di tale soglia:</w:t>
      </w:r>
    </w:p>
    <w:p w:rsidR="00FD54FC" w:rsidRPr="00661595" w:rsidRDefault="00125707" w:rsidP="002568B5">
      <w:pPr>
        <w:pStyle w:val="InstructionsText2"/>
        <w:numPr>
          <w:ilvl w:val="0"/>
          <w:numId w:val="0"/>
        </w:numPr>
        <w:ind w:left="1680" w:hanging="480"/>
      </w:pPr>
      <w:r>
        <w:t>a)</w:t>
      </w:r>
      <w:r>
        <w:tab/>
        <w:t>sono indicati nel modello l</w:t>
      </w:r>
      <w:r w:rsidR="000878EC">
        <w:t>'</w:t>
      </w:r>
      <w:r>
        <w:t>evento maggiore per ciascuna tipologia di evento, a condizione che l</w:t>
      </w:r>
      <w:r w:rsidR="000878EC">
        <w:t>'</w:t>
      </w:r>
      <w:r>
        <w:t>ente abbia individuato le tipologie di eventi di perdita e</w:t>
      </w:r>
    </w:p>
    <w:p w:rsidR="00FD54FC" w:rsidRPr="00661595" w:rsidRDefault="00125707" w:rsidP="002568B5">
      <w:pPr>
        <w:pStyle w:val="InstructionsText2"/>
        <w:numPr>
          <w:ilvl w:val="0"/>
          <w:numId w:val="0"/>
        </w:numPr>
        <w:ind w:left="1680" w:hanging="480"/>
      </w:pPr>
      <w:r>
        <w:t>b)</w:t>
      </w:r>
      <w:r>
        <w:tab/>
        <w:t>almeno i dieci maggiori eventi rimanenti per importo della perdita lorda, a prescindere dal fatto che sia stata o meno individuata la tipologia di evento.</w:t>
      </w:r>
    </w:p>
    <w:p w:rsidR="00FD54FC" w:rsidRPr="00661595" w:rsidRDefault="00125707" w:rsidP="002568B5">
      <w:pPr>
        <w:pStyle w:val="InstructionsText2"/>
        <w:numPr>
          <w:ilvl w:val="0"/>
          <w:numId w:val="0"/>
        </w:numPr>
        <w:ind w:left="1680" w:hanging="480"/>
      </w:pPr>
      <w:r>
        <w:t>c)</w:t>
      </w:r>
      <w:r>
        <w:tab/>
        <w:t>Gli eventi di perdita sono classificati sulla base delle perdite lorde loro imputate.</w:t>
      </w:r>
    </w:p>
    <w:p w:rsidR="00FD54FC" w:rsidRPr="00661595" w:rsidRDefault="00125707" w:rsidP="002568B5">
      <w:pPr>
        <w:pStyle w:val="InstructionsText2"/>
        <w:numPr>
          <w:ilvl w:val="0"/>
          <w:numId w:val="0"/>
        </w:numPr>
        <w:ind w:left="1680" w:hanging="480"/>
      </w:pPr>
      <w:r>
        <w:t>d)</w:t>
      </w:r>
      <w:r>
        <w:tab/>
        <w:t>Ciascun evento di perdita è considerato solo una volta.</w:t>
      </w:r>
    </w:p>
    <w:p w:rsidR="00FD54FC" w:rsidRPr="00661595" w:rsidRDefault="00125707" w:rsidP="0023700C">
      <w:pPr>
        <w:pStyle w:val="Instructionsberschrift2"/>
        <w:numPr>
          <w:ilvl w:val="0"/>
          <w:numId w:val="0"/>
        </w:numPr>
        <w:ind w:left="357" w:hanging="357"/>
        <w:rPr>
          <w:rFonts w:ascii="Times New Roman" w:hAnsi="Times New Roman" w:cs="Times New Roman"/>
          <w:sz w:val="24"/>
        </w:rPr>
      </w:pPr>
      <w:bookmarkStart w:id="582" w:name="_Toc473561030"/>
      <w:bookmarkStart w:id="583" w:name="_Toc58915837"/>
      <w:r>
        <w:rPr>
          <w:rFonts w:ascii="Times New Roman" w:hAnsi="Times New Roman"/>
          <w:sz w:val="24"/>
          <w:u w:val="none"/>
        </w:rPr>
        <w:t>4.2.3.2.</w:t>
      </w:r>
      <w:r w:rsidRPr="002568B5">
        <w:rPr>
          <w:u w:val="none"/>
        </w:rPr>
        <w:tab/>
      </w:r>
      <w:r>
        <w:rPr>
          <w:rFonts w:ascii="Times New Roman" w:hAnsi="Times New Roman"/>
          <w:sz w:val="24"/>
        </w:rPr>
        <w:t>Istruzioni relative a posizioni specifiche</w:t>
      </w:r>
      <w:bookmarkEnd w:id="582"/>
      <w:bookmarkEnd w:id="583"/>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661595" w:rsidTr="006418A0">
        <w:tc>
          <w:tcPr>
            <w:tcW w:w="9062" w:type="dxa"/>
            <w:gridSpan w:val="2"/>
            <w:shd w:val="clear" w:color="auto" w:fill="BFBFBF"/>
          </w:tcPr>
          <w:p w:rsidR="00FD54FC" w:rsidRPr="00661595" w:rsidRDefault="00FD54FC" w:rsidP="00F2281A">
            <w:pPr>
              <w:suppressAutoHyphens/>
              <w:rPr>
                <w:rFonts w:ascii="Times New Roman" w:hAnsi="Times New Roman"/>
                <w:sz w:val="24"/>
              </w:rPr>
            </w:pPr>
            <w:r>
              <w:rPr>
                <w:rFonts w:ascii="Times New Roman" w:hAnsi="Times New Roman"/>
                <w:b/>
                <w:bCs/>
                <w:sz w:val="24"/>
              </w:rPr>
              <w:t>Colonne</w:t>
            </w:r>
          </w:p>
        </w:tc>
      </w:tr>
      <w:tr w:rsidR="00FD54FC" w:rsidRPr="00661595" w:rsidTr="006418A0">
        <w:tc>
          <w:tcPr>
            <w:tcW w:w="951" w:type="dxa"/>
            <w:shd w:val="clear" w:color="auto" w:fill="auto"/>
          </w:tcPr>
          <w:p w:rsidR="00FD54FC" w:rsidRPr="00661595" w:rsidRDefault="00C93FC2" w:rsidP="00F2281A">
            <w:pPr>
              <w:suppressAutoHyphens/>
              <w:rPr>
                <w:rFonts w:ascii="Times New Roman" w:hAnsi="Times New Roman"/>
                <w:sz w:val="24"/>
              </w:rPr>
            </w:pPr>
            <w:r>
              <w:rPr>
                <w:rFonts w:ascii="Times New Roman" w:hAnsi="Times New Roman"/>
                <w:sz w:val="24"/>
              </w:rPr>
              <w:t>0010</w:t>
            </w:r>
          </w:p>
        </w:tc>
        <w:tc>
          <w:tcPr>
            <w:tcW w:w="8111" w:type="dxa"/>
            <w:shd w:val="clear" w:color="auto" w:fill="auto"/>
          </w:tcPr>
          <w:p w:rsidR="00FD54FC" w:rsidRPr="00661595" w:rsidRDefault="00FD54FC" w:rsidP="00F2281A">
            <w:pPr>
              <w:suppressAutoHyphens/>
              <w:rPr>
                <w:rFonts w:ascii="Times New Roman" w:hAnsi="Times New Roman"/>
                <w:sz w:val="24"/>
              </w:rPr>
            </w:pPr>
            <w:r>
              <w:rPr>
                <w:rStyle w:val="InstructionsTabelleberschrift"/>
                <w:rFonts w:ascii="Times New Roman" w:hAnsi="Times New Roman"/>
                <w:sz w:val="24"/>
              </w:rPr>
              <w:t>ID dell</w:t>
            </w:r>
            <w:r w:rsidR="000878EC">
              <w:rPr>
                <w:rStyle w:val="InstructionsTabelleberschrift"/>
                <w:rFonts w:ascii="Times New Roman" w:hAnsi="Times New Roman"/>
                <w:sz w:val="24"/>
              </w:rPr>
              <w:t>'</w:t>
            </w:r>
            <w:r>
              <w:rPr>
                <w:rStyle w:val="InstructionsTabelleberschrift"/>
                <w:rFonts w:ascii="Times New Roman" w:hAnsi="Times New Roman"/>
                <w:sz w:val="24"/>
              </w:rPr>
              <w:t>evento</w:t>
            </w:r>
          </w:p>
          <w:p w:rsidR="00FD54FC" w:rsidRPr="00661595" w:rsidRDefault="00FD54FC" w:rsidP="00F2281A">
            <w:pPr>
              <w:suppressAutoHyphens/>
              <w:rPr>
                <w:rFonts w:ascii="Times New Roman" w:hAnsi="Times New Roman"/>
                <w:sz w:val="24"/>
              </w:rPr>
            </w:pPr>
            <w:r>
              <w:rPr>
                <w:rFonts w:ascii="Times New Roman" w:hAnsi="Times New Roman"/>
                <w:sz w:val="24"/>
              </w:rPr>
              <w:t>L</w:t>
            </w:r>
            <w:r w:rsidR="000878EC">
              <w:rPr>
                <w:rFonts w:ascii="Times New Roman" w:hAnsi="Times New Roman"/>
                <w:sz w:val="24"/>
              </w:rPr>
              <w:t>'</w:t>
            </w:r>
            <w:r>
              <w:rPr>
                <w:rFonts w:ascii="Times New Roman" w:hAnsi="Times New Roman"/>
                <w:sz w:val="24"/>
              </w:rPr>
              <w:t>ID dell</w:t>
            </w:r>
            <w:r w:rsidR="000878EC">
              <w:rPr>
                <w:rFonts w:ascii="Times New Roman" w:hAnsi="Times New Roman"/>
                <w:sz w:val="24"/>
              </w:rPr>
              <w:t>'</w:t>
            </w:r>
            <w:r>
              <w:rPr>
                <w:rFonts w:ascii="Times New Roman" w:hAnsi="Times New Roman"/>
                <w:sz w:val="24"/>
              </w:rPr>
              <w:t xml:space="preserve">evento è un identificatore di riga ed è unico per ciascuna riga del modello. </w:t>
            </w:r>
          </w:p>
          <w:p w:rsidR="00FD54FC" w:rsidRPr="00661595" w:rsidRDefault="00FD54FC" w:rsidP="00F2281A">
            <w:pPr>
              <w:suppressAutoHyphens/>
              <w:rPr>
                <w:rFonts w:ascii="Times New Roman" w:hAnsi="Times New Roman"/>
                <w:sz w:val="24"/>
              </w:rPr>
            </w:pPr>
            <w:r>
              <w:rPr>
                <w:rFonts w:ascii="Times New Roman" w:hAnsi="Times New Roman"/>
                <w:sz w:val="24"/>
              </w:rPr>
              <w:t>Gli enti utilizzano l</w:t>
            </w:r>
            <w:r w:rsidR="000878EC">
              <w:rPr>
                <w:rFonts w:ascii="Times New Roman" w:hAnsi="Times New Roman"/>
                <w:sz w:val="24"/>
              </w:rPr>
              <w:t>'</w:t>
            </w:r>
            <w:r>
              <w:rPr>
                <w:rFonts w:ascii="Times New Roman" w:hAnsi="Times New Roman"/>
                <w:sz w:val="24"/>
              </w:rPr>
              <w:t>ID interno, ove disponibile, altrimenti riportano gli ID in ordine numerico: 1, 2, 3 ecc.</w:t>
            </w:r>
          </w:p>
        </w:tc>
      </w:tr>
      <w:tr w:rsidR="00FD54FC" w:rsidRPr="00661595" w:rsidTr="006418A0">
        <w:tc>
          <w:tcPr>
            <w:tcW w:w="951" w:type="dxa"/>
            <w:shd w:val="clear" w:color="auto" w:fill="auto"/>
          </w:tcPr>
          <w:p w:rsidR="00FD54FC" w:rsidRPr="00661595" w:rsidRDefault="00C93FC2" w:rsidP="00F2281A">
            <w:pPr>
              <w:suppressAutoHyphens/>
              <w:rPr>
                <w:rFonts w:ascii="Times New Roman" w:hAnsi="Times New Roman"/>
                <w:sz w:val="24"/>
              </w:rPr>
            </w:pPr>
            <w:r>
              <w:rPr>
                <w:rFonts w:ascii="Times New Roman" w:hAnsi="Times New Roman"/>
                <w:sz w:val="24"/>
              </w:rPr>
              <w:t>0020</w:t>
            </w:r>
          </w:p>
        </w:tc>
        <w:tc>
          <w:tcPr>
            <w:tcW w:w="8111" w:type="dxa"/>
            <w:shd w:val="clear" w:color="auto" w:fill="auto"/>
          </w:tcPr>
          <w:p w:rsidR="00FD54FC" w:rsidRPr="00661595" w:rsidRDefault="00FD54FC" w:rsidP="00F2281A">
            <w:pPr>
              <w:suppressAutoHyphens/>
              <w:rPr>
                <w:rStyle w:val="InstructionsTabelleberschrift"/>
                <w:rFonts w:ascii="Times New Roman" w:hAnsi="Times New Roman"/>
                <w:sz w:val="24"/>
              </w:rPr>
            </w:pPr>
            <w:r>
              <w:rPr>
                <w:rStyle w:val="InstructionsTabelleberschrift"/>
                <w:rFonts w:ascii="Times New Roman" w:hAnsi="Times New Roman"/>
                <w:sz w:val="24"/>
              </w:rPr>
              <w:t>Data della contabilizzazione</w:t>
            </w:r>
          </w:p>
          <w:p w:rsidR="00FD54FC" w:rsidRPr="00661595" w:rsidRDefault="00FD54FC" w:rsidP="00F2281A">
            <w:pPr>
              <w:suppressAutoHyphens/>
              <w:rPr>
                <w:rFonts w:ascii="Times New Roman" w:hAnsi="Times New Roman"/>
                <w:sz w:val="24"/>
              </w:rPr>
            </w:pPr>
            <w:r>
              <w:rPr>
                <w:rFonts w:ascii="Times New Roman" w:hAnsi="Times New Roman"/>
                <w:sz w:val="24"/>
              </w:rPr>
              <w:t>Per data della contabilizzazione si intende la data in cui la perdita o la riserva/l</w:t>
            </w:r>
            <w:r w:rsidR="000878EC">
              <w:rPr>
                <w:rFonts w:ascii="Times New Roman" w:hAnsi="Times New Roman"/>
                <w:sz w:val="24"/>
              </w:rPr>
              <w:t>'</w:t>
            </w:r>
            <w:r>
              <w:rPr>
                <w:rFonts w:ascii="Times New Roman" w:hAnsi="Times New Roman"/>
                <w:sz w:val="24"/>
              </w:rPr>
              <w:t xml:space="preserve">accantonamento a fronte di una perdita dovuta al rischio operativo sono state rilevate per la prima volta nel conto profitti e perdite. </w:t>
            </w:r>
          </w:p>
        </w:tc>
      </w:tr>
      <w:tr w:rsidR="00FD54FC" w:rsidRPr="00661595" w:rsidTr="006418A0">
        <w:tc>
          <w:tcPr>
            <w:tcW w:w="951" w:type="dxa"/>
            <w:shd w:val="clear" w:color="auto" w:fill="auto"/>
          </w:tcPr>
          <w:p w:rsidR="00FD54FC" w:rsidRPr="00661595" w:rsidRDefault="00C93FC2" w:rsidP="00F2281A">
            <w:pPr>
              <w:suppressAutoHyphens/>
              <w:rPr>
                <w:rFonts w:ascii="Times New Roman" w:hAnsi="Times New Roman"/>
                <w:sz w:val="24"/>
              </w:rPr>
            </w:pPr>
            <w:r>
              <w:rPr>
                <w:rFonts w:ascii="Times New Roman" w:hAnsi="Times New Roman"/>
                <w:sz w:val="24"/>
              </w:rPr>
              <w:t>0030</w:t>
            </w:r>
          </w:p>
        </w:tc>
        <w:tc>
          <w:tcPr>
            <w:tcW w:w="8111" w:type="dxa"/>
            <w:shd w:val="clear" w:color="auto" w:fill="auto"/>
          </w:tcPr>
          <w:p w:rsidR="00FD54FC" w:rsidRPr="00661595" w:rsidRDefault="00FD54FC" w:rsidP="00F2281A">
            <w:pPr>
              <w:suppressAutoHyphens/>
              <w:rPr>
                <w:rStyle w:val="InstructionsTabelleberschrift"/>
                <w:rFonts w:ascii="Times New Roman" w:hAnsi="Times New Roman"/>
                <w:sz w:val="24"/>
              </w:rPr>
            </w:pPr>
            <w:r>
              <w:rPr>
                <w:rStyle w:val="InstructionsTabelleberschrift"/>
                <w:rFonts w:ascii="Times New Roman" w:hAnsi="Times New Roman"/>
                <w:sz w:val="24"/>
              </w:rPr>
              <w:t>Data dell</w:t>
            </w:r>
            <w:r w:rsidR="000878EC">
              <w:rPr>
                <w:rStyle w:val="InstructionsTabelleberschrift"/>
                <w:rFonts w:ascii="Times New Roman" w:hAnsi="Times New Roman"/>
                <w:sz w:val="24"/>
              </w:rPr>
              <w:t>'</w:t>
            </w:r>
            <w:r>
              <w:rPr>
                <w:rStyle w:val="InstructionsTabelleberschrift"/>
                <w:rFonts w:ascii="Times New Roman" w:hAnsi="Times New Roman"/>
                <w:sz w:val="24"/>
              </w:rPr>
              <w:t>evento</w:t>
            </w:r>
          </w:p>
          <w:p w:rsidR="00FD54FC" w:rsidRPr="00661595" w:rsidRDefault="00FD54FC" w:rsidP="00F2281A">
            <w:pPr>
              <w:suppressAutoHyphens/>
              <w:rPr>
                <w:rFonts w:ascii="Times New Roman" w:hAnsi="Times New Roman"/>
                <w:sz w:val="24"/>
              </w:rPr>
            </w:pPr>
            <w:r>
              <w:rPr>
                <w:rFonts w:ascii="Times New Roman" w:hAnsi="Times New Roman"/>
                <w:sz w:val="24"/>
              </w:rPr>
              <w:t>La data dell</w:t>
            </w:r>
            <w:r w:rsidR="000878EC">
              <w:rPr>
                <w:rFonts w:ascii="Times New Roman" w:hAnsi="Times New Roman"/>
                <w:sz w:val="24"/>
              </w:rPr>
              <w:t>'</w:t>
            </w:r>
            <w:r>
              <w:rPr>
                <w:rFonts w:ascii="Times New Roman" w:hAnsi="Times New Roman"/>
                <w:sz w:val="24"/>
              </w:rPr>
              <w:t>evento è la data in cui è avvenuto o ha avuto inizio l</w:t>
            </w:r>
            <w:r w:rsidR="000878EC">
              <w:rPr>
                <w:rFonts w:ascii="Times New Roman" w:hAnsi="Times New Roman"/>
                <w:sz w:val="24"/>
              </w:rPr>
              <w:t>'</w:t>
            </w:r>
            <w:r>
              <w:rPr>
                <w:rFonts w:ascii="Times New Roman" w:hAnsi="Times New Roman"/>
                <w:sz w:val="24"/>
              </w:rPr>
              <w:t>evento di perdita dovuto al rischio operativo.</w:t>
            </w:r>
          </w:p>
        </w:tc>
      </w:tr>
      <w:tr w:rsidR="00FD54FC" w:rsidRPr="00661595" w:rsidTr="006418A0">
        <w:tc>
          <w:tcPr>
            <w:tcW w:w="951" w:type="dxa"/>
            <w:shd w:val="clear" w:color="auto" w:fill="auto"/>
          </w:tcPr>
          <w:p w:rsidR="00FD54FC" w:rsidRPr="00661595" w:rsidRDefault="00C93FC2" w:rsidP="00F2281A">
            <w:pPr>
              <w:suppressAutoHyphens/>
              <w:rPr>
                <w:rFonts w:ascii="Times New Roman" w:hAnsi="Times New Roman"/>
                <w:sz w:val="24"/>
              </w:rPr>
            </w:pPr>
            <w:r>
              <w:rPr>
                <w:rFonts w:ascii="Times New Roman" w:hAnsi="Times New Roman"/>
                <w:sz w:val="24"/>
              </w:rPr>
              <w:t>0040</w:t>
            </w:r>
          </w:p>
        </w:tc>
        <w:tc>
          <w:tcPr>
            <w:tcW w:w="8111" w:type="dxa"/>
            <w:shd w:val="clear" w:color="auto" w:fill="auto"/>
          </w:tcPr>
          <w:p w:rsidR="00FD54FC" w:rsidRPr="00661595" w:rsidRDefault="00FD54FC" w:rsidP="00F2281A">
            <w:pPr>
              <w:suppressAutoHyphens/>
              <w:rPr>
                <w:rStyle w:val="InstructionsTabelleberschrift"/>
                <w:rFonts w:ascii="Times New Roman" w:hAnsi="Times New Roman"/>
                <w:sz w:val="24"/>
              </w:rPr>
            </w:pPr>
            <w:r>
              <w:rPr>
                <w:rStyle w:val="InstructionsTabelleberschrift"/>
                <w:rFonts w:ascii="Times New Roman" w:hAnsi="Times New Roman"/>
                <w:sz w:val="24"/>
              </w:rPr>
              <w:t>Data di scoperta</w:t>
            </w:r>
          </w:p>
          <w:p w:rsidR="00FD54FC" w:rsidRPr="00661595" w:rsidRDefault="00FD54FC" w:rsidP="00F2281A">
            <w:pPr>
              <w:suppressAutoHyphens/>
              <w:rPr>
                <w:rFonts w:ascii="Times New Roman" w:hAnsi="Times New Roman"/>
                <w:sz w:val="24"/>
              </w:rPr>
            </w:pPr>
            <w:r>
              <w:rPr>
                <w:rFonts w:ascii="Times New Roman" w:hAnsi="Times New Roman"/>
                <w:sz w:val="24"/>
              </w:rPr>
              <w:t>La data di scoperta è la data in cui l</w:t>
            </w:r>
            <w:r w:rsidR="000878EC">
              <w:rPr>
                <w:rFonts w:ascii="Times New Roman" w:hAnsi="Times New Roman"/>
                <w:sz w:val="24"/>
              </w:rPr>
              <w:t>'</w:t>
            </w:r>
            <w:r>
              <w:rPr>
                <w:rFonts w:ascii="Times New Roman" w:hAnsi="Times New Roman"/>
                <w:sz w:val="24"/>
              </w:rPr>
              <w:t>ente ha avuto conoscenza dell</w:t>
            </w:r>
            <w:r w:rsidR="000878EC">
              <w:rPr>
                <w:rFonts w:ascii="Times New Roman" w:hAnsi="Times New Roman"/>
                <w:sz w:val="24"/>
              </w:rPr>
              <w:t>'</w:t>
            </w:r>
            <w:r>
              <w:rPr>
                <w:rFonts w:ascii="Times New Roman" w:hAnsi="Times New Roman"/>
                <w:sz w:val="24"/>
              </w:rPr>
              <w:t>evento di perdita dovuto al rischio operativo.</w:t>
            </w:r>
          </w:p>
        </w:tc>
      </w:tr>
      <w:tr w:rsidR="00FD54FC" w:rsidRPr="00661595" w:rsidTr="006418A0">
        <w:tc>
          <w:tcPr>
            <w:tcW w:w="951" w:type="dxa"/>
            <w:shd w:val="clear" w:color="auto" w:fill="auto"/>
          </w:tcPr>
          <w:p w:rsidR="00FD54FC" w:rsidRPr="00661595" w:rsidRDefault="00C93FC2" w:rsidP="00F2281A">
            <w:pPr>
              <w:suppressAutoHyphens/>
              <w:rPr>
                <w:rFonts w:ascii="Times New Roman" w:hAnsi="Times New Roman"/>
                <w:sz w:val="24"/>
              </w:rPr>
            </w:pPr>
            <w:r>
              <w:rPr>
                <w:rFonts w:ascii="Times New Roman" w:hAnsi="Times New Roman"/>
                <w:sz w:val="24"/>
              </w:rPr>
              <w:t>0050</w:t>
            </w:r>
          </w:p>
        </w:tc>
        <w:tc>
          <w:tcPr>
            <w:tcW w:w="8111" w:type="dxa"/>
            <w:shd w:val="clear" w:color="auto" w:fill="auto"/>
          </w:tcPr>
          <w:p w:rsidR="00FD54FC" w:rsidRPr="00661595" w:rsidRDefault="00F41508" w:rsidP="00F2281A">
            <w:pPr>
              <w:suppressAutoHyphens/>
              <w:rPr>
                <w:rStyle w:val="InstructionsTabelleberschrift"/>
                <w:rFonts w:ascii="Times New Roman" w:hAnsi="Times New Roman"/>
                <w:sz w:val="24"/>
              </w:rPr>
            </w:pPr>
            <w:r>
              <w:rPr>
                <w:rStyle w:val="InstructionsTabelleberschrift"/>
                <w:rFonts w:ascii="Times New Roman" w:hAnsi="Times New Roman"/>
                <w:sz w:val="24"/>
              </w:rPr>
              <w:t>Tipologie di eventi di perdita</w:t>
            </w:r>
          </w:p>
          <w:p w:rsidR="00FD54FC" w:rsidRPr="00661595" w:rsidRDefault="00F41508" w:rsidP="00F2281A">
            <w:pPr>
              <w:suppressAutoHyphens/>
              <w:rPr>
                <w:rFonts w:ascii="Times New Roman" w:hAnsi="Times New Roman"/>
                <w:sz w:val="24"/>
              </w:rPr>
            </w:pPr>
            <w:r>
              <w:rPr>
                <w:rFonts w:ascii="Times New Roman" w:hAnsi="Times New Roman"/>
                <w:sz w:val="24"/>
              </w:rPr>
              <w:t>Tipologie di eventi di perdita di cui all</w:t>
            </w:r>
            <w:r w:rsidR="000878EC">
              <w:rPr>
                <w:rFonts w:ascii="Times New Roman" w:hAnsi="Times New Roman"/>
                <w:sz w:val="24"/>
              </w:rPr>
              <w:t>'</w:t>
            </w:r>
            <w:r>
              <w:rPr>
                <w:rFonts w:ascii="Times New Roman" w:hAnsi="Times New Roman"/>
                <w:sz w:val="24"/>
              </w:rPr>
              <w:t>articolo 324 del CRR.</w:t>
            </w:r>
          </w:p>
        </w:tc>
      </w:tr>
      <w:tr w:rsidR="00FD54FC" w:rsidRPr="00661595" w:rsidTr="006418A0">
        <w:tc>
          <w:tcPr>
            <w:tcW w:w="951" w:type="dxa"/>
            <w:shd w:val="clear" w:color="auto" w:fill="auto"/>
          </w:tcPr>
          <w:p w:rsidR="00FD54FC" w:rsidRPr="00661595" w:rsidRDefault="00C93FC2" w:rsidP="00F2281A">
            <w:pPr>
              <w:suppressAutoHyphens/>
              <w:rPr>
                <w:rFonts w:ascii="Times New Roman" w:hAnsi="Times New Roman"/>
                <w:sz w:val="24"/>
              </w:rPr>
            </w:pPr>
            <w:r>
              <w:rPr>
                <w:rFonts w:ascii="Times New Roman" w:hAnsi="Times New Roman"/>
                <w:sz w:val="24"/>
              </w:rPr>
              <w:t>0060</w:t>
            </w:r>
          </w:p>
        </w:tc>
        <w:tc>
          <w:tcPr>
            <w:tcW w:w="8111" w:type="dxa"/>
            <w:shd w:val="clear" w:color="auto" w:fill="auto"/>
          </w:tcPr>
          <w:p w:rsidR="00FD54FC" w:rsidRPr="00661595" w:rsidRDefault="00FD54FC" w:rsidP="00F2281A">
            <w:pPr>
              <w:suppressAutoHyphens/>
              <w:rPr>
                <w:rStyle w:val="InstructionsTabelleberschrift"/>
                <w:rFonts w:ascii="Times New Roman" w:hAnsi="Times New Roman"/>
                <w:sz w:val="24"/>
              </w:rPr>
            </w:pPr>
            <w:r>
              <w:rPr>
                <w:rStyle w:val="InstructionsTabelleberschrift"/>
                <w:rFonts w:ascii="Times New Roman" w:hAnsi="Times New Roman"/>
                <w:sz w:val="24"/>
              </w:rPr>
              <w:t>Perdita lorda</w:t>
            </w:r>
          </w:p>
          <w:p w:rsidR="00FD54FC" w:rsidRPr="00661595" w:rsidRDefault="00FD54FC" w:rsidP="00F2281A">
            <w:pPr>
              <w:suppressAutoHyphens/>
              <w:rPr>
                <w:rFonts w:ascii="Times New Roman" w:hAnsi="Times New Roman"/>
                <w:sz w:val="24"/>
              </w:rPr>
            </w:pPr>
            <w:r>
              <w:rPr>
                <w:rFonts w:ascii="Times New Roman" w:hAnsi="Times New Roman"/>
                <w:sz w:val="24"/>
              </w:rPr>
              <w:t>Perdita lorda relativa all</w:t>
            </w:r>
            <w:r w:rsidR="000878EC">
              <w:rPr>
                <w:rFonts w:ascii="Times New Roman" w:hAnsi="Times New Roman"/>
                <w:sz w:val="24"/>
              </w:rPr>
              <w:t>'</w:t>
            </w:r>
            <w:r>
              <w:rPr>
                <w:rFonts w:ascii="Times New Roman" w:hAnsi="Times New Roman"/>
                <w:sz w:val="24"/>
              </w:rPr>
              <w:t>evento di perdita di cui alle righe 0020, 0120 ecc. del modello C 17.01.</w:t>
            </w:r>
          </w:p>
        </w:tc>
      </w:tr>
      <w:tr w:rsidR="00FD54FC" w:rsidRPr="00661595" w:rsidTr="006418A0">
        <w:tc>
          <w:tcPr>
            <w:tcW w:w="951" w:type="dxa"/>
            <w:shd w:val="clear" w:color="auto" w:fill="auto"/>
          </w:tcPr>
          <w:p w:rsidR="00FD54FC" w:rsidRPr="00661595" w:rsidRDefault="00C93FC2" w:rsidP="00F2281A">
            <w:pPr>
              <w:suppressAutoHyphens/>
              <w:rPr>
                <w:rFonts w:ascii="Times New Roman" w:hAnsi="Times New Roman"/>
                <w:sz w:val="24"/>
              </w:rPr>
            </w:pPr>
            <w:r>
              <w:rPr>
                <w:rFonts w:ascii="Times New Roman" w:hAnsi="Times New Roman"/>
                <w:sz w:val="24"/>
              </w:rPr>
              <w:t>0070</w:t>
            </w:r>
          </w:p>
        </w:tc>
        <w:tc>
          <w:tcPr>
            <w:tcW w:w="8111" w:type="dxa"/>
            <w:shd w:val="clear" w:color="auto" w:fill="auto"/>
          </w:tcPr>
          <w:p w:rsidR="00FD54FC" w:rsidRPr="00661595" w:rsidRDefault="00FD54FC" w:rsidP="00F2281A">
            <w:pPr>
              <w:suppressAutoHyphens/>
              <w:rPr>
                <w:rStyle w:val="InstructionsTabelleberschrift"/>
                <w:rFonts w:ascii="Times New Roman" w:hAnsi="Times New Roman"/>
                <w:sz w:val="24"/>
              </w:rPr>
            </w:pPr>
            <w:r>
              <w:rPr>
                <w:rStyle w:val="InstructionsTabelleberschrift"/>
                <w:rFonts w:ascii="Times New Roman" w:hAnsi="Times New Roman"/>
                <w:sz w:val="24"/>
              </w:rPr>
              <w:t>Perdita lorda al netto dei recuperi diretti</w:t>
            </w:r>
          </w:p>
          <w:p w:rsidR="00FD54FC" w:rsidRPr="00661595" w:rsidRDefault="00FD54FC" w:rsidP="00F2281A">
            <w:pPr>
              <w:suppressAutoHyphens/>
              <w:rPr>
                <w:rFonts w:ascii="Times New Roman" w:hAnsi="Times New Roman"/>
                <w:sz w:val="24"/>
              </w:rPr>
            </w:pPr>
            <w:r>
              <w:rPr>
                <w:rFonts w:ascii="Times New Roman" w:hAnsi="Times New Roman"/>
                <w:sz w:val="24"/>
              </w:rPr>
              <w:t>Perdita lorda relativa all</w:t>
            </w:r>
            <w:r w:rsidR="000878EC">
              <w:rPr>
                <w:rFonts w:ascii="Times New Roman" w:hAnsi="Times New Roman"/>
                <w:sz w:val="24"/>
              </w:rPr>
              <w:t>'</w:t>
            </w:r>
            <w:r>
              <w:rPr>
                <w:rFonts w:ascii="Times New Roman" w:hAnsi="Times New Roman"/>
                <w:sz w:val="24"/>
              </w:rPr>
              <w:t>evento di perdita di cui alle righe 0020, 0120 ecc. del modello C 17.01 al netto dei recuperi diretti riferiti a tale evento di perdita.</w:t>
            </w:r>
          </w:p>
        </w:tc>
      </w:tr>
      <w:tr w:rsidR="00FD54FC" w:rsidRPr="00661595" w:rsidTr="006418A0">
        <w:tc>
          <w:tcPr>
            <w:tcW w:w="951" w:type="dxa"/>
            <w:shd w:val="clear" w:color="auto" w:fill="auto"/>
          </w:tcPr>
          <w:p w:rsidR="00FD54FC" w:rsidRPr="00661595" w:rsidRDefault="00C93FC2" w:rsidP="00F2281A">
            <w:pPr>
              <w:suppressAutoHyphens/>
              <w:rPr>
                <w:rFonts w:ascii="Times New Roman" w:hAnsi="Times New Roman"/>
                <w:sz w:val="24"/>
              </w:rPr>
            </w:pPr>
            <w:r>
              <w:rPr>
                <w:rFonts w:ascii="Times New Roman" w:hAnsi="Times New Roman"/>
                <w:sz w:val="24"/>
              </w:rPr>
              <w:t>0080 - 0160</w:t>
            </w:r>
          </w:p>
        </w:tc>
        <w:tc>
          <w:tcPr>
            <w:tcW w:w="8111" w:type="dxa"/>
            <w:shd w:val="clear" w:color="auto" w:fill="auto"/>
          </w:tcPr>
          <w:p w:rsidR="00FD54FC" w:rsidRPr="00661595" w:rsidRDefault="00FD54FC" w:rsidP="00F2281A">
            <w:pPr>
              <w:suppressAutoHyphens/>
              <w:rPr>
                <w:rStyle w:val="InstructionsTabelleberschrift"/>
                <w:rFonts w:ascii="Times New Roman" w:hAnsi="Times New Roman"/>
                <w:sz w:val="24"/>
              </w:rPr>
            </w:pPr>
            <w:r>
              <w:rPr>
                <w:rStyle w:val="InstructionsTabelleberschrift"/>
                <w:rFonts w:ascii="Times New Roman" w:hAnsi="Times New Roman"/>
                <w:sz w:val="24"/>
              </w:rPr>
              <w:t>Perdita lorda per linea di business</w:t>
            </w:r>
          </w:p>
          <w:p w:rsidR="00FD54FC" w:rsidRPr="00661595" w:rsidRDefault="00FD54FC" w:rsidP="00F2281A">
            <w:pPr>
              <w:suppressAutoHyphens/>
              <w:rPr>
                <w:rFonts w:ascii="Times New Roman" w:hAnsi="Times New Roman"/>
                <w:sz w:val="24"/>
              </w:rPr>
            </w:pPr>
            <w:r>
              <w:rPr>
                <w:rFonts w:ascii="Times New Roman" w:hAnsi="Times New Roman"/>
                <w:sz w:val="24"/>
              </w:rPr>
              <w:t>La perdita lorda segnalata alla colonna 0060 è assegnata alle pertinenti linee di business di cui alla tabella 2 dell</w:t>
            </w:r>
            <w:r w:rsidR="000878EC">
              <w:rPr>
                <w:rFonts w:ascii="Times New Roman" w:hAnsi="Times New Roman"/>
                <w:sz w:val="24"/>
              </w:rPr>
              <w:t>'</w:t>
            </w:r>
            <w:r>
              <w:rPr>
                <w:rFonts w:ascii="Times New Roman" w:hAnsi="Times New Roman"/>
                <w:sz w:val="24"/>
              </w:rPr>
              <w:t>articolo 317, paragrafo 4, del CRR e all</w:t>
            </w:r>
            <w:r w:rsidR="000878EC">
              <w:rPr>
                <w:rFonts w:ascii="Times New Roman" w:hAnsi="Times New Roman"/>
                <w:sz w:val="24"/>
              </w:rPr>
              <w:t>'</w:t>
            </w:r>
            <w:r>
              <w:rPr>
                <w:rFonts w:ascii="Times New Roman" w:hAnsi="Times New Roman"/>
                <w:sz w:val="24"/>
              </w:rPr>
              <w:t>articolo 322, paragrafo 3, lettera b), del CRR.</w:t>
            </w:r>
          </w:p>
        </w:tc>
      </w:tr>
      <w:tr w:rsidR="00FD54FC" w:rsidRPr="00661595" w:rsidTr="006418A0">
        <w:tc>
          <w:tcPr>
            <w:tcW w:w="951" w:type="dxa"/>
            <w:shd w:val="clear" w:color="auto" w:fill="auto"/>
          </w:tcPr>
          <w:p w:rsidR="00FD54FC" w:rsidRPr="00661595" w:rsidRDefault="00C93FC2" w:rsidP="00F2281A">
            <w:pPr>
              <w:suppressAutoHyphens/>
              <w:rPr>
                <w:rFonts w:ascii="Times New Roman" w:hAnsi="Times New Roman"/>
                <w:sz w:val="24"/>
              </w:rPr>
            </w:pPr>
            <w:r>
              <w:rPr>
                <w:rFonts w:ascii="Times New Roman" w:hAnsi="Times New Roman"/>
                <w:sz w:val="24"/>
              </w:rPr>
              <w:t>0170</w:t>
            </w:r>
          </w:p>
        </w:tc>
        <w:tc>
          <w:tcPr>
            <w:tcW w:w="8111" w:type="dxa"/>
            <w:shd w:val="clear" w:color="auto" w:fill="auto"/>
          </w:tcPr>
          <w:p w:rsidR="00FD54FC" w:rsidRPr="00661595" w:rsidRDefault="00FD54FC" w:rsidP="00F2281A">
            <w:pPr>
              <w:suppressAutoHyphens/>
              <w:rPr>
                <w:rStyle w:val="InstructionsTabelleberschrift"/>
                <w:rFonts w:ascii="Times New Roman" w:hAnsi="Times New Roman"/>
                <w:sz w:val="24"/>
              </w:rPr>
            </w:pPr>
            <w:r>
              <w:rPr>
                <w:rStyle w:val="InstructionsTabelleberschrift"/>
                <w:rFonts w:ascii="Times New Roman" w:hAnsi="Times New Roman"/>
                <w:sz w:val="24"/>
              </w:rPr>
              <w:t>Nome del soggetto giuridico</w:t>
            </w:r>
          </w:p>
          <w:p w:rsidR="00FD54FC" w:rsidRPr="00661595" w:rsidRDefault="00FD54FC" w:rsidP="00F2281A">
            <w:pPr>
              <w:suppressAutoHyphens/>
              <w:rPr>
                <w:rFonts w:ascii="Times New Roman" w:hAnsi="Times New Roman"/>
                <w:sz w:val="24"/>
              </w:rPr>
            </w:pPr>
            <w:r>
              <w:rPr>
                <w:rFonts w:ascii="Times New Roman" w:hAnsi="Times New Roman"/>
                <w:sz w:val="24"/>
              </w:rPr>
              <w:t>Nome del soggetto giuridico quale segnalato alla colonna 0010 del modello C 06.02 in cui si è verificata la perdita (o la quota di perdita più elevata, se sono stati interessati più soggetti).</w:t>
            </w:r>
          </w:p>
        </w:tc>
      </w:tr>
      <w:tr w:rsidR="00FD54FC" w:rsidRPr="00661595" w:rsidTr="006418A0">
        <w:tc>
          <w:tcPr>
            <w:tcW w:w="951" w:type="dxa"/>
            <w:shd w:val="clear" w:color="auto" w:fill="auto"/>
          </w:tcPr>
          <w:p w:rsidR="00FD54FC" w:rsidRPr="00661595" w:rsidRDefault="00C93FC2" w:rsidP="00F2281A">
            <w:pPr>
              <w:keepNext/>
              <w:keepLines/>
              <w:suppressAutoHyphens/>
              <w:rPr>
                <w:rFonts w:ascii="Times New Roman" w:hAnsi="Times New Roman"/>
                <w:sz w:val="24"/>
              </w:rPr>
            </w:pPr>
            <w:r>
              <w:rPr>
                <w:rFonts w:ascii="Times New Roman" w:hAnsi="Times New Roman"/>
                <w:sz w:val="24"/>
              </w:rPr>
              <w:t>0180</w:t>
            </w:r>
          </w:p>
        </w:tc>
        <w:tc>
          <w:tcPr>
            <w:tcW w:w="8111" w:type="dxa"/>
            <w:shd w:val="clear" w:color="auto" w:fill="auto"/>
          </w:tcPr>
          <w:p w:rsidR="00FD54FC" w:rsidRPr="00661595" w:rsidRDefault="00105A75" w:rsidP="00F2281A">
            <w:pPr>
              <w:keepNext/>
              <w:keepLines/>
              <w:suppressAutoHyphens/>
              <w:rPr>
                <w:rStyle w:val="InstructionsTabelleberschrift"/>
                <w:rFonts w:ascii="Times New Roman" w:hAnsi="Times New Roman"/>
                <w:sz w:val="24"/>
              </w:rPr>
            </w:pPr>
            <w:r>
              <w:rPr>
                <w:rStyle w:val="InstructionsTabelleberschrift"/>
                <w:rFonts w:ascii="Times New Roman" w:hAnsi="Times New Roman"/>
                <w:sz w:val="24"/>
              </w:rPr>
              <w:t>Codice</w:t>
            </w:r>
          </w:p>
          <w:p w:rsidR="000D0A23" w:rsidRPr="00661595" w:rsidRDefault="009B627A" w:rsidP="00F2281A">
            <w:pPr>
              <w:keepNext/>
              <w:keepLines/>
              <w:suppressAutoHyphens/>
              <w:rPr>
                <w:rFonts w:ascii="Times New Roman" w:hAnsi="Times New Roman"/>
                <w:sz w:val="24"/>
              </w:rPr>
            </w:pPr>
            <w:r>
              <w:rPr>
                <w:rFonts w:ascii="Times New Roman" w:hAnsi="Times New Roman"/>
                <w:sz w:val="24"/>
              </w:rPr>
              <w:t>Codice LEI del soggetto giuridico quale segnalato alla colonna 0021 del modello C 06.02 in cui si è verificata la perdita (o la quota di perdita più elevata, se sono stati interessati più soggetti).</w:t>
            </w:r>
          </w:p>
        </w:tc>
      </w:tr>
      <w:tr w:rsidR="000D0A23" w:rsidRPr="00661595" w:rsidTr="00127FEA">
        <w:tc>
          <w:tcPr>
            <w:tcW w:w="951" w:type="dxa"/>
            <w:shd w:val="clear" w:color="auto" w:fill="auto"/>
          </w:tcPr>
          <w:p w:rsidR="000D0A23" w:rsidRPr="00661595" w:rsidRDefault="000D0A23" w:rsidP="00F2281A">
            <w:pPr>
              <w:suppressAutoHyphens/>
              <w:rPr>
                <w:rStyle w:val="InstructionsTabelleText"/>
                <w:rFonts w:ascii="Times New Roman" w:hAnsi="Times New Roman"/>
                <w:sz w:val="24"/>
              </w:rPr>
            </w:pPr>
            <w:r>
              <w:rPr>
                <w:rStyle w:val="InstructionsTabelleText"/>
                <w:rFonts w:ascii="Times New Roman" w:hAnsi="Times New Roman"/>
                <w:sz w:val="24"/>
              </w:rPr>
              <w:t>0185</w:t>
            </w:r>
          </w:p>
        </w:tc>
        <w:tc>
          <w:tcPr>
            <w:tcW w:w="8111" w:type="dxa"/>
            <w:shd w:val="clear" w:color="auto" w:fill="auto"/>
          </w:tcPr>
          <w:p w:rsidR="000D0A23" w:rsidRPr="00661595" w:rsidRDefault="000D0A23" w:rsidP="00F2281A">
            <w:pPr>
              <w:suppressAutoHyphens/>
              <w:rPr>
                <w:rStyle w:val="InstructionsTabelleberschrift"/>
                <w:rFonts w:ascii="Times New Roman" w:hAnsi="Times New Roman"/>
                <w:sz w:val="24"/>
              </w:rPr>
            </w:pPr>
            <w:r>
              <w:rPr>
                <w:rStyle w:val="InstructionsTabelleberschrift"/>
                <w:rFonts w:ascii="Times New Roman" w:hAnsi="Times New Roman"/>
                <w:sz w:val="24"/>
              </w:rPr>
              <w:t>TIPO DI CODICE</w:t>
            </w:r>
          </w:p>
          <w:p w:rsidR="000D0A23" w:rsidRPr="00661595" w:rsidRDefault="000D0A23" w:rsidP="00F2281A">
            <w:pPr>
              <w:suppressAutoHyphens/>
              <w:rPr>
                <w:rStyle w:val="InstructionsTabelleberschrift"/>
                <w:rFonts w:ascii="Times New Roman" w:hAnsi="Times New Roman"/>
                <w:sz w:val="24"/>
              </w:rPr>
            </w:pPr>
            <w:r>
              <w:rPr>
                <w:rStyle w:val="InstructionsTabelleText"/>
                <w:rFonts w:ascii="Times New Roman" w:hAnsi="Times New Roman"/>
                <w:sz w:val="24"/>
              </w:rPr>
              <w:t>L</w:t>
            </w:r>
            <w:r w:rsidR="000878EC">
              <w:rPr>
                <w:rStyle w:val="InstructionsTabelleText"/>
                <w:rFonts w:ascii="Times New Roman" w:hAnsi="Times New Roman"/>
                <w:sz w:val="24"/>
              </w:rPr>
              <w:t>'</w:t>
            </w:r>
            <w:r>
              <w:rPr>
                <w:rStyle w:val="InstructionsTabelleText"/>
                <w:rFonts w:ascii="Times New Roman" w:hAnsi="Times New Roman"/>
                <w:sz w:val="24"/>
              </w:rPr>
              <w:t>ente identifica il tipo di codice segnalato nella</w:t>
            </w:r>
            <w:r>
              <w:rPr>
                <w:rFonts w:ascii="Times New Roman" w:hAnsi="Times New Roman"/>
                <w:sz w:val="24"/>
              </w:rPr>
              <w:t xml:space="preserve"> </w:t>
            </w:r>
            <w:r>
              <w:rPr>
                <w:rStyle w:val="FormatvorlageInstructionsTabelleText"/>
                <w:rFonts w:ascii="Times New Roman" w:hAnsi="Times New Roman"/>
                <w:sz w:val="24"/>
              </w:rPr>
              <w:t xml:space="preserve">colonna 0180 come </w:t>
            </w:r>
            <w:r w:rsidR="000878EC">
              <w:rPr>
                <w:rStyle w:val="FormatvorlageInstructionsTabelleText"/>
                <w:rFonts w:ascii="Times New Roman" w:hAnsi="Times New Roman"/>
                <w:sz w:val="24"/>
              </w:rPr>
              <w:t>"</w:t>
            </w:r>
            <w:r>
              <w:rPr>
                <w:rStyle w:val="FormatvorlageInstructionsTabelleText"/>
                <w:rFonts w:ascii="Times New Roman" w:hAnsi="Times New Roman"/>
                <w:sz w:val="24"/>
              </w:rPr>
              <w:t>codice LEI</w:t>
            </w:r>
            <w:r w:rsidR="000878EC">
              <w:rPr>
                <w:rStyle w:val="FormatvorlageInstructionsTabelleText"/>
                <w:rFonts w:ascii="Times New Roman" w:hAnsi="Times New Roman"/>
                <w:sz w:val="24"/>
              </w:rPr>
              <w:t>"</w:t>
            </w:r>
            <w:r>
              <w:rPr>
                <w:rFonts w:ascii="Times New Roman" w:hAnsi="Times New Roman"/>
                <w:sz w:val="24"/>
              </w:rPr>
              <w:t>.</w:t>
            </w:r>
            <w:r>
              <w:rPr>
                <w:rStyle w:val="FormatvorlageInstructionsTabelleText"/>
                <w:rFonts w:ascii="Times New Roman" w:hAnsi="Times New Roman"/>
                <w:sz w:val="24"/>
              </w:rPr>
              <w:t xml:space="preserve"> Indicare sempre il tipo di codice.</w:t>
            </w:r>
          </w:p>
        </w:tc>
      </w:tr>
      <w:tr w:rsidR="00FD54FC" w:rsidRPr="00661595" w:rsidTr="006418A0">
        <w:tc>
          <w:tcPr>
            <w:tcW w:w="951" w:type="dxa"/>
            <w:shd w:val="clear" w:color="auto" w:fill="auto"/>
          </w:tcPr>
          <w:p w:rsidR="00FD54FC" w:rsidRPr="00661595" w:rsidRDefault="00C93FC2" w:rsidP="00F2281A">
            <w:pPr>
              <w:suppressAutoHyphens/>
              <w:rPr>
                <w:rFonts w:ascii="Times New Roman" w:hAnsi="Times New Roman"/>
                <w:sz w:val="24"/>
              </w:rPr>
            </w:pPr>
            <w:r>
              <w:rPr>
                <w:rFonts w:ascii="Times New Roman" w:hAnsi="Times New Roman"/>
                <w:sz w:val="24"/>
              </w:rPr>
              <w:t>0190</w:t>
            </w:r>
          </w:p>
        </w:tc>
        <w:tc>
          <w:tcPr>
            <w:tcW w:w="8111" w:type="dxa"/>
            <w:shd w:val="clear" w:color="auto" w:fill="auto"/>
          </w:tcPr>
          <w:p w:rsidR="00FD54FC" w:rsidRPr="00661595" w:rsidRDefault="00FD54FC" w:rsidP="00F2281A">
            <w:pPr>
              <w:suppressAutoHyphens/>
              <w:rPr>
                <w:rStyle w:val="InstructionsTabelleberschrift"/>
                <w:rFonts w:ascii="Times New Roman" w:hAnsi="Times New Roman"/>
                <w:sz w:val="24"/>
              </w:rPr>
            </w:pPr>
            <w:r>
              <w:rPr>
                <w:rStyle w:val="InstructionsTabelleberschrift"/>
                <w:rFonts w:ascii="Times New Roman" w:hAnsi="Times New Roman"/>
                <w:sz w:val="24"/>
              </w:rPr>
              <w:t>Unità operativa</w:t>
            </w:r>
          </w:p>
          <w:p w:rsidR="00FD54FC" w:rsidRPr="00661595" w:rsidRDefault="00FD54FC" w:rsidP="00F2281A">
            <w:pPr>
              <w:suppressAutoHyphens/>
              <w:rPr>
                <w:rFonts w:ascii="Times New Roman" w:hAnsi="Times New Roman"/>
                <w:sz w:val="24"/>
              </w:rPr>
            </w:pPr>
            <w:r>
              <w:rPr>
                <w:rFonts w:ascii="Times New Roman" w:hAnsi="Times New Roman"/>
                <w:sz w:val="24"/>
              </w:rPr>
              <w:t>Unità operativa o divisione dell</w:t>
            </w:r>
            <w:r w:rsidR="000878EC">
              <w:rPr>
                <w:rFonts w:ascii="Times New Roman" w:hAnsi="Times New Roman"/>
                <w:sz w:val="24"/>
              </w:rPr>
              <w:t>'</w:t>
            </w:r>
            <w:r>
              <w:rPr>
                <w:rFonts w:ascii="Times New Roman" w:hAnsi="Times New Roman"/>
                <w:sz w:val="24"/>
              </w:rPr>
              <w:t>ente in cui si è verificata la perdita (o la quota di perdita più elevata, se sono state interessate più unità operative o divisioni).</w:t>
            </w:r>
          </w:p>
        </w:tc>
      </w:tr>
      <w:tr w:rsidR="00FD54FC" w:rsidRPr="00661595" w:rsidTr="006418A0">
        <w:tc>
          <w:tcPr>
            <w:tcW w:w="951" w:type="dxa"/>
            <w:shd w:val="clear" w:color="auto" w:fill="auto"/>
          </w:tcPr>
          <w:p w:rsidR="00FD54FC" w:rsidRPr="00661595" w:rsidRDefault="00C93FC2" w:rsidP="00F2281A">
            <w:pPr>
              <w:suppressAutoHyphens/>
              <w:rPr>
                <w:rFonts w:ascii="Times New Roman" w:hAnsi="Times New Roman"/>
                <w:sz w:val="24"/>
              </w:rPr>
            </w:pPr>
            <w:r>
              <w:rPr>
                <w:rFonts w:ascii="Times New Roman" w:hAnsi="Times New Roman"/>
                <w:sz w:val="24"/>
              </w:rPr>
              <w:t>0200</w:t>
            </w:r>
          </w:p>
        </w:tc>
        <w:tc>
          <w:tcPr>
            <w:tcW w:w="8111" w:type="dxa"/>
            <w:shd w:val="clear" w:color="auto" w:fill="auto"/>
          </w:tcPr>
          <w:p w:rsidR="00FD54FC" w:rsidRPr="00661595" w:rsidRDefault="00FD54FC" w:rsidP="00F2281A">
            <w:pPr>
              <w:suppressAutoHyphens/>
              <w:rPr>
                <w:rStyle w:val="InstructionsTabelleberschrift"/>
                <w:rFonts w:ascii="Times New Roman" w:hAnsi="Times New Roman"/>
                <w:sz w:val="24"/>
              </w:rPr>
            </w:pPr>
            <w:r>
              <w:rPr>
                <w:rStyle w:val="InstructionsTabelleberschrift"/>
                <w:rFonts w:ascii="Times New Roman" w:hAnsi="Times New Roman"/>
                <w:sz w:val="24"/>
              </w:rPr>
              <w:t>Descrizione</w:t>
            </w:r>
          </w:p>
          <w:p w:rsidR="00FD54FC" w:rsidRPr="00661595" w:rsidRDefault="00FD54FC" w:rsidP="00F2281A">
            <w:pPr>
              <w:suppressAutoHyphens/>
              <w:rPr>
                <w:rFonts w:ascii="Times New Roman" w:hAnsi="Times New Roman"/>
                <w:sz w:val="24"/>
              </w:rPr>
            </w:pPr>
            <w:r>
              <w:rPr>
                <w:rFonts w:ascii="Times New Roman" w:hAnsi="Times New Roman"/>
                <w:sz w:val="24"/>
              </w:rPr>
              <w:t>Descrizione dell</w:t>
            </w:r>
            <w:r w:rsidR="000878EC">
              <w:rPr>
                <w:rFonts w:ascii="Times New Roman" w:hAnsi="Times New Roman"/>
                <w:sz w:val="24"/>
              </w:rPr>
              <w:t>'</w:t>
            </w:r>
            <w:r>
              <w:rPr>
                <w:rFonts w:ascii="Times New Roman" w:hAnsi="Times New Roman"/>
                <w:sz w:val="24"/>
              </w:rPr>
              <w:t>evento di perdita, se necessario facendo ricorso a generalizzazioni e all</w:t>
            </w:r>
            <w:r w:rsidR="000878EC">
              <w:rPr>
                <w:rFonts w:ascii="Times New Roman" w:hAnsi="Times New Roman"/>
                <w:sz w:val="24"/>
              </w:rPr>
              <w:t>'</w:t>
            </w:r>
            <w:r>
              <w:rPr>
                <w:rFonts w:ascii="Times New Roman" w:hAnsi="Times New Roman"/>
                <w:sz w:val="24"/>
              </w:rPr>
              <w:t>anonimizzazione, comprendente come minimo informazioni sull</w:t>
            </w:r>
            <w:r w:rsidR="000878EC">
              <w:rPr>
                <w:rFonts w:ascii="Times New Roman" w:hAnsi="Times New Roman"/>
                <w:sz w:val="24"/>
              </w:rPr>
              <w:t>'</w:t>
            </w:r>
            <w:r>
              <w:rPr>
                <w:rFonts w:ascii="Times New Roman" w:hAnsi="Times New Roman"/>
                <w:sz w:val="24"/>
              </w:rPr>
              <w:t>evento di perdita stesso e sulle sue determinanti o sulle sue cause, se note.</w:t>
            </w:r>
          </w:p>
        </w:tc>
      </w:tr>
    </w:tbl>
    <w:p w:rsidR="00FD54FC" w:rsidRPr="00661595" w:rsidRDefault="00FD54FC" w:rsidP="00AC6255">
      <w:pPr>
        <w:spacing w:after="0"/>
        <w:rPr>
          <w:rFonts w:ascii="Times New Roman" w:hAnsi="Times New Roman"/>
          <w:sz w:val="24"/>
        </w:rPr>
      </w:pPr>
    </w:p>
    <w:p w:rsidR="00AC6255" w:rsidRPr="00661595" w:rsidRDefault="00AC6255">
      <w:pPr>
        <w:spacing w:before="0" w:after="0"/>
        <w:jc w:val="left"/>
        <w:rPr>
          <w:rStyle w:val="InstructionsTabelleText"/>
          <w:rFonts w:ascii="Times New Roman" w:hAnsi="Times New Roman"/>
          <w:sz w:val="24"/>
        </w:rPr>
      </w:pPr>
      <w:r>
        <w:br w:type="page"/>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584" w:name="_Toc295829995"/>
      <w:bookmarkStart w:id="585" w:name="_Toc262566425"/>
      <w:bookmarkStart w:id="586" w:name="_Toc308426671"/>
      <w:bookmarkStart w:id="587" w:name="_Toc310415056"/>
      <w:bookmarkStart w:id="588" w:name="_Toc360188391"/>
      <w:bookmarkStart w:id="589" w:name="_Toc473561031"/>
      <w:bookmarkStart w:id="590" w:name="_Toc58915838"/>
      <w:r>
        <w:rPr>
          <w:rFonts w:ascii="Times New Roman" w:hAnsi="Times New Roman"/>
          <w:sz w:val="24"/>
          <w:u w:val="none"/>
        </w:rPr>
        <w:t>5.</w:t>
      </w:r>
      <w:r w:rsidRPr="00F2281A">
        <w:rPr>
          <w:u w:val="none"/>
        </w:rPr>
        <w:tab/>
      </w:r>
      <w:r>
        <w:rPr>
          <w:rFonts w:ascii="Times New Roman" w:hAnsi="Times New Roman"/>
          <w:sz w:val="24"/>
        </w:rPr>
        <w:t>Modelli riguardanti il rischio di mercato</w:t>
      </w:r>
      <w:bookmarkEnd w:id="584"/>
      <w:bookmarkEnd w:id="585"/>
      <w:bookmarkEnd w:id="586"/>
      <w:bookmarkEnd w:id="587"/>
      <w:bookmarkEnd w:id="588"/>
      <w:bookmarkEnd w:id="589"/>
      <w:bookmarkEnd w:id="590"/>
    </w:p>
    <w:bookmarkStart w:id="591" w:name="_Toc308426672"/>
    <w:p w:rsidR="000B0B09" w:rsidRPr="00661595" w:rsidRDefault="00771068" w:rsidP="00F2281A">
      <w:pPr>
        <w:pStyle w:val="InstructionsText2"/>
        <w:numPr>
          <w:ilvl w:val="0"/>
          <w:numId w:val="0"/>
        </w:numPr>
        <w:ind w:left="1680" w:hanging="480"/>
      </w:pPr>
      <w:r>
        <w:fldChar w:fldCharType="begin"/>
      </w:r>
      <w:r>
        <w:instrText xml:space="preserve"> seq paragraphs </w:instrText>
      </w:r>
      <w:r>
        <w:fldChar w:fldCharType="separate"/>
      </w:r>
      <w:r>
        <w:t>158</w:t>
      </w:r>
      <w:r>
        <w:fldChar w:fldCharType="end"/>
      </w:r>
      <w:r>
        <w:t>.</w:t>
      </w:r>
      <w:r>
        <w:tab/>
        <w:t xml:space="preserve"> Queste istruzioni riguardano i modelli da utilizzare per la segnalazione del calcolo dei requisiti di fondi propri conformemente al metodo standardizzato per il rischio di cambio (MKR SA FX), il rischio di posizione in merci (MKR SA COM), il rischio di tasso d</w:t>
      </w:r>
      <w:r w:rsidR="000878EC">
        <w:t>'</w:t>
      </w:r>
      <w:r>
        <w:t xml:space="preserve">interesse (MKR SA TDI, MKR SA SEC, MKR SA CTP) e il rischio di strumenti di capitale (MKR SA EQU). In questa parte sono comprese anche le istruzioni relative al modello per la segnalazione del calcolo dei requisiti di fondi propri secondo il metodo dei modelli interni (MKR IM). </w:t>
      </w:r>
    </w:p>
    <w:p w:rsidR="000B0B09" w:rsidRPr="00661595" w:rsidRDefault="00A971CA" w:rsidP="00F2281A">
      <w:pPr>
        <w:pStyle w:val="InstructionsText2"/>
        <w:numPr>
          <w:ilvl w:val="0"/>
          <w:numId w:val="0"/>
        </w:numPr>
        <w:ind w:left="1680" w:hanging="480"/>
      </w:pPr>
      <w:r>
        <w:fldChar w:fldCharType="begin"/>
      </w:r>
      <w:r>
        <w:instrText xml:space="preserve"> seq paragraphs </w:instrText>
      </w:r>
      <w:r>
        <w:fldChar w:fldCharType="separate"/>
      </w:r>
      <w:r w:rsidR="00D11E4C">
        <w:rPr>
          <w:noProof/>
        </w:rPr>
        <w:t>159</w:t>
      </w:r>
      <w:r>
        <w:rPr>
          <w:noProof/>
        </w:rPr>
        <w:fldChar w:fldCharType="end"/>
      </w:r>
      <w:r w:rsidR="00D11E4C">
        <w:t>.</w:t>
      </w:r>
      <w:r w:rsidR="00D11E4C">
        <w:tab/>
        <w:t xml:space="preserve"> Ai fini del calcolo del capitale richiesto a fronte del rischio considerato, il rischio di posizione su uno strumento di debito negoziato o uno strumento di capitale (o un derivato su uno strumento di debito o un derivato su uno strumento di capitale) è suddiviso in due componenti. La prima è la componente di rischio specifico — ossia il rischio di una variazione del prezzo dello strumento in questione dovuta a fattori connessi con l</w:t>
      </w:r>
      <w:r w:rsidR="000878EC">
        <w:t>'</w:t>
      </w:r>
      <w:r w:rsidR="00D11E4C">
        <w:t>emittente oppure, nel caso di un derivato, con l</w:t>
      </w:r>
      <w:r w:rsidR="000878EC">
        <w:t>'</w:t>
      </w:r>
      <w:r w:rsidR="00D11E4C">
        <w:t xml:space="preserve">emittente dello strumento sottostante. La seconda componente copre il rischio generico — ossia il rischio di una variazione di prezzo dello strumento dovuta, nel caso di uno strumento di debito negoziato o di un derivato su uno strumento di debito, ad una variazione del livello dei tassi di interesse oppure, nel caso di uno strumento di capitale o di un derivato su uno strumento di capitale, a un movimento generale sul mercato degli strumenti di capitale non connesso con le caratteristiche specifiche dei singoli titoli. </w:t>
      </w:r>
      <w:bookmarkEnd w:id="591"/>
      <w:r w:rsidR="00D11E4C">
        <w:t xml:space="preserve">Il trattamento generale degli strumenti specifici e delle procedure di compensazione è indicato negli articoli da 326 a 333 del CRR. </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592" w:name="_Toc262566426"/>
      <w:bookmarkStart w:id="593" w:name="_Toc295829996"/>
      <w:bookmarkStart w:id="594" w:name="_Toc308426673"/>
      <w:bookmarkStart w:id="595" w:name="_Toc310415057"/>
      <w:bookmarkStart w:id="596" w:name="_Toc360188392"/>
      <w:bookmarkStart w:id="597" w:name="_Toc473561032"/>
      <w:bookmarkStart w:id="598" w:name="_Toc58915839"/>
      <w:r>
        <w:rPr>
          <w:rFonts w:ascii="Times New Roman" w:hAnsi="Times New Roman"/>
          <w:sz w:val="24"/>
          <w:u w:val="none"/>
        </w:rPr>
        <w:t>5.1.</w:t>
      </w:r>
      <w:r w:rsidRPr="00F2281A">
        <w:rPr>
          <w:u w:val="none"/>
        </w:rPr>
        <w:tab/>
      </w:r>
      <w:r>
        <w:rPr>
          <w:rFonts w:ascii="Times New Roman" w:hAnsi="Times New Roman"/>
          <w:sz w:val="24"/>
        </w:rPr>
        <w:t xml:space="preserve">C 18.00 – Rischio di mercato: </w:t>
      </w:r>
      <w:bookmarkStart w:id="599" w:name="_Toc239157393"/>
      <w:r>
        <w:rPr>
          <w:rFonts w:ascii="Times New Roman" w:hAnsi="Times New Roman"/>
          <w:sz w:val="24"/>
        </w:rPr>
        <w:t>Metodo standardizzato per i rischi di posizione su strumenti di debito negoziati</w:t>
      </w:r>
      <w:bookmarkEnd w:id="592"/>
      <w:bookmarkEnd w:id="593"/>
      <w:bookmarkEnd w:id="594"/>
      <w:bookmarkEnd w:id="595"/>
      <w:bookmarkEnd w:id="596"/>
      <w:bookmarkEnd w:id="599"/>
      <w:r>
        <w:rPr>
          <w:rFonts w:ascii="Times New Roman" w:hAnsi="Times New Roman"/>
          <w:sz w:val="24"/>
        </w:rPr>
        <w:t xml:space="preserve"> (MKR SA TDI)</w:t>
      </w:r>
      <w:bookmarkEnd w:id="597"/>
      <w:bookmarkEnd w:id="598"/>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00" w:name="_Toc262566427"/>
      <w:bookmarkStart w:id="601" w:name="_Toc295829997"/>
      <w:bookmarkStart w:id="602" w:name="_Toc308426674"/>
      <w:bookmarkStart w:id="603" w:name="_Toc310415058"/>
      <w:bookmarkStart w:id="604" w:name="_Toc360188393"/>
      <w:bookmarkStart w:id="605" w:name="_Toc473561033"/>
      <w:bookmarkStart w:id="606" w:name="_Toc58915840"/>
      <w:r>
        <w:rPr>
          <w:rFonts w:ascii="Times New Roman" w:hAnsi="Times New Roman"/>
          <w:sz w:val="24"/>
          <w:u w:val="none"/>
        </w:rPr>
        <w:t>5.1.1.</w:t>
      </w:r>
      <w:r w:rsidRPr="00F2281A">
        <w:rPr>
          <w:u w:val="none"/>
        </w:rPr>
        <w:tab/>
      </w:r>
      <w:r>
        <w:rPr>
          <w:rFonts w:ascii="Times New Roman" w:hAnsi="Times New Roman"/>
          <w:sz w:val="24"/>
        </w:rPr>
        <w:t>Osservazioni di carattere generale</w:t>
      </w:r>
      <w:bookmarkEnd w:id="600"/>
      <w:bookmarkEnd w:id="601"/>
      <w:bookmarkEnd w:id="602"/>
      <w:bookmarkEnd w:id="603"/>
      <w:bookmarkEnd w:id="604"/>
      <w:bookmarkEnd w:id="605"/>
      <w:bookmarkEnd w:id="606"/>
    </w:p>
    <w:p w:rsidR="000B0B09" w:rsidRPr="00661595" w:rsidRDefault="00A971CA" w:rsidP="00F2281A">
      <w:pPr>
        <w:pStyle w:val="InstructionsText2"/>
        <w:numPr>
          <w:ilvl w:val="0"/>
          <w:numId w:val="0"/>
        </w:numPr>
        <w:ind w:left="1680" w:hanging="480"/>
      </w:pPr>
      <w:r>
        <w:fldChar w:fldCharType="begin"/>
      </w:r>
      <w:r>
        <w:instrText xml:space="preserve"> seq paragraphs </w:instrText>
      </w:r>
      <w:r>
        <w:fldChar w:fldCharType="separate"/>
      </w:r>
      <w:r w:rsidR="00D11E4C">
        <w:rPr>
          <w:noProof/>
        </w:rPr>
        <w:t>160</w:t>
      </w:r>
      <w:r>
        <w:rPr>
          <w:noProof/>
        </w:rPr>
        <w:fldChar w:fldCharType="end"/>
      </w:r>
      <w:r w:rsidR="00D11E4C">
        <w:t>.</w:t>
      </w:r>
      <w:r w:rsidR="00D11E4C">
        <w:tab/>
        <w:t xml:space="preserve"> Questo modello riassume le posizioni e i relativi requisiti di fondi propri per i rischi di posizione su strumenti di debito negoziati secondo il metodo standardizzato (articolo 325, paragrafo 2, lettera a), del CRR). I differenti rischi e metodi disponibili nell</w:t>
      </w:r>
      <w:r w:rsidR="000878EC">
        <w:t>'</w:t>
      </w:r>
      <w:r w:rsidR="00D11E4C">
        <w:t>ambito del CRR sono presentati per riga. Il rischio specifico associato alle esposizioni incluse nei modelli MKR SA SEC e MKR SA CTP deve essere riportato solo nel modello MKR SA TDI Total. I requisiti di fondi propri indicati nei modelli citati sono trasferiti, rispettivamente, nella cella {0325;0060} (cartolarizzazioni) e nella cella {0330;0060} (portafoglio di negoziazione di correlazione).</w:t>
      </w:r>
    </w:p>
    <w:p w:rsidR="000B0B09" w:rsidRPr="00661595" w:rsidRDefault="00A971CA" w:rsidP="00F2281A">
      <w:pPr>
        <w:pStyle w:val="InstructionsText2"/>
        <w:numPr>
          <w:ilvl w:val="0"/>
          <w:numId w:val="0"/>
        </w:numPr>
        <w:ind w:left="1680" w:hanging="480"/>
      </w:pPr>
      <w:r>
        <w:fldChar w:fldCharType="begin"/>
      </w:r>
      <w:r>
        <w:instrText xml:space="preserve"> seq paragraphs </w:instrText>
      </w:r>
      <w:r>
        <w:fldChar w:fldCharType="separate"/>
      </w:r>
      <w:r w:rsidR="00D11E4C">
        <w:rPr>
          <w:noProof/>
        </w:rPr>
        <w:t>161</w:t>
      </w:r>
      <w:r>
        <w:rPr>
          <w:noProof/>
        </w:rPr>
        <w:fldChar w:fldCharType="end"/>
      </w:r>
      <w:r w:rsidR="00D11E4C">
        <w:t>.</w:t>
      </w:r>
      <w:r w:rsidR="00D11E4C">
        <w:tab/>
        <w:t xml:space="preserve"> Il modello deve essere compilato separatamente per il </w:t>
      </w:r>
      <w:r w:rsidR="000878EC">
        <w:t>"</w:t>
      </w:r>
      <w:r w:rsidR="00D11E4C">
        <w:t>Totale</w:t>
      </w:r>
      <w:r w:rsidR="000878EC">
        <w:t>"</w:t>
      </w:r>
      <w:r w:rsidR="00D11E4C">
        <w:t xml:space="preserve">, più un elenco prestabilito comprendente le seguenti valute: </w:t>
      </w:r>
      <w:bookmarkStart w:id="607" w:name="OLE_LINK1"/>
      <w:r w:rsidR="00D11E4C">
        <w:t>EUR, ALL, BGN, CZK, DKK, EGP, GBP, HRK, HUF, ISK, JPY, MKD, NOK, PLN, RON, RUB, RSD, SEK, CHF, TRY, UAH, USD</w:t>
      </w:r>
      <w:bookmarkEnd w:id="607"/>
      <w:r w:rsidR="00D11E4C">
        <w:t xml:space="preserve"> e un modello residuale per tutte le altre valute. </w:t>
      </w:r>
    </w:p>
    <w:p w:rsidR="000B0B09" w:rsidRPr="00661595" w:rsidRDefault="00125707" w:rsidP="00F2281A">
      <w:pPr>
        <w:pStyle w:val="Instructionsberschrift2"/>
        <w:keepLines/>
        <w:numPr>
          <w:ilvl w:val="0"/>
          <w:numId w:val="0"/>
        </w:numPr>
        <w:ind w:left="357" w:hanging="357"/>
        <w:rPr>
          <w:rFonts w:ascii="Times New Roman" w:hAnsi="Times New Roman" w:cs="Times New Roman"/>
          <w:sz w:val="24"/>
        </w:rPr>
      </w:pPr>
      <w:bookmarkStart w:id="608" w:name="_Toc262566428"/>
      <w:bookmarkStart w:id="609" w:name="_Toc295829998"/>
      <w:bookmarkStart w:id="610" w:name="_Toc308426675"/>
      <w:bookmarkStart w:id="611" w:name="_Toc310415059"/>
      <w:bookmarkStart w:id="612" w:name="_Toc360188394"/>
      <w:bookmarkStart w:id="613" w:name="_Toc473561034"/>
      <w:bookmarkStart w:id="614" w:name="_Toc58915841"/>
      <w:r>
        <w:rPr>
          <w:rFonts w:ascii="Times New Roman" w:hAnsi="Times New Roman"/>
          <w:sz w:val="24"/>
          <w:u w:val="none"/>
        </w:rPr>
        <w:t>5.1.2.</w:t>
      </w:r>
      <w:r w:rsidRPr="00F2281A">
        <w:rPr>
          <w:u w:val="none"/>
        </w:rPr>
        <w:tab/>
      </w:r>
      <w:r>
        <w:rPr>
          <w:rFonts w:ascii="Times New Roman" w:hAnsi="Times New Roman"/>
          <w:sz w:val="24"/>
        </w:rPr>
        <w:t>Istruzioni relative a posizioni specifiche</w:t>
      </w:r>
      <w:bookmarkEnd w:id="608"/>
      <w:bookmarkEnd w:id="609"/>
      <w:bookmarkEnd w:id="610"/>
      <w:bookmarkEnd w:id="611"/>
      <w:bookmarkEnd w:id="612"/>
      <w:bookmarkEnd w:id="613"/>
      <w:bookmarkEnd w:id="6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rsidTr="00672D2A">
        <w:trPr>
          <w:trHeight w:val="569"/>
        </w:trPr>
        <w:tc>
          <w:tcPr>
            <w:tcW w:w="8862" w:type="dxa"/>
            <w:gridSpan w:val="2"/>
            <w:shd w:val="clear" w:color="auto" w:fill="CCCCCC"/>
          </w:tcPr>
          <w:p w:rsidR="000B0B09" w:rsidRPr="00661595" w:rsidRDefault="000B0B09" w:rsidP="00F2281A">
            <w:pPr>
              <w:keepNext/>
              <w:keepLines/>
              <w:suppressAutoHyphens/>
              <w:autoSpaceDE w:val="0"/>
              <w:autoSpaceDN w:val="0"/>
              <w:adjustRightInd w:val="0"/>
              <w:spacing w:after="0"/>
              <w:rPr>
                <w:rFonts w:ascii="Times New Roman" w:hAnsi="Times New Roman"/>
                <w:b/>
                <w:sz w:val="24"/>
              </w:rPr>
            </w:pPr>
            <w:r>
              <w:rPr>
                <w:rFonts w:ascii="Times New Roman" w:hAnsi="Times New Roman"/>
                <w:b/>
                <w:sz w:val="24"/>
              </w:rPr>
              <w:t>Colonne</w:t>
            </w:r>
          </w:p>
        </w:tc>
      </w:tr>
      <w:tr w:rsidR="000B0B09" w:rsidRPr="00661595" w:rsidTr="00672D2A">
        <w:tc>
          <w:tcPr>
            <w:tcW w:w="988" w:type="dxa"/>
          </w:tcPr>
          <w:p w:rsidR="000B0B09" w:rsidRPr="00661595" w:rsidRDefault="00EE2CD5"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rsidR="000B0B09" w:rsidRPr="00661595" w:rsidRDefault="000B0B09"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TUTTE LE POSIZIONI (LUNGHE E CORTE)</w:t>
            </w:r>
          </w:p>
          <w:p w:rsidR="000B0B09" w:rsidRPr="00661595" w:rsidRDefault="000B0B09" w:rsidP="00F2281A">
            <w:pPr>
              <w:suppressAutoHyphens/>
              <w:rPr>
                <w:rFonts w:ascii="Times New Roman" w:hAnsi="Times New Roman"/>
                <w:sz w:val="24"/>
              </w:rPr>
            </w:pPr>
            <w:r>
              <w:rPr>
                <w:rFonts w:ascii="Times New Roman" w:hAnsi="Times New Roman"/>
                <w:sz w:val="24"/>
              </w:rPr>
              <w:t>Articolo 102 e articolo 105, paragrafo 1, del CRR Si tratta di posizioni lorde non compensate da strumenti; sono tuttavia escluse le posizioni in impegni irrevocabili di acquisto sottoscritte o risottoscritte da terzi di cui all</w:t>
            </w:r>
            <w:r w:rsidR="000878EC">
              <w:rPr>
                <w:rFonts w:ascii="Times New Roman" w:hAnsi="Times New Roman"/>
                <w:sz w:val="24"/>
              </w:rPr>
              <w:t>'</w:t>
            </w:r>
            <w:r>
              <w:rPr>
                <w:rFonts w:ascii="Times New Roman" w:hAnsi="Times New Roman"/>
                <w:sz w:val="24"/>
              </w:rPr>
              <w:t>articolo 345, paragrafo 1, seconda frase, del CRR. Per la distinzione tra posizioni lunghe e posizioni corte, applicabile anche a queste posizioni lorde, cfr. l</w:t>
            </w:r>
            <w:r w:rsidR="000878EC">
              <w:rPr>
                <w:rFonts w:ascii="Times New Roman" w:hAnsi="Times New Roman"/>
                <w:sz w:val="24"/>
              </w:rPr>
              <w:t>'</w:t>
            </w:r>
            <w:r>
              <w:rPr>
                <w:rFonts w:ascii="Times New Roman" w:hAnsi="Times New Roman"/>
                <w:sz w:val="24"/>
              </w:rPr>
              <w:t>articolo 328, paragrafo 2, del CRR.</w:t>
            </w:r>
          </w:p>
        </w:tc>
      </w:tr>
      <w:tr w:rsidR="000B0B09" w:rsidRPr="00661595" w:rsidTr="00672D2A">
        <w:tc>
          <w:tcPr>
            <w:tcW w:w="988" w:type="dxa"/>
          </w:tcPr>
          <w:p w:rsidR="000B0B09" w:rsidRPr="00661595" w:rsidRDefault="00EE2CD5"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rsidR="000B0B09" w:rsidRPr="00661595" w:rsidRDefault="000B0B09"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POSIZIONI NETTE (LUNGHE E CORTE)</w:t>
            </w:r>
          </w:p>
          <w:p w:rsidR="000B0B09" w:rsidRPr="00661595" w:rsidRDefault="000B0B09" w:rsidP="00F2281A">
            <w:pPr>
              <w:suppressAutoHyphens/>
              <w:rPr>
                <w:rFonts w:ascii="Times New Roman" w:hAnsi="Times New Roman"/>
                <w:sz w:val="24"/>
              </w:rPr>
            </w:pPr>
            <w:r>
              <w:rPr>
                <w:rFonts w:ascii="Times New Roman" w:hAnsi="Times New Roman"/>
                <w:sz w:val="24"/>
              </w:rPr>
              <w:t>Articoli da 327 a 329 e articolo 334 del CRR. Per la distinzione tra posizioni lunghe e posizioni corte cfr. l</w:t>
            </w:r>
            <w:r w:rsidR="000878EC">
              <w:rPr>
                <w:rFonts w:ascii="Times New Roman" w:hAnsi="Times New Roman"/>
                <w:sz w:val="24"/>
              </w:rPr>
              <w:t>'</w:t>
            </w:r>
            <w:r>
              <w:rPr>
                <w:rFonts w:ascii="Times New Roman" w:hAnsi="Times New Roman"/>
                <w:sz w:val="24"/>
              </w:rPr>
              <w:t>articolo 328, paragrafo 2, del CRR.</w:t>
            </w:r>
          </w:p>
        </w:tc>
      </w:tr>
      <w:tr w:rsidR="000B0B09" w:rsidRPr="00661595" w:rsidTr="00672D2A">
        <w:tc>
          <w:tcPr>
            <w:tcW w:w="988" w:type="dxa"/>
          </w:tcPr>
          <w:p w:rsidR="000B0B09" w:rsidRPr="00661595" w:rsidRDefault="00EE2CD5"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rsidR="000B0B09" w:rsidRPr="00661595" w:rsidRDefault="000B0B09"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POSIZIONI SOGGETTE A COPERTURA PATRIMONIALE</w:t>
            </w:r>
          </w:p>
          <w:p w:rsidR="000B0B09" w:rsidRPr="00661595" w:rsidRDefault="000B0B09" w:rsidP="00F2281A">
            <w:pPr>
              <w:suppressAutoHyphens/>
              <w:rPr>
                <w:rFonts w:ascii="Times New Roman" w:hAnsi="Times New Roman"/>
                <w:b/>
                <w:bCs/>
                <w:sz w:val="24"/>
                <w:u w:val="single"/>
              </w:rPr>
            </w:pPr>
            <w:r>
              <w:rPr>
                <w:rFonts w:ascii="Times New Roman" w:hAnsi="Times New Roman"/>
                <w:sz w:val="24"/>
              </w:rPr>
              <w:t>Posizioni nette che, secondo i differenti metodi di cui alla parte tre, titolo IV, capo 2, del CRR, ricevono una copertura patrimoniale.</w:t>
            </w:r>
          </w:p>
        </w:tc>
      </w:tr>
      <w:tr w:rsidR="000B0B09" w:rsidRPr="00661595" w:rsidTr="00672D2A">
        <w:tc>
          <w:tcPr>
            <w:tcW w:w="988" w:type="dxa"/>
          </w:tcPr>
          <w:p w:rsidR="000B0B09" w:rsidRPr="00661595" w:rsidRDefault="00EE2CD5"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rsidR="000B0B09" w:rsidRPr="00661595" w:rsidRDefault="000B0B09" w:rsidP="00F2281A">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REQUISITI DI FONDI PROPRI</w:t>
            </w:r>
          </w:p>
          <w:p w:rsidR="000B0B09" w:rsidRPr="00661595" w:rsidRDefault="000B0B09" w:rsidP="00F2281A">
            <w:pPr>
              <w:suppressAutoHyphens/>
              <w:rPr>
                <w:rFonts w:ascii="Times New Roman" w:hAnsi="Times New Roman"/>
                <w:b/>
                <w:bCs/>
                <w:sz w:val="24"/>
                <w:u w:val="single"/>
              </w:rPr>
            </w:pPr>
            <w:r>
              <w:rPr>
                <w:rFonts w:ascii="Times New Roman" w:hAnsi="Times New Roman"/>
                <w:sz w:val="24"/>
              </w:rPr>
              <w:t>Copertura patrimoniale di qualsiasi posizione pertinente conformemente alla parte tre, titolo IV, capo 2, del CRR.</w:t>
            </w:r>
          </w:p>
        </w:tc>
      </w:tr>
      <w:tr w:rsidR="000B0B09" w:rsidRPr="00661595" w:rsidTr="00672D2A">
        <w:tc>
          <w:tcPr>
            <w:tcW w:w="988" w:type="dxa"/>
          </w:tcPr>
          <w:p w:rsidR="000B0B09" w:rsidRPr="00661595" w:rsidRDefault="00EE2CD5"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rsidR="000B0B09" w:rsidRPr="00661595" w:rsidRDefault="000B0B09" w:rsidP="00F2281A">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IMPORTO COMPLESSIVO DELL</w:t>
            </w:r>
            <w:r w:rsidR="000878EC">
              <w:rPr>
                <w:rFonts w:ascii="Times New Roman" w:hAnsi="Times New Roman"/>
                <w:b/>
                <w:bCs/>
                <w:sz w:val="24"/>
                <w:u w:val="single"/>
              </w:rPr>
              <w:t>'</w:t>
            </w:r>
            <w:r>
              <w:rPr>
                <w:rFonts w:ascii="Times New Roman" w:hAnsi="Times New Roman"/>
                <w:b/>
                <w:bCs/>
                <w:sz w:val="24"/>
                <w:u w:val="single"/>
              </w:rPr>
              <w:t>ESPOSIZIONE AL RISCHIO</w:t>
            </w:r>
          </w:p>
          <w:p w:rsidR="000B0B09" w:rsidRPr="00661595" w:rsidRDefault="00D21B29" w:rsidP="00F2281A">
            <w:pPr>
              <w:suppressAutoHyphens/>
              <w:rPr>
                <w:rFonts w:ascii="Times New Roman" w:hAnsi="Times New Roman"/>
                <w:b/>
                <w:bCs/>
                <w:sz w:val="24"/>
                <w:u w:val="single"/>
              </w:rPr>
            </w:pPr>
            <w:r>
              <w:rPr>
                <w:rFonts w:ascii="Times New Roman" w:hAnsi="Times New Roman"/>
                <w:sz w:val="24"/>
              </w:rPr>
              <w:t xml:space="preserve">Articolo 92, paragrafo 4, lettera b), del CRR Risultato della moltiplicazione dei requisiti di fondi propri per 12,5. </w:t>
            </w:r>
          </w:p>
        </w:tc>
      </w:tr>
    </w:tbl>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661595" w:rsidTr="00672D2A">
        <w:trPr>
          <w:trHeight w:val="533"/>
        </w:trPr>
        <w:tc>
          <w:tcPr>
            <w:tcW w:w="8862" w:type="dxa"/>
            <w:gridSpan w:val="2"/>
            <w:shd w:val="clear" w:color="auto" w:fill="CCCCCC"/>
          </w:tcPr>
          <w:p w:rsidR="000B0B09" w:rsidRPr="00661595" w:rsidRDefault="000B0B09" w:rsidP="00F2281A">
            <w:pPr>
              <w:suppressAutoHyphens/>
              <w:autoSpaceDE w:val="0"/>
              <w:autoSpaceDN w:val="0"/>
              <w:adjustRightInd w:val="0"/>
              <w:spacing w:after="0"/>
              <w:rPr>
                <w:rFonts w:ascii="Times New Roman" w:hAnsi="Times New Roman"/>
                <w:b/>
                <w:sz w:val="24"/>
              </w:rPr>
            </w:pPr>
            <w:r>
              <w:rPr>
                <w:rFonts w:ascii="Times New Roman" w:hAnsi="Times New Roman"/>
                <w:b/>
                <w:sz w:val="24"/>
              </w:rPr>
              <w:t>Righe</w:t>
            </w:r>
          </w:p>
        </w:tc>
      </w:tr>
      <w:tr w:rsidR="000B0B09" w:rsidRPr="00661595" w:rsidTr="00672D2A">
        <w:trPr>
          <w:trHeight w:val="1168"/>
        </w:trPr>
        <w:tc>
          <w:tcPr>
            <w:tcW w:w="987" w:type="dxa"/>
          </w:tcPr>
          <w:p w:rsidR="000B0B09" w:rsidRPr="00661595" w:rsidRDefault="00EE2CD5"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0010-0350</w:t>
            </w:r>
          </w:p>
        </w:tc>
        <w:tc>
          <w:tcPr>
            <w:tcW w:w="7875" w:type="dxa"/>
          </w:tcPr>
          <w:p w:rsidR="000B0B09" w:rsidRPr="00661595" w:rsidRDefault="000B0B09"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STRUMENTI DI DEBITO NEGOZIATI NEL PORTAFOGLIO DI NEGOZIAZIONE</w:t>
            </w:r>
          </w:p>
          <w:p w:rsidR="000B0B09" w:rsidRPr="00661595" w:rsidRDefault="000B0B09" w:rsidP="00F2281A">
            <w:pPr>
              <w:suppressAutoHyphens/>
              <w:rPr>
                <w:rFonts w:ascii="Times New Roman" w:hAnsi="Times New Roman"/>
                <w:sz w:val="24"/>
              </w:rPr>
            </w:pPr>
            <w:r>
              <w:rPr>
                <w:rFonts w:ascii="Times New Roman" w:hAnsi="Times New Roman"/>
                <w:sz w:val="24"/>
              </w:rPr>
              <w:t>Le posizioni su strumenti di debito negoziati interne al portafoglio di negoziazione e i relativi requisiti di fondi propri per il rischio di posizione conformemente all</w:t>
            </w:r>
            <w:r w:rsidR="000878EC">
              <w:rPr>
                <w:rFonts w:ascii="Times New Roman" w:hAnsi="Times New Roman"/>
                <w:sz w:val="24"/>
              </w:rPr>
              <w:t>'</w:t>
            </w:r>
            <w:r>
              <w:rPr>
                <w:rFonts w:ascii="Times New Roman" w:hAnsi="Times New Roman"/>
                <w:sz w:val="24"/>
              </w:rPr>
              <w:t>articolo 92, paragrafo 3, lettera b), punto i), del CRR e alla parte tre, titolo IV, capo 2, del CRR sono segnalati in base alla categoria di rischio, alla scadenza e al metodo utilizzato.</w:t>
            </w:r>
          </w:p>
        </w:tc>
      </w:tr>
      <w:tr w:rsidR="000B0B09" w:rsidRPr="00661595" w:rsidTr="00672D2A">
        <w:tc>
          <w:tcPr>
            <w:tcW w:w="987" w:type="dxa"/>
          </w:tcPr>
          <w:p w:rsidR="000B0B09" w:rsidRPr="00661595" w:rsidRDefault="00EE2CD5"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0011</w:t>
            </w:r>
          </w:p>
        </w:tc>
        <w:tc>
          <w:tcPr>
            <w:tcW w:w="7875" w:type="dxa"/>
          </w:tcPr>
          <w:p w:rsidR="000B0B09" w:rsidRPr="00661595" w:rsidRDefault="000B0B09" w:rsidP="00F2281A">
            <w:pPr>
              <w:suppressAutoHyphens/>
              <w:autoSpaceDE w:val="0"/>
              <w:autoSpaceDN w:val="0"/>
              <w:adjustRightInd w:val="0"/>
              <w:spacing w:before="0" w:after="0"/>
              <w:rPr>
                <w:rFonts w:ascii="Times New Roman" w:hAnsi="Times New Roman"/>
                <w:sz w:val="24"/>
              </w:rPr>
            </w:pPr>
            <w:r>
              <w:rPr>
                <w:rFonts w:ascii="Times New Roman" w:hAnsi="Times New Roman"/>
                <w:b/>
                <w:bCs/>
                <w:sz w:val="24"/>
                <w:u w:val="single"/>
              </w:rPr>
              <w:t xml:space="preserve">RISCHIO GENERICO </w:t>
            </w:r>
          </w:p>
        </w:tc>
      </w:tr>
      <w:tr w:rsidR="000B0B09" w:rsidRPr="00661595" w:rsidTr="00672D2A">
        <w:tc>
          <w:tcPr>
            <w:tcW w:w="987" w:type="dxa"/>
          </w:tcPr>
          <w:p w:rsidR="000B0B09" w:rsidRPr="00661595" w:rsidRDefault="00EE2CD5"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0012</w:t>
            </w:r>
          </w:p>
        </w:tc>
        <w:tc>
          <w:tcPr>
            <w:tcW w:w="7875" w:type="dxa"/>
          </w:tcPr>
          <w:p w:rsidR="000B0B09" w:rsidRPr="00661595" w:rsidRDefault="000B0B09" w:rsidP="00F2281A">
            <w:pPr>
              <w:suppressAutoHyphens/>
              <w:autoSpaceDE w:val="0"/>
              <w:autoSpaceDN w:val="0"/>
              <w:adjustRightInd w:val="0"/>
              <w:spacing w:before="0" w:after="0"/>
              <w:rPr>
                <w:rFonts w:ascii="Times New Roman" w:hAnsi="Times New Roman"/>
                <w:sz w:val="24"/>
              </w:rPr>
            </w:pPr>
            <w:r>
              <w:rPr>
                <w:rFonts w:ascii="Times New Roman" w:hAnsi="Times New Roman"/>
                <w:b/>
                <w:bCs/>
                <w:sz w:val="24"/>
                <w:u w:val="single"/>
              </w:rPr>
              <w:t>Derivati</w:t>
            </w:r>
          </w:p>
          <w:p w:rsidR="000B0B09" w:rsidRPr="00661595" w:rsidRDefault="000B0B09" w:rsidP="00F2281A">
            <w:pPr>
              <w:suppressAutoHyphens/>
              <w:rPr>
                <w:rFonts w:ascii="Times New Roman" w:hAnsi="Times New Roman"/>
                <w:b/>
                <w:bCs/>
                <w:sz w:val="24"/>
                <w:u w:val="single"/>
              </w:rPr>
            </w:pPr>
            <w:r>
              <w:rPr>
                <w:rFonts w:ascii="Times New Roman" w:hAnsi="Times New Roman"/>
                <w:sz w:val="24"/>
              </w:rPr>
              <w:t>Derivati compresi nel calcolo del rischio di tasso d</w:t>
            </w:r>
            <w:r w:rsidR="000878EC">
              <w:rPr>
                <w:rFonts w:ascii="Times New Roman" w:hAnsi="Times New Roman"/>
                <w:sz w:val="24"/>
              </w:rPr>
              <w:t>'</w:t>
            </w:r>
            <w:r>
              <w:rPr>
                <w:rFonts w:ascii="Times New Roman" w:hAnsi="Times New Roman"/>
                <w:sz w:val="24"/>
              </w:rPr>
              <w:t>interesse delle posizioni interne al portafoglio di negoziazione tenuto conto degli articoli da 328 a 331 del CRR, ove applicabili.</w:t>
            </w:r>
          </w:p>
        </w:tc>
      </w:tr>
      <w:tr w:rsidR="000B0B09" w:rsidRPr="00661595" w:rsidTr="00672D2A">
        <w:tc>
          <w:tcPr>
            <w:tcW w:w="987" w:type="dxa"/>
          </w:tcPr>
          <w:p w:rsidR="000B0B09" w:rsidRPr="00661595" w:rsidRDefault="00EE2CD5"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0013</w:t>
            </w:r>
          </w:p>
        </w:tc>
        <w:tc>
          <w:tcPr>
            <w:tcW w:w="7875" w:type="dxa"/>
          </w:tcPr>
          <w:p w:rsidR="000B0B09" w:rsidRPr="00661595" w:rsidRDefault="000B0B09"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Altre attività e passività</w:t>
            </w:r>
          </w:p>
          <w:p w:rsidR="000B0B09" w:rsidRPr="00661595" w:rsidRDefault="000B0B09" w:rsidP="00F2281A">
            <w:pPr>
              <w:suppressAutoHyphens/>
              <w:rPr>
                <w:rFonts w:ascii="Times New Roman" w:hAnsi="Times New Roman"/>
                <w:b/>
                <w:bCs/>
                <w:sz w:val="24"/>
                <w:u w:val="single"/>
              </w:rPr>
            </w:pPr>
            <w:r>
              <w:rPr>
                <w:rFonts w:ascii="Times New Roman" w:hAnsi="Times New Roman"/>
                <w:sz w:val="24"/>
              </w:rPr>
              <w:t>Strumenti diversi dai derivati compresi nel calcolo del rischio di tasso d</w:t>
            </w:r>
            <w:r w:rsidR="000878EC">
              <w:rPr>
                <w:rFonts w:ascii="Times New Roman" w:hAnsi="Times New Roman"/>
                <w:sz w:val="24"/>
              </w:rPr>
              <w:t>'</w:t>
            </w:r>
            <w:r>
              <w:rPr>
                <w:rFonts w:ascii="Times New Roman" w:hAnsi="Times New Roman"/>
                <w:sz w:val="24"/>
              </w:rPr>
              <w:t xml:space="preserve">interesse delle posizioni interne al portafoglio di negoziazione. </w:t>
            </w:r>
          </w:p>
        </w:tc>
      </w:tr>
      <w:tr w:rsidR="000B0B09" w:rsidRPr="00661595" w:rsidTr="00672D2A">
        <w:tc>
          <w:tcPr>
            <w:tcW w:w="987" w:type="dxa"/>
          </w:tcPr>
          <w:p w:rsidR="000B0B09" w:rsidRPr="00661595" w:rsidRDefault="00EE2CD5"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0020-0200</w:t>
            </w:r>
          </w:p>
        </w:tc>
        <w:tc>
          <w:tcPr>
            <w:tcW w:w="7875" w:type="dxa"/>
          </w:tcPr>
          <w:p w:rsidR="000B0B09" w:rsidRPr="00661595" w:rsidRDefault="000B0B09"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METODO BASATO SULLA SCADENZA</w:t>
            </w:r>
          </w:p>
          <w:p w:rsidR="000B0B09" w:rsidRPr="00661595" w:rsidRDefault="000B0B09" w:rsidP="00F2281A">
            <w:pPr>
              <w:suppressAutoHyphens/>
              <w:rPr>
                <w:rFonts w:ascii="Times New Roman" w:hAnsi="Times New Roman"/>
                <w:b/>
                <w:bCs/>
                <w:sz w:val="24"/>
                <w:u w:val="single"/>
              </w:rPr>
            </w:pPr>
            <w:r>
              <w:rPr>
                <w:rFonts w:ascii="Times New Roman" w:hAnsi="Times New Roman"/>
                <w:sz w:val="24"/>
              </w:rPr>
              <w:t>Posizioni su strumenti di debito negoziati soggette al metodo basato sulla scadenza di cui all</w:t>
            </w:r>
            <w:r w:rsidR="000878EC">
              <w:rPr>
                <w:rFonts w:ascii="Times New Roman" w:hAnsi="Times New Roman"/>
                <w:sz w:val="24"/>
              </w:rPr>
              <w:t>'</w:t>
            </w:r>
            <w:r>
              <w:rPr>
                <w:rFonts w:ascii="Times New Roman" w:hAnsi="Times New Roman"/>
                <w:sz w:val="24"/>
              </w:rPr>
              <w:t>articolo 339, paragrafi da 1 a 8, del CRR e relativi requisiti di fondi propri calcolati in conformità dell</w:t>
            </w:r>
            <w:r w:rsidR="000878EC">
              <w:rPr>
                <w:rFonts w:ascii="Times New Roman" w:hAnsi="Times New Roman"/>
                <w:sz w:val="24"/>
              </w:rPr>
              <w:t>'</w:t>
            </w:r>
            <w:r>
              <w:rPr>
                <w:rFonts w:ascii="Times New Roman" w:hAnsi="Times New Roman"/>
                <w:sz w:val="24"/>
              </w:rPr>
              <w:t>articolo 339, paragrafo 9, del CRR. La posizione è suddivisa in zone (1, 2 e 3) e le zone sono suddivise in base alla scadenza degli strumenti.</w:t>
            </w:r>
          </w:p>
        </w:tc>
      </w:tr>
      <w:tr w:rsidR="000B0B09" w:rsidRPr="00661595" w:rsidTr="00672D2A">
        <w:tc>
          <w:tcPr>
            <w:tcW w:w="987" w:type="dxa"/>
          </w:tcPr>
          <w:p w:rsidR="000B0B09" w:rsidRPr="00661595" w:rsidRDefault="00EE2CD5"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0210-0240</w:t>
            </w:r>
          </w:p>
        </w:tc>
        <w:tc>
          <w:tcPr>
            <w:tcW w:w="7875" w:type="dxa"/>
          </w:tcPr>
          <w:p w:rsidR="000B0B09" w:rsidRPr="00661595" w:rsidRDefault="000B0B09" w:rsidP="00F2281A">
            <w:pPr>
              <w:suppressAutoHyphens/>
              <w:autoSpaceDE w:val="0"/>
              <w:autoSpaceDN w:val="0"/>
              <w:adjustRightInd w:val="0"/>
              <w:spacing w:before="0" w:after="0"/>
              <w:rPr>
                <w:rFonts w:ascii="Times New Roman" w:hAnsi="Times New Roman"/>
                <w:sz w:val="24"/>
              </w:rPr>
            </w:pPr>
            <w:r>
              <w:rPr>
                <w:rFonts w:ascii="Times New Roman" w:hAnsi="Times New Roman"/>
                <w:b/>
                <w:bCs/>
                <w:sz w:val="24"/>
                <w:u w:val="single"/>
              </w:rPr>
              <w:t>RISCHIO GENERICO. METODO BASATO SULLA DURATA FINANZIARIA</w:t>
            </w:r>
          </w:p>
          <w:p w:rsidR="000B0B09" w:rsidRPr="00661595" w:rsidRDefault="000B0B09" w:rsidP="00F2281A">
            <w:pPr>
              <w:suppressAutoHyphens/>
              <w:rPr>
                <w:rFonts w:ascii="Times New Roman" w:hAnsi="Times New Roman"/>
                <w:b/>
                <w:bCs/>
                <w:sz w:val="24"/>
                <w:u w:val="single"/>
              </w:rPr>
            </w:pPr>
            <w:r>
              <w:rPr>
                <w:rFonts w:ascii="Times New Roman" w:hAnsi="Times New Roman"/>
                <w:sz w:val="24"/>
              </w:rPr>
              <w:t>Posizioni su strumenti di debito negoziati soggette al metodo basato sulla durata finanziaria di cui all</w:t>
            </w:r>
            <w:r w:rsidR="000878EC">
              <w:rPr>
                <w:rFonts w:ascii="Times New Roman" w:hAnsi="Times New Roman"/>
                <w:sz w:val="24"/>
              </w:rPr>
              <w:t>'</w:t>
            </w:r>
            <w:r>
              <w:rPr>
                <w:rFonts w:ascii="Times New Roman" w:hAnsi="Times New Roman"/>
                <w:sz w:val="24"/>
              </w:rPr>
              <w:t>articolo 340, paragrafi da 1 a 6, del CRR e relativi requisiti di fondi propri calcolati in conformità dell</w:t>
            </w:r>
            <w:r w:rsidR="000878EC">
              <w:rPr>
                <w:rFonts w:ascii="Times New Roman" w:hAnsi="Times New Roman"/>
                <w:sz w:val="24"/>
              </w:rPr>
              <w:t>'</w:t>
            </w:r>
            <w:r>
              <w:rPr>
                <w:rFonts w:ascii="Times New Roman" w:hAnsi="Times New Roman"/>
                <w:sz w:val="24"/>
              </w:rPr>
              <w:t>articolo 340, paragrafo 7, del CRR. La posizione è suddivisa in zone (1, 2 e 3).</w:t>
            </w:r>
          </w:p>
        </w:tc>
      </w:tr>
      <w:tr w:rsidR="000B0B09" w:rsidRPr="00661595" w:rsidTr="00672D2A">
        <w:tc>
          <w:tcPr>
            <w:tcW w:w="987" w:type="dxa"/>
          </w:tcPr>
          <w:p w:rsidR="000B0B09" w:rsidRPr="00661595" w:rsidRDefault="00EE2CD5"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0250</w:t>
            </w:r>
          </w:p>
        </w:tc>
        <w:tc>
          <w:tcPr>
            <w:tcW w:w="7875" w:type="dxa"/>
          </w:tcPr>
          <w:p w:rsidR="000B0B09" w:rsidRPr="00661595" w:rsidRDefault="000B0B09"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RISCHIO SPECIFICO</w:t>
            </w:r>
          </w:p>
          <w:p w:rsidR="000B0B09" w:rsidRPr="00661595" w:rsidRDefault="000B0B09" w:rsidP="00F2281A">
            <w:pPr>
              <w:suppressAutoHyphens/>
              <w:rPr>
                <w:rFonts w:ascii="Times New Roman" w:hAnsi="Times New Roman"/>
                <w:sz w:val="24"/>
              </w:rPr>
            </w:pPr>
            <w:r>
              <w:rPr>
                <w:rFonts w:ascii="Times New Roman" w:hAnsi="Times New Roman"/>
                <w:sz w:val="24"/>
              </w:rPr>
              <w:t xml:space="preserve">Somma degli importi segnalati nelle righe 0251, 0325 e 0330. </w:t>
            </w:r>
          </w:p>
          <w:p w:rsidR="000B0B09" w:rsidRPr="00661595" w:rsidRDefault="000B0B09" w:rsidP="00F2281A">
            <w:pPr>
              <w:suppressAutoHyphens/>
              <w:rPr>
                <w:rFonts w:ascii="Times New Roman" w:hAnsi="Times New Roman"/>
                <w:b/>
                <w:bCs/>
                <w:sz w:val="24"/>
                <w:u w:val="single"/>
              </w:rPr>
            </w:pPr>
            <w:r>
              <w:rPr>
                <w:rFonts w:ascii="Times New Roman" w:hAnsi="Times New Roman"/>
                <w:sz w:val="24"/>
              </w:rPr>
              <w:t>Posizioni su strumenti di debito negoziati soggette a requisiti di fondi propri per il rischio specifico e relativi requisiti patrimoniali conformemente all</w:t>
            </w:r>
            <w:r w:rsidR="000878EC">
              <w:rPr>
                <w:rFonts w:ascii="Times New Roman" w:hAnsi="Times New Roman"/>
                <w:sz w:val="24"/>
              </w:rPr>
              <w:t>'</w:t>
            </w:r>
            <w:r>
              <w:rPr>
                <w:rFonts w:ascii="Times New Roman" w:hAnsi="Times New Roman"/>
                <w:sz w:val="24"/>
              </w:rPr>
              <w:t>articolo 92, paragrafo 3, lettera b), all</w:t>
            </w:r>
            <w:r w:rsidR="000878EC">
              <w:rPr>
                <w:rFonts w:ascii="Times New Roman" w:hAnsi="Times New Roman"/>
                <w:sz w:val="24"/>
              </w:rPr>
              <w:t>'</w:t>
            </w:r>
            <w:r>
              <w:rPr>
                <w:rFonts w:ascii="Times New Roman" w:hAnsi="Times New Roman"/>
                <w:sz w:val="24"/>
              </w:rPr>
              <w:t>articolo 335, all</w:t>
            </w:r>
            <w:r w:rsidR="000878EC">
              <w:rPr>
                <w:rFonts w:ascii="Times New Roman" w:hAnsi="Times New Roman"/>
                <w:sz w:val="24"/>
              </w:rPr>
              <w:t>'</w:t>
            </w:r>
            <w:r>
              <w:rPr>
                <w:rFonts w:ascii="Times New Roman" w:hAnsi="Times New Roman"/>
                <w:sz w:val="24"/>
              </w:rPr>
              <w:t>articolo 336, paragrafi 1, 2 e 3, e agli articoli 337 e 338 del CRR. Si rimanda altresì all</w:t>
            </w:r>
            <w:r w:rsidR="000878EC">
              <w:rPr>
                <w:rFonts w:ascii="Times New Roman" w:hAnsi="Times New Roman"/>
                <w:sz w:val="24"/>
              </w:rPr>
              <w:t>'</w:t>
            </w:r>
            <w:r>
              <w:rPr>
                <w:rFonts w:ascii="Times New Roman" w:hAnsi="Times New Roman"/>
                <w:sz w:val="24"/>
              </w:rPr>
              <w:t>ultima frase dell</w:t>
            </w:r>
            <w:r w:rsidR="000878EC">
              <w:rPr>
                <w:rFonts w:ascii="Times New Roman" w:hAnsi="Times New Roman"/>
                <w:sz w:val="24"/>
              </w:rPr>
              <w:t>'</w:t>
            </w:r>
            <w:r>
              <w:rPr>
                <w:rFonts w:ascii="Times New Roman" w:hAnsi="Times New Roman"/>
                <w:sz w:val="24"/>
              </w:rPr>
              <w:t>articolo 327, paragrafo 1, del CRR.</w:t>
            </w:r>
          </w:p>
        </w:tc>
      </w:tr>
      <w:tr w:rsidR="000B0B09" w:rsidRPr="00661595" w:rsidTr="00672D2A">
        <w:tc>
          <w:tcPr>
            <w:tcW w:w="987" w:type="dxa"/>
          </w:tcPr>
          <w:p w:rsidR="000B0B09" w:rsidRPr="00661595" w:rsidRDefault="00EE2CD5"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0251-0321</w:t>
            </w:r>
          </w:p>
        </w:tc>
        <w:tc>
          <w:tcPr>
            <w:tcW w:w="7875" w:type="dxa"/>
          </w:tcPr>
          <w:p w:rsidR="000B0B09" w:rsidRPr="00661595" w:rsidRDefault="000B0B09"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Requisito di fondi propri per strumenti di debito non inerenti a cartolarizzazione</w:t>
            </w:r>
          </w:p>
          <w:p w:rsidR="000B0B09" w:rsidRPr="00661595" w:rsidRDefault="000B0B09" w:rsidP="00F2281A">
            <w:pPr>
              <w:suppressAutoHyphens/>
              <w:rPr>
                <w:rFonts w:ascii="Times New Roman" w:hAnsi="Times New Roman"/>
                <w:sz w:val="24"/>
              </w:rPr>
            </w:pPr>
            <w:r>
              <w:rPr>
                <w:rFonts w:ascii="Times New Roman" w:hAnsi="Times New Roman"/>
                <w:sz w:val="24"/>
              </w:rPr>
              <w:t>Somma degli importi segnalati nelle righe da 260 a 321.</w:t>
            </w:r>
          </w:p>
          <w:p w:rsidR="000B0B09" w:rsidRPr="00661595" w:rsidRDefault="000B0B09" w:rsidP="00F2281A">
            <w:pPr>
              <w:suppressAutoHyphens/>
              <w:rPr>
                <w:rFonts w:ascii="Times New Roman" w:hAnsi="Times New Roman"/>
                <w:sz w:val="24"/>
              </w:rPr>
            </w:pPr>
            <w:r>
              <w:rPr>
                <w:rFonts w:ascii="Times New Roman" w:hAnsi="Times New Roman"/>
                <w:sz w:val="24"/>
              </w:rPr>
              <w:t xml:space="preserve">Il requisito di fondi propri dei derivati su crediti nth-to-default privi di rating esterno è calcolato sommando i fattori di ponderazione del rischio dei soggetti di riferimento (articolo 332, paragrafo 1, lettera e) e secondo comma, del CRR – metodo </w:t>
            </w:r>
            <w:r w:rsidR="000878EC">
              <w:rPr>
                <w:rFonts w:ascii="Times New Roman" w:hAnsi="Times New Roman"/>
                <w:sz w:val="24"/>
              </w:rPr>
              <w:t>"</w:t>
            </w:r>
            <w:r>
              <w:rPr>
                <w:rFonts w:ascii="Times New Roman" w:hAnsi="Times New Roman"/>
                <w:sz w:val="24"/>
              </w:rPr>
              <w:t>look-through</w:t>
            </w:r>
            <w:r w:rsidR="000878EC">
              <w:rPr>
                <w:rFonts w:ascii="Times New Roman" w:hAnsi="Times New Roman"/>
                <w:sz w:val="24"/>
              </w:rPr>
              <w:t>"</w:t>
            </w:r>
            <w:r>
              <w:rPr>
                <w:rFonts w:ascii="Times New Roman" w:hAnsi="Times New Roman"/>
                <w:sz w:val="24"/>
              </w:rPr>
              <w:t xml:space="preserve">). I derivati su crediti nth-to-default provvisti di rating esterno (articolo 332, paragrafo 1, terzo comma, del CRR) sono indicati separatamente nella riga 321. </w:t>
            </w:r>
          </w:p>
          <w:p w:rsidR="000B0B09" w:rsidRPr="00661595" w:rsidRDefault="000B0B09" w:rsidP="00F2281A">
            <w:pPr>
              <w:suppressAutoHyphens/>
              <w:rPr>
                <w:rFonts w:ascii="Times New Roman" w:hAnsi="Times New Roman"/>
                <w:sz w:val="24"/>
              </w:rPr>
            </w:pPr>
            <w:r>
              <w:rPr>
                <w:rFonts w:ascii="Times New Roman" w:hAnsi="Times New Roman"/>
                <w:sz w:val="24"/>
              </w:rPr>
              <w:t>Segnalazione di posizioni soggette all</w:t>
            </w:r>
            <w:r w:rsidR="000878EC">
              <w:rPr>
                <w:rFonts w:ascii="Times New Roman" w:hAnsi="Times New Roman"/>
                <w:sz w:val="24"/>
              </w:rPr>
              <w:t>'</w:t>
            </w:r>
            <w:r>
              <w:rPr>
                <w:rFonts w:ascii="Times New Roman" w:hAnsi="Times New Roman"/>
                <w:sz w:val="24"/>
              </w:rPr>
              <w:t>articolo 336, paragrafo 3, del CRR: ai sensi dell</w:t>
            </w:r>
            <w:r w:rsidR="000878EC">
              <w:rPr>
                <w:rFonts w:ascii="Times New Roman" w:hAnsi="Times New Roman"/>
                <w:sz w:val="24"/>
              </w:rPr>
              <w:t>'</w:t>
            </w:r>
            <w:r>
              <w:rPr>
                <w:rFonts w:ascii="Times New Roman" w:hAnsi="Times New Roman"/>
                <w:sz w:val="24"/>
              </w:rPr>
              <w:t>articolo 129, paragrafo 3, del CRR, è previsto un trattamento specifico per le obbligazioni ammissibili a un fattore di ponderazione del rischio pari al 10% interne al portafoglio bancario (obbligazioni garantite). I requisiti specifici di fondi propri corrispondono alla metà della percentuale della seconda categoria di cui alla tabella 1 dell</w:t>
            </w:r>
            <w:r w:rsidR="000878EC">
              <w:rPr>
                <w:rFonts w:ascii="Times New Roman" w:hAnsi="Times New Roman"/>
                <w:sz w:val="24"/>
              </w:rPr>
              <w:t>'</w:t>
            </w:r>
            <w:r>
              <w:rPr>
                <w:rFonts w:ascii="Times New Roman" w:hAnsi="Times New Roman"/>
                <w:sz w:val="24"/>
              </w:rPr>
              <w:t>articolo 336 del CRR. Le posizioni in questione sono assegnate alle righe 0280-0300 in funzione della durata residua.</w:t>
            </w:r>
          </w:p>
          <w:p w:rsidR="000B0B09" w:rsidRPr="00661595" w:rsidRDefault="00F41508" w:rsidP="00F2281A">
            <w:pPr>
              <w:suppressAutoHyphens/>
              <w:rPr>
                <w:rFonts w:ascii="Times New Roman" w:hAnsi="Times New Roman"/>
                <w:b/>
                <w:bCs/>
                <w:sz w:val="24"/>
                <w:u w:val="single"/>
              </w:rPr>
            </w:pPr>
            <w:r>
              <w:rPr>
                <w:rFonts w:ascii="Times New Roman" w:hAnsi="Times New Roman"/>
                <w:sz w:val="24"/>
              </w:rPr>
              <w:t xml:space="preserve">Se il rischio generico delle posizioni su tassi di interesse è coperto da un derivato su crediti, si applicano gli articoli 346 e 347 del CRR. </w:t>
            </w:r>
          </w:p>
        </w:tc>
      </w:tr>
      <w:tr w:rsidR="000B0B09" w:rsidRPr="00661595" w:rsidTr="00672D2A">
        <w:tc>
          <w:tcPr>
            <w:tcW w:w="987" w:type="dxa"/>
          </w:tcPr>
          <w:p w:rsidR="000B0B09" w:rsidRPr="00661595" w:rsidDel="00F27BD6" w:rsidRDefault="00EE2CD5"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0325</w:t>
            </w:r>
          </w:p>
        </w:tc>
        <w:tc>
          <w:tcPr>
            <w:tcW w:w="7875" w:type="dxa"/>
          </w:tcPr>
          <w:p w:rsidR="000B0B09" w:rsidRPr="00661595" w:rsidRDefault="000B0B09"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Requisiti di fondi propri per strumenti inerenti a cartolarizzazione</w:t>
            </w:r>
          </w:p>
          <w:p w:rsidR="00722A10" w:rsidRPr="00661595" w:rsidDel="00F27BD6" w:rsidRDefault="000B0B09" w:rsidP="00F2281A">
            <w:pPr>
              <w:suppressAutoHyphens/>
              <w:rPr>
                <w:rFonts w:ascii="Times New Roman" w:hAnsi="Times New Roman"/>
                <w:b/>
                <w:bCs/>
                <w:sz w:val="24"/>
                <w:u w:val="single"/>
              </w:rPr>
            </w:pPr>
            <w:r>
              <w:rPr>
                <w:rFonts w:ascii="Times New Roman" w:hAnsi="Times New Roman"/>
                <w:sz w:val="24"/>
              </w:rPr>
              <w:t>Requisiti totali di fondi propri di cui alla colonna 0601 del modello MKR SA SEC. Questi requisiti totali di fondi propri sono segnalati soltanto a livello di totale del modello MKR SA TDI.</w:t>
            </w:r>
          </w:p>
        </w:tc>
      </w:tr>
      <w:tr w:rsidR="000B0B09" w:rsidRPr="00661595" w:rsidTr="00672D2A">
        <w:tc>
          <w:tcPr>
            <w:tcW w:w="987" w:type="dxa"/>
          </w:tcPr>
          <w:p w:rsidR="000B0B09" w:rsidRPr="00661595" w:rsidDel="00F27BD6" w:rsidRDefault="00EE2CD5" w:rsidP="00F2281A">
            <w:pPr>
              <w:keepNext/>
              <w:keepLines/>
              <w:suppressAutoHyphens/>
              <w:autoSpaceDE w:val="0"/>
              <w:autoSpaceDN w:val="0"/>
              <w:adjustRightInd w:val="0"/>
              <w:spacing w:before="0" w:after="0"/>
              <w:rPr>
                <w:rFonts w:ascii="Times New Roman" w:hAnsi="Times New Roman"/>
                <w:sz w:val="24"/>
              </w:rPr>
            </w:pPr>
            <w:r>
              <w:rPr>
                <w:rFonts w:ascii="Times New Roman" w:hAnsi="Times New Roman"/>
                <w:sz w:val="24"/>
              </w:rPr>
              <w:t>0330</w:t>
            </w:r>
          </w:p>
        </w:tc>
        <w:tc>
          <w:tcPr>
            <w:tcW w:w="7875" w:type="dxa"/>
          </w:tcPr>
          <w:p w:rsidR="000B0B09" w:rsidRPr="00661595" w:rsidRDefault="000B0B09" w:rsidP="00F2281A">
            <w:pPr>
              <w:keepNext/>
              <w:keepLines/>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Requisiti di fondi propri per il portafoglio di negoziazione di correlazione</w:t>
            </w:r>
          </w:p>
          <w:p w:rsidR="00722A10" w:rsidRPr="00661595" w:rsidDel="00F27BD6" w:rsidRDefault="000B0B09" w:rsidP="00F2281A">
            <w:pPr>
              <w:keepNext/>
              <w:keepLines/>
              <w:suppressAutoHyphens/>
              <w:rPr>
                <w:rFonts w:ascii="Times New Roman" w:hAnsi="Times New Roman"/>
                <w:b/>
                <w:bCs/>
                <w:sz w:val="24"/>
                <w:u w:val="single"/>
              </w:rPr>
            </w:pPr>
            <w:r>
              <w:rPr>
                <w:rFonts w:ascii="Times New Roman" w:hAnsi="Times New Roman"/>
                <w:sz w:val="24"/>
              </w:rPr>
              <w:t>Requisiti totali di fondi propri segnalati nella colonna 0450 del modello MKR SA CTP. Questi requisiti totali di fondi propri sono segnalati soltanto a livello di totale del modello MKR SA TDI.</w:t>
            </w:r>
          </w:p>
        </w:tc>
      </w:tr>
      <w:tr w:rsidR="000B0B09" w:rsidRPr="00661595" w:rsidTr="00672D2A">
        <w:tc>
          <w:tcPr>
            <w:tcW w:w="987" w:type="dxa"/>
          </w:tcPr>
          <w:p w:rsidR="000B0B09" w:rsidRPr="00661595" w:rsidRDefault="00EE2CD5"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0350-0390</w:t>
            </w:r>
          </w:p>
        </w:tc>
        <w:tc>
          <w:tcPr>
            <w:tcW w:w="7875" w:type="dxa"/>
          </w:tcPr>
          <w:p w:rsidR="000B0B09" w:rsidRPr="00661595" w:rsidRDefault="000B0B09" w:rsidP="00F2281A">
            <w:pPr>
              <w:suppressAutoHyphens/>
              <w:autoSpaceDE w:val="0"/>
              <w:autoSpaceDN w:val="0"/>
              <w:adjustRightInd w:val="0"/>
              <w:spacing w:before="0" w:after="0"/>
              <w:rPr>
                <w:rStyle w:val="InstructionsTabelleberschrift"/>
                <w:rFonts w:ascii="Times New Roman" w:hAnsi="Times New Roman"/>
                <w:sz w:val="24"/>
              </w:rPr>
            </w:pPr>
            <w:r>
              <w:rPr>
                <w:rStyle w:val="InstructionsTabelleberschrift"/>
                <w:rFonts w:ascii="Times New Roman" w:hAnsi="Times New Roman"/>
                <w:sz w:val="24"/>
              </w:rPr>
              <w:t xml:space="preserve">REQUISITI AGGIUNTIVI PER LE OPZIONI (RISCHI NON DELTA) </w:t>
            </w:r>
          </w:p>
          <w:p w:rsidR="000B0B09" w:rsidRPr="00661595" w:rsidRDefault="000B0B09" w:rsidP="00F2281A">
            <w:pPr>
              <w:suppressAutoHyphens/>
              <w:rPr>
                <w:rFonts w:ascii="Times New Roman" w:hAnsi="Times New Roman"/>
                <w:sz w:val="24"/>
              </w:rPr>
            </w:pPr>
            <w:r>
              <w:rPr>
                <w:rFonts w:ascii="Times New Roman" w:hAnsi="Times New Roman"/>
                <w:sz w:val="24"/>
              </w:rPr>
              <w:t>Articolo 329, paragrafo 3, del CRR.</w:t>
            </w:r>
          </w:p>
          <w:p w:rsidR="000B0B09" w:rsidRPr="00661595" w:rsidRDefault="000B0B09" w:rsidP="00F2281A">
            <w:pPr>
              <w:suppressAutoHyphens/>
              <w:rPr>
                <w:rFonts w:ascii="Times New Roman" w:hAnsi="Times New Roman"/>
                <w:bCs/>
                <w:sz w:val="24"/>
              </w:rPr>
            </w:pPr>
            <w:r>
              <w:rPr>
                <w:rFonts w:ascii="Times New Roman" w:hAnsi="Times New Roman"/>
                <w:sz w:val="24"/>
              </w:rPr>
              <w:t>I requisiti aggiuntivi per opzioni correlati ai rischi diversi dal rischio delta sono segnalati ripartendoli in funzione del metodo utilizzato per il calcolo.</w:t>
            </w:r>
          </w:p>
        </w:tc>
      </w:tr>
    </w:tbl>
    <w:p w:rsidR="000B0B09" w:rsidRPr="00661595" w:rsidRDefault="000B0B09" w:rsidP="000B0B09">
      <w:pPr>
        <w:autoSpaceDE w:val="0"/>
        <w:autoSpaceDN w:val="0"/>
        <w:adjustRightInd w:val="0"/>
        <w:spacing w:before="0" w:after="0"/>
        <w:rPr>
          <w:rFonts w:ascii="Times New Roman" w:hAnsi="Times New Roman"/>
          <w:bCs/>
          <w:sz w:val="24"/>
          <w:lang w:eastAsia="nl-BE"/>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15" w:name="_Toc294172370"/>
      <w:bookmarkStart w:id="616" w:name="_Toc295829999"/>
      <w:bookmarkStart w:id="617" w:name="_Toc308426676"/>
      <w:bookmarkStart w:id="618" w:name="_Toc310415060"/>
      <w:bookmarkStart w:id="619" w:name="_Toc360188395"/>
      <w:bookmarkStart w:id="620" w:name="_Toc473561035"/>
      <w:bookmarkStart w:id="621" w:name="_Toc58915842"/>
      <w:r>
        <w:rPr>
          <w:rFonts w:ascii="Times New Roman" w:hAnsi="Times New Roman"/>
          <w:sz w:val="24"/>
          <w:u w:val="none"/>
        </w:rPr>
        <w:t>5.2.</w:t>
      </w:r>
      <w:r w:rsidRPr="00F2281A">
        <w:rPr>
          <w:u w:val="none"/>
        </w:rPr>
        <w:tab/>
      </w:r>
      <w:r>
        <w:rPr>
          <w:rFonts w:ascii="Times New Roman" w:hAnsi="Times New Roman"/>
          <w:sz w:val="24"/>
        </w:rPr>
        <w:t>C 19.00 - RISCHIO DI MERCATO: METODO STANDARDIZZATO PER IL RISCHIO SPECIFICO SU CARTOLARIZZAZIONI (MKR SA SEC)</w:t>
      </w:r>
      <w:bookmarkEnd w:id="615"/>
      <w:bookmarkEnd w:id="616"/>
      <w:bookmarkEnd w:id="617"/>
      <w:bookmarkEnd w:id="618"/>
      <w:bookmarkEnd w:id="619"/>
      <w:bookmarkEnd w:id="620"/>
      <w:bookmarkEnd w:id="621"/>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22" w:name="_Toc294172371"/>
      <w:bookmarkStart w:id="623" w:name="_Toc295830000"/>
      <w:bookmarkStart w:id="624" w:name="_Toc308426677"/>
      <w:bookmarkStart w:id="625" w:name="_Toc310415061"/>
      <w:bookmarkStart w:id="626" w:name="_Toc360188396"/>
      <w:bookmarkStart w:id="627" w:name="_Toc473561036"/>
      <w:bookmarkStart w:id="628" w:name="_Toc58915843"/>
      <w:r>
        <w:rPr>
          <w:rFonts w:ascii="Times New Roman" w:hAnsi="Times New Roman"/>
          <w:sz w:val="24"/>
          <w:u w:val="none"/>
        </w:rPr>
        <w:t>5.2.1.</w:t>
      </w:r>
      <w:r w:rsidRPr="00F2281A">
        <w:rPr>
          <w:u w:val="none"/>
        </w:rPr>
        <w:tab/>
      </w:r>
      <w:r>
        <w:rPr>
          <w:rFonts w:ascii="Times New Roman" w:hAnsi="Times New Roman"/>
          <w:sz w:val="24"/>
        </w:rPr>
        <w:t>Osservazioni di carattere generale</w:t>
      </w:r>
      <w:bookmarkEnd w:id="622"/>
      <w:bookmarkEnd w:id="623"/>
      <w:bookmarkEnd w:id="624"/>
      <w:bookmarkEnd w:id="625"/>
      <w:bookmarkEnd w:id="626"/>
      <w:bookmarkEnd w:id="627"/>
      <w:bookmarkEnd w:id="628"/>
    </w:p>
    <w:bookmarkStart w:id="629" w:name="_Toc294172372"/>
    <w:bookmarkStart w:id="630" w:name="_Toc295830001"/>
    <w:bookmarkStart w:id="631" w:name="_Toc308426678"/>
    <w:bookmarkStart w:id="632" w:name="_Toc310415062"/>
    <w:bookmarkStart w:id="633" w:name="_Toc360188397"/>
    <w:bookmarkStart w:id="634" w:name="_Toc473561037"/>
    <w:p w:rsidR="00FC6275" w:rsidRPr="00661595" w:rsidRDefault="00771068" w:rsidP="00F2281A">
      <w:pPr>
        <w:pStyle w:val="InstructionsText2"/>
        <w:numPr>
          <w:ilvl w:val="0"/>
          <w:numId w:val="0"/>
        </w:numPr>
        <w:ind w:left="1680" w:hanging="480"/>
      </w:pPr>
      <w:r>
        <w:fldChar w:fldCharType="begin"/>
      </w:r>
      <w:r>
        <w:instrText xml:space="preserve"> seq paragraphs </w:instrText>
      </w:r>
      <w:r>
        <w:fldChar w:fldCharType="separate"/>
      </w:r>
      <w:r>
        <w:t>162</w:t>
      </w:r>
      <w:r>
        <w:fldChar w:fldCharType="end"/>
      </w:r>
      <w:r>
        <w:t>.</w:t>
      </w:r>
      <w:r>
        <w:tab/>
        <w:t xml:space="preserve"> Questo modello serve per la segnalazione di informazioni sulle posizioni (totali/nette e lunghe/corte) e sui relativi requisiti di fondi propri per la componente di rischio specifico del rischio di posizione su cartolarizzazioni/ricartolarizzazioni detenute nel portafoglio di negoziazione (non ammissibili al portafoglio di negoziazione di correlazione) secondo il metodo standardizzato. </w:t>
      </w:r>
    </w:p>
    <w:p w:rsidR="00FC6275" w:rsidRPr="00661595" w:rsidRDefault="00A971CA" w:rsidP="00F2281A">
      <w:pPr>
        <w:pStyle w:val="InstructionsText2"/>
        <w:numPr>
          <w:ilvl w:val="0"/>
          <w:numId w:val="0"/>
        </w:numPr>
        <w:ind w:left="1680" w:hanging="480"/>
      </w:pPr>
      <w:r>
        <w:fldChar w:fldCharType="begin"/>
      </w:r>
      <w:r>
        <w:instrText xml:space="preserve"> seq paragraphs </w:instrText>
      </w:r>
      <w:r>
        <w:fldChar w:fldCharType="separate"/>
      </w:r>
      <w:r w:rsidR="00D11E4C">
        <w:rPr>
          <w:noProof/>
        </w:rPr>
        <w:t>163</w:t>
      </w:r>
      <w:r>
        <w:rPr>
          <w:noProof/>
        </w:rPr>
        <w:fldChar w:fldCharType="end"/>
      </w:r>
      <w:r w:rsidR="00D11E4C">
        <w:t>.</w:t>
      </w:r>
      <w:r w:rsidR="00D11E4C">
        <w:tab/>
        <w:t xml:space="preserve"> Il modello MKR SA SEC presenta il requisito di fondi propri soltanto per il rischio specifico delle posizioni verso la cartolarizzazione conformemente all</w:t>
      </w:r>
      <w:r w:rsidR="000878EC">
        <w:t>'</w:t>
      </w:r>
      <w:r w:rsidR="00D11E4C">
        <w:t>articolo 335 del CRR in combinato disposto con l</w:t>
      </w:r>
      <w:r w:rsidR="000878EC">
        <w:t>'</w:t>
      </w:r>
      <w:r w:rsidR="00D11E4C">
        <w:t>articolo 337 del CRR. Se le posizioni verso la cartolarizzazione interne al portafoglio di negoziazione sono coperte da derivati su crediti, si applicano gli articoli 346 e 347 del CRR. C</w:t>
      </w:r>
      <w:r w:rsidR="000878EC">
        <w:t>'</w:t>
      </w:r>
      <w:r w:rsidR="00D11E4C">
        <w:t>è un solo modello per tutte le posizioni del portafoglio di negoziazione, a prescindere dal metodo di cui si avvale l</w:t>
      </w:r>
      <w:r w:rsidR="000878EC">
        <w:t>'</w:t>
      </w:r>
      <w:r w:rsidR="00D11E4C">
        <w:t>ente per stabilire la ponderazione del rischio di ciascuna posizione conformemente alla parte tre, titolo II, capo 5, del CRR. Per segnalare i requisiti di fondi propri per il rischio generico di queste posizioni si utilizza il modello MKR SA TDI o il modello MKR IM.</w:t>
      </w:r>
    </w:p>
    <w:p w:rsidR="00FC6275" w:rsidRPr="00661595" w:rsidRDefault="00A971CA" w:rsidP="00F2281A">
      <w:pPr>
        <w:pStyle w:val="InstructionsText2"/>
        <w:numPr>
          <w:ilvl w:val="0"/>
          <w:numId w:val="0"/>
        </w:numPr>
        <w:ind w:left="1680" w:hanging="480"/>
      </w:pPr>
      <w:r>
        <w:fldChar w:fldCharType="begin"/>
      </w:r>
      <w:r>
        <w:instrText xml:space="preserve"> seq paragraphs </w:instrText>
      </w:r>
      <w:r>
        <w:fldChar w:fldCharType="separate"/>
      </w:r>
      <w:r w:rsidR="00D11E4C">
        <w:rPr>
          <w:noProof/>
        </w:rPr>
        <w:t>164</w:t>
      </w:r>
      <w:r>
        <w:rPr>
          <w:noProof/>
        </w:rPr>
        <w:fldChar w:fldCharType="end"/>
      </w:r>
      <w:r w:rsidR="00F2281A">
        <w:t>.</w:t>
      </w:r>
      <w:r w:rsidR="00F2281A">
        <w:tab/>
      </w:r>
      <w:r w:rsidR="00D11E4C">
        <w:t>In alternativa, le posizioni soggette a un fattore di ponderazione del rischio del 1 250% possono essere dedotte dal capitale primario di classe 1 (cfr. l</w:t>
      </w:r>
      <w:r w:rsidR="000878EC">
        <w:t>'</w:t>
      </w:r>
      <w:r w:rsidR="00D11E4C">
        <w:t>articolo 244, paragrafo 1, lettera b), l</w:t>
      </w:r>
      <w:r w:rsidR="000878EC">
        <w:t>'</w:t>
      </w:r>
      <w:r w:rsidR="00D11E4C">
        <w:t>articolo 245, paragrafo 1, lettera b), e l</w:t>
      </w:r>
      <w:r w:rsidR="000878EC">
        <w:t>'</w:t>
      </w:r>
      <w:r w:rsidR="00D11E4C">
        <w:t>articolo 253 del CRR). In tal caso, queste posizioni devono essere segnalate nella riga 0460 del CA1.</w:t>
      </w:r>
    </w:p>
    <w:p w:rsidR="000B0B09" w:rsidRPr="00661595" w:rsidRDefault="00125707" w:rsidP="00F2281A">
      <w:pPr>
        <w:pStyle w:val="Instructionsberschrift2"/>
        <w:keepLines/>
        <w:numPr>
          <w:ilvl w:val="0"/>
          <w:numId w:val="0"/>
        </w:numPr>
        <w:ind w:left="357" w:hanging="357"/>
        <w:rPr>
          <w:rFonts w:ascii="Times New Roman" w:hAnsi="Times New Roman" w:cs="Times New Roman"/>
          <w:sz w:val="24"/>
        </w:rPr>
      </w:pPr>
      <w:bookmarkStart w:id="635" w:name="_Toc58915844"/>
      <w:r>
        <w:rPr>
          <w:rFonts w:ascii="Times New Roman" w:hAnsi="Times New Roman"/>
          <w:sz w:val="24"/>
          <w:u w:val="none"/>
        </w:rPr>
        <w:t>5.2.2.</w:t>
      </w:r>
      <w:r w:rsidRPr="00F2281A">
        <w:rPr>
          <w:u w:val="none"/>
        </w:rPr>
        <w:tab/>
      </w:r>
      <w:r>
        <w:rPr>
          <w:rFonts w:ascii="Times New Roman" w:hAnsi="Times New Roman"/>
          <w:sz w:val="24"/>
        </w:rPr>
        <w:t>Istruzioni relative a posizioni specifiche</w:t>
      </w:r>
      <w:bookmarkEnd w:id="629"/>
      <w:bookmarkEnd w:id="630"/>
      <w:bookmarkEnd w:id="631"/>
      <w:bookmarkEnd w:id="632"/>
      <w:bookmarkEnd w:id="633"/>
      <w:bookmarkEnd w:id="634"/>
      <w:bookmarkEnd w:id="63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605"/>
      </w:tblGrid>
      <w:tr w:rsidR="00C55547" w:rsidRPr="00661595" w:rsidTr="00E10B85">
        <w:trPr>
          <w:trHeight w:val="631"/>
        </w:trPr>
        <w:tc>
          <w:tcPr>
            <w:tcW w:w="9018" w:type="dxa"/>
            <w:gridSpan w:val="2"/>
            <w:shd w:val="clear" w:color="auto" w:fill="CCCCCC"/>
          </w:tcPr>
          <w:p w:rsidR="00C55547" w:rsidRPr="00661595" w:rsidRDefault="00C55547" w:rsidP="00F2281A">
            <w:pPr>
              <w:keepNext/>
              <w:keepLines/>
              <w:suppressAutoHyphens/>
              <w:autoSpaceDE w:val="0"/>
              <w:autoSpaceDN w:val="0"/>
              <w:adjustRightInd w:val="0"/>
              <w:spacing w:after="0"/>
              <w:rPr>
                <w:rFonts w:ascii="Times New Roman" w:hAnsi="Times New Roman"/>
                <w:b/>
                <w:sz w:val="24"/>
              </w:rPr>
            </w:pPr>
            <w:r>
              <w:rPr>
                <w:rFonts w:ascii="Times New Roman" w:hAnsi="Times New Roman"/>
                <w:b/>
                <w:sz w:val="24"/>
              </w:rPr>
              <w:t>Colonne</w:t>
            </w:r>
          </w:p>
        </w:tc>
      </w:tr>
      <w:tr w:rsidR="00C55547" w:rsidRPr="00661595" w:rsidTr="000911FE">
        <w:tc>
          <w:tcPr>
            <w:tcW w:w="1413" w:type="dxa"/>
          </w:tcPr>
          <w:p w:rsidR="00C55547" w:rsidRPr="00661595" w:rsidRDefault="00EE2CD5" w:rsidP="00F2281A">
            <w:pPr>
              <w:keepNext/>
              <w:keepLines/>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605" w:type="dxa"/>
          </w:tcPr>
          <w:p w:rsidR="00C55547" w:rsidRPr="00661595" w:rsidRDefault="00C55547" w:rsidP="00F2281A">
            <w:pPr>
              <w:keepNext/>
              <w:keepLines/>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TUTTE LE POSIZIONI (LUNGHE E CORTE)</w:t>
            </w:r>
          </w:p>
          <w:p w:rsidR="00C55547" w:rsidRPr="00661595" w:rsidRDefault="00C55547" w:rsidP="00F2281A">
            <w:pPr>
              <w:keepNext/>
              <w:keepLines/>
              <w:suppressAutoHyphens/>
              <w:rPr>
                <w:rFonts w:ascii="Times New Roman" w:hAnsi="Times New Roman"/>
                <w:sz w:val="24"/>
              </w:rPr>
            </w:pPr>
            <w:r>
              <w:rPr>
                <w:rFonts w:ascii="Times New Roman" w:hAnsi="Times New Roman"/>
                <w:sz w:val="24"/>
              </w:rPr>
              <w:t xml:space="preserve">Articolo </w:t>
            </w:r>
            <w:r>
              <w:rPr>
                <w:rStyle w:val="InstructionsTabelleText"/>
                <w:rFonts w:ascii="Times New Roman" w:hAnsi="Times New Roman"/>
                <w:sz w:val="24"/>
              </w:rPr>
              <w:t>102 e articolo 105, paragrafo 1, del CRR in combinato disposto con l</w:t>
            </w:r>
            <w:r w:rsidR="000878EC">
              <w:rPr>
                <w:rStyle w:val="InstructionsTabelleText"/>
                <w:rFonts w:ascii="Times New Roman" w:hAnsi="Times New Roman"/>
                <w:sz w:val="24"/>
              </w:rPr>
              <w:t>'</w:t>
            </w:r>
            <w:r>
              <w:rPr>
                <w:rStyle w:val="InstructionsTabelleText"/>
                <w:rFonts w:ascii="Times New Roman" w:hAnsi="Times New Roman"/>
                <w:sz w:val="24"/>
              </w:rPr>
              <w:t>articolo 337 del CRR (posizioni verso la cartolarizzazione). Per la distinzione tra posizioni lunghe e posizioni corte, applicabile anche a queste posizioni lorde, cfr. l</w:t>
            </w:r>
            <w:r w:rsidR="000878EC">
              <w:rPr>
                <w:rStyle w:val="InstructionsTabelleText"/>
                <w:rFonts w:ascii="Times New Roman" w:hAnsi="Times New Roman"/>
                <w:sz w:val="24"/>
              </w:rPr>
              <w:t>'</w:t>
            </w:r>
            <w:r>
              <w:rPr>
                <w:rStyle w:val="InstructionsTabelleText"/>
                <w:rFonts w:ascii="Times New Roman" w:hAnsi="Times New Roman"/>
                <w:sz w:val="24"/>
              </w:rPr>
              <w:t xml:space="preserve">articolo 328, paragrafo 2, del CRR. </w:t>
            </w:r>
          </w:p>
        </w:tc>
      </w:tr>
      <w:tr w:rsidR="00C55547" w:rsidRPr="00661595" w:rsidTr="000911FE">
        <w:tc>
          <w:tcPr>
            <w:tcW w:w="1413" w:type="dxa"/>
          </w:tcPr>
          <w:p w:rsidR="00C55547" w:rsidRPr="00661595" w:rsidRDefault="00EE2CD5"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605" w:type="dxa"/>
          </w:tcPr>
          <w:p w:rsidR="00C55547" w:rsidRPr="00661595" w:rsidRDefault="00C55547" w:rsidP="00F2281A">
            <w:pPr>
              <w:suppressAutoHyphens/>
              <w:rPr>
                <w:rStyle w:val="InstructionsTabelleberschrift"/>
                <w:rFonts w:ascii="Times New Roman" w:hAnsi="Times New Roman"/>
                <w:sz w:val="24"/>
              </w:rPr>
            </w:pPr>
            <w:r>
              <w:rPr>
                <w:rStyle w:val="InstructionsTabelleberschrift"/>
                <w:rFonts w:ascii="Times New Roman" w:hAnsi="Times New Roman"/>
                <w:sz w:val="24"/>
              </w:rPr>
              <w:t>(-) POSIZIONI DEDOTTE DAI FONDI PROPRI</w:t>
            </w:r>
            <w:r>
              <w:rPr>
                <w:rFonts w:ascii="Times New Roman" w:hAnsi="Times New Roman"/>
                <w:b/>
                <w:bCs/>
                <w:sz w:val="24"/>
                <w:u w:val="single"/>
              </w:rPr>
              <w:t xml:space="preserve"> (LUNGHE E CORTE)</w:t>
            </w:r>
          </w:p>
          <w:p w:rsidR="00C55547" w:rsidRPr="00661595" w:rsidRDefault="00705025" w:rsidP="00F2281A">
            <w:pPr>
              <w:suppressAutoHyphens/>
              <w:rPr>
                <w:rStyle w:val="InstructionsTabelleText"/>
                <w:rFonts w:ascii="Times New Roman" w:hAnsi="Times New Roman"/>
                <w:sz w:val="24"/>
              </w:rPr>
            </w:pPr>
            <w:r>
              <w:rPr>
                <w:rStyle w:val="InstructionsTabelleText"/>
                <w:rFonts w:ascii="Times New Roman" w:hAnsi="Times New Roman"/>
                <w:sz w:val="24"/>
              </w:rPr>
              <w:t>Articolo 244, paragrafo 1, lettera b), articolo 245, paragrafo 1, lettera b), e articolo 253 del CRR</w:t>
            </w:r>
          </w:p>
        </w:tc>
      </w:tr>
      <w:tr w:rsidR="00C55547" w:rsidRPr="00661595" w:rsidTr="000911FE">
        <w:tc>
          <w:tcPr>
            <w:tcW w:w="1413" w:type="dxa"/>
          </w:tcPr>
          <w:p w:rsidR="00C55547" w:rsidRPr="00661595" w:rsidRDefault="00EE2CD5"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605" w:type="dxa"/>
          </w:tcPr>
          <w:p w:rsidR="00C55547" w:rsidRPr="00661595" w:rsidRDefault="00C55547" w:rsidP="00F2281A">
            <w:pPr>
              <w:suppressAutoHyphens/>
              <w:rPr>
                <w:rStyle w:val="InstructionsTabelleberschrift"/>
                <w:rFonts w:ascii="Times New Roman" w:hAnsi="Times New Roman"/>
                <w:sz w:val="24"/>
              </w:rPr>
            </w:pPr>
            <w:r>
              <w:rPr>
                <w:rStyle w:val="InstructionsTabelleberschrift"/>
                <w:rFonts w:ascii="Times New Roman" w:hAnsi="Times New Roman"/>
                <w:sz w:val="24"/>
              </w:rPr>
              <w:t>POSIZIONI NETTE</w:t>
            </w:r>
            <w:r>
              <w:rPr>
                <w:rFonts w:ascii="Times New Roman" w:hAnsi="Times New Roman"/>
                <w:b/>
                <w:bCs/>
                <w:sz w:val="24"/>
                <w:u w:val="single"/>
              </w:rPr>
              <w:t xml:space="preserve"> (LUNGHE E CORTE)</w:t>
            </w:r>
          </w:p>
          <w:p w:rsidR="00C55547" w:rsidRPr="00661595" w:rsidRDefault="00C55547" w:rsidP="00F2281A">
            <w:pPr>
              <w:suppressAutoHyphens/>
              <w:rPr>
                <w:rStyle w:val="InstructionsTabelleText"/>
                <w:rFonts w:ascii="Times New Roman" w:hAnsi="Times New Roman"/>
                <w:sz w:val="24"/>
              </w:rPr>
            </w:pPr>
            <w:r>
              <w:rPr>
                <w:rFonts w:ascii="Times New Roman" w:hAnsi="Times New Roman"/>
                <w:sz w:val="24"/>
              </w:rPr>
              <w:t xml:space="preserve">Articoli </w:t>
            </w:r>
            <w:r>
              <w:rPr>
                <w:rStyle w:val="InstructionsTabelleText"/>
                <w:rFonts w:ascii="Times New Roman" w:hAnsi="Times New Roman"/>
                <w:sz w:val="24"/>
              </w:rPr>
              <w:t>327, 328, 329 e 334 del CRR. Per la distinzione tra posizioni lunghe e posizioni corte cfr. l</w:t>
            </w:r>
            <w:r w:rsidR="000878EC">
              <w:rPr>
                <w:rStyle w:val="InstructionsTabelleText"/>
                <w:rFonts w:ascii="Times New Roman" w:hAnsi="Times New Roman"/>
                <w:sz w:val="24"/>
              </w:rPr>
              <w:t>'</w:t>
            </w:r>
            <w:r>
              <w:rPr>
                <w:rStyle w:val="InstructionsTabelleText"/>
                <w:rFonts w:ascii="Times New Roman" w:hAnsi="Times New Roman"/>
                <w:sz w:val="24"/>
              </w:rPr>
              <w:t>articolo 328, paragrafo 2, del CRR.</w:t>
            </w:r>
          </w:p>
        </w:tc>
      </w:tr>
      <w:tr w:rsidR="00C55547" w:rsidRPr="00661595" w:rsidTr="000911FE">
        <w:tc>
          <w:tcPr>
            <w:tcW w:w="1413" w:type="dxa"/>
          </w:tcPr>
          <w:p w:rsidR="00C55547" w:rsidRPr="00661595" w:rsidRDefault="00EE2CD5"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0061-0104</w:t>
            </w:r>
          </w:p>
        </w:tc>
        <w:tc>
          <w:tcPr>
            <w:tcW w:w="7605" w:type="dxa"/>
          </w:tcPr>
          <w:p w:rsidR="00C55547" w:rsidRPr="00661595" w:rsidRDefault="00C55547"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RIPARTIZIONE DELLE POSIZIONI NETTE IN BASE AI FATTORI DI PONDERAZIONE DEL RISCHIO</w:t>
            </w:r>
          </w:p>
          <w:p w:rsidR="00C3548F" w:rsidRPr="00661595" w:rsidRDefault="00C55547" w:rsidP="00F2281A">
            <w:pPr>
              <w:suppressAutoHyphens/>
              <w:rPr>
                <w:rStyle w:val="InstructionsTabelleText"/>
                <w:rFonts w:ascii="Times New Roman" w:hAnsi="Times New Roman"/>
                <w:sz w:val="24"/>
              </w:rPr>
            </w:pPr>
            <w:r>
              <w:rPr>
                <w:rStyle w:val="InstructionsTabelleText"/>
                <w:rFonts w:ascii="Times New Roman" w:hAnsi="Times New Roman"/>
                <w:sz w:val="24"/>
              </w:rPr>
              <w:t>Articoli da 259 a 262, tabelle 1 e 2 dell</w:t>
            </w:r>
            <w:r w:rsidR="000878EC">
              <w:rPr>
                <w:rStyle w:val="InstructionsTabelleText"/>
                <w:rFonts w:ascii="Times New Roman" w:hAnsi="Times New Roman"/>
                <w:sz w:val="24"/>
              </w:rPr>
              <w:t>'</w:t>
            </w:r>
            <w:r>
              <w:rPr>
                <w:rStyle w:val="InstructionsTabelleText"/>
                <w:rFonts w:ascii="Times New Roman" w:hAnsi="Times New Roman"/>
                <w:sz w:val="24"/>
              </w:rPr>
              <w:t>articolo 263, tabelle 3 e 4 dell</w:t>
            </w:r>
            <w:r w:rsidR="000878EC">
              <w:rPr>
                <w:rStyle w:val="InstructionsTabelleText"/>
                <w:rFonts w:ascii="Times New Roman" w:hAnsi="Times New Roman"/>
                <w:sz w:val="24"/>
              </w:rPr>
              <w:t>'</w:t>
            </w:r>
            <w:r>
              <w:rPr>
                <w:rStyle w:val="InstructionsTabelleText"/>
                <w:rFonts w:ascii="Times New Roman" w:hAnsi="Times New Roman"/>
                <w:sz w:val="24"/>
              </w:rPr>
              <w:t xml:space="preserve">articolo 264 e articolo 266 del CRR. </w:t>
            </w:r>
          </w:p>
          <w:p w:rsidR="00C55547" w:rsidRPr="00661595" w:rsidRDefault="00C55547" w:rsidP="00F2281A">
            <w:pPr>
              <w:suppressAutoHyphens/>
              <w:rPr>
                <w:rStyle w:val="InstructionsTabelleText"/>
                <w:rFonts w:ascii="Times New Roman" w:hAnsi="Times New Roman"/>
                <w:sz w:val="24"/>
              </w:rPr>
            </w:pPr>
            <w:r>
              <w:rPr>
                <w:rStyle w:val="InstructionsTabelleText"/>
                <w:rFonts w:ascii="Times New Roman" w:hAnsi="Times New Roman"/>
                <w:sz w:val="24"/>
              </w:rPr>
              <w:t>La ripartizione è indicata separatamente per le posizioni lunghe e per quelle corte.</w:t>
            </w:r>
          </w:p>
        </w:tc>
      </w:tr>
      <w:tr w:rsidR="00C55547" w:rsidRPr="00661595" w:rsidTr="000911FE">
        <w:tc>
          <w:tcPr>
            <w:tcW w:w="1413" w:type="dxa"/>
          </w:tcPr>
          <w:p w:rsidR="00C55547" w:rsidRPr="00661595" w:rsidRDefault="00EE2CD5"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0402-0406</w:t>
            </w:r>
          </w:p>
        </w:tc>
        <w:tc>
          <w:tcPr>
            <w:tcW w:w="7605" w:type="dxa"/>
          </w:tcPr>
          <w:p w:rsidR="00C55547" w:rsidRPr="00661595" w:rsidRDefault="00C55547"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RIPARTIZIONE DELLE POSIZIONI NETTE IN BASE AI METODI</w:t>
            </w:r>
          </w:p>
          <w:p w:rsidR="00C55547" w:rsidRPr="00661595" w:rsidRDefault="00C55547" w:rsidP="00F2281A">
            <w:pPr>
              <w:suppressAutoHyphens/>
              <w:rPr>
                <w:rFonts w:ascii="Times New Roman" w:hAnsi="Times New Roman"/>
                <w:b/>
                <w:bCs/>
                <w:sz w:val="24"/>
                <w:u w:val="single"/>
              </w:rPr>
            </w:pPr>
            <w:r>
              <w:rPr>
                <w:rFonts w:ascii="Times New Roman" w:hAnsi="Times New Roman"/>
                <w:sz w:val="24"/>
              </w:rPr>
              <w:t>Articolo</w:t>
            </w:r>
            <w:r>
              <w:rPr>
                <w:rStyle w:val="InstructionsTabelleText"/>
                <w:rFonts w:ascii="Times New Roman" w:hAnsi="Times New Roman"/>
                <w:sz w:val="24"/>
              </w:rPr>
              <w:t xml:space="preserve"> 254 del CRR </w:t>
            </w:r>
          </w:p>
        </w:tc>
      </w:tr>
      <w:tr w:rsidR="00C55547" w:rsidRPr="00661595" w:rsidTr="000911FE">
        <w:tc>
          <w:tcPr>
            <w:tcW w:w="1413" w:type="dxa"/>
          </w:tcPr>
          <w:p w:rsidR="00C55547" w:rsidRPr="00661595" w:rsidRDefault="00EE2CD5"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0402</w:t>
            </w:r>
          </w:p>
        </w:tc>
        <w:tc>
          <w:tcPr>
            <w:tcW w:w="7605" w:type="dxa"/>
          </w:tcPr>
          <w:p w:rsidR="00C55547" w:rsidRPr="00661595" w:rsidRDefault="00C55547"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SEC-IRBA</w:t>
            </w:r>
          </w:p>
          <w:p w:rsidR="00C55547" w:rsidRPr="00661595" w:rsidRDefault="00C55547" w:rsidP="00F2281A">
            <w:pPr>
              <w:suppressAutoHyphens/>
              <w:rPr>
                <w:rFonts w:ascii="Times New Roman" w:hAnsi="Times New Roman"/>
                <w:b/>
                <w:bCs/>
                <w:sz w:val="24"/>
                <w:u w:val="single"/>
              </w:rPr>
            </w:pPr>
            <w:r>
              <w:rPr>
                <w:rStyle w:val="InstructionsTabelleText"/>
                <w:rFonts w:ascii="Times New Roman" w:hAnsi="Times New Roman"/>
                <w:sz w:val="24"/>
              </w:rPr>
              <w:t>Articoli 259 e 260 del CRR</w:t>
            </w:r>
          </w:p>
        </w:tc>
      </w:tr>
      <w:tr w:rsidR="00C55547" w:rsidRPr="00661595" w:rsidTr="000911FE">
        <w:tc>
          <w:tcPr>
            <w:tcW w:w="1413" w:type="dxa"/>
          </w:tcPr>
          <w:p w:rsidR="00C55547" w:rsidRPr="00661595" w:rsidRDefault="00EE2CD5"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0403</w:t>
            </w:r>
          </w:p>
        </w:tc>
        <w:tc>
          <w:tcPr>
            <w:tcW w:w="7605" w:type="dxa"/>
          </w:tcPr>
          <w:p w:rsidR="00C55547" w:rsidRPr="00661595" w:rsidRDefault="00C55547"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SEC-SA</w:t>
            </w:r>
          </w:p>
          <w:p w:rsidR="00C55547" w:rsidRPr="00661595" w:rsidRDefault="00C55547" w:rsidP="00F2281A">
            <w:pPr>
              <w:suppressAutoHyphens/>
              <w:autoSpaceDE w:val="0"/>
              <w:autoSpaceDN w:val="0"/>
              <w:adjustRightInd w:val="0"/>
              <w:jc w:val="left"/>
              <w:rPr>
                <w:rFonts w:ascii="Times New Roman" w:hAnsi="Times New Roman"/>
                <w:b/>
                <w:bCs/>
                <w:sz w:val="24"/>
                <w:u w:val="single"/>
              </w:rPr>
            </w:pPr>
            <w:r>
              <w:rPr>
                <w:rStyle w:val="InstructionsTabelleText"/>
                <w:rFonts w:ascii="Times New Roman" w:hAnsi="Times New Roman"/>
                <w:sz w:val="24"/>
              </w:rPr>
              <w:t>Articoli 261 e 262 del CRR</w:t>
            </w:r>
          </w:p>
        </w:tc>
      </w:tr>
      <w:tr w:rsidR="00C55547" w:rsidRPr="00661595" w:rsidTr="000911FE">
        <w:tc>
          <w:tcPr>
            <w:tcW w:w="1413" w:type="dxa"/>
          </w:tcPr>
          <w:p w:rsidR="00C55547" w:rsidRPr="00661595" w:rsidRDefault="00EE2CD5"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0404</w:t>
            </w:r>
          </w:p>
        </w:tc>
        <w:tc>
          <w:tcPr>
            <w:tcW w:w="7605" w:type="dxa"/>
          </w:tcPr>
          <w:p w:rsidR="00C55547" w:rsidRPr="00661595" w:rsidRDefault="00C55547"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SEC-ERBA</w:t>
            </w:r>
          </w:p>
          <w:p w:rsidR="00C55547" w:rsidRPr="00661595" w:rsidRDefault="00C55547" w:rsidP="00F2281A">
            <w:pPr>
              <w:suppressAutoHyphens/>
              <w:rPr>
                <w:rFonts w:ascii="Times New Roman" w:hAnsi="Times New Roman"/>
                <w:b/>
                <w:bCs/>
                <w:sz w:val="24"/>
                <w:u w:val="single"/>
              </w:rPr>
            </w:pPr>
            <w:r>
              <w:rPr>
                <w:rStyle w:val="InstructionsTabelleText"/>
                <w:rFonts w:ascii="Times New Roman" w:hAnsi="Times New Roman"/>
                <w:sz w:val="24"/>
              </w:rPr>
              <w:t>Articoli 263 e 264 del CRR</w:t>
            </w:r>
          </w:p>
        </w:tc>
      </w:tr>
      <w:tr w:rsidR="00C55547" w:rsidRPr="00661595" w:rsidTr="000911FE">
        <w:tc>
          <w:tcPr>
            <w:tcW w:w="1413" w:type="dxa"/>
          </w:tcPr>
          <w:p w:rsidR="00C55547" w:rsidRPr="00661595" w:rsidRDefault="00EE2CD5"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0405</w:t>
            </w:r>
          </w:p>
        </w:tc>
        <w:tc>
          <w:tcPr>
            <w:tcW w:w="7605" w:type="dxa"/>
          </w:tcPr>
          <w:p w:rsidR="00C55547" w:rsidRPr="00661595" w:rsidRDefault="00C55547"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METODO DELLA VALUTAZIONE INTERNA</w:t>
            </w:r>
          </w:p>
          <w:p w:rsidR="00C55547" w:rsidRPr="00661595" w:rsidRDefault="00C55547" w:rsidP="00F2281A">
            <w:pPr>
              <w:suppressAutoHyphens/>
              <w:rPr>
                <w:rFonts w:ascii="Times New Roman" w:hAnsi="Times New Roman"/>
                <w:bCs/>
                <w:sz w:val="24"/>
                <w:u w:val="single"/>
              </w:rPr>
            </w:pPr>
            <w:r>
              <w:rPr>
                <w:rStyle w:val="InstructionsTabelleText"/>
                <w:rFonts w:ascii="Times New Roman" w:hAnsi="Times New Roman"/>
                <w:sz w:val="24"/>
              </w:rPr>
              <w:t>Articoli 254 e 265 e articolo 266, paragrafo 5, del CRR.</w:t>
            </w:r>
          </w:p>
        </w:tc>
      </w:tr>
      <w:tr w:rsidR="00C55547" w:rsidRPr="00661595" w:rsidTr="000911FE">
        <w:tc>
          <w:tcPr>
            <w:tcW w:w="1413" w:type="dxa"/>
          </w:tcPr>
          <w:p w:rsidR="00C55547" w:rsidRPr="00661595" w:rsidRDefault="00EE2CD5"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0406</w:t>
            </w:r>
          </w:p>
        </w:tc>
        <w:tc>
          <w:tcPr>
            <w:tcW w:w="7605" w:type="dxa"/>
          </w:tcPr>
          <w:p w:rsidR="00C55547" w:rsidRPr="00661595" w:rsidRDefault="00C55547"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ALTRO (RW = 1 250 %)</w:t>
            </w:r>
          </w:p>
          <w:p w:rsidR="00C55547" w:rsidRPr="00661595" w:rsidRDefault="00C55547" w:rsidP="00F2281A">
            <w:pPr>
              <w:suppressAutoHyphens/>
              <w:rPr>
                <w:rFonts w:ascii="Times New Roman" w:hAnsi="Times New Roman"/>
                <w:b/>
                <w:bCs/>
                <w:sz w:val="24"/>
                <w:u w:val="single"/>
              </w:rPr>
            </w:pPr>
            <w:r>
              <w:rPr>
                <w:rStyle w:val="InstructionsTabelleText"/>
                <w:rFonts w:ascii="Times New Roman" w:hAnsi="Times New Roman"/>
                <w:sz w:val="24"/>
              </w:rPr>
              <w:t>Articolo 254, paragrafo 7, del CRR.</w:t>
            </w:r>
          </w:p>
        </w:tc>
      </w:tr>
      <w:tr w:rsidR="00C55547" w:rsidRPr="00661595" w:rsidTr="000911FE">
        <w:tc>
          <w:tcPr>
            <w:tcW w:w="1413" w:type="dxa"/>
          </w:tcPr>
          <w:p w:rsidR="00C55547" w:rsidRPr="00661595" w:rsidRDefault="00EE2CD5"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0530-0540</w:t>
            </w:r>
          </w:p>
        </w:tc>
        <w:tc>
          <w:tcPr>
            <w:tcW w:w="7605" w:type="dxa"/>
          </w:tcPr>
          <w:p w:rsidR="00C55547" w:rsidRPr="00661595" w:rsidRDefault="00C55547"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EFFETTO GENERALE (RETTIFICA) DOVUTO ALLA VIOLAZIONE DEL CAPO 2 DEL REGOLAMENTO (UE) 2017/2402</w:t>
            </w:r>
          </w:p>
          <w:p w:rsidR="00C55547" w:rsidRPr="00661595" w:rsidRDefault="00C55547" w:rsidP="00F2281A">
            <w:pPr>
              <w:suppressAutoHyphens/>
              <w:rPr>
                <w:rFonts w:ascii="Times New Roman" w:hAnsi="Times New Roman"/>
                <w:b/>
                <w:bCs/>
                <w:sz w:val="24"/>
                <w:u w:val="single"/>
              </w:rPr>
            </w:pPr>
            <w:r>
              <w:rPr>
                <w:rStyle w:val="InstructionsTabelleText"/>
                <w:rFonts w:ascii="Times New Roman" w:hAnsi="Times New Roman"/>
                <w:sz w:val="24"/>
              </w:rPr>
              <w:t>Articolo 270 bis del CRR.</w:t>
            </w:r>
          </w:p>
        </w:tc>
      </w:tr>
      <w:tr w:rsidR="00C55547" w:rsidRPr="00661595" w:rsidTr="000911FE">
        <w:tc>
          <w:tcPr>
            <w:tcW w:w="1413" w:type="dxa"/>
          </w:tcPr>
          <w:p w:rsidR="00C55547" w:rsidRPr="00661595" w:rsidRDefault="00EE2CD5" w:rsidP="00F2281A">
            <w:pPr>
              <w:keepNext/>
              <w:keepLines/>
              <w:suppressAutoHyphens/>
              <w:autoSpaceDE w:val="0"/>
              <w:autoSpaceDN w:val="0"/>
              <w:adjustRightInd w:val="0"/>
              <w:spacing w:before="0" w:after="0"/>
              <w:rPr>
                <w:rFonts w:ascii="Times New Roman" w:hAnsi="Times New Roman"/>
                <w:sz w:val="24"/>
              </w:rPr>
            </w:pPr>
            <w:r>
              <w:rPr>
                <w:rFonts w:ascii="Times New Roman" w:hAnsi="Times New Roman"/>
                <w:sz w:val="24"/>
              </w:rPr>
              <w:t>0570</w:t>
            </w:r>
          </w:p>
        </w:tc>
        <w:tc>
          <w:tcPr>
            <w:tcW w:w="7605" w:type="dxa"/>
          </w:tcPr>
          <w:p w:rsidR="00C55547" w:rsidRPr="00661595" w:rsidRDefault="00C55547" w:rsidP="00F2281A">
            <w:pPr>
              <w:keepNext/>
              <w:keepLines/>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PRIMA DELL</w:t>
            </w:r>
            <w:r w:rsidR="000878EC">
              <w:rPr>
                <w:rFonts w:ascii="Times New Roman" w:hAnsi="Times New Roman"/>
                <w:b/>
                <w:bCs/>
                <w:sz w:val="24"/>
                <w:u w:val="single"/>
              </w:rPr>
              <w:t>'</w:t>
            </w:r>
            <w:r>
              <w:rPr>
                <w:rFonts w:ascii="Times New Roman" w:hAnsi="Times New Roman"/>
                <w:b/>
                <w:bCs/>
                <w:sz w:val="24"/>
                <w:u w:val="single"/>
              </w:rPr>
              <w:t xml:space="preserve">APPLICAZIONE DEL MASSIMALE </w:t>
            </w:r>
          </w:p>
          <w:p w:rsidR="00C55547" w:rsidRPr="00661595" w:rsidRDefault="00C55547" w:rsidP="00F2281A">
            <w:pPr>
              <w:keepNext/>
              <w:keepLines/>
              <w:suppressAutoHyphens/>
              <w:rPr>
                <w:rFonts w:ascii="Times New Roman" w:hAnsi="Times New Roman"/>
                <w:bCs/>
                <w:sz w:val="24"/>
              </w:rPr>
            </w:pPr>
            <w:r>
              <w:rPr>
                <w:rFonts w:ascii="Times New Roman" w:hAnsi="Times New Roman"/>
                <w:bCs/>
                <w:sz w:val="24"/>
              </w:rPr>
              <w:t>Articolo 337 del CRR senza tener conto della facoltà di cui all</w:t>
            </w:r>
            <w:r w:rsidR="000878EC">
              <w:rPr>
                <w:rFonts w:ascii="Times New Roman" w:hAnsi="Times New Roman"/>
                <w:bCs/>
                <w:sz w:val="24"/>
              </w:rPr>
              <w:t>'</w:t>
            </w:r>
            <w:r>
              <w:rPr>
                <w:rFonts w:ascii="Times New Roman" w:hAnsi="Times New Roman"/>
                <w:bCs/>
                <w:sz w:val="24"/>
              </w:rPr>
              <w:t>articolo 335 del CRR, che permette a un ente di fissare, per il prodotto della ponderazione e della posizione netta, un massimale pari alla perdita massima possibile relativa al rischio di default.</w:t>
            </w:r>
          </w:p>
        </w:tc>
      </w:tr>
      <w:tr w:rsidR="00C55547" w:rsidRPr="00661595" w:rsidTr="000911FE">
        <w:tc>
          <w:tcPr>
            <w:tcW w:w="1413" w:type="dxa"/>
          </w:tcPr>
          <w:p w:rsidR="00C55547" w:rsidRPr="00661595" w:rsidRDefault="00EE2CD5"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0601</w:t>
            </w:r>
          </w:p>
        </w:tc>
        <w:tc>
          <w:tcPr>
            <w:tcW w:w="7605" w:type="dxa"/>
          </w:tcPr>
          <w:p w:rsidR="00C55547" w:rsidRPr="00661595" w:rsidRDefault="00C55547"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DOPO L</w:t>
            </w:r>
            <w:r w:rsidR="000878EC">
              <w:rPr>
                <w:rFonts w:ascii="Times New Roman" w:hAnsi="Times New Roman"/>
                <w:b/>
                <w:bCs/>
                <w:sz w:val="24"/>
                <w:u w:val="single"/>
              </w:rPr>
              <w:t>'</w:t>
            </w:r>
            <w:r>
              <w:rPr>
                <w:rFonts w:ascii="Times New Roman" w:hAnsi="Times New Roman"/>
                <w:b/>
                <w:bCs/>
                <w:sz w:val="24"/>
                <w:u w:val="single"/>
              </w:rPr>
              <w:t xml:space="preserve">APPLICAZIONE DEL MASSIMALE / REQUISITI DI FONDI PROPRI TOTALI </w:t>
            </w:r>
          </w:p>
          <w:p w:rsidR="00C55547" w:rsidRPr="00661595" w:rsidRDefault="00C55547" w:rsidP="00F2281A">
            <w:pPr>
              <w:suppressAutoHyphens/>
              <w:rPr>
                <w:rFonts w:ascii="Times New Roman" w:hAnsi="Times New Roman"/>
                <w:bCs/>
                <w:sz w:val="24"/>
              </w:rPr>
            </w:pPr>
            <w:r>
              <w:rPr>
                <w:rFonts w:ascii="Times New Roman" w:hAnsi="Times New Roman"/>
                <w:bCs/>
                <w:sz w:val="24"/>
              </w:rPr>
              <w:t>Articolo 337 del CRR tenendo</w:t>
            </w:r>
            <w:r>
              <w:rPr>
                <w:rStyle w:val="InstructionsTabelleText"/>
                <w:rFonts w:ascii="Times New Roman" w:hAnsi="Times New Roman"/>
                <w:sz w:val="24"/>
              </w:rPr>
              <w:t xml:space="preserve"> conto</w:t>
            </w:r>
            <w:r>
              <w:rPr>
                <w:rFonts w:ascii="Times New Roman" w:hAnsi="Times New Roman"/>
                <w:bCs/>
                <w:sz w:val="24"/>
              </w:rPr>
              <w:t xml:space="preserve"> della facoltà di cui all</w:t>
            </w:r>
            <w:r w:rsidR="000878EC">
              <w:rPr>
                <w:rFonts w:ascii="Times New Roman" w:hAnsi="Times New Roman"/>
                <w:bCs/>
                <w:sz w:val="24"/>
              </w:rPr>
              <w:t>'</w:t>
            </w:r>
            <w:r>
              <w:rPr>
                <w:rFonts w:ascii="Times New Roman" w:hAnsi="Times New Roman"/>
                <w:bCs/>
                <w:sz w:val="24"/>
              </w:rPr>
              <w:t>articolo 335 del CRR.</w:t>
            </w:r>
          </w:p>
        </w:tc>
      </w:tr>
    </w:tbl>
    <w:p w:rsidR="00C55547" w:rsidRPr="00661595"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3"/>
        <w:gridCol w:w="7537"/>
      </w:tblGrid>
      <w:tr w:rsidR="00C55547" w:rsidRPr="00661595" w:rsidTr="00E10B85">
        <w:trPr>
          <w:trHeight w:val="537"/>
        </w:trPr>
        <w:tc>
          <w:tcPr>
            <w:tcW w:w="8950" w:type="dxa"/>
            <w:gridSpan w:val="2"/>
            <w:shd w:val="clear" w:color="auto" w:fill="BFBFBF"/>
          </w:tcPr>
          <w:p w:rsidR="00C55547" w:rsidRPr="00661595" w:rsidRDefault="00C55547" w:rsidP="00F2281A">
            <w:pPr>
              <w:suppressAutoHyphens/>
              <w:autoSpaceDE w:val="0"/>
              <w:autoSpaceDN w:val="0"/>
              <w:adjustRightInd w:val="0"/>
              <w:spacing w:after="0"/>
              <w:rPr>
                <w:rFonts w:ascii="Times New Roman" w:hAnsi="Times New Roman"/>
                <w:b/>
                <w:sz w:val="24"/>
              </w:rPr>
            </w:pPr>
            <w:r>
              <w:rPr>
                <w:rFonts w:ascii="Times New Roman" w:hAnsi="Times New Roman"/>
                <w:b/>
                <w:sz w:val="24"/>
              </w:rPr>
              <w:t>Righe</w:t>
            </w:r>
          </w:p>
        </w:tc>
      </w:tr>
      <w:tr w:rsidR="00C55547" w:rsidRPr="00661595" w:rsidTr="000911FE">
        <w:tc>
          <w:tcPr>
            <w:tcW w:w="1413" w:type="dxa"/>
          </w:tcPr>
          <w:p w:rsidR="00C55547"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537" w:type="dxa"/>
          </w:tcPr>
          <w:p w:rsidR="00C55547" w:rsidRPr="00661595" w:rsidRDefault="00C55547" w:rsidP="00F2281A">
            <w:pPr>
              <w:suppressAutoHyphens/>
              <w:rPr>
                <w:rFonts w:ascii="Times New Roman" w:hAnsi="Times New Roman"/>
                <w:sz w:val="24"/>
              </w:rPr>
            </w:pPr>
            <w:r>
              <w:rPr>
                <w:rStyle w:val="InstructionsTabelleberschrift"/>
                <w:rFonts w:ascii="Times New Roman" w:hAnsi="Times New Roman"/>
                <w:sz w:val="24"/>
              </w:rPr>
              <w:t>ESPOSIZIONI TOTALI</w:t>
            </w:r>
          </w:p>
          <w:p w:rsidR="00C55547" w:rsidRPr="00661595" w:rsidRDefault="00C55547" w:rsidP="00F2281A">
            <w:pPr>
              <w:suppressAutoHyphens/>
              <w:autoSpaceDE w:val="0"/>
              <w:autoSpaceDN w:val="0"/>
              <w:adjustRightInd w:val="0"/>
              <w:spacing w:before="0" w:after="0"/>
              <w:rPr>
                <w:rFonts w:ascii="Times New Roman" w:hAnsi="Times New Roman"/>
                <w:sz w:val="24"/>
              </w:rPr>
            </w:pPr>
            <w:r>
              <w:rPr>
                <w:rStyle w:val="InstructionsTabelleText"/>
                <w:rFonts w:ascii="Times New Roman" w:hAnsi="Times New Roman"/>
                <w:sz w:val="24"/>
              </w:rPr>
              <w:t>Importo complessivo delle cartolarizzazioni e ricartolarizzazioni in essere (detenute nel portafoglio di negoziazione) segnalate dall</w:t>
            </w:r>
            <w:r w:rsidR="000878EC">
              <w:rPr>
                <w:rStyle w:val="InstructionsTabelleText"/>
                <w:rFonts w:ascii="Times New Roman" w:hAnsi="Times New Roman"/>
                <w:sz w:val="24"/>
              </w:rPr>
              <w:t>'</w:t>
            </w:r>
            <w:r>
              <w:rPr>
                <w:rStyle w:val="InstructionsTabelleText"/>
                <w:rFonts w:ascii="Times New Roman" w:hAnsi="Times New Roman"/>
                <w:sz w:val="24"/>
              </w:rPr>
              <w:t>ente nel o nei suoi ruoli di cedente, investitore o promotore.</w:t>
            </w:r>
          </w:p>
        </w:tc>
      </w:tr>
      <w:tr w:rsidR="00C55547" w:rsidRPr="00661595" w:rsidTr="000911FE">
        <w:tc>
          <w:tcPr>
            <w:tcW w:w="1413" w:type="dxa"/>
          </w:tcPr>
          <w:p w:rsidR="00C55547"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0040, 0070 e 0100</w:t>
            </w:r>
          </w:p>
        </w:tc>
        <w:tc>
          <w:tcPr>
            <w:tcW w:w="7537" w:type="dxa"/>
          </w:tcPr>
          <w:p w:rsidR="00C55547" w:rsidRPr="00661595" w:rsidRDefault="00C55547" w:rsidP="00F2281A">
            <w:pPr>
              <w:suppressAutoHyphens/>
              <w:rPr>
                <w:rStyle w:val="InstructionsTabelleberschrift"/>
                <w:rFonts w:ascii="Times New Roman" w:hAnsi="Times New Roman"/>
                <w:sz w:val="24"/>
              </w:rPr>
            </w:pPr>
            <w:r>
              <w:rPr>
                <w:rStyle w:val="InstructionsTabelleberschrift"/>
                <w:rFonts w:ascii="Times New Roman" w:hAnsi="Times New Roman"/>
                <w:sz w:val="24"/>
              </w:rPr>
              <w:t>POSIZIONI VERSO LA CARTOLARIZZAZIONE</w:t>
            </w:r>
          </w:p>
          <w:p w:rsidR="00C55547" w:rsidRPr="00661595" w:rsidRDefault="00532026" w:rsidP="00F2281A">
            <w:pPr>
              <w:suppressAutoHyphens/>
              <w:autoSpaceDE w:val="0"/>
              <w:autoSpaceDN w:val="0"/>
              <w:adjustRightInd w:val="0"/>
              <w:spacing w:before="0" w:after="0"/>
              <w:rPr>
                <w:rFonts w:ascii="Times New Roman" w:hAnsi="Times New Roman"/>
                <w:bCs/>
                <w:sz w:val="24"/>
              </w:rPr>
            </w:pPr>
            <w:r>
              <w:rPr>
                <w:rFonts w:ascii="Times New Roman" w:hAnsi="Times New Roman"/>
                <w:bCs/>
                <w:sz w:val="24"/>
              </w:rPr>
              <w:t>Articolo 4, paragrafo 1, punto 62, del CRR.</w:t>
            </w:r>
          </w:p>
          <w:p w:rsidR="00C55547" w:rsidRPr="00661595" w:rsidRDefault="00C55547" w:rsidP="00F2281A">
            <w:pPr>
              <w:suppressAutoHyphens/>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0020, 0050, 0080 e 0110</w:t>
            </w:r>
          </w:p>
        </w:tc>
        <w:tc>
          <w:tcPr>
            <w:tcW w:w="7537" w:type="dxa"/>
          </w:tcPr>
          <w:p w:rsidR="00C55547" w:rsidRPr="00661595" w:rsidRDefault="00C55547" w:rsidP="00F2281A">
            <w:pPr>
              <w:suppressAutoHyphens/>
              <w:rPr>
                <w:rStyle w:val="InstructionsTabelleberschrift"/>
                <w:rFonts w:ascii="Times New Roman" w:hAnsi="Times New Roman"/>
                <w:sz w:val="24"/>
              </w:rPr>
            </w:pPr>
            <w:r>
              <w:rPr>
                <w:rStyle w:val="InstructionsTabelleberschrift"/>
                <w:rFonts w:ascii="Times New Roman" w:hAnsi="Times New Roman"/>
                <w:sz w:val="24"/>
              </w:rPr>
              <w:t>POSIZIONI VERSO LA RICARTOLARIZZAZIONE</w:t>
            </w:r>
          </w:p>
          <w:p w:rsidR="00C55547" w:rsidRPr="00661595" w:rsidRDefault="00532026" w:rsidP="00F2281A">
            <w:pPr>
              <w:suppressAutoHyphens/>
              <w:autoSpaceDE w:val="0"/>
              <w:autoSpaceDN w:val="0"/>
              <w:adjustRightInd w:val="0"/>
              <w:spacing w:before="0" w:after="0"/>
              <w:rPr>
                <w:rFonts w:ascii="Times New Roman" w:hAnsi="Times New Roman"/>
                <w:bCs/>
                <w:sz w:val="24"/>
              </w:rPr>
            </w:pPr>
            <w:r>
              <w:rPr>
                <w:rFonts w:ascii="Times New Roman" w:hAnsi="Times New Roman"/>
                <w:bCs/>
                <w:sz w:val="24"/>
              </w:rPr>
              <w:t>Articolo 4, paragrafo 1, punto 64, del CRR</w:t>
            </w:r>
          </w:p>
          <w:p w:rsidR="00C55547" w:rsidRPr="00661595" w:rsidRDefault="00C55547" w:rsidP="00F2281A">
            <w:pPr>
              <w:suppressAutoHyphens/>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0041, 0071 e 0101</w:t>
            </w:r>
          </w:p>
        </w:tc>
        <w:tc>
          <w:tcPr>
            <w:tcW w:w="7537" w:type="dxa"/>
          </w:tcPr>
          <w:p w:rsidR="00C55547" w:rsidRPr="00661595" w:rsidRDefault="00C55547" w:rsidP="00F2281A">
            <w:pPr>
              <w:suppressAutoHyphens/>
              <w:rPr>
                <w:rStyle w:val="InstructionsTabelleberschrift"/>
                <w:rFonts w:ascii="Times New Roman" w:hAnsi="Times New Roman"/>
                <w:sz w:val="24"/>
              </w:rPr>
            </w:pPr>
            <w:r>
              <w:rPr>
                <w:rStyle w:val="InstructionsTabelleberschrift"/>
                <w:rFonts w:ascii="Times New Roman" w:hAnsi="Times New Roman"/>
                <w:sz w:val="24"/>
              </w:rPr>
              <w:t>DI CUI: AMMISSIBILI AL TRATTAMENTO DIFFERENZIATO AI FINI PATRIMONIALI</w:t>
            </w:r>
          </w:p>
          <w:p w:rsidR="00C55547" w:rsidRPr="00661595" w:rsidRDefault="00C55547" w:rsidP="00F2281A">
            <w:pPr>
              <w:suppressAutoHyphens/>
              <w:rPr>
                <w:rStyle w:val="InstructionsTabelleberschrift"/>
                <w:rFonts w:ascii="Times New Roman" w:hAnsi="Times New Roman"/>
                <w:sz w:val="24"/>
              </w:rPr>
            </w:pPr>
            <w:r>
              <w:rPr>
                <w:rFonts w:ascii="Times New Roman" w:hAnsi="Times New Roman"/>
                <w:bCs/>
                <w:sz w:val="24"/>
              </w:rPr>
              <w:t>Importo totale delle posizioni verso la cartolarizzazione che soddisfano i criteri di cui all</w:t>
            </w:r>
            <w:r w:rsidR="000878EC">
              <w:rPr>
                <w:rFonts w:ascii="Times New Roman" w:hAnsi="Times New Roman"/>
                <w:bCs/>
                <w:sz w:val="24"/>
              </w:rPr>
              <w:t>'</w:t>
            </w:r>
            <w:r>
              <w:rPr>
                <w:rFonts w:ascii="Times New Roman" w:hAnsi="Times New Roman"/>
                <w:bCs/>
                <w:sz w:val="24"/>
              </w:rPr>
              <w:t>articolo 243 o 270 del CRR e possono pertanto essere soggette al trattamento differenziato ai fini patrimoniali.</w:t>
            </w:r>
          </w:p>
        </w:tc>
      </w:tr>
      <w:tr w:rsidR="00C55547" w:rsidRPr="00661595" w:rsidTr="000911FE">
        <w:tc>
          <w:tcPr>
            <w:tcW w:w="1413" w:type="dxa"/>
          </w:tcPr>
          <w:p w:rsidR="00C55547"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0030-0050</w:t>
            </w:r>
          </w:p>
        </w:tc>
        <w:tc>
          <w:tcPr>
            <w:tcW w:w="7537" w:type="dxa"/>
          </w:tcPr>
          <w:p w:rsidR="00C55547" w:rsidRPr="00661595" w:rsidRDefault="00C55547" w:rsidP="00F2281A">
            <w:pPr>
              <w:suppressAutoHyphens/>
              <w:rPr>
                <w:rStyle w:val="InstructionsTabelleberschrift"/>
                <w:rFonts w:ascii="Times New Roman" w:hAnsi="Times New Roman"/>
                <w:sz w:val="24"/>
              </w:rPr>
            </w:pPr>
            <w:r>
              <w:rPr>
                <w:rStyle w:val="InstructionsTabelleberschrift"/>
                <w:rFonts w:ascii="Times New Roman" w:hAnsi="Times New Roman"/>
                <w:sz w:val="24"/>
              </w:rPr>
              <w:t>CEDENTE</w:t>
            </w:r>
          </w:p>
          <w:p w:rsidR="00C55547" w:rsidRPr="00661595" w:rsidRDefault="000242CC" w:rsidP="00F2281A">
            <w:pPr>
              <w:suppressAutoHyphens/>
              <w:autoSpaceDE w:val="0"/>
              <w:autoSpaceDN w:val="0"/>
              <w:adjustRightInd w:val="0"/>
              <w:spacing w:before="0" w:after="0"/>
              <w:rPr>
                <w:rFonts w:ascii="Times New Roman" w:hAnsi="Times New Roman"/>
                <w:bCs/>
                <w:sz w:val="24"/>
              </w:rPr>
            </w:pPr>
            <w:r>
              <w:rPr>
                <w:rFonts w:ascii="Times New Roman" w:hAnsi="Times New Roman"/>
                <w:bCs/>
                <w:sz w:val="24"/>
              </w:rPr>
              <w:t>Articolo 4, paragrafo 1, punto 13, del CRR</w:t>
            </w:r>
          </w:p>
          <w:p w:rsidR="00C55547" w:rsidRPr="00661595" w:rsidRDefault="00C55547" w:rsidP="00F2281A">
            <w:pPr>
              <w:suppressAutoHyphens/>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537" w:type="dxa"/>
          </w:tcPr>
          <w:p w:rsidR="00C55547" w:rsidRPr="00661595" w:rsidRDefault="00C55547" w:rsidP="00F2281A">
            <w:pPr>
              <w:suppressAutoHyphens/>
              <w:rPr>
                <w:rStyle w:val="InstructionsTabelleberschrift"/>
                <w:rFonts w:ascii="Times New Roman" w:hAnsi="Times New Roman"/>
                <w:sz w:val="24"/>
              </w:rPr>
            </w:pPr>
            <w:r>
              <w:rPr>
                <w:rStyle w:val="InstructionsTabelleberschrift"/>
                <w:rFonts w:ascii="Times New Roman" w:hAnsi="Times New Roman"/>
                <w:sz w:val="24"/>
              </w:rPr>
              <w:t>INVESTITORE</w:t>
            </w:r>
          </w:p>
          <w:p w:rsidR="00C55547" w:rsidRPr="00661595" w:rsidRDefault="00C55547" w:rsidP="00F2281A">
            <w:pPr>
              <w:suppressAutoHyphens/>
              <w:autoSpaceDE w:val="0"/>
              <w:autoSpaceDN w:val="0"/>
              <w:adjustRightInd w:val="0"/>
              <w:spacing w:before="0" w:after="0"/>
              <w:rPr>
                <w:rFonts w:ascii="Times New Roman" w:hAnsi="Times New Roman"/>
                <w:bCs/>
                <w:sz w:val="24"/>
              </w:rPr>
            </w:pPr>
            <w:r>
              <w:rPr>
                <w:rFonts w:ascii="Times New Roman" w:hAnsi="Times New Roman"/>
                <w:bCs/>
                <w:sz w:val="24"/>
              </w:rPr>
              <w:t>Ente creditizio che detiene posizioni verso la cartolarizzazione in un</w:t>
            </w:r>
            <w:r w:rsidR="000878EC">
              <w:rPr>
                <w:rFonts w:ascii="Times New Roman" w:hAnsi="Times New Roman"/>
                <w:bCs/>
                <w:sz w:val="24"/>
              </w:rPr>
              <w:t>'</w:t>
            </w:r>
            <w:r>
              <w:rPr>
                <w:rFonts w:ascii="Times New Roman" w:hAnsi="Times New Roman"/>
                <w:bCs/>
                <w:sz w:val="24"/>
              </w:rPr>
              <w:t>operazione di cartolarizzazione nella quale non è né il cedente né il promotore né il prestatore originario.</w:t>
            </w:r>
          </w:p>
          <w:p w:rsidR="00C55547" w:rsidRPr="00661595" w:rsidRDefault="00C55547" w:rsidP="00F2281A">
            <w:pPr>
              <w:suppressAutoHyphens/>
              <w:autoSpaceDE w:val="0"/>
              <w:autoSpaceDN w:val="0"/>
              <w:adjustRightInd w:val="0"/>
              <w:spacing w:before="0" w:after="0"/>
              <w:rPr>
                <w:rFonts w:ascii="Times New Roman" w:hAnsi="Times New Roman"/>
                <w:bCs/>
                <w:sz w:val="24"/>
                <w:lang w:eastAsia="nl-BE"/>
              </w:rPr>
            </w:pPr>
          </w:p>
        </w:tc>
      </w:tr>
      <w:tr w:rsidR="00C55547" w:rsidRPr="00661595" w:rsidTr="000911FE">
        <w:tc>
          <w:tcPr>
            <w:tcW w:w="1413" w:type="dxa"/>
          </w:tcPr>
          <w:p w:rsidR="00C55547"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537" w:type="dxa"/>
          </w:tcPr>
          <w:p w:rsidR="00C55547" w:rsidRPr="00661595" w:rsidRDefault="00C55547" w:rsidP="00F2281A">
            <w:pPr>
              <w:suppressAutoHyphens/>
              <w:rPr>
                <w:rStyle w:val="InstructionsTabelleberschrift"/>
                <w:rFonts w:ascii="Times New Roman" w:hAnsi="Times New Roman"/>
                <w:sz w:val="24"/>
              </w:rPr>
            </w:pPr>
            <w:r>
              <w:rPr>
                <w:rStyle w:val="InstructionsTabelleberschrift"/>
                <w:rFonts w:ascii="Times New Roman" w:hAnsi="Times New Roman"/>
                <w:sz w:val="24"/>
              </w:rPr>
              <w:t>PROMOTORE</w:t>
            </w:r>
          </w:p>
          <w:p w:rsidR="000242CC" w:rsidRPr="00661595" w:rsidRDefault="000242CC" w:rsidP="00F2281A">
            <w:pPr>
              <w:suppressAutoHyphens/>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 xml:space="preserve">Articolo 4, paragrafo 1, punto 14, del CRR. </w:t>
            </w:r>
          </w:p>
          <w:p w:rsidR="00C55547" w:rsidRPr="00661595" w:rsidRDefault="00532026" w:rsidP="00F2281A">
            <w:pPr>
              <w:suppressAutoHyphens/>
              <w:autoSpaceDE w:val="0"/>
              <w:autoSpaceDN w:val="0"/>
              <w:adjustRightInd w:val="0"/>
              <w:spacing w:before="0" w:after="0"/>
              <w:rPr>
                <w:rStyle w:val="InstructionsTabelleText"/>
                <w:rFonts w:ascii="Times New Roman" w:hAnsi="Times New Roman"/>
                <w:sz w:val="24"/>
              </w:rPr>
            </w:pPr>
            <w:r>
              <w:rPr>
                <w:rStyle w:val="InstructionsTabelleText"/>
                <w:rFonts w:ascii="Times New Roman" w:hAnsi="Times New Roman"/>
                <w:sz w:val="24"/>
              </w:rPr>
              <w:t>Se cartolarizza anche attività proprie, il promotore inserisce nelle righe dedicate al cedente le informazioni relative alle proprie attività cartolarizzate.</w:t>
            </w:r>
          </w:p>
        </w:tc>
      </w:tr>
    </w:tbl>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125707" w:rsidP="00F2281A">
      <w:pPr>
        <w:pStyle w:val="Instructionsberschrift2"/>
        <w:numPr>
          <w:ilvl w:val="0"/>
          <w:numId w:val="0"/>
        </w:numPr>
        <w:suppressAutoHyphens/>
        <w:ind w:left="357" w:hanging="357"/>
        <w:rPr>
          <w:rFonts w:ascii="Times New Roman" w:hAnsi="Times New Roman" w:cs="Times New Roman"/>
          <w:sz w:val="24"/>
        </w:rPr>
      </w:pPr>
      <w:bookmarkStart w:id="636" w:name="_Toc295830002"/>
      <w:bookmarkStart w:id="637" w:name="_Toc308426679"/>
      <w:bookmarkStart w:id="638" w:name="_Toc310415063"/>
      <w:bookmarkStart w:id="639" w:name="_Toc360188398"/>
      <w:bookmarkStart w:id="640" w:name="_Toc473561038"/>
      <w:bookmarkStart w:id="641" w:name="_Toc58915845"/>
      <w:r>
        <w:rPr>
          <w:rFonts w:ascii="Times New Roman" w:hAnsi="Times New Roman"/>
          <w:sz w:val="24"/>
          <w:u w:val="none"/>
        </w:rPr>
        <w:t>5.3.</w:t>
      </w:r>
      <w:r w:rsidRPr="00F2281A">
        <w:rPr>
          <w:u w:val="none"/>
        </w:rPr>
        <w:tab/>
      </w:r>
      <w:r>
        <w:rPr>
          <w:rFonts w:ascii="Times New Roman" w:hAnsi="Times New Roman"/>
          <w:sz w:val="24"/>
        </w:rPr>
        <w:t xml:space="preserve">C 20.00 - RISCHIO DI MERCATO: </w:t>
      </w:r>
      <w:bookmarkStart w:id="642" w:name="_Toc294172373"/>
      <w:r>
        <w:rPr>
          <w:rFonts w:ascii="Times New Roman" w:hAnsi="Times New Roman"/>
          <w:sz w:val="24"/>
        </w:rPr>
        <w:t>METODO STANDARDIZZATO PER IL RISCHIO SPECIFICO DI POSIZIONI ASSEGNATE AL PORTAFOGLIO DI NEGOZIAZIONE DI CORRELAZIONE (MKR SA CTP)</w:t>
      </w:r>
      <w:bookmarkEnd w:id="636"/>
      <w:bookmarkEnd w:id="637"/>
      <w:bookmarkEnd w:id="638"/>
      <w:bookmarkEnd w:id="642"/>
      <w:r>
        <w:rPr>
          <w:rFonts w:ascii="Times New Roman" w:hAnsi="Times New Roman"/>
          <w:sz w:val="24"/>
        </w:rPr>
        <w:t>)</w:t>
      </w:r>
      <w:bookmarkEnd w:id="639"/>
      <w:bookmarkEnd w:id="640"/>
      <w:bookmarkEnd w:id="641"/>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43" w:name="_Toc294172374"/>
      <w:bookmarkStart w:id="644" w:name="_Toc295830003"/>
      <w:bookmarkStart w:id="645" w:name="_Toc308426680"/>
      <w:bookmarkStart w:id="646" w:name="_Toc310415064"/>
      <w:bookmarkStart w:id="647" w:name="_Toc360188399"/>
      <w:bookmarkStart w:id="648" w:name="_Toc473561039"/>
      <w:bookmarkStart w:id="649" w:name="_Toc58915846"/>
      <w:r>
        <w:rPr>
          <w:rFonts w:ascii="Times New Roman" w:hAnsi="Times New Roman"/>
          <w:sz w:val="24"/>
          <w:u w:val="none"/>
        </w:rPr>
        <w:t>5.3.1.</w:t>
      </w:r>
      <w:r w:rsidRPr="00F2281A">
        <w:rPr>
          <w:u w:val="none"/>
        </w:rPr>
        <w:tab/>
      </w:r>
      <w:r>
        <w:rPr>
          <w:rFonts w:ascii="Times New Roman" w:hAnsi="Times New Roman"/>
          <w:sz w:val="24"/>
        </w:rPr>
        <w:t>Osservazioni di carattere generale</w:t>
      </w:r>
      <w:bookmarkEnd w:id="643"/>
      <w:bookmarkEnd w:id="644"/>
      <w:bookmarkEnd w:id="645"/>
      <w:bookmarkEnd w:id="646"/>
      <w:bookmarkEnd w:id="647"/>
      <w:bookmarkEnd w:id="648"/>
      <w:bookmarkEnd w:id="649"/>
    </w:p>
    <w:bookmarkStart w:id="650" w:name="_Toc294172375"/>
    <w:bookmarkStart w:id="651" w:name="_Toc295830004"/>
    <w:bookmarkStart w:id="652" w:name="_Toc308426681"/>
    <w:bookmarkStart w:id="653" w:name="_Toc310415065"/>
    <w:bookmarkStart w:id="654" w:name="_Toc360188400"/>
    <w:bookmarkStart w:id="655" w:name="_Toc473561040"/>
    <w:p w:rsidR="00C55547" w:rsidRPr="00661595" w:rsidRDefault="00771068" w:rsidP="00F2281A">
      <w:pPr>
        <w:pStyle w:val="InstructionsText2"/>
        <w:numPr>
          <w:ilvl w:val="0"/>
          <w:numId w:val="0"/>
        </w:numPr>
        <w:ind w:left="1680" w:hanging="480"/>
      </w:pPr>
      <w:r>
        <w:fldChar w:fldCharType="begin"/>
      </w:r>
      <w:r>
        <w:instrText xml:space="preserve"> seq paragraphs </w:instrText>
      </w:r>
      <w:r>
        <w:fldChar w:fldCharType="separate"/>
      </w:r>
      <w:r>
        <w:t>165</w:t>
      </w:r>
      <w:r>
        <w:fldChar w:fldCharType="end"/>
      </w:r>
      <w:r w:rsidR="00F2281A">
        <w:t>.</w:t>
      </w:r>
      <w:r w:rsidR="00F2281A">
        <w:tab/>
      </w:r>
      <w:r>
        <w:t>In questo modello vanno inserite informazioni riguardanti le posizioni del portafoglio di negoziazione di correlazione (compresi le cartolarizzazioni, i derivati su crediti di tipo nth-to-default e le altre posizioni di questo portafoglio incluse ai sensi dell</w:t>
      </w:r>
      <w:r w:rsidR="000878EC">
        <w:t>'</w:t>
      </w:r>
      <w:r>
        <w:t>articolo 338, paragrafo 3, del CRR) e i relativi requisiti di fondi propri in base al metodo standardizzato.</w:t>
      </w:r>
    </w:p>
    <w:p w:rsidR="00C55547" w:rsidRPr="00661595" w:rsidRDefault="00A971CA" w:rsidP="00F2281A">
      <w:pPr>
        <w:pStyle w:val="InstructionsText2"/>
        <w:numPr>
          <w:ilvl w:val="0"/>
          <w:numId w:val="0"/>
        </w:numPr>
        <w:ind w:left="1680" w:hanging="480"/>
      </w:pPr>
      <w:r>
        <w:fldChar w:fldCharType="begin"/>
      </w:r>
      <w:r>
        <w:instrText xml:space="preserve"> seq paragraphs </w:instrText>
      </w:r>
      <w:r>
        <w:fldChar w:fldCharType="separate"/>
      </w:r>
      <w:r w:rsidR="00D11E4C">
        <w:rPr>
          <w:noProof/>
        </w:rPr>
        <w:t>166</w:t>
      </w:r>
      <w:r>
        <w:rPr>
          <w:noProof/>
        </w:rPr>
        <w:fldChar w:fldCharType="end"/>
      </w:r>
      <w:r w:rsidR="00D11E4C">
        <w:t>.</w:t>
      </w:r>
      <w:r w:rsidR="00D11E4C">
        <w:tab/>
        <w:t xml:space="preserve"> Il modello MKR SA CTP presenta il requisito di fondi propri soltanto per il rischio specifico di posizioni assegnate al portafoglio di negoziazione di correlazione conformemente all</w:t>
      </w:r>
      <w:r w:rsidR="000878EC">
        <w:t>'</w:t>
      </w:r>
      <w:r w:rsidR="00D11E4C">
        <w:t>articolo 335 del CRR in combinato disposto con l</w:t>
      </w:r>
      <w:r w:rsidR="000878EC">
        <w:t>'</w:t>
      </w:r>
      <w:r w:rsidR="00D11E4C">
        <w:t>articolo 338, paragrafi 2 e 3, del CRR. Se le posizioni del portafoglio di negoziazione di correlazione comprese nel portafoglio di negoziazione sono coperte da derivati su crediti, si applicano gli articoli 346 e 347 del CRR. C</w:t>
      </w:r>
      <w:r w:rsidR="000878EC">
        <w:t>'</w:t>
      </w:r>
      <w:r w:rsidR="00D11E4C">
        <w:t>è un solo modello per tutte le posizioni del portafoglio di negoziazione di correlazione comprese nel portafoglio di negoziazione, a prescindere dal metodo di cui si avvale l</w:t>
      </w:r>
      <w:r w:rsidR="000878EC">
        <w:t>'</w:t>
      </w:r>
      <w:r w:rsidR="00D11E4C">
        <w:t>ente per stabilire la ponderazione del rischio di ciascuna posizione conformemente alla parte tre, titolo II, capo 5, del CRR. Per segnalare i requisiti di fondi propri per il rischio generico di queste posizioni si utilizza il modello MKR SA TDI o il modello MKR IM.</w:t>
      </w:r>
    </w:p>
    <w:p w:rsidR="00C55547" w:rsidRPr="00661595" w:rsidRDefault="00A971CA" w:rsidP="00F2281A">
      <w:pPr>
        <w:pStyle w:val="InstructionsText2"/>
        <w:numPr>
          <w:ilvl w:val="0"/>
          <w:numId w:val="0"/>
        </w:numPr>
        <w:ind w:left="1680" w:hanging="480"/>
      </w:pPr>
      <w:r>
        <w:fldChar w:fldCharType="begin"/>
      </w:r>
      <w:r>
        <w:instrText xml:space="preserve"> seq paragraphs </w:instrText>
      </w:r>
      <w:r>
        <w:fldChar w:fldCharType="separate"/>
      </w:r>
      <w:r w:rsidR="00D11E4C">
        <w:rPr>
          <w:noProof/>
        </w:rPr>
        <w:t>167</w:t>
      </w:r>
      <w:r>
        <w:rPr>
          <w:noProof/>
        </w:rPr>
        <w:fldChar w:fldCharType="end"/>
      </w:r>
      <w:r w:rsidR="00D11E4C">
        <w:t>.</w:t>
      </w:r>
      <w:r w:rsidR="00D11E4C">
        <w:tab/>
        <w:t xml:space="preserve"> Il modello distingue le posizioni verso la cartolarizzazione, i derivati su crediti di tipo nth-to-default e le altre posizioni del portafoglio di negoziazione di correlazione. Le posizioni verso la cartolarizzazione sono sempre segnalate nelle righe 0030, 0060 o 0090 (a seconda del ruolo svolto dall</w:t>
      </w:r>
      <w:r w:rsidR="000878EC">
        <w:t>'</w:t>
      </w:r>
      <w:r w:rsidR="00D11E4C">
        <w:t xml:space="preserve">ente nella cartolarizzazione). I derivati su crediti di tipo nth-to-default sono sempre segnalati nella riga 0110. Le </w:t>
      </w:r>
      <w:r w:rsidR="000878EC">
        <w:t>"</w:t>
      </w:r>
      <w:r w:rsidR="00D11E4C">
        <w:t>altre posizioni del CTP</w:t>
      </w:r>
      <w:r w:rsidR="000878EC">
        <w:t>"</w:t>
      </w:r>
      <w:r w:rsidR="00D11E4C">
        <w:t xml:space="preserve"> non sono né posizioni verso la cartolarizzazione né derivati su crediti di tipo nth-to-default (cfr. l</w:t>
      </w:r>
      <w:r w:rsidR="000878EC">
        <w:t>'</w:t>
      </w:r>
      <w:r w:rsidR="00D11E4C">
        <w:t xml:space="preserve">articolo 338, paragrafo 3, del CRR), però sono </w:t>
      </w:r>
      <w:r w:rsidR="000878EC">
        <w:t>"</w:t>
      </w:r>
      <w:r w:rsidR="00D11E4C">
        <w:t>collegate</w:t>
      </w:r>
      <w:r w:rsidR="000878EC">
        <w:t>"</w:t>
      </w:r>
      <w:r w:rsidR="00D11E4C">
        <w:t xml:space="preserve"> esplicitamente a una di queste due posizioni (a causa della finalità di copertura). </w:t>
      </w:r>
    </w:p>
    <w:p w:rsidR="00C55547" w:rsidRPr="00661595" w:rsidRDefault="00A971CA" w:rsidP="00F2281A">
      <w:pPr>
        <w:pStyle w:val="InstructionsText2"/>
        <w:numPr>
          <w:ilvl w:val="0"/>
          <w:numId w:val="0"/>
        </w:numPr>
        <w:ind w:left="1680" w:hanging="480"/>
      </w:pPr>
      <w:r>
        <w:fldChar w:fldCharType="begin"/>
      </w:r>
      <w:r>
        <w:instrText xml:space="preserve"> seq paragraphs </w:instrText>
      </w:r>
      <w:r>
        <w:fldChar w:fldCharType="separate"/>
      </w:r>
      <w:r w:rsidR="00D11E4C">
        <w:rPr>
          <w:noProof/>
        </w:rPr>
        <w:t>168</w:t>
      </w:r>
      <w:r>
        <w:rPr>
          <w:noProof/>
        </w:rPr>
        <w:fldChar w:fldCharType="end"/>
      </w:r>
      <w:r w:rsidR="00D11E4C">
        <w:t>.</w:t>
      </w:r>
      <w:r w:rsidR="00D11E4C">
        <w:tab/>
        <w:t xml:space="preserve"> In alternativa, le posizioni soggette a un fattore di ponderazione del rischio del 1 250% possono essere dedotte dal capitale primario di classe 1 (cfr. l</w:t>
      </w:r>
      <w:r w:rsidR="000878EC">
        <w:t>'</w:t>
      </w:r>
      <w:r w:rsidR="00D11E4C">
        <w:t>articolo 244, paragrafo 1, lettera b), l</w:t>
      </w:r>
      <w:r w:rsidR="000878EC">
        <w:t>'</w:t>
      </w:r>
      <w:r w:rsidR="00D11E4C">
        <w:t>articolo 245, paragrafo 1, lettera b), e l</w:t>
      </w:r>
      <w:r w:rsidR="000878EC">
        <w:t>'</w:t>
      </w:r>
      <w:r w:rsidR="00D11E4C">
        <w:t>articolo 253 del CRR). In tal caso, queste posizioni devono essere segnalate nella riga 0460 del CA1.</w:t>
      </w:r>
    </w:p>
    <w:p w:rsidR="000B0B09" w:rsidRPr="00661595" w:rsidRDefault="00125707" w:rsidP="00F2281A">
      <w:pPr>
        <w:pStyle w:val="Instructionsberschrift2"/>
        <w:keepLines/>
        <w:numPr>
          <w:ilvl w:val="0"/>
          <w:numId w:val="0"/>
        </w:numPr>
        <w:ind w:left="357" w:hanging="357"/>
        <w:rPr>
          <w:rFonts w:ascii="Times New Roman" w:hAnsi="Times New Roman" w:cs="Times New Roman"/>
          <w:sz w:val="24"/>
        </w:rPr>
      </w:pPr>
      <w:bookmarkStart w:id="656" w:name="_Toc58915847"/>
      <w:r>
        <w:rPr>
          <w:rFonts w:ascii="Times New Roman" w:hAnsi="Times New Roman"/>
          <w:sz w:val="24"/>
          <w:u w:val="none"/>
        </w:rPr>
        <w:t>5.3.2.</w:t>
      </w:r>
      <w:r w:rsidRPr="00F2281A">
        <w:rPr>
          <w:u w:val="none"/>
        </w:rPr>
        <w:tab/>
      </w:r>
      <w:r>
        <w:rPr>
          <w:rFonts w:ascii="Times New Roman" w:hAnsi="Times New Roman"/>
          <w:sz w:val="24"/>
        </w:rPr>
        <w:t>Istruzioni relative a posizioni specifiche</w:t>
      </w:r>
      <w:bookmarkEnd w:id="650"/>
      <w:bookmarkEnd w:id="651"/>
      <w:bookmarkEnd w:id="652"/>
      <w:bookmarkEnd w:id="653"/>
      <w:bookmarkEnd w:id="654"/>
      <w:bookmarkEnd w:id="655"/>
      <w:bookmarkEnd w:id="656"/>
    </w:p>
    <w:p w:rsidR="000B0B09" w:rsidRPr="00661595" w:rsidRDefault="000B0B09" w:rsidP="00F2281A">
      <w:pPr>
        <w:keepNext/>
        <w:keepLines/>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6"/>
        <w:gridCol w:w="7874"/>
      </w:tblGrid>
      <w:tr w:rsidR="00C55547" w:rsidRPr="00661595" w:rsidTr="00E10B85">
        <w:trPr>
          <w:trHeight w:val="602"/>
        </w:trPr>
        <w:tc>
          <w:tcPr>
            <w:tcW w:w="8890" w:type="dxa"/>
            <w:gridSpan w:val="2"/>
            <w:shd w:val="clear" w:color="auto" w:fill="CCCCCC"/>
          </w:tcPr>
          <w:p w:rsidR="00C55547" w:rsidRPr="00661595" w:rsidRDefault="00C55547" w:rsidP="00F2281A">
            <w:pPr>
              <w:keepNext/>
              <w:keepLines/>
              <w:suppressAutoHyphens/>
              <w:autoSpaceDE w:val="0"/>
              <w:autoSpaceDN w:val="0"/>
              <w:adjustRightInd w:val="0"/>
              <w:spacing w:after="0"/>
              <w:rPr>
                <w:rFonts w:ascii="Times New Roman" w:hAnsi="Times New Roman"/>
                <w:b/>
                <w:sz w:val="24"/>
              </w:rPr>
            </w:pPr>
            <w:r>
              <w:rPr>
                <w:rFonts w:ascii="Times New Roman" w:hAnsi="Times New Roman"/>
                <w:b/>
                <w:sz w:val="24"/>
              </w:rPr>
              <w:t>Colonne</w:t>
            </w:r>
          </w:p>
        </w:tc>
      </w:tr>
      <w:tr w:rsidR="00C55547" w:rsidRPr="00661595" w:rsidTr="00E10B85">
        <w:tc>
          <w:tcPr>
            <w:tcW w:w="1016" w:type="dxa"/>
          </w:tcPr>
          <w:p w:rsidR="00C55547" w:rsidRPr="00661595" w:rsidRDefault="002F79EA" w:rsidP="00F2281A">
            <w:pPr>
              <w:keepNext/>
              <w:keepLines/>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rsidR="00C55547" w:rsidRPr="00661595" w:rsidRDefault="00C55547" w:rsidP="00F2281A">
            <w:pPr>
              <w:keepNext/>
              <w:keepLines/>
              <w:suppressAutoHyphens/>
              <w:rPr>
                <w:rStyle w:val="InstructionsTabelleberschrift"/>
                <w:rFonts w:ascii="Times New Roman" w:hAnsi="Times New Roman"/>
                <w:sz w:val="24"/>
              </w:rPr>
            </w:pPr>
            <w:r>
              <w:rPr>
                <w:rStyle w:val="InstructionsTabelleberschrift"/>
                <w:rFonts w:ascii="Times New Roman" w:hAnsi="Times New Roman"/>
                <w:sz w:val="24"/>
              </w:rPr>
              <w:t>TUTTE LE POSIZIONI (LUNGHE E CORTE)</w:t>
            </w:r>
          </w:p>
          <w:p w:rsidR="005C14B0" w:rsidRPr="00661595" w:rsidRDefault="00C55547" w:rsidP="00F2281A">
            <w:pPr>
              <w:keepNext/>
              <w:keepLines/>
              <w:suppressAutoHyphens/>
              <w:rPr>
                <w:rFonts w:ascii="Times New Roman" w:hAnsi="Times New Roman"/>
                <w:sz w:val="24"/>
              </w:rPr>
            </w:pPr>
            <w:r>
              <w:rPr>
                <w:rFonts w:ascii="Times New Roman" w:hAnsi="Times New Roman"/>
                <w:sz w:val="24"/>
              </w:rPr>
              <w:t>Articolo 102 e articolo 105, paragrafo 1, del CRR in combinato disposto con l</w:t>
            </w:r>
            <w:r w:rsidR="000878EC">
              <w:rPr>
                <w:rFonts w:ascii="Times New Roman" w:hAnsi="Times New Roman"/>
                <w:sz w:val="24"/>
              </w:rPr>
              <w:t>'</w:t>
            </w:r>
            <w:r>
              <w:rPr>
                <w:rFonts w:ascii="Times New Roman" w:hAnsi="Times New Roman"/>
                <w:sz w:val="24"/>
              </w:rPr>
              <w:t>articolo 338, paragrafi 2 e 3, del CRR (posizioni assegnate al portafoglio di negoziazione di correlazione).</w:t>
            </w:r>
          </w:p>
          <w:p w:rsidR="00C55547" w:rsidRPr="00661595" w:rsidRDefault="00C55547" w:rsidP="00F2281A">
            <w:pPr>
              <w:keepNext/>
              <w:keepLines/>
              <w:suppressAutoHyphens/>
              <w:rPr>
                <w:rFonts w:ascii="Times New Roman" w:hAnsi="Times New Roman"/>
                <w:sz w:val="24"/>
              </w:rPr>
            </w:pPr>
            <w:r>
              <w:rPr>
                <w:rFonts w:ascii="Times New Roman" w:hAnsi="Times New Roman"/>
                <w:sz w:val="24"/>
              </w:rPr>
              <w:t>Per la distinzione tra posizioni lunghe e posizioni corte, applicabile anche a queste posizioni lorde, cfr. l</w:t>
            </w:r>
            <w:r w:rsidR="000878EC">
              <w:rPr>
                <w:rFonts w:ascii="Times New Roman" w:hAnsi="Times New Roman"/>
                <w:sz w:val="24"/>
              </w:rPr>
              <w:t>'</w:t>
            </w:r>
            <w:r>
              <w:rPr>
                <w:rFonts w:ascii="Times New Roman" w:hAnsi="Times New Roman"/>
                <w:sz w:val="24"/>
              </w:rPr>
              <w:t>articolo 328, paragrafo 2, del CRR.</w:t>
            </w:r>
          </w:p>
        </w:tc>
      </w:tr>
      <w:tr w:rsidR="00C55547" w:rsidRPr="00661595" w:rsidTr="00E10B85">
        <w:tc>
          <w:tcPr>
            <w:tcW w:w="1016" w:type="dxa"/>
          </w:tcPr>
          <w:p w:rsidR="00C55547"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74" w:type="dxa"/>
          </w:tcPr>
          <w:p w:rsidR="00C55547" w:rsidRPr="00661595" w:rsidRDefault="00C55547" w:rsidP="00F2281A">
            <w:pPr>
              <w:suppressAutoHyphens/>
              <w:rPr>
                <w:rStyle w:val="InstructionsTabelleberschrift"/>
                <w:rFonts w:ascii="Times New Roman" w:hAnsi="Times New Roman"/>
                <w:sz w:val="24"/>
              </w:rPr>
            </w:pPr>
            <w:r>
              <w:rPr>
                <w:rStyle w:val="InstructionsTabelleberschrift"/>
                <w:rFonts w:ascii="Times New Roman" w:hAnsi="Times New Roman"/>
                <w:sz w:val="24"/>
              </w:rPr>
              <w:t>(-) POSIZIONI DEDOTTE DAI FONDI PROPRI (LUNGHE E CORTE)</w:t>
            </w:r>
          </w:p>
          <w:p w:rsidR="00C55547" w:rsidRPr="00661595" w:rsidRDefault="00C55547" w:rsidP="00F2281A">
            <w:pPr>
              <w:suppressAutoHyphens/>
              <w:rPr>
                <w:rFonts w:ascii="Times New Roman" w:hAnsi="Times New Roman"/>
                <w:sz w:val="24"/>
              </w:rPr>
            </w:pPr>
            <w:r>
              <w:rPr>
                <w:rFonts w:ascii="Times New Roman" w:hAnsi="Times New Roman"/>
                <w:sz w:val="24"/>
              </w:rPr>
              <w:t xml:space="preserve">Articolo 253 del CRR. </w:t>
            </w:r>
          </w:p>
        </w:tc>
      </w:tr>
      <w:tr w:rsidR="00C55547" w:rsidRPr="00661595" w:rsidTr="00E10B85">
        <w:tc>
          <w:tcPr>
            <w:tcW w:w="1016" w:type="dxa"/>
          </w:tcPr>
          <w:p w:rsidR="00C55547"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74" w:type="dxa"/>
          </w:tcPr>
          <w:p w:rsidR="00C55547" w:rsidRPr="00661595" w:rsidRDefault="00C55547" w:rsidP="00F2281A">
            <w:pPr>
              <w:suppressAutoHyphens/>
              <w:rPr>
                <w:rStyle w:val="InstructionsTabelleberschrift"/>
                <w:rFonts w:ascii="Times New Roman" w:hAnsi="Times New Roman"/>
                <w:sz w:val="24"/>
              </w:rPr>
            </w:pPr>
            <w:r>
              <w:rPr>
                <w:rStyle w:val="InstructionsTabelleberschrift"/>
                <w:rFonts w:ascii="Times New Roman" w:hAnsi="Times New Roman"/>
                <w:sz w:val="24"/>
              </w:rPr>
              <w:t>POSIZIONI NETTE (LUNGHE E CORTE)</w:t>
            </w:r>
          </w:p>
          <w:p w:rsidR="005C14B0" w:rsidRPr="00661595" w:rsidRDefault="00C55547" w:rsidP="00F2281A">
            <w:pPr>
              <w:suppressAutoHyphens/>
              <w:rPr>
                <w:rFonts w:ascii="Times New Roman" w:hAnsi="Times New Roman"/>
                <w:sz w:val="24"/>
              </w:rPr>
            </w:pPr>
            <w:r>
              <w:rPr>
                <w:rFonts w:ascii="Times New Roman" w:hAnsi="Times New Roman"/>
                <w:sz w:val="24"/>
              </w:rPr>
              <w:t xml:space="preserve">Articoli 327, 328, 329 e 334 del CRR. </w:t>
            </w:r>
          </w:p>
          <w:p w:rsidR="00C55547" w:rsidRPr="00661595" w:rsidRDefault="00C55547" w:rsidP="00F2281A">
            <w:pPr>
              <w:suppressAutoHyphens/>
              <w:rPr>
                <w:rFonts w:ascii="Times New Roman" w:hAnsi="Times New Roman"/>
                <w:sz w:val="24"/>
              </w:rPr>
            </w:pPr>
            <w:r>
              <w:rPr>
                <w:rFonts w:ascii="Times New Roman" w:hAnsi="Times New Roman"/>
                <w:sz w:val="24"/>
              </w:rPr>
              <w:t>Per la distinzione tra posizioni lunghe e posizioni corte cfr. l</w:t>
            </w:r>
            <w:r w:rsidR="000878EC">
              <w:rPr>
                <w:rFonts w:ascii="Times New Roman" w:hAnsi="Times New Roman"/>
                <w:sz w:val="24"/>
              </w:rPr>
              <w:t>'</w:t>
            </w:r>
            <w:r>
              <w:rPr>
                <w:rFonts w:ascii="Times New Roman" w:hAnsi="Times New Roman"/>
                <w:sz w:val="24"/>
              </w:rPr>
              <w:t>articolo 328, paragrafo 2, del CRR.</w:t>
            </w:r>
          </w:p>
        </w:tc>
      </w:tr>
      <w:tr w:rsidR="00C55547" w:rsidRPr="00661595" w:rsidTr="00E10B85">
        <w:tc>
          <w:tcPr>
            <w:tcW w:w="1016" w:type="dxa"/>
          </w:tcPr>
          <w:p w:rsidR="00C55547"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0071-0097</w:t>
            </w:r>
          </w:p>
        </w:tc>
        <w:tc>
          <w:tcPr>
            <w:tcW w:w="7874" w:type="dxa"/>
          </w:tcPr>
          <w:p w:rsidR="00C55547" w:rsidRPr="00661595" w:rsidRDefault="00C55547" w:rsidP="00F2281A">
            <w:pPr>
              <w:suppressAutoHyphens/>
              <w:rPr>
                <w:rStyle w:val="InstructionsTabelleberschrift"/>
                <w:rFonts w:ascii="Times New Roman" w:hAnsi="Times New Roman"/>
                <w:sz w:val="24"/>
              </w:rPr>
            </w:pPr>
            <w:r>
              <w:rPr>
                <w:rStyle w:val="InstructionsTabelleberschrift"/>
                <w:rFonts w:ascii="Times New Roman" w:hAnsi="Times New Roman"/>
                <w:sz w:val="24"/>
              </w:rPr>
              <w:t>RIPARTIZIONE DELLE POSIZIONI NETTE IN BASE AI FATTORI DI PONDERAZIONE DEL RISCHIO</w:t>
            </w:r>
          </w:p>
          <w:p w:rsidR="00C55547" w:rsidRPr="00661595" w:rsidRDefault="00133396" w:rsidP="00F2281A">
            <w:pPr>
              <w:suppressAutoHyphens/>
              <w:rPr>
                <w:rFonts w:ascii="Times New Roman" w:hAnsi="Times New Roman"/>
                <w:sz w:val="24"/>
              </w:rPr>
            </w:pPr>
            <w:r>
              <w:rPr>
                <w:rStyle w:val="InstructionsTabelleText"/>
                <w:rFonts w:ascii="Times New Roman" w:hAnsi="Times New Roman"/>
                <w:sz w:val="24"/>
              </w:rPr>
              <w:t>Articoli da 259 a 262, tabelle 1 e 2 dell</w:t>
            </w:r>
            <w:r w:rsidR="000878EC">
              <w:rPr>
                <w:rStyle w:val="InstructionsTabelleText"/>
                <w:rFonts w:ascii="Times New Roman" w:hAnsi="Times New Roman"/>
                <w:sz w:val="24"/>
              </w:rPr>
              <w:t>'</w:t>
            </w:r>
            <w:r>
              <w:rPr>
                <w:rStyle w:val="InstructionsTabelleText"/>
                <w:rFonts w:ascii="Times New Roman" w:hAnsi="Times New Roman"/>
                <w:sz w:val="24"/>
              </w:rPr>
              <w:t>articolo 263, tabelle 3 e 4 dell</w:t>
            </w:r>
            <w:r w:rsidR="000878EC">
              <w:rPr>
                <w:rStyle w:val="InstructionsTabelleText"/>
                <w:rFonts w:ascii="Times New Roman" w:hAnsi="Times New Roman"/>
                <w:sz w:val="24"/>
              </w:rPr>
              <w:t>'</w:t>
            </w:r>
            <w:r>
              <w:rPr>
                <w:rStyle w:val="InstructionsTabelleText"/>
                <w:rFonts w:ascii="Times New Roman" w:hAnsi="Times New Roman"/>
                <w:sz w:val="24"/>
              </w:rPr>
              <w:t>articolo 264 e articolo 266 del CRR.</w:t>
            </w:r>
          </w:p>
        </w:tc>
      </w:tr>
      <w:tr w:rsidR="00C55547" w:rsidRPr="00661595" w:rsidTr="00E10B85">
        <w:tc>
          <w:tcPr>
            <w:tcW w:w="1016" w:type="dxa"/>
          </w:tcPr>
          <w:p w:rsidR="00C55547" w:rsidRPr="00661595" w:rsidRDefault="002F79EA" w:rsidP="00F2281A">
            <w:pPr>
              <w:suppressAutoHyphens/>
              <w:rPr>
                <w:rFonts w:ascii="Times New Roman" w:hAnsi="Times New Roman"/>
                <w:sz w:val="24"/>
              </w:rPr>
            </w:pPr>
            <w:r>
              <w:rPr>
                <w:rFonts w:ascii="Times New Roman" w:hAnsi="Times New Roman"/>
                <w:sz w:val="24"/>
              </w:rPr>
              <w:t>0402-0406</w:t>
            </w:r>
          </w:p>
        </w:tc>
        <w:tc>
          <w:tcPr>
            <w:tcW w:w="7874" w:type="dxa"/>
          </w:tcPr>
          <w:p w:rsidR="00C55547" w:rsidRPr="00661595" w:rsidRDefault="00543964"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RIPARTIZIONE DELLE POSIZIONI NETTE IN BASE AI METODI</w:t>
            </w:r>
          </w:p>
          <w:p w:rsidR="00C55547" w:rsidRPr="00661595" w:rsidRDefault="00C55547" w:rsidP="00F2281A">
            <w:pPr>
              <w:suppressAutoHyphens/>
              <w:autoSpaceDE w:val="0"/>
              <w:autoSpaceDN w:val="0"/>
              <w:adjustRightInd w:val="0"/>
              <w:spacing w:before="0" w:after="0"/>
              <w:rPr>
                <w:rStyle w:val="InstructionsTabelleberschrift"/>
                <w:rFonts w:ascii="Times New Roman" w:hAnsi="Times New Roman"/>
                <w:sz w:val="24"/>
              </w:rPr>
            </w:pPr>
            <w:r>
              <w:rPr>
                <w:rStyle w:val="InstructionsTabelleText"/>
                <w:rFonts w:ascii="Times New Roman" w:hAnsi="Times New Roman"/>
                <w:sz w:val="24"/>
              </w:rPr>
              <w:t xml:space="preserve">Articolo 254 del CRR. </w:t>
            </w:r>
          </w:p>
        </w:tc>
      </w:tr>
      <w:tr w:rsidR="00C55547" w:rsidRPr="00661595" w:rsidTr="00E10B85">
        <w:tc>
          <w:tcPr>
            <w:tcW w:w="1016" w:type="dxa"/>
          </w:tcPr>
          <w:p w:rsidR="00C55547" w:rsidRPr="00661595" w:rsidRDefault="002F79EA" w:rsidP="00F2281A">
            <w:pPr>
              <w:suppressAutoHyphens/>
              <w:rPr>
                <w:rFonts w:ascii="Times New Roman" w:hAnsi="Times New Roman"/>
                <w:sz w:val="24"/>
              </w:rPr>
            </w:pPr>
            <w:r>
              <w:rPr>
                <w:rFonts w:ascii="Times New Roman" w:hAnsi="Times New Roman"/>
                <w:sz w:val="24"/>
              </w:rPr>
              <w:t>0402</w:t>
            </w:r>
          </w:p>
        </w:tc>
        <w:tc>
          <w:tcPr>
            <w:tcW w:w="7874" w:type="dxa"/>
          </w:tcPr>
          <w:p w:rsidR="00C55547" w:rsidRPr="00661595" w:rsidRDefault="00C55547"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SEC-IRBA</w:t>
            </w:r>
          </w:p>
          <w:p w:rsidR="00C55547" w:rsidRPr="00661595" w:rsidRDefault="00C55547" w:rsidP="00F2281A">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Articoli 259 e 260 del CRR</w:t>
            </w:r>
          </w:p>
        </w:tc>
      </w:tr>
      <w:tr w:rsidR="00C55547" w:rsidRPr="009B627A" w:rsidTr="00E10B85">
        <w:tc>
          <w:tcPr>
            <w:tcW w:w="1016" w:type="dxa"/>
          </w:tcPr>
          <w:p w:rsidR="00C55547" w:rsidRPr="00661595" w:rsidRDefault="002F79EA" w:rsidP="00F2281A">
            <w:pPr>
              <w:suppressAutoHyphens/>
              <w:rPr>
                <w:rFonts w:ascii="Times New Roman" w:hAnsi="Times New Roman"/>
                <w:sz w:val="24"/>
              </w:rPr>
            </w:pPr>
            <w:r>
              <w:rPr>
                <w:rFonts w:ascii="Times New Roman" w:hAnsi="Times New Roman"/>
                <w:sz w:val="24"/>
              </w:rPr>
              <w:t>0403</w:t>
            </w:r>
          </w:p>
        </w:tc>
        <w:tc>
          <w:tcPr>
            <w:tcW w:w="7874" w:type="dxa"/>
          </w:tcPr>
          <w:p w:rsidR="00C55547" w:rsidRPr="00661595" w:rsidRDefault="00C55547"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SEC-SA</w:t>
            </w:r>
          </w:p>
          <w:p w:rsidR="00C55547" w:rsidRPr="00661595" w:rsidRDefault="00C55547" w:rsidP="00F2281A">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Articoli 261 e 262 del CRR</w:t>
            </w:r>
          </w:p>
        </w:tc>
      </w:tr>
      <w:tr w:rsidR="00C55547" w:rsidRPr="00661595" w:rsidTr="00E10B85">
        <w:tc>
          <w:tcPr>
            <w:tcW w:w="1016" w:type="dxa"/>
          </w:tcPr>
          <w:p w:rsidR="00C55547" w:rsidRPr="00661595" w:rsidRDefault="002F79EA" w:rsidP="00F2281A">
            <w:pPr>
              <w:suppressAutoHyphens/>
              <w:rPr>
                <w:rFonts w:ascii="Times New Roman" w:hAnsi="Times New Roman"/>
                <w:sz w:val="24"/>
              </w:rPr>
            </w:pPr>
            <w:r>
              <w:rPr>
                <w:rFonts w:ascii="Times New Roman" w:hAnsi="Times New Roman"/>
                <w:sz w:val="24"/>
              </w:rPr>
              <w:t>0404</w:t>
            </w:r>
          </w:p>
        </w:tc>
        <w:tc>
          <w:tcPr>
            <w:tcW w:w="7874" w:type="dxa"/>
          </w:tcPr>
          <w:p w:rsidR="00C55547" w:rsidRPr="00661595" w:rsidRDefault="00C55547"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SEC-ERBA</w:t>
            </w:r>
          </w:p>
          <w:p w:rsidR="00C55547" w:rsidRPr="00661595" w:rsidRDefault="00C55547" w:rsidP="00F2281A">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Articoli 263 e 264 del CRR</w:t>
            </w:r>
          </w:p>
        </w:tc>
      </w:tr>
      <w:tr w:rsidR="00C55547" w:rsidRPr="00661595" w:rsidTr="00E10B85">
        <w:tc>
          <w:tcPr>
            <w:tcW w:w="1016" w:type="dxa"/>
          </w:tcPr>
          <w:p w:rsidR="00C55547" w:rsidRPr="00661595" w:rsidRDefault="002F79EA" w:rsidP="00F2281A">
            <w:pPr>
              <w:suppressAutoHyphens/>
              <w:rPr>
                <w:rFonts w:ascii="Times New Roman" w:hAnsi="Times New Roman"/>
                <w:sz w:val="24"/>
              </w:rPr>
            </w:pPr>
            <w:r>
              <w:rPr>
                <w:rFonts w:ascii="Times New Roman" w:hAnsi="Times New Roman"/>
                <w:sz w:val="24"/>
              </w:rPr>
              <w:t>0405</w:t>
            </w:r>
          </w:p>
        </w:tc>
        <w:tc>
          <w:tcPr>
            <w:tcW w:w="7874" w:type="dxa"/>
          </w:tcPr>
          <w:p w:rsidR="00C55547" w:rsidRPr="00661595" w:rsidRDefault="00C55547"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METODO DELLA VALUTAZIONE INTERNA</w:t>
            </w:r>
          </w:p>
          <w:p w:rsidR="00C55547" w:rsidRPr="00661595" w:rsidRDefault="00C55547" w:rsidP="00F2281A">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Articoli 254 e 265 e articolo 266, paragrafo 5, del CRR.</w:t>
            </w:r>
          </w:p>
        </w:tc>
      </w:tr>
      <w:tr w:rsidR="00C55547" w:rsidRPr="00661595" w:rsidTr="00E10B85">
        <w:tc>
          <w:tcPr>
            <w:tcW w:w="1016" w:type="dxa"/>
          </w:tcPr>
          <w:p w:rsidR="00C55547" w:rsidRPr="00661595" w:rsidRDefault="002F79EA" w:rsidP="00F2281A">
            <w:pPr>
              <w:suppressAutoHyphens/>
              <w:rPr>
                <w:rFonts w:ascii="Times New Roman" w:hAnsi="Times New Roman"/>
                <w:sz w:val="24"/>
              </w:rPr>
            </w:pPr>
            <w:r>
              <w:rPr>
                <w:rFonts w:ascii="Times New Roman" w:hAnsi="Times New Roman"/>
                <w:sz w:val="24"/>
              </w:rPr>
              <w:t>0406</w:t>
            </w:r>
          </w:p>
        </w:tc>
        <w:tc>
          <w:tcPr>
            <w:tcW w:w="7874" w:type="dxa"/>
          </w:tcPr>
          <w:p w:rsidR="00C55547" w:rsidRPr="00661595" w:rsidRDefault="00C55547"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ALTRO (RW = 1 250 %)</w:t>
            </w:r>
          </w:p>
          <w:p w:rsidR="00C55547" w:rsidRPr="00661595" w:rsidRDefault="00C55547" w:rsidP="00F2281A">
            <w:pPr>
              <w:suppressAutoHyphens/>
              <w:autoSpaceDE w:val="0"/>
              <w:autoSpaceDN w:val="0"/>
              <w:adjustRightInd w:val="0"/>
              <w:jc w:val="left"/>
              <w:rPr>
                <w:rStyle w:val="InstructionsTabelleberschrift"/>
                <w:rFonts w:ascii="Times New Roman" w:hAnsi="Times New Roman"/>
                <w:sz w:val="24"/>
              </w:rPr>
            </w:pPr>
            <w:r>
              <w:rPr>
                <w:rStyle w:val="InstructionsTabelleText"/>
                <w:rFonts w:ascii="Times New Roman" w:hAnsi="Times New Roman"/>
                <w:sz w:val="24"/>
              </w:rPr>
              <w:t>Articolo 254, paragrafo 7, del CRR.</w:t>
            </w:r>
          </w:p>
        </w:tc>
      </w:tr>
      <w:tr w:rsidR="00C55547" w:rsidRPr="00661595" w:rsidTr="00E10B85">
        <w:tc>
          <w:tcPr>
            <w:tcW w:w="1016" w:type="dxa"/>
          </w:tcPr>
          <w:p w:rsidR="00C55547" w:rsidRPr="00661595" w:rsidRDefault="002F79EA" w:rsidP="00F2281A">
            <w:pPr>
              <w:suppressAutoHyphens/>
              <w:rPr>
                <w:rFonts w:ascii="Times New Roman" w:hAnsi="Times New Roman"/>
                <w:sz w:val="24"/>
              </w:rPr>
            </w:pPr>
            <w:r>
              <w:rPr>
                <w:rFonts w:ascii="Times New Roman" w:hAnsi="Times New Roman"/>
                <w:sz w:val="24"/>
              </w:rPr>
              <w:t>0410-0420</w:t>
            </w:r>
          </w:p>
        </w:tc>
        <w:tc>
          <w:tcPr>
            <w:tcW w:w="7874" w:type="dxa"/>
          </w:tcPr>
          <w:p w:rsidR="00C55547" w:rsidRPr="00661595" w:rsidRDefault="00C55547" w:rsidP="00F2281A">
            <w:pPr>
              <w:suppressAutoHyphens/>
              <w:rPr>
                <w:rStyle w:val="InstructionsTabelleberschrift"/>
                <w:rFonts w:ascii="Times New Roman" w:hAnsi="Times New Roman"/>
                <w:sz w:val="24"/>
              </w:rPr>
            </w:pPr>
            <w:r>
              <w:rPr>
                <w:rStyle w:val="InstructionsTabelleberschrift"/>
                <w:rFonts w:ascii="Times New Roman" w:hAnsi="Times New Roman"/>
                <w:sz w:val="24"/>
              </w:rPr>
              <w:t>PRIMA DELL</w:t>
            </w:r>
            <w:r w:rsidR="000878EC">
              <w:rPr>
                <w:rStyle w:val="InstructionsTabelleberschrift"/>
                <w:rFonts w:ascii="Times New Roman" w:hAnsi="Times New Roman"/>
                <w:sz w:val="24"/>
              </w:rPr>
              <w:t>'</w:t>
            </w:r>
            <w:r>
              <w:rPr>
                <w:rStyle w:val="InstructionsTabelleberschrift"/>
                <w:rFonts w:ascii="Times New Roman" w:hAnsi="Times New Roman"/>
                <w:sz w:val="24"/>
              </w:rPr>
              <w:t>APPLICAZIONE DEL MASSIMALE - POSIZIONI NETTE LUNGHE/CORTE PONDERATE</w:t>
            </w:r>
          </w:p>
          <w:p w:rsidR="00C55547" w:rsidRPr="00661595" w:rsidRDefault="00C55547" w:rsidP="00F2281A">
            <w:pPr>
              <w:suppressAutoHyphens/>
              <w:rPr>
                <w:rFonts w:ascii="Times New Roman" w:hAnsi="Times New Roman"/>
                <w:sz w:val="24"/>
              </w:rPr>
            </w:pPr>
            <w:r>
              <w:rPr>
                <w:rFonts w:ascii="Times New Roman" w:hAnsi="Times New Roman"/>
                <w:sz w:val="24"/>
              </w:rPr>
              <w:t>Articolo 338 del CRR senza tener conto della facoltà di cui all</w:t>
            </w:r>
            <w:r w:rsidR="000878EC">
              <w:rPr>
                <w:rFonts w:ascii="Times New Roman" w:hAnsi="Times New Roman"/>
                <w:sz w:val="24"/>
              </w:rPr>
              <w:t>'</w:t>
            </w:r>
            <w:r>
              <w:rPr>
                <w:rFonts w:ascii="Times New Roman" w:hAnsi="Times New Roman"/>
                <w:sz w:val="24"/>
              </w:rPr>
              <w:t>articolo 335 del CRR.</w:t>
            </w:r>
          </w:p>
        </w:tc>
      </w:tr>
      <w:tr w:rsidR="00C55547" w:rsidRPr="00661595" w:rsidTr="00E10B85">
        <w:tc>
          <w:tcPr>
            <w:tcW w:w="1016" w:type="dxa"/>
          </w:tcPr>
          <w:p w:rsidR="00C55547" w:rsidRPr="00661595" w:rsidRDefault="002F79EA" w:rsidP="00F2281A">
            <w:pPr>
              <w:suppressAutoHyphens/>
              <w:rPr>
                <w:rFonts w:ascii="Times New Roman" w:hAnsi="Times New Roman"/>
                <w:sz w:val="24"/>
              </w:rPr>
            </w:pPr>
            <w:r>
              <w:rPr>
                <w:rFonts w:ascii="Times New Roman" w:hAnsi="Times New Roman"/>
                <w:sz w:val="24"/>
              </w:rPr>
              <w:t>0430-0440</w:t>
            </w:r>
          </w:p>
        </w:tc>
        <w:tc>
          <w:tcPr>
            <w:tcW w:w="7874" w:type="dxa"/>
          </w:tcPr>
          <w:p w:rsidR="00C55547" w:rsidRPr="00661595" w:rsidRDefault="00C55547" w:rsidP="00F2281A">
            <w:pPr>
              <w:suppressAutoHyphens/>
              <w:rPr>
                <w:rStyle w:val="InstructionsTabelleberschrift"/>
                <w:rFonts w:ascii="Times New Roman" w:hAnsi="Times New Roman"/>
                <w:sz w:val="24"/>
              </w:rPr>
            </w:pPr>
            <w:r>
              <w:rPr>
                <w:rStyle w:val="InstructionsTabelleberschrift"/>
                <w:rFonts w:ascii="Times New Roman" w:hAnsi="Times New Roman"/>
                <w:sz w:val="24"/>
              </w:rPr>
              <w:t>DOPO L</w:t>
            </w:r>
            <w:r w:rsidR="000878EC">
              <w:rPr>
                <w:rStyle w:val="InstructionsTabelleberschrift"/>
                <w:rFonts w:ascii="Times New Roman" w:hAnsi="Times New Roman"/>
                <w:sz w:val="24"/>
              </w:rPr>
              <w:t>'</w:t>
            </w:r>
            <w:r>
              <w:rPr>
                <w:rStyle w:val="InstructionsTabelleberschrift"/>
                <w:rFonts w:ascii="Times New Roman" w:hAnsi="Times New Roman"/>
                <w:sz w:val="24"/>
              </w:rPr>
              <w:t>APPLICAZIONE DEL MASSIMALE - POSIZIONI NETTE LUNGHE/CORTE PONDERATE</w:t>
            </w:r>
          </w:p>
          <w:p w:rsidR="00C55547" w:rsidRPr="00661595" w:rsidRDefault="00C55547" w:rsidP="00F2281A">
            <w:pPr>
              <w:suppressAutoHyphens/>
              <w:rPr>
                <w:rFonts w:ascii="Times New Roman" w:hAnsi="Times New Roman"/>
                <w:sz w:val="24"/>
              </w:rPr>
            </w:pPr>
            <w:r>
              <w:rPr>
                <w:rFonts w:ascii="Times New Roman" w:hAnsi="Times New Roman"/>
                <w:sz w:val="24"/>
              </w:rPr>
              <w:t>Articolo 338 del CRR tenendo conto della facoltà di cui all</w:t>
            </w:r>
            <w:r w:rsidR="000878EC">
              <w:rPr>
                <w:rFonts w:ascii="Times New Roman" w:hAnsi="Times New Roman"/>
                <w:sz w:val="24"/>
              </w:rPr>
              <w:t>'</w:t>
            </w:r>
            <w:r>
              <w:rPr>
                <w:rFonts w:ascii="Times New Roman" w:hAnsi="Times New Roman"/>
                <w:sz w:val="24"/>
              </w:rPr>
              <w:t xml:space="preserve">articolo 335 del CRR. </w:t>
            </w:r>
          </w:p>
        </w:tc>
      </w:tr>
      <w:tr w:rsidR="00C55547" w:rsidRPr="00661595" w:rsidTr="00E10B85">
        <w:tc>
          <w:tcPr>
            <w:tcW w:w="1016" w:type="dxa"/>
          </w:tcPr>
          <w:p w:rsidR="00C55547" w:rsidRPr="00661595" w:rsidRDefault="002F79EA" w:rsidP="00F2281A">
            <w:pPr>
              <w:suppressAutoHyphens/>
              <w:rPr>
                <w:rFonts w:ascii="Times New Roman" w:hAnsi="Times New Roman"/>
                <w:sz w:val="24"/>
              </w:rPr>
            </w:pPr>
            <w:r>
              <w:rPr>
                <w:rFonts w:ascii="Times New Roman" w:hAnsi="Times New Roman"/>
                <w:sz w:val="24"/>
              </w:rPr>
              <w:t>0450</w:t>
            </w:r>
          </w:p>
        </w:tc>
        <w:tc>
          <w:tcPr>
            <w:tcW w:w="7874" w:type="dxa"/>
          </w:tcPr>
          <w:p w:rsidR="00C55547" w:rsidRPr="00661595" w:rsidRDefault="00C55547" w:rsidP="00F2281A">
            <w:pPr>
              <w:suppressAutoHyphens/>
              <w:rPr>
                <w:rStyle w:val="InstructionsTabelleberschrift"/>
                <w:rFonts w:ascii="Times New Roman" w:hAnsi="Times New Roman"/>
                <w:sz w:val="24"/>
              </w:rPr>
            </w:pPr>
            <w:r>
              <w:rPr>
                <w:rStyle w:val="InstructionsTabelleberschrift"/>
                <w:rFonts w:ascii="Times New Roman" w:hAnsi="Times New Roman"/>
                <w:sz w:val="24"/>
              </w:rPr>
              <w:t>REQUISITI DI FONDI PROPRI TOTALI</w:t>
            </w:r>
          </w:p>
          <w:p w:rsidR="00C55547" w:rsidRPr="00661595" w:rsidRDefault="00C55547" w:rsidP="00F2281A">
            <w:pPr>
              <w:suppressAutoHyphens/>
              <w:rPr>
                <w:rFonts w:ascii="Times New Roman" w:hAnsi="Times New Roman"/>
                <w:sz w:val="24"/>
              </w:rPr>
            </w:pPr>
            <w:r>
              <w:rPr>
                <w:rFonts w:ascii="Times New Roman" w:hAnsi="Times New Roman"/>
                <w:sz w:val="24"/>
              </w:rPr>
              <w:t>Il requisito di fondi propri è il valore maggiore tra (i) la copertura patrimoniale per il rischio specifico che si applica solo alle posizioni nette lunghe (colonna 0430) e (ii) la copertura patrimoniale per il rischio specifico che si applica solo alle posizioni nette corte (colonna 0440).</w:t>
            </w:r>
          </w:p>
        </w:tc>
      </w:tr>
    </w:tbl>
    <w:p w:rsidR="00C55547" w:rsidRPr="00661595" w:rsidRDefault="00C55547" w:rsidP="00C55547">
      <w:pPr>
        <w:autoSpaceDE w:val="0"/>
        <w:autoSpaceDN w:val="0"/>
        <w:adjustRightInd w:val="0"/>
        <w:spacing w:before="0" w:after="0"/>
        <w:rPr>
          <w:rFonts w:ascii="Times New Roman" w:hAnsi="Times New Roman"/>
          <w:sz w:val="24"/>
          <w:lang w:eastAsia="nl-BE"/>
        </w:rPr>
      </w:pPr>
    </w:p>
    <w:p w:rsidR="00C55547" w:rsidRPr="00661595" w:rsidRDefault="00C55547" w:rsidP="00C55547">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2"/>
        <w:gridCol w:w="8060"/>
      </w:tblGrid>
      <w:tr w:rsidR="00C55547" w:rsidRPr="00661595" w:rsidTr="00E10B85">
        <w:trPr>
          <w:trHeight w:val="642"/>
        </w:trPr>
        <w:tc>
          <w:tcPr>
            <w:tcW w:w="9212" w:type="dxa"/>
            <w:gridSpan w:val="2"/>
            <w:shd w:val="clear" w:color="auto" w:fill="CCCCCC"/>
          </w:tcPr>
          <w:p w:rsidR="00C55547" w:rsidRPr="00661595" w:rsidRDefault="00C55547" w:rsidP="00F2281A">
            <w:pPr>
              <w:suppressAutoHyphens/>
              <w:autoSpaceDE w:val="0"/>
              <w:autoSpaceDN w:val="0"/>
              <w:adjustRightInd w:val="0"/>
              <w:spacing w:after="0"/>
              <w:rPr>
                <w:rFonts w:ascii="Times New Roman" w:hAnsi="Times New Roman"/>
                <w:b/>
                <w:sz w:val="24"/>
              </w:rPr>
            </w:pPr>
            <w:r>
              <w:rPr>
                <w:rFonts w:ascii="Times New Roman" w:hAnsi="Times New Roman"/>
                <w:b/>
                <w:sz w:val="24"/>
              </w:rPr>
              <w:t>Righe</w:t>
            </w:r>
          </w:p>
        </w:tc>
      </w:tr>
      <w:tr w:rsidR="00C55547" w:rsidRPr="00661595" w:rsidTr="00E10B85">
        <w:tc>
          <w:tcPr>
            <w:tcW w:w="1008" w:type="dxa"/>
          </w:tcPr>
          <w:p w:rsidR="00C55547"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8204" w:type="dxa"/>
          </w:tcPr>
          <w:p w:rsidR="00C55547" w:rsidRPr="00661595" w:rsidRDefault="00C55547" w:rsidP="00F2281A">
            <w:pPr>
              <w:suppressAutoHyphens/>
              <w:rPr>
                <w:rStyle w:val="InstructionsTabelleberschrift"/>
                <w:rFonts w:ascii="Times New Roman" w:hAnsi="Times New Roman"/>
                <w:sz w:val="24"/>
              </w:rPr>
            </w:pPr>
            <w:r>
              <w:rPr>
                <w:rStyle w:val="InstructionsTabelleberschrift"/>
                <w:rFonts w:ascii="Times New Roman" w:hAnsi="Times New Roman"/>
                <w:sz w:val="24"/>
              </w:rPr>
              <w:t>ESPOSIZIONI TOTALI</w:t>
            </w:r>
          </w:p>
          <w:p w:rsidR="00C55547" w:rsidRPr="00661595" w:rsidRDefault="00C55547" w:rsidP="00F2281A">
            <w:pPr>
              <w:suppressAutoHyphens/>
              <w:rPr>
                <w:rFonts w:ascii="Times New Roman" w:hAnsi="Times New Roman"/>
                <w:sz w:val="24"/>
              </w:rPr>
            </w:pPr>
            <w:r>
              <w:rPr>
                <w:rFonts w:ascii="Times New Roman" w:hAnsi="Times New Roman"/>
                <w:sz w:val="24"/>
              </w:rPr>
              <w:t>Importo complessivo delle posizioni in essere (detenute nel portafoglio di negoziazione di correlazione) segnalate dall</w:t>
            </w:r>
            <w:r w:rsidR="000878EC">
              <w:rPr>
                <w:rFonts w:ascii="Times New Roman" w:hAnsi="Times New Roman"/>
                <w:sz w:val="24"/>
              </w:rPr>
              <w:t>'</w:t>
            </w:r>
            <w:r>
              <w:rPr>
                <w:rFonts w:ascii="Times New Roman" w:hAnsi="Times New Roman"/>
                <w:sz w:val="24"/>
              </w:rPr>
              <w:t>ente nel o nei suoi ruoli di cedente, investitore o promotore.</w:t>
            </w:r>
          </w:p>
        </w:tc>
      </w:tr>
      <w:tr w:rsidR="00C55547" w:rsidRPr="00661595" w:rsidTr="00E10B85">
        <w:tc>
          <w:tcPr>
            <w:tcW w:w="1008" w:type="dxa"/>
          </w:tcPr>
          <w:p w:rsidR="00C55547"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rsidR="00C55547" w:rsidRPr="00661595" w:rsidRDefault="00C55547" w:rsidP="00F2281A">
            <w:pPr>
              <w:suppressAutoHyphens/>
              <w:rPr>
                <w:rStyle w:val="InstructionsTabelleberschrift"/>
                <w:rFonts w:ascii="Times New Roman" w:hAnsi="Times New Roman"/>
                <w:sz w:val="24"/>
              </w:rPr>
            </w:pPr>
            <w:r>
              <w:rPr>
                <w:rStyle w:val="InstructionsTabelleberschrift"/>
                <w:rFonts w:ascii="Times New Roman" w:hAnsi="Times New Roman"/>
                <w:sz w:val="24"/>
              </w:rPr>
              <w:t>CEDENTE</w:t>
            </w:r>
          </w:p>
          <w:p w:rsidR="00C55547" w:rsidRPr="00661595" w:rsidRDefault="00E64BFE" w:rsidP="00F2281A">
            <w:pPr>
              <w:suppressAutoHyphens/>
              <w:rPr>
                <w:rFonts w:ascii="Times New Roman" w:hAnsi="Times New Roman"/>
                <w:sz w:val="24"/>
              </w:rPr>
            </w:pPr>
            <w:r>
              <w:rPr>
                <w:rFonts w:ascii="Times New Roman" w:hAnsi="Times New Roman"/>
                <w:sz w:val="24"/>
              </w:rPr>
              <w:t xml:space="preserve">Articolo 4, paragrafo 1, punto 13, del CRR </w:t>
            </w:r>
          </w:p>
        </w:tc>
      </w:tr>
      <w:tr w:rsidR="00C55547" w:rsidRPr="00661595" w:rsidTr="00E10B85">
        <w:tc>
          <w:tcPr>
            <w:tcW w:w="1008" w:type="dxa"/>
          </w:tcPr>
          <w:p w:rsidR="00C55547"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0050-0070</w:t>
            </w:r>
          </w:p>
        </w:tc>
        <w:tc>
          <w:tcPr>
            <w:tcW w:w="8204" w:type="dxa"/>
          </w:tcPr>
          <w:p w:rsidR="00C55547" w:rsidRPr="00661595" w:rsidRDefault="00C55547" w:rsidP="00F2281A">
            <w:pPr>
              <w:suppressAutoHyphens/>
              <w:rPr>
                <w:rStyle w:val="InstructionsTabelleberschrift"/>
                <w:rFonts w:ascii="Times New Roman" w:hAnsi="Times New Roman"/>
                <w:sz w:val="24"/>
              </w:rPr>
            </w:pPr>
            <w:r>
              <w:rPr>
                <w:rStyle w:val="InstructionsTabelleberschrift"/>
                <w:rFonts w:ascii="Times New Roman" w:hAnsi="Times New Roman"/>
                <w:sz w:val="24"/>
              </w:rPr>
              <w:t>INVESTITORE</w:t>
            </w:r>
          </w:p>
          <w:p w:rsidR="00C55547" w:rsidRPr="00661595" w:rsidRDefault="00C55547" w:rsidP="00F2281A">
            <w:pPr>
              <w:suppressAutoHyphens/>
              <w:rPr>
                <w:rFonts w:ascii="Times New Roman" w:hAnsi="Times New Roman"/>
                <w:sz w:val="24"/>
              </w:rPr>
            </w:pPr>
            <w:r>
              <w:rPr>
                <w:rFonts w:ascii="Times New Roman" w:hAnsi="Times New Roman"/>
                <w:sz w:val="24"/>
              </w:rPr>
              <w:t>Ente creditizio che detiene posizioni verso la cartolarizzazione in un</w:t>
            </w:r>
            <w:r w:rsidR="000878EC">
              <w:rPr>
                <w:rFonts w:ascii="Times New Roman" w:hAnsi="Times New Roman"/>
                <w:sz w:val="24"/>
              </w:rPr>
              <w:t>'</w:t>
            </w:r>
            <w:r>
              <w:rPr>
                <w:rFonts w:ascii="Times New Roman" w:hAnsi="Times New Roman"/>
                <w:sz w:val="24"/>
              </w:rPr>
              <w:t>operazione di cartolarizzazione nella quale non è né il cedente né il promotore né il prestatore originario.</w:t>
            </w:r>
          </w:p>
        </w:tc>
      </w:tr>
      <w:tr w:rsidR="00C55547" w:rsidRPr="00661595" w:rsidTr="00E10B85">
        <w:tc>
          <w:tcPr>
            <w:tcW w:w="1008" w:type="dxa"/>
          </w:tcPr>
          <w:p w:rsidR="00C55547"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0080-0100</w:t>
            </w:r>
          </w:p>
        </w:tc>
        <w:tc>
          <w:tcPr>
            <w:tcW w:w="8204" w:type="dxa"/>
          </w:tcPr>
          <w:p w:rsidR="00C55547" w:rsidRPr="00661595" w:rsidRDefault="00C55547" w:rsidP="00F2281A">
            <w:pPr>
              <w:suppressAutoHyphens/>
              <w:rPr>
                <w:rStyle w:val="InstructionsTabelleberschrift"/>
                <w:rFonts w:ascii="Times New Roman" w:hAnsi="Times New Roman"/>
                <w:sz w:val="24"/>
              </w:rPr>
            </w:pPr>
            <w:r>
              <w:rPr>
                <w:rStyle w:val="InstructionsTabelleberschrift"/>
                <w:rFonts w:ascii="Times New Roman" w:hAnsi="Times New Roman"/>
                <w:sz w:val="24"/>
              </w:rPr>
              <w:t>PROMOTORE</w:t>
            </w:r>
          </w:p>
          <w:p w:rsidR="005C14B0" w:rsidRPr="00661595" w:rsidRDefault="00E64BFE" w:rsidP="00F2281A">
            <w:pPr>
              <w:suppressAutoHyphens/>
              <w:rPr>
                <w:rFonts w:ascii="Times New Roman" w:hAnsi="Times New Roman"/>
                <w:sz w:val="24"/>
              </w:rPr>
            </w:pPr>
            <w:r>
              <w:rPr>
                <w:rFonts w:ascii="Times New Roman" w:hAnsi="Times New Roman"/>
                <w:sz w:val="24"/>
              </w:rPr>
              <w:t xml:space="preserve">Articolo 4, paragrafo 1, punto 14, del CRR </w:t>
            </w:r>
          </w:p>
          <w:p w:rsidR="00C55547" w:rsidRPr="00661595" w:rsidRDefault="005F3BBE" w:rsidP="00F2281A">
            <w:pPr>
              <w:suppressAutoHyphens/>
              <w:rPr>
                <w:rFonts w:ascii="Times New Roman" w:hAnsi="Times New Roman"/>
                <w:sz w:val="24"/>
              </w:rPr>
            </w:pPr>
            <w:r>
              <w:rPr>
                <w:rFonts w:ascii="Times New Roman" w:hAnsi="Times New Roman"/>
                <w:sz w:val="24"/>
              </w:rPr>
              <w:t>Se cartolarizza anche attività proprie, il promotore inserisce nelle righe dedicate al cedente le informazioni relative alle proprie attività cartolarizzate.</w:t>
            </w:r>
          </w:p>
        </w:tc>
      </w:tr>
      <w:tr w:rsidR="00C55547" w:rsidRPr="00661595" w:rsidTr="00E10B85">
        <w:tc>
          <w:tcPr>
            <w:tcW w:w="1008" w:type="dxa"/>
          </w:tcPr>
          <w:p w:rsidR="00C55547"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0030, 0060 e 0090</w:t>
            </w:r>
          </w:p>
        </w:tc>
        <w:tc>
          <w:tcPr>
            <w:tcW w:w="8204" w:type="dxa"/>
          </w:tcPr>
          <w:p w:rsidR="00C55547" w:rsidRPr="00661595" w:rsidRDefault="00C55547" w:rsidP="00F2281A">
            <w:pPr>
              <w:suppressAutoHyphens/>
              <w:rPr>
                <w:rStyle w:val="InstructionsTabelleberschrift"/>
                <w:rFonts w:ascii="Times New Roman" w:hAnsi="Times New Roman"/>
                <w:sz w:val="24"/>
              </w:rPr>
            </w:pPr>
            <w:r>
              <w:rPr>
                <w:rStyle w:val="InstructionsTabelleberschrift"/>
                <w:rFonts w:ascii="Times New Roman" w:hAnsi="Times New Roman"/>
                <w:sz w:val="24"/>
              </w:rPr>
              <w:t>POSIZIONI VERSO LA CARTOLARIZZAZIONE</w:t>
            </w:r>
          </w:p>
          <w:p w:rsidR="00C55547" w:rsidRPr="00661595" w:rsidRDefault="00C55547" w:rsidP="00F2281A">
            <w:pPr>
              <w:suppressAutoHyphens/>
              <w:rPr>
                <w:rFonts w:ascii="Times New Roman" w:hAnsi="Times New Roman"/>
                <w:sz w:val="24"/>
              </w:rPr>
            </w:pPr>
            <w:r>
              <w:rPr>
                <w:rFonts w:ascii="Times New Roman" w:hAnsi="Times New Roman"/>
                <w:sz w:val="24"/>
              </w:rPr>
              <w:t>Il portafoglio di negoziazione di correlazione comprende cartolarizzazioni, derivati su crediti di tipo nth-to-default ed eventualmente altre posizioni di copertura che soddisfano i criteri di cui all</w:t>
            </w:r>
            <w:r w:rsidR="000878EC">
              <w:rPr>
                <w:rFonts w:ascii="Times New Roman" w:hAnsi="Times New Roman"/>
                <w:sz w:val="24"/>
              </w:rPr>
              <w:t>'</w:t>
            </w:r>
            <w:r>
              <w:rPr>
                <w:rFonts w:ascii="Times New Roman" w:hAnsi="Times New Roman"/>
                <w:sz w:val="24"/>
              </w:rPr>
              <w:t>articolo 338, paragrafi 2 e 3, del CRR.</w:t>
            </w:r>
          </w:p>
          <w:p w:rsidR="00C55547" w:rsidRPr="00661595" w:rsidRDefault="00C55547" w:rsidP="00F2281A">
            <w:pPr>
              <w:suppressAutoHyphens/>
              <w:rPr>
                <w:rFonts w:ascii="Times New Roman" w:hAnsi="Times New Roman"/>
                <w:sz w:val="24"/>
              </w:rPr>
            </w:pPr>
            <w:r>
              <w:rPr>
                <w:rFonts w:ascii="Times New Roman" w:hAnsi="Times New Roman"/>
                <w:sz w:val="24"/>
              </w:rPr>
              <w:t>I derivati di esposizioni verso la cartolarizzazione che offrono una quota proporzionale nonché le posizioni di copertura di posizioni del portafoglio di negoziazione di correlazione sono segnalati nella riga «Altre posizioni del CTP».</w:t>
            </w:r>
          </w:p>
        </w:tc>
      </w:tr>
      <w:tr w:rsidR="00C55547" w:rsidRPr="00661595" w:rsidTr="00E10B85">
        <w:tc>
          <w:tcPr>
            <w:tcW w:w="1008" w:type="dxa"/>
          </w:tcPr>
          <w:p w:rsidR="00C55547"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8204" w:type="dxa"/>
          </w:tcPr>
          <w:p w:rsidR="00C55547" w:rsidRPr="00661595" w:rsidRDefault="00C55547" w:rsidP="00F2281A">
            <w:pPr>
              <w:suppressAutoHyphens/>
              <w:rPr>
                <w:rStyle w:val="InstructionsTabelleberschrift"/>
                <w:rFonts w:ascii="Times New Roman" w:hAnsi="Times New Roman"/>
                <w:sz w:val="24"/>
              </w:rPr>
            </w:pPr>
            <w:r>
              <w:rPr>
                <w:rStyle w:val="InstructionsTabelleberschrift"/>
                <w:rFonts w:ascii="Times New Roman" w:hAnsi="Times New Roman"/>
                <w:sz w:val="24"/>
              </w:rPr>
              <w:t>DERIVATI SU CREDITI DI TIPO NTH-TO-DEFAULT</w:t>
            </w:r>
          </w:p>
          <w:p w:rsidR="00C55547" w:rsidRPr="00661595" w:rsidRDefault="00C55547" w:rsidP="00F2281A">
            <w:pPr>
              <w:suppressAutoHyphens/>
              <w:rPr>
                <w:rFonts w:ascii="Times New Roman" w:hAnsi="Times New Roman"/>
                <w:sz w:val="24"/>
              </w:rPr>
            </w:pPr>
            <w:r>
              <w:rPr>
                <w:rFonts w:ascii="Times New Roman" w:hAnsi="Times New Roman"/>
                <w:sz w:val="24"/>
              </w:rPr>
              <w:t>I derivati su crediti di tipo nth-to-default coperti da derivati su crediti di tipo nth-to-default conformemente all</w:t>
            </w:r>
            <w:r w:rsidR="000878EC">
              <w:rPr>
                <w:rFonts w:ascii="Times New Roman" w:hAnsi="Times New Roman"/>
                <w:sz w:val="24"/>
              </w:rPr>
              <w:t>'</w:t>
            </w:r>
            <w:r>
              <w:rPr>
                <w:rFonts w:ascii="Times New Roman" w:hAnsi="Times New Roman"/>
                <w:sz w:val="24"/>
              </w:rPr>
              <w:t>articolo 347 del CRR sono inseriti entrambi in questa riga.</w:t>
            </w:r>
          </w:p>
          <w:p w:rsidR="00C55547" w:rsidRPr="00661595" w:rsidRDefault="00C55547" w:rsidP="00F2281A">
            <w:pPr>
              <w:suppressAutoHyphens/>
              <w:rPr>
                <w:rFonts w:ascii="Times New Roman" w:hAnsi="Times New Roman"/>
                <w:sz w:val="24"/>
              </w:rPr>
            </w:pPr>
            <w:r>
              <w:rPr>
                <w:rFonts w:ascii="Times New Roman" w:hAnsi="Times New Roman"/>
                <w:sz w:val="24"/>
              </w:rPr>
              <w:t>Le posizioni del cedente, dell</w:t>
            </w:r>
            <w:r w:rsidR="000878EC">
              <w:rPr>
                <w:rFonts w:ascii="Times New Roman" w:hAnsi="Times New Roman"/>
                <w:sz w:val="24"/>
              </w:rPr>
              <w:t>'</w:t>
            </w:r>
            <w:r>
              <w:rPr>
                <w:rFonts w:ascii="Times New Roman" w:hAnsi="Times New Roman"/>
                <w:sz w:val="24"/>
              </w:rPr>
              <w:t>investitore e del promotore non sono idonee per i derivati su crediti di tipo nth-to-default; quindi, per questi derivati non è possibile fornire la ripartizione come per le posizioni verso la cartolarizzazione.</w:t>
            </w:r>
          </w:p>
        </w:tc>
      </w:tr>
      <w:tr w:rsidR="00C55547" w:rsidRPr="00661595" w:rsidTr="00E10B85">
        <w:tc>
          <w:tcPr>
            <w:tcW w:w="1008" w:type="dxa"/>
          </w:tcPr>
          <w:p w:rsidR="00C55547"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0040, 0070, 0100 e 0120</w:t>
            </w:r>
          </w:p>
        </w:tc>
        <w:tc>
          <w:tcPr>
            <w:tcW w:w="8204" w:type="dxa"/>
          </w:tcPr>
          <w:p w:rsidR="00C55547" w:rsidRPr="00661595" w:rsidRDefault="00C55547" w:rsidP="00F2281A">
            <w:pPr>
              <w:suppressAutoHyphens/>
              <w:rPr>
                <w:rStyle w:val="InstructionsTabelleberschrift"/>
                <w:rFonts w:ascii="Times New Roman" w:hAnsi="Times New Roman"/>
                <w:sz w:val="24"/>
              </w:rPr>
            </w:pPr>
            <w:r>
              <w:rPr>
                <w:rStyle w:val="InstructionsTabelleberschrift"/>
                <w:rFonts w:ascii="Times New Roman" w:hAnsi="Times New Roman"/>
                <w:sz w:val="24"/>
              </w:rPr>
              <w:t>ALTRE POSIZIONI DEL PORTAFOGLIO DI NEGOZIAZIONE DI CORRELAZIONE (CTP)</w:t>
            </w:r>
          </w:p>
          <w:p w:rsidR="00C55547" w:rsidRPr="00661595" w:rsidRDefault="00C55547" w:rsidP="00F2281A">
            <w:pPr>
              <w:suppressAutoHyphens/>
              <w:rPr>
                <w:rFonts w:ascii="Times New Roman" w:hAnsi="Times New Roman"/>
                <w:sz w:val="24"/>
              </w:rPr>
            </w:pPr>
            <w:r>
              <w:rPr>
                <w:rFonts w:ascii="Times New Roman" w:hAnsi="Times New Roman"/>
                <w:sz w:val="24"/>
              </w:rPr>
              <w:t xml:space="preserve">Sono incluse le seguenti posizioni: </w:t>
            </w:r>
          </w:p>
          <w:p w:rsidR="00C55547" w:rsidRPr="00661595" w:rsidRDefault="00C55547" w:rsidP="00F2281A">
            <w:pPr>
              <w:tabs>
                <w:tab w:val="left" w:pos="720"/>
              </w:tabs>
              <w:suppressAutoHyphens/>
              <w:ind w:left="720" w:hanging="360"/>
              <w:rPr>
                <w:rFonts w:ascii="Times New Roman" w:hAnsi="Times New Roman"/>
                <w:sz w:val="24"/>
              </w:rPr>
            </w:pPr>
            <w:r>
              <w:rPr>
                <w:rFonts w:ascii="Symbol" w:hAnsi="Symbol"/>
                <w:sz w:val="24"/>
              </w:rPr>
              <w:t></w:t>
            </w:r>
            <w:r>
              <w:tab/>
            </w:r>
            <w:r>
              <w:rPr>
                <w:rFonts w:ascii="Times New Roman" w:hAnsi="Times New Roman"/>
                <w:sz w:val="24"/>
              </w:rPr>
              <w:t>i derivati di esposizioni verso la cartolarizzazione che offrono una quota proporzionale nonché le posizioni di copertura di posizioni del CTP;</w:t>
            </w:r>
          </w:p>
          <w:p w:rsidR="00C55547" w:rsidRPr="00661595" w:rsidRDefault="00C55547" w:rsidP="00F2281A">
            <w:pPr>
              <w:tabs>
                <w:tab w:val="left" w:pos="720"/>
              </w:tabs>
              <w:suppressAutoHyphens/>
              <w:ind w:left="720" w:hanging="360"/>
              <w:rPr>
                <w:rFonts w:ascii="Times New Roman" w:hAnsi="Times New Roman"/>
                <w:sz w:val="24"/>
              </w:rPr>
            </w:pPr>
            <w:r>
              <w:rPr>
                <w:rFonts w:ascii="Symbol" w:hAnsi="Symbol"/>
                <w:sz w:val="24"/>
              </w:rPr>
              <w:t></w:t>
            </w:r>
            <w:r>
              <w:tab/>
            </w:r>
            <w:r>
              <w:rPr>
                <w:rFonts w:ascii="Times New Roman" w:hAnsi="Times New Roman"/>
                <w:sz w:val="24"/>
              </w:rPr>
              <w:t>le posizioni del CTP coperte da derivati su crediti conformemente all</w:t>
            </w:r>
            <w:r w:rsidR="000878EC">
              <w:rPr>
                <w:rFonts w:ascii="Times New Roman" w:hAnsi="Times New Roman"/>
                <w:sz w:val="24"/>
              </w:rPr>
              <w:t>'</w:t>
            </w:r>
            <w:r>
              <w:rPr>
                <w:rFonts w:ascii="Times New Roman" w:hAnsi="Times New Roman"/>
                <w:sz w:val="24"/>
              </w:rPr>
              <w:t>articolo 346 del CRR;</w:t>
            </w:r>
          </w:p>
          <w:p w:rsidR="00C55547" w:rsidRPr="00661595" w:rsidRDefault="00C55547" w:rsidP="00F2281A">
            <w:pPr>
              <w:tabs>
                <w:tab w:val="left" w:pos="720"/>
              </w:tabs>
              <w:suppressAutoHyphens/>
              <w:ind w:left="720" w:hanging="360"/>
              <w:rPr>
                <w:rFonts w:ascii="Times New Roman" w:hAnsi="Times New Roman"/>
                <w:sz w:val="24"/>
              </w:rPr>
            </w:pPr>
            <w:r>
              <w:rPr>
                <w:rFonts w:ascii="Symbol" w:hAnsi="Symbol"/>
                <w:sz w:val="24"/>
              </w:rPr>
              <w:t></w:t>
            </w:r>
            <w:r>
              <w:tab/>
            </w:r>
            <w:r>
              <w:rPr>
                <w:rFonts w:ascii="Times New Roman" w:hAnsi="Times New Roman"/>
                <w:sz w:val="24"/>
              </w:rPr>
              <w:t>le altre posizioni conformi all</w:t>
            </w:r>
            <w:r w:rsidR="000878EC">
              <w:rPr>
                <w:rFonts w:ascii="Times New Roman" w:hAnsi="Times New Roman"/>
                <w:sz w:val="24"/>
              </w:rPr>
              <w:t>'</w:t>
            </w:r>
            <w:r>
              <w:rPr>
                <w:rFonts w:ascii="Times New Roman" w:hAnsi="Times New Roman"/>
                <w:sz w:val="24"/>
              </w:rPr>
              <w:t>articolo 338, paragrafo 3, del CRR.</w:t>
            </w:r>
          </w:p>
        </w:tc>
      </w:tr>
    </w:tbl>
    <w:p w:rsidR="000B0B09" w:rsidRPr="00661595" w:rsidRDefault="000B0B09" w:rsidP="000B0B09">
      <w:pPr>
        <w:autoSpaceDE w:val="0"/>
        <w:autoSpaceDN w:val="0"/>
        <w:adjustRightInd w:val="0"/>
        <w:spacing w:before="0" w:after="0"/>
        <w:rPr>
          <w:rFonts w:ascii="Times New Roman" w:hAnsi="Times New Roman"/>
          <w:sz w:val="24"/>
          <w:lang w:eastAsia="nl-BE"/>
        </w:rPr>
      </w:pPr>
    </w:p>
    <w:p w:rsidR="000B0B09" w:rsidRPr="00661595" w:rsidRDefault="00125707" w:rsidP="00F2281A">
      <w:pPr>
        <w:pStyle w:val="Instructionsberschrift2"/>
        <w:numPr>
          <w:ilvl w:val="0"/>
          <w:numId w:val="0"/>
        </w:numPr>
        <w:suppressAutoHyphens/>
        <w:ind w:left="357" w:hanging="357"/>
        <w:rPr>
          <w:rFonts w:ascii="Times New Roman" w:hAnsi="Times New Roman" w:cs="Times New Roman"/>
          <w:sz w:val="24"/>
        </w:rPr>
      </w:pPr>
      <w:bookmarkStart w:id="657" w:name="_Toc295830005"/>
      <w:bookmarkStart w:id="658" w:name="_Toc308426682"/>
      <w:bookmarkStart w:id="659" w:name="_Toc310415066"/>
      <w:bookmarkStart w:id="660" w:name="_Toc360188401"/>
      <w:bookmarkStart w:id="661" w:name="_Toc473561041"/>
      <w:bookmarkStart w:id="662" w:name="_Toc58915848"/>
      <w:r>
        <w:rPr>
          <w:rFonts w:ascii="Times New Roman" w:hAnsi="Times New Roman"/>
          <w:sz w:val="24"/>
          <w:u w:val="none"/>
        </w:rPr>
        <w:t>5.4.</w:t>
      </w:r>
      <w:r w:rsidRPr="00F2281A">
        <w:rPr>
          <w:u w:val="none"/>
        </w:rPr>
        <w:tab/>
      </w:r>
      <w:r>
        <w:rPr>
          <w:rFonts w:ascii="Times New Roman" w:hAnsi="Times New Roman"/>
          <w:sz w:val="24"/>
        </w:rPr>
        <w:t xml:space="preserve">C 21.00 - Rischio di mercato: </w:t>
      </w:r>
      <w:bookmarkStart w:id="663" w:name="_Toc262566429"/>
      <w:r>
        <w:rPr>
          <w:rFonts w:ascii="Times New Roman" w:hAnsi="Times New Roman"/>
          <w:sz w:val="24"/>
        </w:rPr>
        <w:t>metodo standardizzato per il rischio di posizione su strumenti di capitale</w:t>
      </w:r>
      <w:bookmarkEnd w:id="657"/>
      <w:bookmarkEnd w:id="658"/>
      <w:bookmarkEnd w:id="659"/>
      <w:bookmarkEnd w:id="660"/>
      <w:bookmarkEnd w:id="663"/>
      <w:r>
        <w:rPr>
          <w:rFonts w:ascii="Times New Roman" w:hAnsi="Times New Roman"/>
          <w:sz w:val="24"/>
        </w:rPr>
        <w:t xml:space="preserve"> (MKR SA EQU)</w:t>
      </w:r>
      <w:bookmarkEnd w:id="661"/>
      <w:bookmarkEnd w:id="662"/>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64" w:name="_Toc262566430"/>
      <w:bookmarkStart w:id="665" w:name="_Toc295830006"/>
      <w:bookmarkStart w:id="666" w:name="_Toc308426683"/>
      <w:bookmarkStart w:id="667" w:name="_Toc310415067"/>
      <w:bookmarkStart w:id="668" w:name="_Toc360188402"/>
      <w:bookmarkStart w:id="669" w:name="_Toc473561042"/>
      <w:bookmarkStart w:id="670" w:name="_Toc58915849"/>
      <w:r>
        <w:rPr>
          <w:rFonts w:ascii="Times New Roman" w:hAnsi="Times New Roman"/>
          <w:sz w:val="24"/>
          <w:u w:val="none"/>
        </w:rPr>
        <w:t>5.4.1.</w:t>
      </w:r>
      <w:r>
        <w:tab/>
      </w:r>
      <w:r>
        <w:rPr>
          <w:rFonts w:ascii="Times New Roman" w:hAnsi="Times New Roman"/>
          <w:sz w:val="24"/>
        </w:rPr>
        <w:t>Osservazioni di carattere generale</w:t>
      </w:r>
      <w:bookmarkEnd w:id="664"/>
      <w:bookmarkEnd w:id="665"/>
      <w:bookmarkEnd w:id="666"/>
      <w:bookmarkEnd w:id="667"/>
      <w:bookmarkEnd w:id="668"/>
      <w:bookmarkEnd w:id="669"/>
      <w:bookmarkEnd w:id="670"/>
    </w:p>
    <w:p w:rsidR="000B0B09" w:rsidRPr="00661595" w:rsidRDefault="00A971CA" w:rsidP="00F2281A">
      <w:pPr>
        <w:pStyle w:val="InstructionsText2"/>
        <w:numPr>
          <w:ilvl w:val="0"/>
          <w:numId w:val="0"/>
        </w:numPr>
        <w:ind w:left="1680" w:hanging="480"/>
      </w:pPr>
      <w:r>
        <w:fldChar w:fldCharType="begin"/>
      </w:r>
      <w:r>
        <w:instrText xml:space="preserve"> seq paragraphs </w:instrText>
      </w:r>
      <w:r>
        <w:fldChar w:fldCharType="separate"/>
      </w:r>
      <w:r w:rsidR="00D11E4C">
        <w:rPr>
          <w:noProof/>
        </w:rPr>
        <w:t>169</w:t>
      </w:r>
      <w:r>
        <w:rPr>
          <w:noProof/>
        </w:rPr>
        <w:fldChar w:fldCharType="end"/>
      </w:r>
      <w:r w:rsidR="00D11E4C">
        <w:t>.</w:t>
      </w:r>
      <w:r w:rsidR="00D11E4C">
        <w:tab/>
        <w:t xml:space="preserve"> In questo modello vanno inserite informazioni riguardanti le posizioni e i relativi requisiti di fondi propri per il rischio di posizione su strumenti di capitale detenuti nel portafoglio di negoziazione e trattati secondo il metodo standardizzato.</w:t>
      </w:r>
    </w:p>
    <w:p w:rsidR="00B828CC" w:rsidRPr="00661595" w:rsidRDefault="00A971CA" w:rsidP="00F2281A">
      <w:pPr>
        <w:pStyle w:val="InstructionsText2"/>
        <w:numPr>
          <w:ilvl w:val="0"/>
          <w:numId w:val="0"/>
        </w:numPr>
        <w:ind w:left="1680" w:hanging="480"/>
      </w:pPr>
      <w:r>
        <w:fldChar w:fldCharType="begin"/>
      </w:r>
      <w:r>
        <w:instrText xml:space="preserve"> seq paragraphs </w:instrText>
      </w:r>
      <w:r>
        <w:fldChar w:fldCharType="separate"/>
      </w:r>
      <w:r w:rsidR="00D11E4C">
        <w:rPr>
          <w:noProof/>
        </w:rPr>
        <w:t>170</w:t>
      </w:r>
      <w:r>
        <w:rPr>
          <w:noProof/>
        </w:rPr>
        <w:fldChar w:fldCharType="end"/>
      </w:r>
      <w:r w:rsidR="00D11E4C">
        <w:t>.</w:t>
      </w:r>
      <w:r w:rsidR="00D11E4C">
        <w:tab/>
        <w:t xml:space="preserve"> Il modello deve essere compilato separatamente per il </w:t>
      </w:r>
      <w:r w:rsidR="000878EC">
        <w:t>"</w:t>
      </w:r>
      <w:r w:rsidR="00D11E4C">
        <w:t>Totale</w:t>
      </w:r>
      <w:r w:rsidR="000878EC">
        <w:t>"</w:t>
      </w:r>
      <w:r w:rsidR="00D11E4C">
        <w:t>, più un elenco statico e prestabilito comprendente i seguenti mercati: Albania, Bulgaria, Croazia, Danimarca, Egitto, ex Repubblica iugoslava di Macedonia, Federazione russa, Giappone, Islanda, Liechtenstein, Norvegia, Polonia, Regno Unito, Repubblica ceca, Romania, Serbia, Svezia, Svizzera, Turchia, Ucraina, Ungheria, USA, zona euro, e un modello residuale per tutti gli altri mercati. Ai fini di quest</w:t>
      </w:r>
      <w:r w:rsidR="000878EC">
        <w:t>'</w:t>
      </w:r>
      <w:r w:rsidR="00D11E4C">
        <w:t xml:space="preserve">obbligo di segnalazione, il termine </w:t>
      </w:r>
      <w:r w:rsidR="000878EC">
        <w:t>"</w:t>
      </w:r>
      <w:r w:rsidR="00D11E4C">
        <w:t>mercato</w:t>
      </w:r>
      <w:r w:rsidR="000878EC">
        <w:t>"</w:t>
      </w:r>
      <w:r w:rsidR="00D11E4C">
        <w:t xml:space="preserve"> ha il valore di </w:t>
      </w:r>
      <w:r w:rsidR="000878EC">
        <w:t>"</w:t>
      </w:r>
      <w:r w:rsidR="00D11E4C">
        <w:t>paese</w:t>
      </w:r>
      <w:r w:rsidR="000878EC">
        <w:t>"</w:t>
      </w:r>
      <w:r w:rsidR="00D11E4C">
        <w:t xml:space="preserve"> (tranne che per i paesi appartenenti alla zona euro, cfr. il regolamento delegato (UE) n. 525/2014 della Commissione</w:t>
      </w:r>
      <w:r w:rsidR="00D11E4C">
        <w:rPr>
          <w:rStyle w:val="FootnoteReference"/>
        </w:rPr>
        <w:footnoteReference w:id="13"/>
      </w:r>
      <w:r w:rsidR="00D11E4C">
        <w:t>).</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71" w:name="_Toc262566431"/>
      <w:bookmarkStart w:id="672" w:name="_Toc295830007"/>
      <w:bookmarkStart w:id="673" w:name="_Toc308426684"/>
      <w:bookmarkStart w:id="674" w:name="_Toc310415068"/>
      <w:bookmarkStart w:id="675" w:name="_Toc360188403"/>
      <w:bookmarkStart w:id="676" w:name="_Toc473561043"/>
      <w:bookmarkStart w:id="677" w:name="_Toc58915850"/>
      <w:r>
        <w:rPr>
          <w:rFonts w:ascii="Times New Roman" w:hAnsi="Times New Roman"/>
          <w:sz w:val="24"/>
          <w:u w:val="none"/>
        </w:rPr>
        <w:t>5.4.2.</w:t>
      </w:r>
      <w:r>
        <w:tab/>
      </w:r>
      <w:r>
        <w:rPr>
          <w:rFonts w:ascii="Times New Roman" w:hAnsi="Times New Roman"/>
          <w:sz w:val="24"/>
        </w:rPr>
        <w:t>Istruzioni relative a posizioni specifiche</w:t>
      </w:r>
      <w:bookmarkEnd w:id="671"/>
      <w:bookmarkEnd w:id="672"/>
      <w:bookmarkEnd w:id="673"/>
      <w:bookmarkEnd w:id="674"/>
      <w:bookmarkEnd w:id="675"/>
      <w:bookmarkEnd w:id="676"/>
      <w:bookmarkEnd w:id="6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rsidTr="00672D2A">
        <w:trPr>
          <w:trHeight w:val="626"/>
        </w:trPr>
        <w:tc>
          <w:tcPr>
            <w:tcW w:w="8862" w:type="dxa"/>
            <w:gridSpan w:val="2"/>
            <w:shd w:val="clear" w:color="auto" w:fill="CCCCCC"/>
          </w:tcPr>
          <w:p w:rsidR="000B0B09" w:rsidRPr="00661595" w:rsidRDefault="000B0B09" w:rsidP="00F2281A">
            <w:pPr>
              <w:suppressAutoHyphens/>
              <w:autoSpaceDE w:val="0"/>
              <w:autoSpaceDN w:val="0"/>
              <w:adjustRightInd w:val="0"/>
              <w:spacing w:after="0"/>
              <w:rPr>
                <w:rFonts w:ascii="Times New Roman" w:hAnsi="Times New Roman"/>
                <w:b/>
                <w:sz w:val="24"/>
              </w:rPr>
            </w:pPr>
            <w:r>
              <w:rPr>
                <w:rFonts w:ascii="Times New Roman" w:hAnsi="Times New Roman"/>
                <w:b/>
                <w:sz w:val="24"/>
              </w:rPr>
              <w:t>Colonne</w:t>
            </w:r>
          </w:p>
        </w:tc>
      </w:tr>
      <w:tr w:rsidR="000B0B09" w:rsidRPr="00661595" w:rsidTr="00672D2A">
        <w:tc>
          <w:tcPr>
            <w:tcW w:w="988" w:type="dxa"/>
          </w:tcPr>
          <w:p w:rsidR="000B0B09"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4" w:type="dxa"/>
          </w:tcPr>
          <w:p w:rsidR="000B0B09" w:rsidRPr="00661595" w:rsidRDefault="000B0B09" w:rsidP="00F2281A">
            <w:pPr>
              <w:suppressAutoHyphens/>
              <w:autoSpaceDE w:val="0"/>
              <w:autoSpaceDN w:val="0"/>
              <w:adjustRightInd w:val="0"/>
              <w:rPr>
                <w:rFonts w:ascii="Times New Roman" w:hAnsi="Times New Roman"/>
                <w:b/>
                <w:bCs/>
                <w:sz w:val="24"/>
                <w:u w:val="single"/>
              </w:rPr>
            </w:pPr>
            <w:r>
              <w:rPr>
                <w:rFonts w:ascii="Times New Roman" w:hAnsi="Times New Roman"/>
                <w:b/>
                <w:bCs/>
                <w:sz w:val="24"/>
                <w:u w:val="single"/>
              </w:rPr>
              <w:t>TUTTE LE POSIZIONI (LUNGHE E CORTE)</w:t>
            </w:r>
          </w:p>
          <w:p w:rsidR="005C14B0" w:rsidRPr="00661595" w:rsidRDefault="000B0B09" w:rsidP="00F2281A">
            <w:pPr>
              <w:suppressAutoHyphens/>
              <w:autoSpaceDE w:val="0"/>
              <w:autoSpaceDN w:val="0"/>
              <w:adjustRightInd w:val="0"/>
              <w:spacing w:before="0"/>
              <w:rPr>
                <w:rFonts w:ascii="Times New Roman" w:hAnsi="Times New Roman"/>
                <w:sz w:val="24"/>
              </w:rPr>
            </w:pPr>
            <w:r>
              <w:rPr>
                <w:rFonts w:ascii="Times New Roman" w:hAnsi="Times New Roman"/>
                <w:sz w:val="24"/>
              </w:rPr>
              <w:t xml:space="preserve">Articolo 102 e articolo 105, paragrafo 1, del CRR </w:t>
            </w:r>
          </w:p>
          <w:p w:rsidR="000B0B09" w:rsidRPr="00661595" w:rsidRDefault="000B0B09" w:rsidP="00F2281A">
            <w:pPr>
              <w:suppressAutoHyphens/>
              <w:autoSpaceDE w:val="0"/>
              <w:autoSpaceDN w:val="0"/>
              <w:adjustRightInd w:val="0"/>
              <w:spacing w:before="0"/>
              <w:rPr>
                <w:rFonts w:ascii="Times New Roman" w:hAnsi="Times New Roman"/>
                <w:sz w:val="24"/>
              </w:rPr>
            </w:pPr>
            <w:r>
              <w:rPr>
                <w:rFonts w:ascii="Times New Roman" w:hAnsi="Times New Roman"/>
                <w:sz w:val="24"/>
              </w:rPr>
              <w:t>Si tratta di posizioni lorde non compensate da strumenti; sono tuttavia escluse le posizioni in impegni irrevocabili di acquisto sottoscritte o risottoscritte da terzi di cui all</w:t>
            </w:r>
            <w:r w:rsidR="000878EC">
              <w:rPr>
                <w:rFonts w:ascii="Times New Roman" w:hAnsi="Times New Roman"/>
                <w:sz w:val="24"/>
              </w:rPr>
              <w:t>'</w:t>
            </w:r>
            <w:r>
              <w:rPr>
                <w:rFonts w:ascii="Times New Roman" w:hAnsi="Times New Roman"/>
                <w:sz w:val="24"/>
              </w:rPr>
              <w:t xml:space="preserve">articolo 345, paragrafo 1, seconda frase, del CRR. </w:t>
            </w:r>
          </w:p>
        </w:tc>
      </w:tr>
      <w:tr w:rsidR="000B0B09" w:rsidRPr="00661595" w:rsidTr="00672D2A">
        <w:tc>
          <w:tcPr>
            <w:tcW w:w="988" w:type="dxa"/>
          </w:tcPr>
          <w:p w:rsidR="000B0B09"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4" w:type="dxa"/>
          </w:tcPr>
          <w:p w:rsidR="000B0B09" w:rsidRPr="00661595" w:rsidRDefault="000B0B09"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POSIZIONI NETTE (LUNGHE E CORTE)</w:t>
            </w:r>
          </w:p>
          <w:p w:rsidR="000B0B09" w:rsidRPr="00661595" w:rsidRDefault="000B0B09" w:rsidP="00F2281A">
            <w:pPr>
              <w:suppressAutoHyphens/>
              <w:autoSpaceDE w:val="0"/>
              <w:autoSpaceDN w:val="0"/>
              <w:adjustRightInd w:val="0"/>
              <w:rPr>
                <w:rFonts w:ascii="Times New Roman" w:hAnsi="Times New Roman"/>
                <w:sz w:val="24"/>
              </w:rPr>
            </w:pPr>
            <w:r>
              <w:rPr>
                <w:rFonts w:ascii="Times New Roman" w:hAnsi="Times New Roman"/>
                <w:sz w:val="24"/>
              </w:rPr>
              <w:t xml:space="preserve">Articoli 327, 329, 332, 341 e 345 del CRR. </w:t>
            </w:r>
          </w:p>
        </w:tc>
      </w:tr>
      <w:tr w:rsidR="000B0B09" w:rsidRPr="00661595" w:rsidTr="00672D2A">
        <w:tc>
          <w:tcPr>
            <w:tcW w:w="988" w:type="dxa"/>
          </w:tcPr>
          <w:p w:rsidR="000B0B09"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4" w:type="dxa"/>
          </w:tcPr>
          <w:p w:rsidR="000B0B09" w:rsidRPr="00661595" w:rsidRDefault="000B0B09" w:rsidP="00F2281A">
            <w:pPr>
              <w:tabs>
                <w:tab w:val="left" w:pos="5795"/>
              </w:tabs>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POSIZIONI SOGGETTE A COPERTURA PATRIMONIALE</w:t>
            </w:r>
          </w:p>
          <w:p w:rsidR="000B0B09" w:rsidRPr="00661595" w:rsidRDefault="000B0B09" w:rsidP="00F2281A">
            <w:pPr>
              <w:suppressAutoHyphens/>
              <w:autoSpaceDE w:val="0"/>
              <w:autoSpaceDN w:val="0"/>
              <w:adjustRightInd w:val="0"/>
              <w:spacing w:after="0"/>
              <w:rPr>
                <w:rFonts w:ascii="Times New Roman" w:hAnsi="Times New Roman"/>
                <w:sz w:val="24"/>
              </w:rPr>
            </w:pPr>
            <w:r>
              <w:rPr>
                <w:rFonts w:ascii="Times New Roman" w:hAnsi="Times New Roman"/>
                <w:sz w:val="24"/>
              </w:rPr>
              <w:t>Posizioni nette che, secondo i differenti metodi di cui alla parte tre, titolo IV, capo 2, del CRR, ricevono una copertura patrimoniale. La copertura patrimoniale deve essere calcolata separatamente per ciascun mercato nazionale. Non sono incluse in questa colonna le posizioni in contratti future su indici azionari di cui all</w:t>
            </w:r>
            <w:r w:rsidR="000878EC">
              <w:rPr>
                <w:rFonts w:ascii="Times New Roman" w:hAnsi="Times New Roman"/>
                <w:sz w:val="24"/>
              </w:rPr>
              <w:t>'</w:t>
            </w:r>
            <w:r>
              <w:rPr>
                <w:rFonts w:ascii="Times New Roman" w:hAnsi="Times New Roman"/>
                <w:sz w:val="24"/>
              </w:rPr>
              <w:t>articolo 344, paragrafo 4, seconda frase, del CRR.</w:t>
            </w:r>
          </w:p>
          <w:p w:rsidR="000B0B09" w:rsidRPr="00661595" w:rsidRDefault="000B0B09" w:rsidP="00F2281A">
            <w:pPr>
              <w:suppressAutoHyphens/>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4" w:type="dxa"/>
          </w:tcPr>
          <w:p w:rsidR="000B0B09" w:rsidRPr="00661595" w:rsidRDefault="000B0B09" w:rsidP="00F2281A">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REQUISITI DI FONDI PROPRI</w:t>
            </w:r>
          </w:p>
          <w:p w:rsidR="000B0B09" w:rsidRPr="00661595" w:rsidRDefault="000B0B09" w:rsidP="00F2281A">
            <w:pPr>
              <w:suppressAutoHyphens/>
              <w:autoSpaceDE w:val="0"/>
              <w:autoSpaceDN w:val="0"/>
              <w:adjustRightInd w:val="0"/>
              <w:spacing w:after="0"/>
              <w:rPr>
                <w:rFonts w:ascii="Times New Roman" w:hAnsi="Times New Roman"/>
                <w:sz w:val="24"/>
              </w:rPr>
            </w:pPr>
            <w:r>
              <w:rPr>
                <w:rFonts w:ascii="Times New Roman" w:hAnsi="Times New Roman"/>
                <w:sz w:val="24"/>
              </w:rPr>
              <w:t>I requisiti di fondi propri conformemente alla parte tre, titolo IV, capo 2, del CRR di qualsiasi posizione pertinente.</w:t>
            </w:r>
          </w:p>
          <w:p w:rsidR="000B0B09" w:rsidRPr="00661595" w:rsidRDefault="000B0B09" w:rsidP="00F2281A">
            <w:pPr>
              <w:tabs>
                <w:tab w:val="left" w:pos="1665"/>
              </w:tabs>
              <w:suppressAutoHyphens/>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4" w:type="dxa"/>
          </w:tcPr>
          <w:p w:rsidR="000B0B09" w:rsidRPr="00661595" w:rsidRDefault="000B0B09" w:rsidP="00F2281A">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IMPORTO COMPLESSIVO DELL</w:t>
            </w:r>
            <w:r w:rsidR="000878EC">
              <w:rPr>
                <w:rFonts w:ascii="Times New Roman" w:hAnsi="Times New Roman"/>
                <w:b/>
                <w:bCs/>
                <w:sz w:val="24"/>
                <w:u w:val="single"/>
              </w:rPr>
              <w:t>'</w:t>
            </w:r>
            <w:r>
              <w:rPr>
                <w:rFonts w:ascii="Times New Roman" w:hAnsi="Times New Roman"/>
                <w:b/>
                <w:bCs/>
                <w:sz w:val="24"/>
                <w:u w:val="single"/>
              </w:rPr>
              <w:t>ESPOSIZIONE AL RISCHIO</w:t>
            </w:r>
          </w:p>
          <w:p w:rsidR="00E64BFE" w:rsidRPr="00661595" w:rsidRDefault="00D21B29" w:rsidP="00F2281A">
            <w:pPr>
              <w:tabs>
                <w:tab w:val="left" w:pos="1665"/>
              </w:tabs>
              <w:suppressAutoHyphens/>
              <w:autoSpaceDE w:val="0"/>
              <w:autoSpaceDN w:val="0"/>
              <w:adjustRightInd w:val="0"/>
              <w:spacing w:after="0"/>
              <w:rPr>
                <w:rFonts w:ascii="Times New Roman" w:hAnsi="Times New Roman"/>
                <w:sz w:val="24"/>
              </w:rPr>
            </w:pPr>
            <w:r>
              <w:rPr>
                <w:rFonts w:ascii="Times New Roman" w:hAnsi="Times New Roman"/>
                <w:sz w:val="24"/>
              </w:rPr>
              <w:t xml:space="preserve">Articolo 92, paragrafo 4, lettera b), del CRR </w:t>
            </w:r>
          </w:p>
          <w:p w:rsidR="000B0B09" w:rsidRPr="00661595" w:rsidRDefault="000B0B09" w:rsidP="00F2281A">
            <w:pPr>
              <w:tabs>
                <w:tab w:val="left" w:pos="1665"/>
              </w:tabs>
              <w:suppressAutoHyphens/>
              <w:autoSpaceDE w:val="0"/>
              <w:autoSpaceDN w:val="0"/>
              <w:adjustRightInd w:val="0"/>
              <w:rPr>
                <w:rFonts w:ascii="Times New Roman" w:hAnsi="Times New Roman"/>
                <w:b/>
                <w:bCs/>
                <w:sz w:val="24"/>
                <w:u w:val="single"/>
              </w:rPr>
            </w:pPr>
            <w:r>
              <w:rPr>
                <w:rFonts w:ascii="Times New Roman" w:hAnsi="Times New Roman"/>
                <w:sz w:val="24"/>
              </w:rPr>
              <w:t xml:space="preserve">Risultato della moltiplicazione dei requisiti di fondi propri per 12,5. </w:t>
            </w:r>
          </w:p>
        </w:tc>
      </w:tr>
    </w:tbl>
    <w:p w:rsidR="000B0B09" w:rsidRPr="00661595" w:rsidRDefault="000B0B09" w:rsidP="000B0B09">
      <w:pPr>
        <w:autoSpaceDE w:val="0"/>
        <w:autoSpaceDN w:val="0"/>
        <w:adjustRightInd w:val="0"/>
        <w:spacing w:before="0" w:after="0"/>
        <w:rPr>
          <w:rFonts w:ascii="Times New Roman" w:hAnsi="Times New Roman"/>
          <w:sz w:val="24"/>
          <w:lang w:eastAsia="nl-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2"/>
        <w:gridCol w:w="8060"/>
      </w:tblGrid>
      <w:tr w:rsidR="000B0B09" w:rsidRPr="00661595" w:rsidTr="00672D2A">
        <w:trPr>
          <w:trHeight w:val="662"/>
        </w:trPr>
        <w:tc>
          <w:tcPr>
            <w:tcW w:w="9212" w:type="dxa"/>
            <w:gridSpan w:val="2"/>
            <w:shd w:val="clear" w:color="auto" w:fill="CCCCCC"/>
          </w:tcPr>
          <w:p w:rsidR="000B0B09" w:rsidRPr="00661595" w:rsidRDefault="000B0B09" w:rsidP="00F2281A">
            <w:pPr>
              <w:suppressAutoHyphens/>
              <w:autoSpaceDE w:val="0"/>
              <w:autoSpaceDN w:val="0"/>
              <w:adjustRightInd w:val="0"/>
              <w:spacing w:after="0"/>
              <w:rPr>
                <w:rFonts w:ascii="Times New Roman" w:hAnsi="Times New Roman"/>
                <w:b/>
                <w:sz w:val="24"/>
              </w:rPr>
            </w:pPr>
            <w:r>
              <w:rPr>
                <w:rFonts w:ascii="Times New Roman" w:hAnsi="Times New Roman"/>
                <w:b/>
                <w:sz w:val="24"/>
              </w:rPr>
              <w:t>Righe</w:t>
            </w:r>
          </w:p>
        </w:tc>
      </w:tr>
      <w:tr w:rsidR="000B0B09" w:rsidRPr="00661595" w:rsidTr="00672D2A">
        <w:tc>
          <w:tcPr>
            <w:tcW w:w="1008" w:type="dxa"/>
          </w:tcPr>
          <w:p w:rsidR="000B0B09"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0010-0130</w:t>
            </w:r>
          </w:p>
        </w:tc>
        <w:tc>
          <w:tcPr>
            <w:tcW w:w="8204" w:type="dxa"/>
          </w:tcPr>
          <w:p w:rsidR="000B0B09" w:rsidRPr="00661595" w:rsidRDefault="000B0B09"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STRUMENTI DI CAPITALE NEL PORTAFOGLIO DI NEGOZIAZIONE</w:t>
            </w:r>
          </w:p>
          <w:p w:rsidR="000B0B09" w:rsidRPr="00661595" w:rsidRDefault="000B0B09" w:rsidP="00F2281A">
            <w:pPr>
              <w:tabs>
                <w:tab w:val="left" w:pos="1665"/>
              </w:tabs>
              <w:suppressAutoHyphens/>
              <w:autoSpaceDE w:val="0"/>
              <w:autoSpaceDN w:val="0"/>
              <w:adjustRightInd w:val="0"/>
              <w:rPr>
                <w:rFonts w:ascii="Times New Roman" w:hAnsi="Times New Roman"/>
                <w:sz w:val="24"/>
              </w:rPr>
            </w:pPr>
            <w:r>
              <w:rPr>
                <w:rFonts w:ascii="Times New Roman" w:hAnsi="Times New Roman"/>
                <w:sz w:val="24"/>
              </w:rPr>
              <w:t>Requisiti di fondi propri per il rischio di posizione di cui all</w:t>
            </w:r>
            <w:r w:rsidR="000878EC">
              <w:rPr>
                <w:rFonts w:ascii="Times New Roman" w:hAnsi="Times New Roman"/>
                <w:sz w:val="24"/>
              </w:rPr>
              <w:t>'</w:t>
            </w:r>
            <w:r>
              <w:rPr>
                <w:rFonts w:ascii="Times New Roman" w:hAnsi="Times New Roman"/>
                <w:sz w:val="24"/>
              </w:rPr>
              <w:t xml:space="preserve">articolo 92, paragrafo 3, lettera b), punto i), del CRR e alla parte </w:t>
            </w:r>
            <w:r w:rsidR="00F2281A">
              <w:rPr>
                <w:rFonts w:ascii="Times New Roman" w:hAnsi="Times New Roman"/>
                <w:sz w:val="24"/>
              </w:rPr>
              <w:t>tre, titolo IV, capo 2, sezione </w:t>
            </w:r>
            <w:r>
              <w:rPr>
                <w:rFonts w:ascii="Times New Roman" w:hAnsi="Times New Roman"/>
                <w:sz w:val="24"/>
              </w:rPr>
              <w:t>3, del CRR.</w:t>
            </w:r>
          </w:p>
        </w:tc>
      </w:tr>
      <w:tr w:rsidR="000B0B09" w:rsidRPr="00661595" w:rsidTr="00672D2A">
        <w:tc>
          <w:tcPr>
            <w:tcW w:w="1008" w:type="dxa"/>
          </w:tcPr>
          <w:p w:rsidR="000B0B09"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0020-0040</w:t>
            </w:r>
          </w:p>
        </w:tc>
        <w:tc>
          <w:tcPr>
            <w:tcW w:w="8204" w:type="dxa"/>
          </w:tcPr>
          <w:p w:rsidR="000B0B09" w:rsidRPr="00661595" w:rsidRDefault="000B0B09"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RISCHIO GENERICO</w:t>
            </w:r>
          </w:p>
          <w:p w:rsidR="000B0B09" w:rsidRPr="00661595" w:rsidRDefault="000B0B09" w:rsidP="00F2281A">
            <w:pPr>
              <w:suppressAutoHyphens/>
              <w:autoSpaceDE w:val="0"/>
              <w:autoSpaceDN w:val="0"/>
              <w:adjustRightInd w:val="0"/>
              <w:rPr>
                <w:rFonts w:ascii="Times New Roman" w:hAnsi="Times New Roman"/>
                <w:sz w:val="24"/>
              </w:rPr>
            </w:pPr>
            <w:r>
              <w:rPr>
                <w:rFonts w:ascii="Times New Roman" w:hAnsi="Times New Roman"/>
                <w:sz w:val="24"/>
              </w:rPr>
              <w:t>Posizioni in strumenti di capitale soggette al rischio generico (articolo 343 del CRR) e relativi requisiti di fondi propri conformemente alla parte tre, titolo IV, capo 2, sezione 3, del CRR.</w:t>
            </w:r>
          </w:p>
          <w:p w:rsidR="001E0C80" w:rsidRPr="00661595" w:rsidRDefault="000B0B09" w:rsidP="00F2281A">
            <w:pPr>
              <w:suppressAutoHyphens/>
              <w:autoSpaceDE w:val="0"/>
              <w:autoSpaceDN w:val="0"/>
              <w:adjustRightInd w:val="0"/>
              <w:spacing w:before="0"/>
              <w:rPr>
                <w:rFonts w:ascii="Times New Roman" w:hAnsi="Times New Roman"/>
                <w:sz w:val="24"/>
              </w:rPr>
            </w:pPr>
            <w:r>
              <w:rPr>
                <w:rFonts w:ascii="Times New Roman" w:hAnsi="Times New Roman"/>
                <w:sz w:val="24"/>
              </w:rPr>
              <w:t>Entrambe le ripartizioni (righe 0021/0022 e 0030/0040) riguardano tutte le posizioni soggette al rischio generico.</w:t>
            </w:r>
          </w:p>
          <w:p w:rsidR="004E2725" w:rsidRPr="00661595" w:rsidRDefault="000B0B09"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Nelle righe 0021 e 0022 sono segnalate informazioni relative alla ripartizione per strumenti. </w:t>
            </w:r>
          </w:p>
          <w:p w:rsidR="000B0B09" w:rsidRPr="00661595" w:rsidRDefault="000B0B09" w:rsidP="00F2281A">
            <w:pPr>
              <w:tabs>
                <w:tab w:val="left" w:pos="1665"/>
              </w:tabs>
              <w:suppressAutoHyphens/>
              <w:autoSpaceDE w:val="0"/>
              <w:autoSpaceDN w:val="0"/>
              <w:adjustRightInd w:val="0"/>
              <w:rPr>
                <w:rFonts w:ascii="Times New Roman" w:hAnsi="Times New Roman"/>
                <w:sz w:val="24"/>
              </w:rPr>
            </w:pPr>
            <w:r>
              <w:rPr>
                <w:rFonts w:ascii="Times New Roman" w:hAnsi="Times New Roman"/>
                <w:sz w:val="24"/>
              </w:rPr>
              <w:t>Per calcolare i requisiti di fondi propri si fa riferimento unicamente alla ripartizione nelle righe 0030 e 0040.</w:t>
            </w:r>
          </w:p>
        </w:tc>
      </w:tr>
      <w:tr w:rsidR="000B0B09" w:rsidRPr="00661595" w:rsidTr="00672D2A">
        <w:tc>
          <w:tcPr>
            <w:tcW w:w="1008" w:type="dxa"/>
          </w:tcPr>
          <w:p w:rsidR="000B0B09"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0021</w:t>
            </w:r>
          </w:p>
        </w:tc>
        <w:tc>
          <w:tcPr>
            <w:tcW w:w="8204" w:type="dxa"/>
          </w:tcPr>
          <w:p w:rsidR="000B0B09" w:rsidRPr="00661595" w:rsidRDefault="000B0B09" w:rsidP="00F2281A">
            <w:pPr>
              <w:suppressAutoHyphens/>
              <w:autoSpaceDE w:val="0"/>
              <w:autoSpaceDN w:val="0"/>
              <w:adjustRightInd w:val="0"/>
              <w:spacing w:before="0" w:after="0"/>
              <w:rPr>
                <w:rFonts w:ascii="Times New Roman" w:hAnsi="Times New Roman"/>
                <w:b/>
                <w:sz w:val="24"/>
                <w:u w:val="single"/>
              </w:rPr>
            </w:pPr>
            <w:r>
              <w:rPr>
                <w:rFonts w:ascii="Times New Roman" w:hAnsi="Times New Roman"/>
                <w:b/>
                <w:sz w:val="24"/>
                <w:u w:val="single"/>
              </w:rPr>
              <w:t>Derivati</w:t>
            </w:r>
          </w:p>
          <w:p w:rsidR="000B0B09" w:rsidRPr="00661595" w:rsidRDefault="000B0B09" w:rsidP="00F2281A">
            <w:pPr>
              <w:suppressAutoHyphens/>
              <w:autoSpaceDE w:val="0"/>
              <w:autoSpaceDN w:val="0"/>
              <w:adjustRightInd w:val="0"/>
              <w:rPr>
                <w:rFonts w:ascii="Times New Roman" w:hAnsi="Times New Roman"/>
                <w:b/>
                <w:bCs/>
                <w:sz w:val="24"/>
                <w:u w:val="single"/>
              </w:rPr>
            </w:pPr>
            <w:r>
              <w:rPr>
                <w:rFonts w:ascii="Times New Roman" w:hAnsi="Times New Roman"/>
                <w:sz w:val="24"/>
              </w:rPr>
              <w:t>Derivati considerati nel calcolo del rischio di strumenti di capitale di posizioni del portafoglio di negoziazione tenuto conto degli articoli 329 e 332, ove applicabili.</w:t>
            </w:r>
          </w:p>
        </w:tc>
      </w:tr>
      <w:tr w:rsidR="000B0B09" w:rsidRPr="00661595" w:rsidTr="00672D2A">
        <w:tc>
          <w:tcPr>
            <w:tcW w:w="1008" w:type="dxa"/>
          </w:tcPr>
          <w:p w:rsidR="000B0B09"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0022</w:t>
            </w:r>
          </w:p>
        </w:tc>
        <w:tc>
          <w:tcPr>
            <w:tcW w:w="8204" w:type="dxa"/>
          </w:tcPr>
          <w:p w:rsidR="000B0B09" w:rsidRPr="00661595" w:rsidRDefault="000B0B09" w:rsidP="00F2281A">
            <w:pPr>
              <w:suppressAutoHyphens/>
              <w:autoSpaceDE w:val="0"/>
              <w:autoSpaceDN w:val="0"/>
              <w:adjustRightInd w:val="0"/>
              <w:spacing w:before="0" w:after="0"/>
              <w:rPr>
                <w:rFonts w:ascii="Times New Roman" w:hAnsi="Times New Roman"/>
                <w:b/>
                <w:sz w:val="24"/>
                <w:u w:val="single"/>
              </w:rPr>
            </w:pPr>
            <w:r>
              <w:rPr>
                <w:rFonts w:ascii="Times New Roman" w:hAnsi="Times New Roman"/>
                <w:b/>
                <w:sz w:val="24"/>
                <w:u w:val="single"/>
              </w:rPr>
              <w:t>Altre attività e passività</w:t>
            </w:r>
          </w:p>
          <w:p w:rsidR="000B0B09" w:rsidRPr="00661595" w:rsidRDefault="000B0B09" w:rsidP="00F2281A">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Strumenti diversi dai derivati compresi nel calcolo del rischio di strumenti di capitale di posizioni del portafoglio di negoziazione. </w:t>
            </w:r>
          </w:p>
        </w:tc>
      </w:tr>
      <w:tr w:rsidR="000B0B09" w:rsidRPr="00661595" w:rsidTr="00672D2A">
        <w:tc>
          <w:tcPr>
            <w:tcW w:w="1008" w:type="dxa"/>
          </w:tcPr>
          <w:p w:rsidR="000B0B09" w:rsidRPr="00661595" w:rsidRDefault="002F79EA" w:rsidP="00F2281A">
            <w:pPr>
              <w:keepNext/>
              <w:keepLines/>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8204" w:type="dxa"/>
          </w:tcPr>
          <w:p w:rsidR="000B0B09" w:rsidRPr="00661595" w:rsidRDefault="000B0B09" w:rsidP="00F2281A">
            <w:pPr>
              <w:keepNext/>
              <w:keepLines/>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Contratti future su indici azionari negoziati in Borsa ampiamente diversificati soggetti a un metodo particolare</w:t>
            </w:r>
          </w:p>
          <w:p w:rsidR="005C14B0" w:rsidRPr="00661595" w:rsidRDefault="000B0B09" w:rsidP="00F2281A">
            <w:pPr>
              <w:keepNext/>
              <w:keepLines/>
              <w:tabs>
                <w:tab w:val="left" w:pos="1665"/>
              </w:tabs>
              <w:suppressAutoHyphens/>
              <w:autoSpaceDE w:val="0"/>
              <w:autoSpaceDN w:val="0"/>
              <w:adjustRightInd w:val="0"/>
              <w:rPr>
                <w:rFonts w:ascii="Times New Roman" w:hAnsi="Times New Roman"/>
                <w:sz w:val="24"/>
              </w:rPr>
            </w:pPr>
            <w:r>
              <w:rPr>
                <w:rFonts w:ascii="Times New Roman" w:hAnsi="Times New Roman"/>
                <w:sz w:val="24"/>
              </w:rPr>
              <w:t>Contratti future su indici azionari negoziati in Borsa ampiamente diversificati e soggetti a un metodo particolare conformemente al regolamento di esecuzione (UE) n. 945/2014 della Commissione</w:t>
            </w:r>
            <w:r>
              <w:rPr>
                <w:rStyle w:val="FootnoteReference"/>
              </w:rPr>
              <w:footnoteReference w:id="14"/>
            </w:r>
          </w:p>
          <w:p w:rsidR="000B0B09" w:rsidRPr="00661595" w:rsidRDefault="000B0B09" w:rsidP="00F2281A">
            <w:pPr>
              <w:keepNext/>
              <w:keepLines/>
              <w:tabs>
                <w:tab w:val="left" w:pos="1665"/>
              </w:tabs>
              <w:suppressAutoHyphens/>
              <w:autoSpaceDE w:val="0"/>
              <w:autoSpaceDN w:val="0"/>
              <w:adjustRightInd w:val="0"/>
              <w:rPr>
                <w:rFonts w:ascii="Times New Roman" w:hAnsi="Times New Roman"/>
                <w:b/>
                <w:bCs/>
                <w:sz w:val="24"/>
                <w:u w:val="single"/>
              </w:rPr>
            </w:pPr>
            <w:r>
              <w:rPr>
                <w:rFonts w:ascii="Times New Roman" w:hAnsi="Times New Roman"/>
                <w:sz w:val="24"/>
              </w:rPr>
              <w:t>Queste posizioni sono soggette soltanto al rischio generico e, di conseguenza, non vanno segnalate nella riga 0050.</w:t>
            </w:r>
          </w:p>
        </w:tc>
      </w:tr>
      <w:tr w:rsidR="000B0B09" w:rsidRPr="00661595" w:rsidTr="00672D2A">
        <w:tc>
          <w:tcPr>
            <w:tcW w:w="1008" w:type="dxa"/>
          </w:tcPr>
          <w:p w:rsidR="000B0B09"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8204" w:type="dxa"/>
          </w:tcPr>
          <w:p w:rsidR="000B0B09" w:rsidRPr="00661595" w:rsidRDefault="000B0B09"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Strumenti di capitale diversi dai contratti future su indici azionari negoziati in Borsa ampiamente diversificati</w:t>
            </w:r>
          </w:p>
          <w:p w:rsidR="000B0B09" w:rsidRPr="00661595" w:rsidRDefault="000B0B09" w:rsidP="00F2281A">
            <w:pPr>
              <w:suppressAutoHyphens/>
              <w:autoSpaceDE w:val="0"/>
              <w:autoSpaceDN w:val="0"/>
              <w:adjustRightInd w:val="0"/>
              <w:rPr>
                <w:rFonts w:ascii="Times New Roman" w:hAnsi="Times New Roman"/>
                <w:sz w:val="24"/>
              </w:rPr>
            </w:pPr>
            <w:r>
              <w:rPr>
                <w:rFonts w:ascii="Times New Roman" w:hAnsi="Times New Roman"/>
                <w:sz w:val="24"/>
              </w:rPr>
              <w:t>Altre posizioni in strumenti di capitale soggette a rischio specifico e relativi requisiti di fondi propri conformemente all</w:t>
            </w:r>
            <w:r w:rsidR="000878EC">
              <w:rPr>
                <w:rFonts w:ascii="Times New Roman" w:hAnsi="Times New Roman"/>
                <w:sz w:val="24"/>
              </w:rPr>
              <w:t>'</w:t>
            </w:r>
            <w:r>
              <w:rPr>
                <w:rFonts w:ascii="Times New Roman" w:hAnsi="Times New Roman"/>
                <w:sz w:val="24"/>
              </w:rPr>
              <w:t>articolo 343 del CRR, comprese le posizioni in contratti future su indici azionari trattate conformemente all</w:t>
            </w:r>
            <w:r w:rsidR="000878EC">
              <w:rPr>
                <w:rFonts w:ascii="Times New Roman" w:hAnsi="Times New Roman"/>
                <w:sz w:val="24"/>
              </w:rPr>
              <w:t>'</w:t>
            </w:r>
            <w:r>
              <w:rPr>
                <w:rFonts w:ascii="Times New Roman" w:hAnsi="Times New Roman"/>
                <w:sz w:val="24"/>
              </w:rPr>
              <w:t xml:space="preserve">articolo 344, paragrafo 3, del CRR. </w:t>
            </w:r>
          </w:p>
        </w:tc>
      </w:tr>
      <w:tr w:rsidR="000B0B09" w:rsidRPr="00661595" w:rsidTr="00672D2A">
        <w:tc>
          <w:tcPr>
            <w:tcW w:w="1008" w:type="dxa"/>
          </w:tcPr>
          <w:p w:rsidR="000B0B09"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0050 </w:t>
            </w:r>
          </w:p>
        </w:tc>
        <w:tc>
          <w:tcPr>
            <w:tcW w:w="8204" w:type="dxa"/>
          </w:tcPr>
          <w:p w:rsidR="000B0B09" w:rsidRPr="00661595" w:rsidRDefault="000B0B09"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RISCHIO SPECIFICO</w:t>
            </w:r>
          </w:p>
          <w:p w:rsidR="000B0B09" w:rsidRPr="00661595" w:rsidRDefault="000B0B09" w:rsidP="00F2281A">
            <w:pPr>
              <w:suppressAutoHyphens/>
              <w:autoSpaceDE w:val="0"/>
              <w:autoSpaceDN w:val="0"/>
              <w:adjustRightInd w:val="0"/>
              <w:rPr>
                <w:rFonts w:ascii="Times New Roman" w:hAnsi="Times New Roman"/>
                <w:sz w:val="24"/>
              </w:rPr>
            </w:pPr>
            <w:r>
              <w:rPr>
                <w:rFonts w:ascii="Times New Roman" w:hAnsi="Times New Roman"/>
                <w:sz w:val="24"/>
              </w:rPr>
              <w:t>Posizioni in strumenti di capitale soggette a rischio specifico e relativo requisito di fondi propri conformemente all</w:t>
            </w:r>
            <w:r w:rsidR="000878EC">
              <w:rPr>
                <w:rFonts w:ascii="Times New Roman" w:hAnsi="Times New Roman"/>
                <w:sz w:val="24"/>
              </w:rPr>
              <w:t>'</w:t>
            </w:r>
            <w:r>
              <w:rPr>
                <w:rFonts w:ascii="Times New Roman" w:hAnsi="Times New Roman"/>
                <w:sz w:val="24"/>
              </w:rPr>
              <w:t>articolo 342 del CRR, escluse le posizioni in contratti future su indici azionari trattate conformemente all</w:t>
            </w:r>
            <w:r w:rsidR="000878EC">
              <w:rPr>
                <w:rFonts w:ascii="Times New Roman" w:hAnsi="Times New Roman"/>
                <w:sz w:val="24"/>
              </w:rPr>
              <w:t>'</w:t>
            </w:r>
            <w:r>
              <w:rPr>
                <w:rFonts w:ascii="Times New Roman" w:hAnsi="Times New Roman"/>
                <w:sz w:val="24"/>
              </w:rPr>
              <w:t xml:space="preserve">articolo 344, paragrafo 4, seconda frase, del CRR. </w:t>
            </w:r>
          </w:p>
        </w:tc>
      </w:tr>
      <w:tr w:rsidR="000B0B09" w:rsidRPr="00661595" w:rsidTr="00672D2A">
        <w:tc>
          <w:tcPr>
            <w:tcW w:w="1008" w:type="dxa"/>
          </w:tcPr>
          <w:p w:rsidR="000B0B09"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0090-0130</w:t>
            </w:r>
          </w:p>
        </w:tc>
        <w:tc>
          <w:tcPr>
            <w:tcW w:w="8204" w:type="dxa"/>
          </w:tcPr>
          <w:p w:rsidR="000B0B09" w:rsidRPr="00661595" w:rsidRDefault="000B0B09" w:rsidP="00F2281A">
            <w:pPr>
              <w:suppressAutoHyphens/>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REQUISITI AGGIUNTIVI PER LE OPZIONI (RISCHI NON DELTA)</w:t>
            </w:r>
          </w:p>
          <w:p w:rsidR="000B0B09" w:rsidRPr="00661595" w:rsidRDefault="00F2521E" w:rsidP="00F2281A">
            <w:pPr>
              <w:suppressAutoHyphens/>
              <w:autoSpaceDE w:val="0"/>
              <w:autoSpaceDN w:val="0"/>
              <w:adjustRightInd w:val="0"/>
              <w:rPr>
                <w:rFonts w:ascii="Times New Roman" w:hAnsi="Times New Roman"/>
                <w:sz w:val="24"/>
              </w:rPr>
            </w:pPr>
            <w:r>
              <w:rPr>
                <w:rFonts w:ascii="Times New Roman" w:hAnsi="Times New Roman"/>
                <w:sz w:val="24"/>
              </w:rPr>
              <w:t xml:space="preserve">Articolo 329, paragrafi 2 e 3, del CRR </w:t>
            </w:r>
          </w:p>
          <w:p w:rsidR="000B0B09" w:rsidRPr="00661595" w:rsidRDefault="000B0B09"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I requisiti aggiuntivi per le opzioni correlate a rischi diversi dal rischio delta sono segnalati nel metodo utilizzato per il relativo calcolo.</w:t>
            </w:r>
          </w:p>
        </w:tc>
      </w:tr>
    </w:tbl>
    <w:p w:rsidR="000B0B09" w:rsidRPr="00661595" w:rsidRDefault="000B0B09" w:rsidP="000B0B09">
      <w:pPr>
        <w:autoSpaceDE w:val="0"/>
        <w:autoSpaceDN w:val="0"/>
        <w:adjustRightInd w:val="0"/>
        <w:spacing w:before="0" w:after="0"/>
        <w:rPr>
          <w:rFonts w:ascii="Times New Roman" w:hAnsi="Times New Roman"/>
          <w:bCs/>
          <w:sz w:val="24"/>
          <w:lang w:eastAsia="nl-BE"/>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78" w:name="_Toc295830008"/>
      <w:bookmarkStart w:id="679" w:name="_Toc308426685"/>
      <w:bookmarkStart w:id="680" w:name="_Toc310415069"/>
      <w:bookmarkStart w:id="681" w:name="_Toc360188404"/>
      <w:bookmarkStart w:id="682" w:name="_Toc473561044"/>
      <w:bookmarkStart w:id="683" w:name="_Toc58915851"/>
      <w:r>
        <w:rPr>
          <w:rFonts w:ascii="Times New Roman" w:hAnsi="Times New Roman"/>
          <w:sz w:val="24"/>
          <w:u w:val="none"/>
        </w:rPr>
        <w:t>5.5.</w:t>
      </w:r>
      <w:r w:rsidRPr="00F2281A">
        <w:rPr>
          <w:u w:val="none"/>
        </w:rPr>
        <w:tab/>
      </w:r>
      <w:r>
        <w:rPr>
          <w:rFonts w:ascii="Times New Roman" w:hAnsi="Times New Roman"/>
          <w:sz w:val="24"/>
        </w:rPr>
        <w:t xml:space="preserve">C 22.00 - Rischio di mercato: </w:t>
      </w:r>
      <w:bookmarkStart w:id="684" w:name="_Toc262566432"/>
      <w:r>
        <w:rPr>
          <w:rFonts w:ascii="Times New Roman" w:hAnsi="Times New Roman"/>
          <w:sz w:val="24"/>
        </w:rPr>
        <w:t>metodi standardizzati per il rischio di cambio</w:t>
      </w:r>
      <w:bookmarkEnd w:id="678"/>
      <w:bookmarkEnd w:id="679"/>
      <w:bookmarkEnd w:id="680"/>
      <w:bookmarkEnd w:id="681"/>
      <w:bookmarkEnd w:id="684"/>
      <w:r>
        <w:rPr>
          <w:rFonts w:ascii="Times New Roman" w:hAnsi="Times New Roman"/>
          <w:sz w:val="24"/>
        </w:rPr>
        <w:t xml:space="preserve"> (MKR SA FX)</w:t>
      </w:r>
      <w:bookmarkEnd w:id="682"/>
      <w:bookmarkEnd w:id="683"/>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85" w:name="_Toc262566433"/>
      <w:bookmarkStart w:id="686" w:name="_Toc295830009"/>
      <w:bookmarkStart w:id="687" w:name="_Toc308426686"/>
      <w:bookmarkStart w:id="688" w:name="_Toc310415070"/>
      <w:bookmarkStart w:id="689" w:name="_Toc360188405"/>
      <w:bookmarkStart w:id="690" w:name="_Toc473561045"/>
      <w:bookmarkStart w:id="691" w:name="_Toc58915852"/>
      <w:r>
        <w:rPr>
          <w:rFonts w:ascii="Times New Roman" w:hAnsi="Times New Roman"/>
          <w:sz w:val="24"/>
          <w:u w:val="none"/>
        </w:rPr>
        <w:t>5.5.1.</w:t>
      </w:r>
      <w:r>
        <w:tab/>
      </w:r>
      <w:r>
        <w:rPr>
          <w:rFonts w:ascii="Times New Roman" w:hAnsi="Times New Roman"/>
          <w:sz w:val="24"/>
        </w:rPr>
        <w:t>Osservazioni di carattere generale</w:t>
      </w:r>
      <w:bookmarkEnd w:id="685"/>
      <w:bookmarkEnd w:id="686"/>
      <w:bookmarkEnd w:id="687"/>
      <w:bookmarkEnd w:id="688"/>
      <w:bookmarkEnd w:id="689"/>
      <w:bookmarkEnd w:id="690"/>
      <w:bookmarkEnd w:id="691"/>
    </w:p>
    <w:p w:rsidR="00F71DF2" w:rsidRPr="00661595" w:rsidRDefault="00A971CA" w:rsidP="00F2281A">
      <w:pPr>
        <w:pStyle w:val="InstructionsText2"/>
        <w:numPr>
          <w:ilvl w:val="0"/>
          <w:numId w:val="0"/>
        </w:numPr>
        <w:ind w:left="1680" w:hanging="480"/>
      </w:pPr>
      <w:r>
        <w:fldChar w:fldCharType="begin"/>
      </w:r>
      <w:r>
        <w:instrText xml:space="preserve"> seq paragraphs </w:instrText>
      </w:r>
      <w:r>
        <w:fldChar w:fldCharType="separate"/>
      </w:r>
      <w:r w:rsidR="00D11E4C">
        <w:rPr>
          <w:noProof/>
        </w:rPr>
        <w:t>171</w:t>
      </w:r>
      <w:r>
        <w:rPr>
          <w:noProof/>
        </w:rPr>
        <w:fldChar w:fldCharType="end"/>
      </w:r>
      <w:r w:rsidR="00D11E4C">
        <w:t>. Gli enti segnalano informazioni sulle posizioni in ciascuna valuta (compresa la valuta utilizzata per le segnalazioni) e i relativi requisiti di fondi propri per il rischio di cambio, trattati secondo il metodo standardizzato. La posizione è calcolata per ciascuna valuta (compreso l</w:t>
      </w:r>
      <w:r w:rsidR="000878EC">
        <w:t>'</w:t>
      </w:r>
      <w:r w:rsidR="00D11E4C">
        <w:t>EUR), l</w:t>
      </w:r>
      <w:r w:rsidR="000878EC">
        <w:t>'</w:t>
      </w:r>
      <w:r w:rsidR="00D11E4C">
        <w:t>oro e le posizioni in quote di OIC.</w:t>
      </w:r>
    </w:p>
    <w:p w:rsidR="000B0B09" w:rsidRPr="00661595" w:rsidRDefault="00A971CA" w:rsidP="00F2281A">
      <w:pPr>
        <w:pStyle w:val="InstructionsText2"/>
        <w:numPr>
          <w:ilvl w:val="0"/>
          <w:numId w:val="0"/>
        </w:numPr>
        <w:ind w:left="1680" w:hanging="480"/>
      </w:pPr>
      <w:r>
        <w:fldChar w:fldCharType="begin"/>
      </w:r>
      <w:r>
        <w:instrText xml:space="preserve"> seq paragraphs </w:instrText>
      </w:r>
      <w:r>
        <w:fldChar w:fldCharType="separate"/>
      </w:r>
      <w:r w:rsidR="00D11E4C">
        <w:rPr>
          <w:noProof/>
        </w:rPr>
        <w:t>172</w:t>
      </w:r>
      <w:r>
        <w:rPr>
          <w:noProof/>
        </w:rPr>
        <w:fldChar w:fldCharType="end"/>
      </w:r>
      <w:r w:rsidR="00D11E4C">
        <w:t>.</w:t>
      </w:r>
      <w:r w:rsidR="00D11E4C">
        <w:tab/>
        <w:t xml:space="preserve"> Le righe da 0100 a 0480 di questo modello sono compilate anche se gli enti non sono tenuti a calcolare i requisiti di fondi propri per il rischio di cambio a norma dell</w:t>
      </w:r>
      <w:r w:rsidR="000878EC">
        <w:t>'</w:t>
      </w:r>
      <w:r w:rsidR="00D11E4C">
        <w:t>articolo 351 del CRR. In tali voci per memoria sono incluse tutte le posizioni nella valuta utilizzata per le segnalazioni, a prescindere dal fatto che esse siano o meno considerate ai fini dell</w:t>
      </w:r>
      <w:r w:rsidR="000878EC">
        <w:t>'</w:t>
      </w:r>
      <w:r w:rsidR="00D11E4C">
        <w:t>articolo 354 del CRR. Le righe da 0130 a 0480 delle voci per memoria del modello sono compilate separatamente per tutte le valute degli Stati membri dell</w:t>
      </w:r>
      <w:r w:rsidR="000878EC">
        <w:t>'</w:t>
      </w:r>
      <w:r w:rsidR="00D11E4C">
        <w:t>Unione, per le valute seguenti: GBP, USD, CHF, JPY, RUB, TRY, AUD, CAD, RSD, ALL, UAH, MKD, EGP, ARS, BRL, MXN, HKD, ICK, TWD, NZD, NOK, SGD, KRW, CNY, nonché per tutte le altre valute.</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92" w:name="_Toc262566434"/>
      <w:bookmarkStart w:id="693" w:name="_Toc295830010"/>
      <w:bookmarkStart w:id="694" w:name="_Toc308426687"/>
      <w:bookmarkStart w:id="695" w:name="_Toc310415071"/>
      <w:bookmarkStart w:id="696" w:name="_Toc360188406"/>
      <w:bookmarkStart w:id="697" w:name="_Toc473561046"/>
      <w:bookmarkStart w:id="698" w:name="_Toc58915853"/>
      <w:r>
        <w:rPr>
          <w:rFonts w:ascii="Times New Roman" w:hAnsi="Times New Roman"/>
          <w:sz w:val="24"/>
          <w:u w:val="none"/>
        </w:rPr>
        <w:t>5.5.2.</w:t>
      </w:r>
      <w:r w:rsidRPr="00F2281A">
        <w:rPr>
          <w:u w:val="none"/>
        </w:rPr>
        <w:tab/>
      </w:r>
      <w:r>
        <w:rPr>
          <w:rFonts w:ascii="Times New Roman" w:hAnsi="Times New Roman"/>
          <w:sz w:val="24"/>
        </w:rPr>
        <w:t>Istruzioni relative a posizioni specifiche</w:t>
      </w:r>
      <w:bookmarkEnd w:id="692"/>
      <w:bookmarkEnd w:id="693"/>
      <w:bookmarkEnd w:id="694"/>
      <w:bookmarkEnd w:id="695"/>
      <w:bookmarkEnd w:id="696"/>
      <w:bookmarkEnd w:id="697"/>
      <w:bookmarkEnd w:id="69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
        <w:gridCol w:w="7874"/>
      </w:tblGrid>
      <w:tr w:rsidR="000B0B09" w:rsidRPr="00661595" w:rsidTr="00672D2A">
        <w:trPr>
          <w:trHeight w:val="595"/>
        </w:trPr>
        <w:tc>
          <w:tcPr>
            <w:tcW w:w="8862" w:type="dxa"/>
            <w:gridSpan w:val="2"/>
            <w:shd w:val="clear" w:color="auto" w:fill="CCCCCC"/>
          </w:tcPr>
          <w:p w:rsidR="000B0B09" w:rsidRPr="00661595" w:rsidRDefault="000B0B09" w:rsidP="00F2281A">
            <w:pPr>
              <w:suppressAutoHyphens/>
              <w:autoSpaceDE w:val="0"/>
              <w:autoSpaceDN w:val="0"/>
              <w:adjustRightInd w:val="0"/>
              <w:spacing w:after="0"/>
              <w:rPr>
                <w:rFonts w:ascii="Times New Roman" w:hAnsi="Times New Roman"/>
                <w:b/>
                <w:sz w:val="24"/>
              </w:rPr>
            </w:pPr>
            <w:r>
              <w:rPr>
                <w:rFonts w:ascii="Times New Roman" w:hAnsi="Times New Roman"/>
                <w:b/>
                <w:sz w:val="24"/>
              </w:rPr>
              <w:t>Colonne</w:t>
            </w:r>
          </w:p>
        </w:tc>
      </w:tr>
      <w:tr w:rsidR="000B0B09" w:rsidRPr="00661595" w:rsidTr="00672D2A">
        <w:tc>
          <w:tcPr>
            <w:tcW w:w="988" w:type="dxa"/>
          </w:tcPr>
          <w:p w:rsidR="000B0B09"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0020-0030</w:t>
            </w:r>
          </w:p>
        </w:tc>
        <w:tc>
          <w:tcPr>
            <w:tcW w:w="7874" w:type="dxa"/>
          </w:tcPr>
          <w:p w:rsidR="000B0B09" w:rsidRPr="00661595" w:rsidRDefault="000B0B09"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TUTTE LE POSIZIONI (LUNGHE E CORTE)</w:t>
            </w:r>
          </w:p>
          <w:p w:rsidR="000B0B09" w:rsidRPr="00661595" w:rsidRDefault="000B0B09" w:rsidP="00F2281A">
            <w:pPr>
              <w:suppressAutoHyphens/>
              <w:autoSpaceDE w:val="0"/>
              <w:autoSpaceDN w:val="0"/>
              <w:adjustRightInd w:val="0"/>
              <w:spacing w:before="0" w:after="0"/>
              <w:rPr>
                <w:rFonts w:ascii="Times New Roman" w:hAnsi="Times New Roman"/>
                <w:sz w:val="24"/>
                <w:lang w:eastAsia="nl-BE"/>
              </w:rPr>
            </w:pPr>
          </w:p>
          <w:p w:rsidR="005C14B0" w:rsidRPr="00661595" w:rsidRDefault="000B0B09" w:rsidP="00F2281A">
            <w:pPr>
              <w:suppressAutoHyphens/>
              <w:autoSpaceDE w:val="0"/>
              <w:autoSpaceDN w:val="0"/>
              <w:adjustRightInd w:val="0"/>
              <w:spacing w:before="0"/>
              <w:rPr>
                <w:rFonts w:ascii="Times New Roman" w:hAnsi="Times New Roman"/>
                <w:sz w:val="24"/>
              </w:rPr>
            </w:pPr>
            <w:r>
              <w:rPr>
                <w:rFonts w:ascii="Times New Roman" w:hAnsi="Times New Roman"/>
                <w:sz w:val="24"/>
              </w:rPr>
              <w:t>Posizioni lorde dovute ad attività, importi da ricevere ed elementi analoghi di cui all</w:t>
            </w:r>
            <w:r w:rsidR="000878EC">
              <w:rPr>
                <w:rFonts w:ascii="Times New Roman" w:hAnsi="Times New Roman"/>
                <w:sz w:val="24"/>
              </w:rPr>
              <w:t>'</w:t>
            </w:r>
            <w:r>
              <w:rPr>
                <w:rFonts w:ascii="Times New Roman" w:hAnsi="Times New Roman"/>
                <w:sz w:val="24"/>
              </w:rPr>
              <w:t>articolo 352, paragrafo 1, del CRR.</w:t>
            </w:r>
          </w:p>
          <w:p w:rsidR="000B0B09" w:rsidRPr="00661595" w:rsidRDefault="00BB22D4"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A norma dell</w:t>
            </w:r>
            <w:r w:rsidR="000878EC">
              <w:rPr>
                <w:rFonts w:ascii="Times New Roman" w:hAnsi="Times New Roman"/>
                <w:sz w:val="24"/>
              </w:rPr>
              <w:t>'</w:t>
            </w:r>
            <w:r>
              <w:rPr>
                <w:rFonts w:ascii="Times New Roman" w:hAnsi="Times New Roman"/>
                <w:sz w:val="24"/>
              </w:rPr>
              <w:t>articolo 352, paragrafo 2, del CRR, e previa autorizzazione delle autorità competenti, non sono segnalate le posizioni che un ente detiene al fine specifico di salvaguardarsi dagli effetti negativi dei tassi di cambio sui suoi coefficienti conformemente all</w:t>
            </w:r>
            <w:r w:rsidR="000878EC">
              <w:rPr>
                <w:rFonts w:ascii="Times New Roman" w:hAnsi="Times New Roman"/>
                <w:sz w:val="24"/>
              </w:rPr>
              <w:t>'</w:t>
            </w:r>
            <w:r>
              <w:rPr>
                <w:rFonts w:ascii="Times New Roman" w:hAnsi="Times New Roman"/>
                <w:sz w:val="24"/>
              </w:rPr>
              <w:t>articolo 92, paragrafo 1, del CRR, e le posizioni relative agli elementi che sono già dedotti nel calcolo dei fondi propri.</w:t>
            </w:r>
          </w:p>
          <w:p w:rsidR="000B0B09" w:rsidRPr="00661595" w:rsidRDefault="000B0B09" w:rsidP="00F2281A">
            <w:pPr>
              <w:suppressAutoHyphens/>
              <w:autoSpaceDE w:val="0"/>
              <w:autoSpaceDN w:val="0"/>
              <w:adjustRightInd w:val="0"/>
              <w:spacing w:before="0" w:after="0"/>
              <w:rPr>
                <w:rFonts w:ascii="Times New Roman" w:hAnsi="Times New Roman"/>
                <w:sz w:val="24"/>
                <w:lang w:eastAsia="nl-BE"/>
              </w:rPr>
            </w:pPr>
          </w:p>
        </w:tc>
      </w:tr>
      <w:tr w:rsidR="000B0B09" w:rsidRPr="00661595" w:rsidTr="00672D2A">
        <w:tc>
          <w:tcPr>
            <w:tcW w:w="988" w:type="dxa"/>
          </w:tcPr>
          <w:p w:rsidR="000B0B09"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0040-0050</w:t>
            </w:r>
          </w:p>
        </w:tc>
        <w:tc>
          <w:tcPr>
            <w:tcW w:w="7874" w:type="dxa"/>
          </w:tcPr>
          <w:p w:rsidR="000B0B09" w:rsidRPr="00661595" w:rsidRDefault="000B0B09"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POSIZIONI NETTE (LUNGHE E CORTE)</w:t>
            </w:r>
          </w:p>
          <w:p w:rsidR="000B0B09" w:rsidRPr="00661595" w:rsidRDefault="000B0B09" w:rsidP="00F2281A">
            <w:pPr>
              <w:suppressAutoHyphens/>
              <w:autoSpaceDE w:val="0"/>
              <w:autoSpaceDN w:val="0"/>
              <w:adjustRightInd w:val="0"/>
              <w:spacing w:before="0" w:after="0"/>
              <w:rPr>
                <w:rFonts w:ascii="Times New Roman" w:hAnsi="Times New Roman"/>
                <w:sz w:val="24"/>
                <w:lang w:eastAsia="de-DE"/>
              </w:rPr>
            </w:pPr>
          </w:p>
          <w:p w:rsidR="00283B5F" w:rsidRPr="00661595" w:rsidRDefault="000B0B09" w:rsidP="00F2281A">
            <w:pPr>
              <w:suppressAutoHyphens/>
              <w:autoSpaceDE w:val="0"/>
              <w:autoSpaceDN w:val="0"/>
              <w:adjustRightInd w:val="0"/>
              <w:spacing w:before="0"/>
              <w:rPr>
                <w:rFonts w:ascii="Times New Roman" w:hAnsi="Times New Roman"/>
                <w:sz w:val="24"/>
              </w:rPr>
            </w:pPr>
            <w:r>
              <w:rPr>
                <w:rFonts w:ascii="Times New Roman" w:hAnsi="Times New Roman"/>
                <w:sz w:val="24"/>
              </w:rPr>
              <w:t>Articolo 352, paragrafo 3, articolo 352, paragrafo</w:t>
            </w:r>
            <w:r w:rsidR="00F2281A">
              <w:rPr>
                <w:rFonts w:ascii="Times New Roman" w:hAnsi="Times New Roman"/>
                <w:sz w:val="24"/>
              </w:rPr>
              <w:t xml:space="preserve"> 4, prime due frasi, e articolo </w:t>
            </w:r>
            <w:r>
              <w:rPr>
                <w:rFonts w:ascii="Times New Roman" w:hAnsi="Times New Roman"/>
                <w:sz w:val="24"/>
              </w:rPr>
              <w:t>353 del CRR.</w:t>
            </w:r>
          </w:p>
          <w:p w:rsidR="000B0B09" w:rsidRPr="00661595" w:rsidRDefault="000B0B09"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Le posizioni nette sono calcolate per ciascuna va</w:t>
            </w:r>
            <w:r w:rsidR="00F2281A">
              <w:rPr>
                <w:rFonts w:ascii="Times New Roman" w:hAnsi="Times New Roman"/>
                <w:sz w:val="24"/>
              </w:rPr>
              <w:t>luta conformemente all</w:t>
            </w:r>
            <w:r w:rsidR="000878EC">
              <w:rPr>
                <w:rFonts w:ascii="Times New Roman" w:hAnsi="Times New Roman"/>
                <w:sz w:val="24"/>
              </w:rPr>
              <w:t>'</w:t>
            </w:r>
            <w:r w:rsidR="00F2281A">
              <w:rPr>
                <w:rFonts w:ascii="Times New Roman" w:hAnsi="Times New Roman"/>
                <w:sz w:val="24"/>
              </w:rPr>
              <w:t>articolo </w:t>
            </w:r>
            <w:r>
              <w:rPr>
                <w:rFonts w:ascii="Times New Roman" w:hAnsi="Times New Roman"/>
                <w:sz w:val="24"/>
              </w:rPr>
              <w:t>352, paragrafo 1, del CRR. Di conseguenza, le posizioni lunghe e le posizioni corte possono essere segnalate contemporaneamente.</w:t>
            </w:r>
          </w:p>
          <w:p w:rsidR="000B0B09" w:rsidRPr="00661595" w:rsidRDefault="000B0B09" w:rsidP="00F2281A">
            <w:pPr>
              <w:suppressAutoHyphens/>
              <w:autoSpaceDE w:val="0"/>
              <w:autoSpaceDN w:val="0"/>
              <w:adjustRightInd w:val="0"/>
              <w:spacing w:before="0" w:after="0"/>
              <w:rPr>
                <w:rFonts w:ascii="Times New Roman" w:hAnsi="Times New Roman"/>
                <w:sz w:val="24"/>
                <w:lang w:eastAsia="nl-BE"/>
              </w:rPr>
            </w:pPr>
          </w:p>
        </w:tc>
      </w:tr>
      <w:tr w:rsidR="000B0B09" w:rsidRPr="00661595" w:rsidTr="00672D2A">
        <w:tc>
          <w:tcPr>
            <w:tcW w:w="988" w:type="dxa"/>
          </w:tcPr>
          <w:p w:rsidR="000B0B09"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0060-0080</w:t>
            </w:r>
          </w:p>
        </w:tc>
        <w:tc>
          <w:tcPr>
            <w:tcW w:w="7874" w:type="dxa"/>
          </w:tcPr>
          <w:p w:rsidR="000B0B09" w:rsidRPr="00661595" w:rsidRDefault="000B0B09"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POSIZIONI SOGGETTE A COPERTURA PATRIMONIALE</w:t>
            </w:r>
          </w:p>
          <w:p w:rsidR="000B0B09" w:rsidRPr="00661595" w:rsidRDefault="000B0B09" w:rsidP="00F2281A">
            <w:pPr>
              <w:suppressAutoHyphens/>
              <w:autoSpaceDE w:val="0"/>
              <w:autoSpaceDN w:val="0"/>
              <w:adjustRightInd w:val="0"/>
              <w:spacing w:before="0" w:after="0"/>
              <w:rPr>
                <w:rFonts w:ascii="Times New Roman" w:hAnsi="Times New Roman"/>
                <w:sz w:val="24"/>
                <w:lang w:eastAsia="de-DE"/>
              </w:rPr>
            </w:pPr>
          </w:p>
          <w:p w:rsidR="000B0B09" w:rsidRPr="00661595" w:rsidRDefault="00705025"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Articolo 352, paragrafo 4, terza frase, e articoli 353 e 354 del CRR. </w:t>
            </w:r>
          </w:p>
          <w:p w:rsidR="000B0B09" w:rsidRPr="00661595" w:rsidRDefault="000B0B09" w:rsidP="00F2281A">
            <w:pPr>
              <w:suppressAutoHyphens/>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0060-0070</w:t>
            </w:r>
          </w:p>
        </w:tc>
        <w:tc>
          <w:tcPr>
            <w:tcW w:w="7874" w:type="dxa"/>
          </w:tcPr>
          <w:p w:rsidR="000B0B09" w:rsidRPr="00661595" w:rsidRDefault="000B0B09" w:rsidP="00F2281A">
            <w:pPr>
              <w:suppressAutoHyphens/>
              <w:autoSpaceDE w:val="0"/>
              <w:autoSpaceDN w:val="0"/>
              <w:adjustRightInd w:val="0"/>
              <w:spacing w:before="0" w:after="0"/>
              <w:rPr>
                <w:rFonts w:ascii="Times New Roman" w:hAnsi="Times New Roman"/>
                <w:sz w:val="24"/>
              </w:rPr>
            </w:pPr>
            <w:r>
              <w:rPr>
                <w:rFonts w:ascii="Times New Roman" w:hAnsi="Times New Roman"/>
                <w:b/>
                <w:bCs/>
                <w:sz w:val="24"/>
                <w:u w:val="single"/>
              </w:rPr>
              <w:t>POSIZIONI SOGGETTE A COPERTURA PATRIMONIALE (LUNGHE E CORTE)</w:t>
            </w:r>
          </w:p>
          <w:p w:rsidR="000B0B09" w:rsidRPr="00661595" w:rsidRDefault="000B0B09" w:rsidP="00F2281A">
            <w:pPr>
              <w:suppressAutoHyphens/>
              <w:autoSpaceDE w:val="0"/>
              <w:autoSpaceDN w:val="0"/>
              <w:adjustRightInd w:val="0"/>
              <w:spacing w:after="0"/>
              <w:rPr>
                <w:rFonts w:ascii="Times New Roman" w:hAnsi="Times New Roman"/>
                <w:sz w:val="24"/>
              </w:rPr>
            </w:pPr>
            <w:r>
              <w:rPr>
                <w:rFonts w:ascii="Times New Roman" w:hAnsi="Times New Roman"/>
                <w:sz w:val="24"/>
              </w:rPr>
              <w:t>Le posizioni nette lunghe e corte di ciascuna valuta sono calcolate deducendo il totale delle posizioni corte dal totale delle posizioni lunghe.</w:t>
            </w:r>
          </w:p>
          <w:p w:rsidR="000B0B09" w:rsidRPr="00661595" w:rsidRDefault="000B0B09" w:rsidP="00F2281A">
            <w:pPr>
              <w:suppressAutoHyphens/>
              <w:autoSpaceDE w:val="0"/>
              <w:autoSpaceDN w:val="0"/>
              <w:adjustRightInd w:val="0"/>
              <w:spacing w:after="0"/>
              <w:rPr>
                <w:rFonts w:ascii="Times New Roman" w:hAnsi="Times New Roman"/>
                <w:sz w:val="24"/>
              </w:rPr>
            </w:pPr>
            <w:r>
              <w:rPr>
                <w:rFonts w:ascii="Times New Roman" w:hAnsi="Times New Roman"/>
                <w:sz w:val="24"/>
              </w:rPr>
              <w:t>Si sommano le posizioni nette lunghe di ciascuna operazione in una valuta per ottenere la posizione netta lunga in quella data valuta.</w:t>
            </w:r>
          </w:p>
          <w:p w:rsidR="000B0B09" w:rsidRPr="00661595" w:rsidRDefault="000B0B09" w:rsidP="00F2281A">
            <w:pPr>
              <w:suppressAutoHyphens/>
              <w:autoSpaceDE w:val="0"/>
              <w:autoSpaceDN w:val="0"/>
              <w:adjustRightInd w:val="0"/>
              <w:spacing w:after="0"/>
              <w:rPr>
                <w:rFonts w:ascii="Times New Roman" w:hAnsi="Times New Roman"/>
                <w:sz w:val="24"/>
              </w:rPr>
            </w:pPr>
            <w:r>
              <w:rPr>
                <w:rFonts w:ascii="Times New Roman" w:hAnsi="Times New Roman"/>
                <w:sz w:val="24"/>
              </w:rPr>
              <w:t>Si sommano le posizioni nette corte di ciascuna operazione in una valuta per ottenere la posizione netta corta in quella data valuta.</w:t>
            </w:r>
          </w:p>
          <w:p w:rsidR="000B0B09" w:rsidRPr="00661595" w:rsidRDefault="000B0B09" w:rsidP="00F2281A">
            <w:pPr>
              <w:suppressAutoHyphens/>
              <w:autoSpaceDE w:val="0"/>
              <w:autoSpaceDN w:val="0"/>
              <w:adjustRightInd w:val="0"/>
              <w:spacing w:after="0"/>
              <w:rPr>
                <w:rFonts w:ascii="Times New Roman" w:hAnsi="Times New Roman"/>
                <w:sz w:val="24"/>
              </w:rPr>
            </w:pPr>
            <w:r>
              <w:rPr>
                <w:rFonts w:ascii="Times New Roman" w:hAnsi="Times New Roman"/>
                <w:sz w:val="24"/>
              </w:rPr>
              <w:t>Le posizioni non compensate nelle valute non utilizzate per le segnalazioni sono aggiunte alle posizioni soggette a copertura patrimoniale per altre valute (riga 030) nella colonna 060 o 070 a seconda del regolamento a breve o lungo termine.</w:t>
            </w:r>
          </w:p>
          <w:p w:rsidR="00DE48EF" w:rsidRPr="00661595" w:rsidRDefault="00DE48EF" w:rsidP="00F2281A">
            <w:pPr>
              <w:suppressAutoHyphens/>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4" w:type="dxa"/>
          </w:tcPr>
          <w:p w:rsidR="000B0B09" w:rsidRPr="00661595" w:rsidRDefault="000B0B09"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POSIZIONI SOGGETTE A COPERTURA PATRIMONIALE (COMPENSATE)</w:t>
            </w:r>
          </w:p>
          <w:p w:rsidR="000B0B09" w:rsidRPr="00661595" w:rsidRDefault="000B0B09" w:rsidP="00F2281A">
            <w:pPr>
              <w:suppressAutoHyphens/>
              <w:autoSpaceDE w:val="0"/>
              <w:autoSpaceDN w:val="0"/>
              <w:adjustRightInd w:val="0"/>
              <w:spacing w:before="0" w:after="0"/>
              <w:rPr>
                <w:rFonts w:ascii="Times New Roman" w:hAnsi="Times New Roman"/>
                <w:sz w:val="24"/>
                <w:lang w:eastAsia="de-DE"/>
              </w:rPr>
            </w:pPr>
          </w:p>
          <w:p w:rsidR="000B0B09" w:rsidRPr="00661595" w:rsidRDefault="000B0B09"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Posizioni compensate per valute strettamente correlate.</w:t>
            </w:r>
          </w:p>
          <w:p w:rsidR="000B0B09" w:rsidRPr="00661595" w:rsidRDefault="000B0B09" w:rsidP="00F2281A">
            <w:pPr>
              <w:suppressAutoHyphens/>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F2281A">
            <w:pPr>
              <w:keepNext/>
              <w:keepLines/>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4" w:type="dxa"/>
          </w:tcPr>
          <w:p w:rsidR="000B0B09" w:rsidRPr="00661595" w:rsidRDefault="000B0B09" w:rsidP="00F2281A">
            <w:pPr>
              <w:keepNext/>
              <w:keepLines/>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REQUISITI DI FONDI PROPRI</w:t>
            </w:r>
          </w:p>
          <w:p w:rsidR="000B0B09" w:rsidRPr="00661595" w:rsidRDefault="000B0B09" w:rsidP="00F2281A">
            <w:pPr>
              <w:keepNext/>
              <w:keepLines/>
              <w:suppressAutoHyphens/>
              <w:autoSpaceDE w:val="0"/>
              <w:autoSpaceDN w:val="0"/>
              <w:adjustRightInd w:val="0"/>
              <w:spacing w:before="0" w:after="0"/>
              <w:rPr>
                <w:rFonts w:ascii="Times New Roman" w:hAnsi="Times New Roman"/>
                <w:b/>
                <w:bCs/>
                <w:sz w:val="24"/>
                <w:u w:val="single"/>
                <w:lang w:eastAsia="nl-BE"/>
              </w:rPr>
            </w:pPr>
          </w:p>
          <w:p w:rsidR="000B0B09" w:rsidRPr="00661595" w:rsidRDefault="000B0B09" w:rsidP="00F2281A">
            <w:pPr>
              <w:keepNext/>
              <w:keepLines/>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Copertura patrimoniale di qualsiasi posizione pertinente conformemente alla parte tre, titolo IV, capo 3, del CRR. </w:t>
            </w:r>
          </w:p>
          <w:p w:rsidR="000B0B09" w:rsidRPr="00661595" w:rsidRDefault="000B0B09" w:rsidP="00F2281A">
            <w:pPr>
              <w:keepNext/>
              <w:keepLines/>
              <w:suppressAutoHyphens/>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8" w:type="dxa"/>
          </w:tcPr>
          <w:p w:rsidR="000B0B09"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4" w:type="dxa"/>
          </w:tcPr>
          <w:p w:rsidR="000B0B09" w:rsidRPr="00661595" w:rsidRDefault="000B0B09" w:rsidP="00F2281A">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IMPORTO COMPLESSIVO DELL</w:t>
            </w:r>
            <w:r w:rsidR="000878EC">
              <w:rPr>
                <w:rFonts w:ascii="Times New Roman" w:hAnsi="Times New Roman"/>
                <w:b/>
                <w:bCs/>
                <w:sz w:val="24"/>
                <w:u w:val="single"/>
              </w:rPr>
              <w:t>'</w:t>
            </w:r>
            <w:r>
              <w:rPr>
                <w:rFonts w:ascii="Times New Roman" w:hAnsi="Times New Roman"/>
                <w:b/>
                <w:bCs/>
                <w:sz w:val="24"/>
                <w:u w:val="single"/>
              </w:rPr>
              <w:t>ESPOSIZIONE AL RISCHIO</w:t>
            </w:r>
          </w:p>
          <w:p w:rsidR="000B0B09" w:rsidRPr="00661595" w:rsidRDefault="000B0B09" w:rsidP="00F2281A">
            <w:pPr>
              <w:tabs>
                <w:tab w:val="left" w:pos="1665"/>
              </w:tabs>
              <w:suppressAutoHyphens/>
              <w:autoSpaceDE w:val="0"/>
              <w:autoSpaceDN w:val="0"/>
              <w:adjustRightInd w:val="0"/>
              <w:spacing w:before="0" w:after="0"/>
              <w:rPr>
                <w:rFonts w:ascii="Times New Roman" w:hAnsi="Times New Roman"/>
                <w:b/>
                <w:bCs/>
                <w:sz w:val="24"/>
                <w:u w:val="single"/>
                <w:lang w:eastAsia="nl-BE"/>
              </w:rPr>
            </w:pPr>
          </w:p>
          <w:p w:rsidR="005C14B0" w:rsidRPr="00661595" w:rsidRDefault="00D21B29" w:rsidP="00F2281A">
            <w:pPr>
              <w:tabs>
                <w:tab w:val="left" w:pos="1665"/>
              </w:tabs>
              <w:suppressAutoHyphens/>
              <w:autoSpaceDE w:val="0"/>
              <w:autoSpaceDN w:val="0"/>
              <w:adjustRightInd w:val="0"/>
              <w:spacing w:before="0"/>
              <w:rPr>
                <w:rFonts w:ascii="Times New Roman" w:hAnsi="Times New Roman"/>
                <w:sz w:val="24"/>
              </w:rPr>
            </w:pPr>
            <w:r>
              <w:rPr>
                <w:rFonts w:ascii="Times New Roman" w:hAnsi="Times New Roman"/>
                <w:sz w:val="24"/>
              </w:rPr>
              <w:t>Articolo 92, paragrafo 4, lettera b), del CRR</w:t>
            </w:r>
          </w:p>
          <w:p w:rsidR="000B0B09" w:rsidRPr="00661595" w:rsidRDefault="000B0B09" w:rsidP="00F2281A">
            <w:pPr>
              <w:tabs>
                <w:tab w:val="left" w:pos="1665"/>
              </w:tabs>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Risultato della moltiplicazione dei requisiti di fondi propri per 12,5. </w:t>
            </w:r>
          </w:p>
          <w:p w:rsidR="00DE48EF" w:rsidRPr="00661595" w:rsidRDefault="00DE48EF" w:rsidP="00F2281A">
            <w:pPr>
              <w:tabs>
                <w:tab w:val="left" w:pos="1665"/>
              </w:tabs>
              <w:suppressAutoHyphens/>
              <w:autoSpaceDE w:val="0"/>
              <w:autoSpaceDN w:val="0"/>
              <w:adjustRightInd w:val="0"/>
              <w:spacing w:before="0" w:after="0"/>
              <w:rPr>
                <w:rFonts w:ascii="Times New Roman" w:hAnsi="Times New Roman"/>
                <w:b/>
                <w:bCs/>
                <w:sz w:val="24"/>
                <w:u w:val="single"/>
                <w:lang w:eastAsia="nl-BE"/>
              </w:rPr>
            </w:pPr>
          </w:p>
        </w:tc>
      </w:tr>
    </w:tbl>
    <w:p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
        <w:gridCol w:w="7871"/>
      </w:tblGrid>
      <w:tr w:rsidR="000B0B09" w:rsidRPr="00661595" w:rsidTr="00672D2A">
        <w:trPr>
          <w:trHeight w:val="497"/>
        </w:trPr>
        <w:tc>
          <w:tcPr>
            <w:tcW w:w="8862" w:type="dxa"/>
            <w:gridSpan w:val="2"/>
            <w:shd w:val="clear" w:color="auto" w:fill="CCCCCC"/>
          </w:tcPr>
          <w:p w:rsidR="000B0B09" w:rsidRPr="00661595" w:rsidRDefault="000B0B09" w:rsidP="00F2281A">
            <w:pPr>
              <w:suppressAutoHyphens/>
              <w:autoSpaceDE w:val="0"/>
              <w:autoSpaceDN w:val="0"/>
              <w:adjustRightInd w:val="0"/>
              <w:spacing w:after="0"/>
              <w:rPr>
                <w:rFonts w:ascii="Times New Roman" w:hAnsi="Times New Roman"/>
                <w:b/>
                <w:sz w:val="24"/>
              </w:rPr>
            </w:pPr>
            <w:r>
              <w:rPr>
                <w:rFonts w:ascii="Times New Roman" w:hAnsi="Times New Roman"/>
                <w:b/>
                <w:sz w:val="24"/>
              </w:rPr>
              <w:t>Righe</w:t>
            </w:r>
          </w:p>
        </w:tc>
      </w:tr>
      <w:tr w:rsidR="000B0B09" w:rsidRPr="00661595" w:rsidTr="00672D2A">
        <w:tc>
          <w:tcPr>
            <w:tcW w:w="991" w:type="dxa"/>
          </w:tcPr>
          <w:p w:rsidR="000B0B09"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1" w:type="dxa"/>
          </w:tcPr>
          <w:p w:rsidR="000B0B09" w:rsidRPr="00661595" w:rsidRDefault="000B0B09"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POSIZIONI TOTALI</w:t>
            </w:r>
          </w:p>
          <w:p w:rsidR="000B0B09" w:rsidRPr="00661595" w:rsidRDefault="000B0B09" w:rsidP="00F2281A">
            <w:pPr>
              <w:suppressAutoHyphens/>
              <w:autoSpaceDE w:val="0"/>
              <w:autoSpaceDN w:val="0"/>
              <w:adjustRightInd w:val="0"/>
              <w:spacing w:before="0" w:after="0"/>
              <w:rPr>
                <w:rFonts w:ascii="Times New Roman" w:hAnsi="Times New Roman"/>
                <w:sz w:val="24"/>
                <w:lang w:eastAsia="nl-BE"/>
              </w:rPr>
            </w:pPr>
          </w:p>
          <w:p w:rsidR="000B0B09" w:rsidRPr="00661595" w:rsidRDefault="00491F4D"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Tutte le posizioni nelle valute non utilizzate per le segnalazioni e le posizioni nella valuta utilizzata per le segnalazioni che sono considerate ai fini dell</w:t>
            </w:r>
            <w:r w:rsidR="000878EC">
              <w:rPr>
                <w:rFonts w:ascii="Times New Roman" w:hAnsi="Times New Roman"/>
                <w:sz w:val="24"/>
              </w:rPr>
              <w:t>'</w:t>
            </w:r>
            <w:r>
              <w:rPr>
                <w:rFonts w:ascii="Times New Roman" w:hAnsi="Times New Roman"/>
                <w:sz w:val="24"/>
              </w:rPr>
              <w:t>articolo 354 del CRR e i relativi requisiti di fondi propri per il rischio di cambio di cui all</w:t>
            </w:r>
            <w:r w:rsidR="000878EC">
              <w:rPr>
                <w:rFonts w:ascii="Times New Roman" w:hAnsi="Times New Roman"/>
                <w:sz w:val="24"/>
              </w:rPr>
              <w:t>'</w:t>
            </w:r>
            <w:r>
              <w:rPr>
                <w:rFonts w:ascii="Times New Roman" w:hAnsi="Times New Roman"/>
                <w:sz w:val="24"/>
              </w:rPr>
              <w:t>articolo 92, paragrafo 3, lettera c), punto i), tenendo conto dell</w:t>
            </w:r>
            <w:r w:rsidR="000878EC">
              <w:rPr>
                <w:rFonts w:ascii="Times New Roman" w:hAnsi="Times New Roman"/>
                <w:sz w:val="24"/>
              </w:rPr>
              <w:t>'</w:t>
            </w:r>
            <w:r>
              <w:rPr>
                <w:rFonts w:ascii="Times New Roman" w:hAnsi="Times New Roman"/>
                <w:sz w:val="24"/>
              </w:rPr>
              <w:t>articolo 352, paragrafi 2 e 4, del CRR (per conversione nella valuta utilizzata per le segnalazioni).</w:t>
            </w:r>
          </w:p>
          <w:p w:rsidR="000B0B09" w:rsidRPr="00661595" w:rsidRDefault="000B0B09" w:rsidP="00F2281A">
            <w:pPr>
              <w:suppressAutoHyphens/>
              <w:autoSpaceDE w:val="0"/>
              <w:autoSpaceDN w:val="0"/>
              <w:adjustRightInd w:val="0"/>
              <w:spacing w:before="0" w:after="0"/>
              <w:rPr>
                <w:rFonts w:ascii="Times New Roman" w:hAnsi="Times New Roman"/>
                <w:sz w:val="24"/>
                <w:lang w:eastAsia="nl-BE"/>
              </w:rPr>
            </w:pPr>
          </w:p>
        </w:tc>
      </w:tr>
      <w:tr w:rsidR="000B0B09" w:rsidRPr="00661595" w:rsidTr="00672D2A">
        <w:tc>
          <w:tcPr>
            <w:tcW w:w="991" w:type="dxa"/>
          </w:tcPr>
          <w:p w:rsidR="000B0B09"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0020</w:t>
            </w:r>
          </w:p>
        </w:tc>
        <w:tc>
          <w:tcPr>
            <w:tcW w:w="7871" w:type="dxa"/>
          </w:tcPr>
          <w:p w:rsidR="000B0B09" w:rsidRPr="00661595" w:rsidRDefault="000B0B09"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VALUTE STRETTAMENTE CORRELATE</w:t>
            </w:r>
          </w:p>
          <w:p w:rsidR="000B0B09" w:rsidRPr="00661595" w:rsidRDefault="000B0B09" w:rsidP="00F2281A">
            <w:pPr>
              <w:suppressAutoHyphens/>
              <w:autoSpaceDE w:val="0"/>
              <w:autoSpaceDN w:val="0"/>
              <w:adjustRightInd w:val="0"/>
              <w:spacing w:before="0" w:after="0"/>
              <w:rPr>
                <w:rFonts w:ascii="Times New Roman" w:hAnsi="Times New Roman"/>
                <w:sz w:val="24"/>
                <w:lang w:eastAsia="de-DE"/>
              </w:rPr>
            </w:pPr>
          </w:p>
          <w:p w:rsidR="000B0B09" w:rsidRPr="00661595" w:rsidRDefault="000B0B09"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Posizioni e relativi requisiti di fondi propri per le valute strettamente correlate di cui all</w:t>
            </w:r>
            <w:r w:rsidR="000878EC">
              <w:rPr>
                <w:rFonts w:ascii="Times New Roman" w:hAnsi="Times New Roman"/>
                <w:sz w:val="24"/>
              </w:rPr>
              <w:t>'</w:t>
            </w:r>
            <w:r>
              <w:rPr>
                <w:rFonts w:ascii="Times New Roman" w:hAnsi="Times New Roman"/>
                <w:sz w:val="24"/>
              </w:rPr>
              <w:t>articolo 354 del CRR.</w:t>
            </w:r>
          </w:p>
          <w:p w:rsidR="000B0B09" w:rsidRPr="00661595" w:rsidRDefault="000B0B09" w:rsidP="00F2281A">
            <w:pPr>
              <w:suppressAutoHyphens/>
              <w:autoSpaceDE w:val="0"/>
              <w:autoSpaceDN w:val="0"/>
              <w:adjustRightInd w:val="0"/>
              <w:spacing w:before="0" w:after="0"/>
              <w:rPr>
                <w:rFonts w:ascii="Times New Roman" w:hAnsi="Times New Roman"/>
                <w:sz w:val="24"/>
                <w:lang w:eastAsia="nl-BE"/>
              </w:rPr>
            </w:pPr>
          </w:p>
        </w:tc>
      </w:tr>
      <w:tr w:rsidR="00491F4D" w:rsidRPr="00661595" w:rsidTr="00672D2A">
        <w:tc>
          <w:tcPr>
            <w:tcW w:w="991" w:type="dxa"/>
          </w:tcPr>
          <w:p w:rsidR="00491F4D"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0025</w:t>
            </w:r>
          </w:p>
        </w:tc>
        <w:tc>
          <w:tcPr>
            <w:tcW w:w="7871" w:type="dxa"/>
          </w:tcPr>
          <w:p w:rsidR="00491F4D" w:rsidRPr="00661595" w:rsidRDefault="00491F4D"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 xml:space="preserve">Valute strettamente correlate: </w:t>
            </w:r>
            <w:r>
              <w:rPr>
                <w:rFonts w:ascii="Times New Roman" w:hAnsi="Times New Roman"/>
                <w:b/>
                <w:bCs/>
                <w:i/>
                <w:sz w:val="24"/>
                <w:u w:val="single"/>
              </w:rPr>
              <w:t>di cui</w:t>
            </w:r>
            <w:r>
              <w:rPr>
                <w:rFonts w:ascii="Times New Roman" w:hAnsi="Times New Roman"/>
                <w:b/>
                <w:bCs/>
                <w:sz w:val="24"/>
                <w:u w:val="single"/>
              </w:rPr>
              <w:t>: valuta utilizzata per le segnalazioni</w:t>
            </w:r>
          </w:p>
          <w:p w:rsidR="00491F4D" w:rsidRPr="00661595" w:rsidRDefault="00491F4D" w:rsidP="00F2281A">
            <w:pPr>
              <w:suppressAutoHyphens/>
              <w:autoSpaceDE w:val="0"/>
              <w:autoSpaceDN w:val="0"/>
              <w:adjustRightInd w:val="0"/>
              <w:spacing w:before="0" w:after="0"/>
              <w:rPr>
                <w:rFonts w:ascii="Times New Roman" w:hAnsi="Times New Roman"/>
                <w:sz w:val="24"/>
              </w:rPr>
            </w:pPr>
          </w:p>
          <w:p w:rsidR="00491F4D" w:rsidRPr="00661595" w:rsidRDefault="00491F4D"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Posizioni nella valuta utilizzata per le segnalazioni che concorrono al calcolo dei requisiti patrimoniali ai sensi dell</w:t>
            </w:r>
            <w:r w:rsidR="000878EC">
              <w:rPr>
                <w:rFonts w:ascii="Times New Roman" w:hAnsi="Times New Roman"/>
                <w:sz w:val="24"/>
              </w:rPr>
              <w:t>'</w:t>
            </w:r>
            <w:r>
              <w:rPr>
                <w:rFonts w:ascii="Times New Roman" w:hAnsi="Times New Roman"/>
                <w:sz w:val="24"/>
              </w:rPr>
              <w:t>articolo 354 del CRR.</w:t>
            </w:r>
          </w:p>
          <w:p w:rsidR="00491F4D" w:rsidRPr="00661595" w:rsidRDefault="00491F4D" w:rsidP="00F2281A">
            <w:pPr>
              <w:suppressAutoHyphens/>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7871" w:type="dxa"/>
          </w:tcPr>
          <w:p w:rsidR="000B0B09" w:rsidRPr="00661595" w:rsidRDefault="000B0B09"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TUTTE LE ALTRE VALUTE (compresi gli OIC trattati come valute diverse)</w:t>
            </w:r>
          </w:p>
          <w:p w:rsidR="000B0B09" w:rsidRPr="00661595" w:rsidRDefault="000B0B09" w:rsidP="00F2281A">
            <w:pPr>
              <w:suppressAutoHyphens/>
              <w:autoSpaceDE w:val="0"/>
              <w:autoSpaceDN w:val="0"/>
              <w:adjustRightInd w:val="0"/>
              <w:spacing w:before="0" w:after="0"/>
              <w:rPr>
                <w:rFonts w:ascii="Times New Roman" w:hAnsi="Times New Roman"/>
                <w:b/>
                <w:bCs/>
                <w:sz w:val="24"/>
                <w:u w:val="single"/>
                <w:lang w:eastAsia="nl-BE"/>
              </w:rPr>
            </w:pPr>
          </w:p>
          <w:p w:rsidR="000B0B09" w:rsidRPr="00661595" w:rsidRDefault="000B0B09"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Posizioni e relativi requisiti di fondi propri per le valute soggette alla procedura generale di cui all</w:t>
            </w:r>
            <w:r w:rsidR="000878EC">
              <w:rPr>
                <w:rFonts w:ascii="Times New Roman" w:hAnsi="Times New Roman"/>
                <w:sz w:val="24"/>
              </w:rPr>
              <w:t>'</w:t>
            </w:r>
            <w:r>
              <w:rPr>
                <w:rFonts w:ascii="Times New Roman" w:hAnsi="Times New Roman"/>
                <w:sz w:val="24"/>
              </w:rPr>
              <w:t>articolo 351 e all</w:t>
            </w:r>
            <w:r w:rsidR="000878EC">
              <w:rPr>
                <w:rFonts w:ascii="Times New Roman" w:hAnsi="Times New Roman"/>
                <w:sz w:val="24"/>
              </w:rPr>
              <w:t>'</w:t>
            </w:r>
            <w:r>
              <w:rPr>
                <w:rFonts w:ascii="Times New Roman" w:hAnsi="Times New Roman"/>
                <w:sz w:val="24"/>
              </w:rPr>
              <w:t>articolo 352, paragrafi 2 e 4, del CRR.</w:t>
            </w:r>
          </w:p>
          <w:p w:rsidR="000B0B09" w:rsidRPr="00661595" w:rsidRDefault="000B0B09" w:rsidP="00F2281A">
            <w:pPr>
              <w:suppressAutoHyphens/>
              <w:autoSpaceDE w:val="0"/>
              <w:autoSpaceDN w:val="0"/>
              <w:adjustRightInd w:val="0"/>
              <w:spacing w:before="0" w:after="0"/>
              <w:rPr>
                <w:rFonts w:ascii="Times New Roman" w:hAnsi="Times New Roman"/>
                <w:b/>
                <w:bCs/>
                <w:sz w:val="24"/>
                <w:u w:val="single"/>
                <w:lang w:eastAsia="nl-BE"/>
              </w:rPr>
            </w:pPr>
          </w:p>
          <w:p w:rsidR="000B0B09" w:rsidRPr="00661595" w:rsidRDefault="000B0B09" w:rsidP="00F2281A">
            <w:pPr>
              <w:suppressAutoHyphens/>
              <w:autoSpaceDE w:val="0"/>
              <w:autoSpaceDN w:val="0"/>
              <w:adjustRightInd w:val="0"/>
              <w:spacing w:before="0" w:after="0"/>
              <w:rPr>
                <w:rFonts w:ascii="Times New Roman" w:hAnsi="Times New Roman"/>
                <w:bCs/>
                <w:sz w:val="24"/>
                <w:u w:val="single"/>
              </w:rPr>
            </w:pPr>
            <w:r>
              <w:rPr>
                <w:rFonts w:ascii="Times New Roman" w:hAnsi="Times New Roman"/>
                <w:bCs/>
                <w:sz w:val="24"/>
                <w:u w:val="single"/>
              </w:rPr>
              <w:t>Segnalazione di OIC trattati come valute diverse ai sensi dell</w:t>
            </w:r>
            <w:r w:rsidR="000878EC">
              <w:rPr>
                <w:rFonts w:ascii="Times New Roman" w:hAnsi="Times New Roman"/>
                <w:bCs/>
                <w:sz w:val="24"/>
                <w:u w:val="single"/>
              </w:rPr>
              <w:t>'</w:t>
            </w:r>
            <w:r>
              <w:rPr>
                <w:rFonts w:ascii="Times New Roman" w:hAnsi="Times New Roman"/>
                <w:bCs/>
                <w:sz w:val="24"/>
                <w:u w:val="single"/>
              </w:rPr>
              <w:t>articolo 353 del CRR</w:t>
            </w:r>
          </w:p>
          <w:p w:rsidR="000B0B09" w:rsidRPr="00661595" w:rsidRDefault="000B0B09" w:rsidP="00F2281A">
            <w:pPr>
              <w:suppressAutoHyphens/>
              <w:autoSpaceDE w:val="0"/>
              <w:autoSpaceDN w:val="0"/>
              <w:adjustRightInd w:val="0"/>
              <w:spacing w:before="0" w:after="0"/>
              <w:rPr>
                <w:rFonts w:ascii="Times New Roman" w:hAnsi="Times New Roman"/>
                <w:bCs/>
                <w:sz w:val="24"/>
              </w:rPr>
            </w:pPr>
            <w:r>
              <w:rPr>
                <w:rFonts w:ascii="Times New Roman" w:hAnsi="Times New Roman"/>
                <w:bCs/>
                <w:sz w:val="24"/>
              </w:rPr>
              <w:t>Sono previsti due trattamenti diversi degli OIC trattati come valute distinte per il calcolo dei requisiti patrimoniali:</w:t>
            </w:r>
          </w:p>
          <w:p w:rsidR="000B0B09" w:rsidRPr="00661595" w:rsidRDefault="00125707" w:rsidP="00F2281A">
            <w:pPr>
              <w:suppressAutoHyphens/>
              <w:autoSpaceDE w:val="0"/>
              <w:autoSpaceDN w:val="0"/>
              <w:adjustRightInd w:val="0"/>
              <w:spacing w:before="0" w:after="0"/>
              <w:ind w:left="720" w:hanging="360"/>
              <w:rPr>
                <w:rFonts w:ascii="Times New Roman" w:hAnsi="Times New Roman"/>
                <w:bCs/>
                <w:sz w:val="24"/>
              </w:rPr>
            </w:pPr>
            <w:r>
              <w:rPr>
                <w:rFonts w:ascii="Times New Roman" w:hAnsi="Times New Roman"/>
                <w:bCs/>
                <w:sz w:val="24"/>
              </w:rPr>
              <w:t>1.</w:t>
            </w:r>
            <w:r>
              <w:tab/>
            </w:r>
            <w:r>
              <w:rPr>
                <w:rFonts w:ascii="Times New Roman" w:hAnsi="Times New Roman"/>
                <w:bCs/>
                <w:sz w:val="24"/>
              </w:rPr>
              <w:t>il metodo modificato per il trattamento degli investimenti in oro, se la direzione dell</w:t>
            </w:r>
            <w:r w:rsidR="000878EC">
              <w:rPr>
                <w:rFonts w:ascii="Times New Roman" w:hAnsi="Times New Roman"/>
                <w:bCs/>
                <w:sz w:val="24"/>
              </w:rPr>
              <w:t>'</w:t>
            </w:r>
            <w:r>
              <w:rPr>
                <w:rFonts w:ascii="Times New Roman" w:hAnsi="Times New Roman"/>
                <w:bCs/>
                <w:sz w:val="24"/>
              </w:rPr>
              <w:t>investimento in OIC non è disponibile (gli OIC in questione sono aggiunti alla posizione complessiva netta in valuta dell</w:t>
            </w:r>
            <w:r w:rsidR="000878EC">
              <w:rPr>
                <w:rFonts w:ascii="Times New Roman" w:hAnsi="Times New Roman"/>
                <w:bCs/>
                <w:sz w:val="24"/>
              </w:rPr>
              <w:t>'</w:t>
            </w:r>
            <w:r>
              <w:rPr>
                <w:rFonts w:ascii="Times New Roman" w:hAnsi="Times New Roman"/>
                <w:bCs/>
                <w:sz w:val="24"/>
              </w:rPr>
              <w:t>ente);</w:t>
            </w:r>
          </w:p>
          <w:p w:rsidR="000B0B09" w:rsidRPr="00661595" w:rsidRDefault="00125707" w:rsidP="00F2281A">
            <w:pPr>
              <w:suppressAutoHyphens/>
              <w:autoSpaceDE w:val="0"/>
              <w:autoSpaceDN w:val="0"/>
              <w:adjustRightInd w:val="0"/>
              <w:spacing w:before="0" w:after="0"/>
              <w:ind w:left="720" w:hanging="360"/>
              <w:rPr>
                <w:rFonts w:ascii="Times New Roman" w:hAnsi="Times New Roman"/>
                <w:bCs/>
                <w:sz w:val="24"/>
              </w:rPr>
            </w:pPr>
            <w:r>
              <w:rPr>
                <w:rFonts w:ascii="Times New Roman" w:hAnsi="Times New Roman"/>
                <w:bCs/>
                <w:sz w:val="24"/>
              </w:rPr>
              <w:t>2.</w:t>
            </w:r>
            <w:r>
              <w:tab/>
            </w:r>
            <w:r>
              <w:rPr>
                <w:rFonts w:ascii="Times New Roman" w:hAnsi="Times New Roman"/>
                <w:bCs/>
                <w:sz w:val="24"/>
              </w:rPr>
              <w:t>se la direzione dell</w:t>
            </w:r>
            <w:r w:rsidR="000878EC">
              <w:rPr>
                <w:rFonts w:ascii="Times New Roman" w:hAnsi="Times New Roman"/>
                <w:bCs/>
                <w:sz w:val="24"/>
              </w:rPr>
              <w:t>'</w:t>
            </w:r>
            <w:r>
              <w:rPr>
                <w:rFonts w:ascii="Times New Roman" w:hAnsi="Times New Roman"/>
                <w:bCs/>
                <w:sz w:val="24"/>
              </w:rPr>
              <w:t>investimento in OIC è disponibile, gli OIC in questione sono aggiunti alla posizione complessiva aperta in valuta (lunga o corta a seconda della direzione dell</w:t>
            </w:r>
            <w:r w:rsidR="000878EC">
              <w:rPr>
                <w:rFonts w:ascii="Times New Roman" w:hAnsi="Times New Roman"/>
                <w:bCs/>
                <w:sz w:val="24"/>
              </w:rPr>
              <w:t>'</w:t>
            </w:r>
            <w:r>
              <w:rPr>
                <w:rFonts w:ascii="Times New Roman" w:hAnsi="Times New Roman"/>
                <w:bCs/>
                <w:sz w:val="24"/>
              </w:rPr>
              <w:t>OIC).</w:t>
            </w:r>
          </w:p>
          <w:p w:rsidR="000B0B09" w:rsidRPr="00661595" w:rsidRDefault="000B0B09" w:rsidP="00F2281A">
            <w:pPr>
              <w:suppressAutoHyphens/>
              <w:autoSpaceDE w:val="0"/>
              <w:autoSpaceDN w:val="0"/>
              <w:adjustRightInd w:val="0"/>
              <w:spacing w:before="0" w:after="0"/>
              <w:rPr>
                <w:rFonts w:ascii="Times New Roman" w:hAnsi="Times New Roman"/>
                <w:bCs/>
                <w:sz w:val="24"/>
                <w:u w:val="single"/>
              </w:rPr>
            </w:pPr>
            <w:r>
              <w:rPr>
                <w:rFonts w:ascii="Times New Roman" w:hAnsi="Times New Roman"/>
                <w:bCs/>
                <w:sz w:val="24"/>
              </w:rPr>
              <w:t>La segnalazione degli OIC in questione segue il calcolo dei requisiti patrimoniali.</w:t>
            </w:r>
          </w:p>
          <w:p w:rsidR="00DE48EF" w:rsidRPr="00661595" w:rsidRDefault="00DE48EF" w:rsidP="00F2281A">
            <w:pPr>
              <w:suppressAutoHyphens/>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7871" w:type="dxa"/>
          </w:tcPr>
          <w:p w:rsidR="000B0B09" w:rsidRPr="00661595" w:rsidRDefault="000B0B09"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ORO</w:t>
            </w:r>
          </w:p>
          <w:p w:rsidR="000B0B09" w:rsidRPr="00661595" w:rsidRDefault="000B0B09" w:rsidP="00F2281A">
            <w:pPr>
              <w:suppressAutoHyphens/>
              <w:autoSpaceDE w:val="0"/>
              <w:autoSpaceDN w:val="0"/>
              <w:adjustRightInd w:val="0"/>
              <w:spacing w:before="0" w:after="0"/>
              <w:rPr>
                <w:rFonts w:ascii="Times New Roman" w:hAnsi="Times New Roman"/>
                <w:b/>
                <w:bCs/>
                <w:sz w:val="24"/>
                <w:u w:val="single"/>
                <w:lang w:eastAsia="nl-BE"/>
              </w:rPr>
            </w:pPr>
          </w:p>
          <w:p w:rsidR="000B0B09" w:rsidRPr="00661595" w:rsidRDefault="000B0B09"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Posizioni e relativi requisiti di fondi propri per le valute soggette alla procedura generale di cui all</w:t>
            </w:r>
            <w:r w:rsidR="000878EC">
              <w:rPr>
                <w:rFonts w:ascii="Times New Roman" w:hAnsi="Times New Roman"/>
                <w:sz w:val="24"/>
              </w:rPr>
              <w:t>'</w:t>
            </w:r>
            <w:r>
              <w:rPr>
                <w:rFonts w:ascii="Times New Roman" w:hAnsi="Times New Roman"/>
                <w:sz w:val="24"/>
              </w:rPr>
              <w:t>articolo 351 e all</w:t>
            </w:r>
            <w:r w:rsidR="000878EC">
              <w:rPr>
                <w:rFonts w:ascii="Times New Roman" w:hAnsi="Times New Roman"/>
                <w:sz w:val="24"/>
              </w:rPr>
              <w:t>'</w:t>
            </w:r>
            <w:r>
              <w:rPr>
                <w:rFonts w:ascii="Times New Roman" w:hAnsi="Times New Roman"/>
                <w:sz w:val="24"/>
              </w:rPr>
              <w:t xml:space="preserve">articolo 352, paragrafi 2 e 4, del CRR. </w:t>
            </w:r>
          </w:p>
          <w:p w:rsidR="000B0B09" w:rsidRPr="00661595" w:rsidRDefault="000B0B09" w:rsidP="00F2281A">
            <w:pPr>
              <w:suppressAutoHyphens/>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0050-0090</w:t>
            </w:r>
          </w:p>
        </w:tc>
        <w:tc>
          <w:tcPr>
            <w:tcW w:w="7871" w:type="dxa"/>
          </w:tcPr>
          <w:p w:rsidR="000B0B09" w:rsidRPr="00661595" w:rsidRDefault="000B0B09" w:rsidP="00F2281A">
            <w:pPr>
              <w:suppressAutoHyphens/>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REQUISITI AGGIUNTIVI PER LE OPZIONI (RISCHI NON DELTA)</w:t>
            </w:r>
          </w:p>
          <w:p w:rsidR="000B0B09" w:rsidRPr="00661595" w:rsidRDefault="001A0143" w:rsidP="00F2281A">
            <w:pPr>
              <w:suppressAutoHyphens/>
              <w:autoSpaceDE w:val="0"/>
              <w:autoSpaceDN w:val="0"/>
              <w:adjustRightInd w:val="0"/>
              <w:spacing w:after="0"/>
              <w:rPr>
                <w:rFonts w:ascii="Times New Roman" w:hAnsi="Times New Roman"/>
                <w:sz w:val="24"/>
              </w:rPr>
            </w:pPr>
            <w:r>
              <w:rPr>
                <w:rFonts w:ascii="Times New Roman" w:hAnsi="Times New Roman"/>
                <w:sz w:val="24"/>
              </w:rPr>
              <w:t xml:space="preserve">Articolo 352, paragrafi 5 e 6, del CRR </w:t>
            </w:r>
          </w:p>
          <w:p w:rsidR="000B0B09" w:rsidRPr="00661595" w:rsidRDefault="000B0B09" w:rsidP="00F2281A">
            <w:pPr>
              <w:suppressAutoHyphens/>
              <w:autoSpaceDE w:val="0"/>
              <w:autoSpaceDN w:val="0"/>
              <w:adjustRightInd w:val="0"/>
              <w:spacing w:before="0" w:after="0"/>
              <w:rPr>
                <w:rFonts w:ascii="Times New Roman" w:hAnsi="Times New Roman"/>
                <w:sz w:val="24"/>
                <w:lang w:eastAsia="de-DE"/>
              </w:rPr>
            </w:pPr>
          </w:p>
          <w:p w:rsidR="000B0B09" w:rsidRPr="00661595" w:rsidRDefault="000B0B09"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I requisiti aggiuntivi per opzioni correlati ai rischi diversi dal rischio delta sono segnalati ripartendoli in funzione del metodo utilizzato per il calcolo. </w:t>
            </w:r>
          </w:p>
          <w:p w:rsidR="000B0B09" w:rsidRPr="00661595" w:rsidRDefault="000B0B09" w:rsidP="00F2281A">
            <w:pPr>
              <w:suppressAutoHyphens/>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0100-0120</w:t>
            </w:r>
          </w:p>
        </w:tc>
        <w:tc>
          <w:tcPr>
            <w:tcW w:w="7871" w:type="dxa"/>
          </w:tcPr>
          <w:p w:rsidR="000B0B09" w:rsidRPr="00661595" w:rsidRDefault="000B0B09"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Ripartizione delle posizioni totali (comprese le valute utilizzate per le segnalazioni) per tipo di esposizione</w:t>
            </w:r>
          </w:p>
          <w:p w:rsidR="000B0B09" w:rsidRPr="00661595" w:rsidRDefault="000B0B09" w:rsidP="00F2281A">
            <w:pPr>
              <w:suppressAutoHyphens/>
              <w:autoSpaceDE w:val="0"/>
              <w:autoSpaceDN w:val="0"/>
              <w:adjustRightInd w:val="0"/>
              <w:spacing w:before="0" w:after="0"/>
              <w:rPr>
                <w:rFonts w:ascii="Times New Roman" w:hAnsi="Times New Roman"/>
                <w:b/>
                <w:bCs/>
                <w:sz w:val="24"/>
                <w:u w:val="single"/>
                <w:lang w:eastAsia="nl-BE"/>
              </w:rPr>
            </w:pPr>
          </w:p>
          <w:p w:rsidR="000B0B09" w:rsidRPr="00661595" w:rsidRDefault="000B0B09"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Le posizioni totali sono ripartite per derivati, altre attività e passività ed elementi fuori bilancio.</w:t>
            </w:r>
          </w:p>
          <w:p w:rsidR="00DE48EF" w:rsidRPr="00661595" w:rsidRDefault="00DE48EF" w:rsidP="00F2281A">
            <w:pPr>
              <w:suppressAutoHyphens/>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0100</w:t>
            </w:r>
          </w:p>
        </w:tc>
        <w:tc>
          <w:tcPr>
            <w:tcW w:w="7871" w:type="dxa"/>
          </w:tcPr>
          <w:p w:rsidR="000B0B09" w:rsidRPr="00661595" w:rsidRDefault="000B0B09"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Attività e passività diverse dagli elementi fuori bilancio e dai derivati</w:t>
            </w:r>
          </w:p>
          <w:p w:rsidR="000B0B09" w:rsidRPr="00661595" w:rsidRDefault="000B0B09" w:rsidP="00F2281A">
            <w:pPr>
              <w:suppressAutoHyphens/>
              <w:autoSpaceDE w:val="0"/>
              <w:autoSpaceDN w:val="0"/>
              <w:adjustRightInd w:val="0"/>
              <w:spacing w:before="0" w:after="0"/>
              <w:rPr>
                <w:rFonts w:ascii="Times New Roman" w:hAnsi="Times New Roman"/>
                <w:b/>
                <w:bCs/>
                <w:sz w:val="24"/>
                <w:u w:val="single"/>
                <w:lang w:eastAsia="nl-BE"/>
              </w:rPr>
            </w:pPr>
          </w:p>
          <w:p w:rsidR="00DE48EF" w:rsidRPr="00661595" w:rsidRDefault="000B0B09"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Le posizioni non comprese nella riga 0110 o nella riga 0120 sono segnalate in questa voce. </w:t>
            </w:r>
          </w:p>
          <w:p w:rsidR="000B0B09" w:rsidRPr="00661595" w:rsidRDefault="000B0B09"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sz w:val="24"/>
              </w:rPr>
              <w:t xml:space="preserve"> </w:t>
            </w:r>
          </w:p>
        </w:tc>
      </w:tr>
      <w:tr w:rsidR="000B0B09" w:rsidRPr="00661595" w:rsidTr="00672D2A">
        <w:tc>
          <w:tcPr>
            <w:tcW w:w="991" w:type="dxa"/>
          </w:tcPr>
          <w:p w:rsidR="000B0B09"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7871" w:type="dxa"/>
          </w:tcPr>
          <w:p w:rsidR="000B0B09" w:rsidRPr="00661595" w:rsidRDefault="000B0B09"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Elementi fuori bilancio</w:t>
            </w:r>
          </w:p>
          <w:p w:rsidR="000B0B09" w:rsidRPr="00661595" w:rsidRDefault="000B0B09" w:rsidP="00F2281A">
            <w:pPr>
              <w:suppressAutoHyphens/>
              <w:autoSpaceDE w:val="0"/>
              <w:autoSpaceDN w:val="0"/>
              <w:adjustRightInd w:val="0"/>
              <w:spacing w:before="0" w:after="0"/>
              <w:rPr>
                <w:rFonts w:ascii="Times New Roman" w:hAnsi="Times New Roman"/>
                <w:b/>
                <w:bCs/>
                <w:sz w:val="24"/>
                <w:u w:val="single"/>
                <w:lang w:eastAsia="nl-BE"/>
              </w:rPr>
            </w:pPr>
          </w:p>
          <w:p w:rsidR="000B0B09" w:rsidRPr="00661595" w:rsidRDefault="000B0B09"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Gli elementi che rientrano nell</w:t>
            </w:r>
            <w:r w:rsidR="000878EC">
              <w:rPr>
                <w:rFonts w:ascii="Times New Roman" w:hAnsi="Times New Roman"/>
                <w:sz w:val="24"/>
              </w:rPr>
              <w:t>'</w:t>
            </w:r>
            <w:r>
              <w:rPr>
                <w:rFonts w:ascii="Times New Roman" w:hAnsi="Times New Roman"/>
                <w:sz w:val="24"/>
              </w:rPr>
              <w:t>ambito di applicazione dell</w:t>
            </w:r>
            <w:r w:rsidR="000878EC">
              <w:rPr>
                <w:rFonts w:ascii="Times New Roman" w:hAnsi="Times New Roman"/>
                <w:sz w:val="24"/>
              </w:rPr>
              <w:t>'</w:t>
            </w:r>
            <w:r>
              <w:rPr>
                <w:rFonts w:ascii="Times New Roman" w:hAnsi="Times New Roman"/>
                <w:sz w:val="24"/>
              </w:rPr>
              <w:t>articolo 352 del CRR, indipendentemente dalla valuta di denominazione, che sono compresi nell</w:t>
            </w:r>
            <w:r w:rsidR="000878EC">
              <w:rPr>
                <w:rFonts w:ascii="Times New Roman" w:hAnsi="Times New Roman"/>
                <w:sz w:val="24"/>
              </w:rPr>
              <w:t>'</w:t>
            </w:r>
            <w:r>
              <w:rPr>
                <w:rFonts w:ascii="Times New Roman" w:hAnsi="Times New Roman"/>
                <w:sz w:val="24"/>
              </w:rPr>
              <w:t>allegato I del CRR, tranne quelli inclusi come operazioni di finanziamento tramite titoli e operazioni con regolamento a lungo termine o derivanti da un accordo di compensazione contrattuale tra prodotti differenti.</w:t>
            </w:r>
          </w:p>
          <w:p w:rsidR="00DE48EF" w:rsidRPr="00661595" w:rsidRDefault="00DE48EF" w:rsidP="00F2281A">
            <w:pPr>
              <w:suppressAutoHyphens/>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0120</w:t>
            </w:r>
          </w:p>
        </w:tc>
        <w:tc>
          <w:tcPr>
            <w:tcW w:w="7871" w:type="dxa"/>
          </w:tcPr>
          <w:p w:rsidR="000B0B09" w:rsidRPr="00661595" w:rsidRDefault="000B0B09"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Derivati</w:t>
            </w:r>
          </w:p>
          <w:p w:rsidR="000B0B09" w:rsidRPr="00661595" w:rsidRDefault="000B0B09" w:rsidP="00F2281A">
            <w:pPr>
              <w:suppressAutoHyphens/>
              <w:autoSpaceDE w:val="0"/>
              <w:autoSpaceDN w:val="0"/>
              <w:adjustRightInd w:val="0"/>
              <w:spacing w:before="0" w:after="0"/>
              <w:rPr>
                <w:rFonts w:ascii="Times New Roman" w:hAnsi="Times New Roman"/>
                <w:b/>
                <w:bCs/>
                <w:sz w:val="24"/>
                <w:u w:val="single"/>
                <w:lang w:eastAsia="nl-BE"/>
              </w:rPr>
            </w:pPr>
          </w:p>
          <w:p w:rsidR="000B0B09" w:rsidRPr="00661595" w:rsidRDefault="000B0B09"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Posizioni valutate conformemente all</w:t>
            </w:r>
            <w:r w:rsidR="000878EC">
              <w:rPr>
                <w:rFonts w:ascii="Times New Roman" w:hAnsi="Times New Roman"/>
                <w:sz w:val="24"/>
              </w:rPr>
              <w:t>'</w:t>
            </w:r>
            <w:r>
              <w:rPr>
                <w:rFonts w:ascii="Times New Roman" w:hAnsi="Times New Roman"/>
                <w:sz w:val="24"/>
              </w:rPr>
              <w:t>articolo 352 del CRR.</w:t>
            </w:r>
          </w:p>
          <w:p w:rsidR="00902EFC" w:rsidRPr="00661595" w:rsidRDefault="00902EFC" w:rsidP="00F2281A">
            <w:pPr>
              <w:suppressAutoHyphens/>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1" w:type="dxa"/>
          </w:tcPr>
          <w:p w:rsidR="000B0B09"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0130-0480</w:t>
            </w:r>
          </w:p>
        </w:tc>
        <w:tc>
          <w:tcPr>
            <w:tcW w:w="7871" w:type="dxa"/>
          </w:tcPr>
          <w:p w:rsidR="000B0B09" w:rsidRPr="00661595" w:rsidRDefault="000B0B09" w:rsidP="00F2281A">
            <w:pPr>
              <w:suppressAutoHyphens/>
              <w:autoSpaceDE w:val="0"/>
              <w:autoSpaceDN w:val="0"/>
              <w:adjustRightInd w:val="0"/>
              <w:spacing w:before="0" w:after="0"/>
              <w:rPr>
                <w:rFonts w:ascii="Times New Roman" w:hAnsi="Times New Roman"/>
                <w:sz w:val="24"/>
              </w:rPr>
            </w:pPr>
            <w:r>
              <w:rPr>
                <w:rFonts w:ascii="Times New Roman" w:hAnsi="Times New Roman"/>
                <w:b/>
                <w:bCs/>
                <w:sz w:val="24"/>
                <w:u w:val="single"/>
              </w:rPr>
              <w:t>VOCI PER MEMORIA: POSIZIONI IN VALUTA</w:t>
            </w:r>
          </w:p>
          <w:p w:rsidR="000B0B09" w:rsidRPr="00661595" w:rsidRDefault="000B0B09" w:rsidP="00F2281A">
            <w:pPr>
              <w:suppressAutoHyphens/>
              <w:autoSpaceDE w:val="0"/>
              <w:autoSpaceDN w:val="0"/>
              <w:adjustRightInd w:val="0"/>
              <w:spacing w:before="0" w:after="0"/>
              <w:rPr>
                <w:rFonts w:ascii="Times New Roman" w:hAnsi="Times New Roman"/>
                <w:b/>
                <w:bCs/>
                <w:sz w:val="24"/>
                <w:lang w:eastAsia="de-DE"/>
              </w:rPr>
            </w:pPr>
          </w:p>
          <w:p w:rsidR="000B0B09" w:rsidRPr="00661595" w:rsidRDefault="000B0B09" w:rsidP="00F2281A">
            <w:pPr>
              <w:suppressAutoHyphens/>
              <w:autoSpaceDE w:val="0"/>
              <w:autoSpaceDN w:val="0"/>
              <w:adjustRightInd w:val="0"/>
              <w:spacing w:before="0" w:after="0"/>
              <w:rPr>
                <w:rStyle w:val="InstructionsTabelleText"/>
                <w:rFonts w:ascii="Times New Roman" w:hAnsi="Times New Roman"/>
                <w:sz w:val="24"/>
              </w:rPr>
            </w:pPr>
            <w:r>
              <w:rPr>
                <w:rFonts w:ascii="Times New Roman" w:hAnsi="Times New Roman"/>
                <w:sz w:val="24"/>
              </w:rPr>
              <w:t>Le voci per memoria del modello sono compilate separatamente per tutte le valute degli Stati membri dell</w:t>
            </w:r>
            <w:r w:rsidR="000878EC">
              <w:rPr>
                <w:rFonts w:ascii="Times New Roman" w:hAnsi="Times New Roman"/>
                <w:sz w:val="24"/>
              </w:rPr>
              <w:t>'</w:t>
            </w:r>
            <w:r>
              <w:rPr>
                <w:rFonts w:ascii="Times New Roman" w:hAnsi="Times New Roman"/>
                <w:sz w:val="24"/>
              </w:rPr>
              <w:t xml:space="preserve">Unione, per le valute GBP, USD, CHF, JPY, RUB, TRY, AUD, CAD, RSD, ALL, UAH, MKD, EGP, ARS, BRL, MXN, HKD, ICK, TWD, NZD, NOK, SGD, KRW, CNY, nonché per tutte le altre valute. </w:t>
            </w:r>
          </w:p>
        </w:tc>
      </w:tr>
    </w:tbl>
    <w:p w:rsidR="000B0B09" w:rsidRPr="00661595" w:rsidRDefault="000B0B09" w:rsidP="000B0B09">
      <w:pPr>
        <w:rPr>
          <w:rFonts w:ascii="Times New Roman" w:hAnsi="Times New Roman"/>
          <w:sz w:val="24"/>
        </w:rPr>
      </w:pP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699" w:name="_Toc295830011"/>
      <w:bookmarkStart w:id="700" w:name="_Toc308426688"/>
      <w:bookmarkStart w:id="701" w:name="_Toc310415072"/>
      <w:bookmarkStart w:id="702" w:name="_Toc360188407"/>
      <w:bookmarkStart w:id="703" w:name="_Toc473561047"/>
      <w:bookmarkStart w:id="704" w:name="_Toc58915854"/>
      <w:r>
        <w:rPr>
          <w:rFonts w:ascii="Times New Roman" w:hAnsi="Times New Roman"/>
          <w:sz w:val="24"/>
          <w:u w:val="none"/>
        </w:rPr>
        <w:t>5.6.</w:t>
      </w:r>
      <w:r w:rsidRPr="00F2281A">
        <w:rPr>
          <w:u w:val="none"/>
        </w:rPr>
        <w:tab/>
      </w:r>
      <w:r>
        <w:rPr>
          <w:rFonts w:ascii="Times New Roman" w:hAnsi="Times New Roman"/>
          <w:sz w:val="24"/>
        </w:rPr>
        <w:t xml:space="preserve">C 23.00 - Rischio di mercato: </w:t>
      </w:r>
      <w:bookmarkStart w:id="705" w:name="_Toc262566435"/>
      <w:r>
        <w:rPr>
          <w:rFonts w:ascii="Times New Roman" w:hAnsi="Times New Roman"/>
          <w:sz w:val="24"/>
        </w:rPr>
        <w:t>metodi standardizzati per le merci</w:t>
      </w:r>
      <w:bookmarkEnd w:id="699"/>
      <w:bookmarkEnd w:id="700"/>
      <w:bookmarkEnd w:id="701"/>
      <w:bookmarkEnd w:id="702"/>
      <w:bookmarkEnd w:id="705"/>
      <w:r>
        <w:rPr>
          <w:rFonts w:ascii="Times New Roman" w:hAnsi="Times New Roman"/>
          <w:sz w:val="24"/>
        </w:rPr>
        <w:t xml:space="preserve"> (MKR SA COM)</w:t>
      </w:r>
      <w:bookmarkEnd w:id="703"/>
      <w:bookmarkEnd w:id="704"/>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06" w:name="_Toc262566436"/>
      <w:bookmarkStart w:id="707" w:name="_Toc295830012"/>
      <w:bookmarkStart w:id="708" w:name="_Toc308426689"/>
      <w:bookmarkStart w:id="709" w:name="_Toc310415073"/>
      <w:bookmarkStart w:id="710" w:name="_Toc360188408"/>
      <w:bookmarkStart w:id="711" w:name="_Toc473561048"/>
      <w:bookmarkStart w:id="712" w:name="_Toc58915855"/>
      <w:r>
        <w:rPr>
          <w:rFonts w:ascii="Times New Roman" w:hAnsi="Times New Roman"/>
          <w:sz w:val="24"/>
          <w:u w:val="none"/>
        </w:rPr>
        <w:t>5.6.1.</w:t>
      </w:r>
      <w:r w:rsidRPr="00F2281A">
        <w:rPr>
          <w:u w:val="none"/>
        </w:rPr>
        <w:tab/>
      </w:r>
      <w:r>
        <w:rPr>
          <w:rFonts w:ascii="Times New Roman" w:hAnsi="Times New Roman"/>
          <w:sz w:val="24"/>
        </w:rPr>
        <w:t>Osservazioni di carattere generale</w:t>
      </w:r>
      <w:bookmarkEnd w:id="706"/>
      <w:bookmarkEnd w:id="707"/>
      <w:bookmarkEnd w:id="708"/>
      <w:bookmarkEnd w:id="709"/>
      <w:bookmarkEnd w:id="710"/>
      <w:bookmarkEnd w:id="711"/>
      <w:bookmarkEnd w:id="712"/>
    </w:p>
    <w:p w:rsidR="000B0B09" w:rsidRPr="00661595" w:rsidRDefault="00A971CA" w:rsidP="00F2281A">
      <w:pPr>
        <w:pStyle w:val="InstructionsText2"/>
        <w:numPr>
          <w:ilvl w:val="0"/>
          <w:numId w:val="0"/>
        </w:numPr>
        <w:ind w:left="1680" w:hanging="480"/>
      </w:pPr>
      <w:r>
        <w:fldChar w:fldCharType="begin"/>
      </w:r>
      <w:r>
        <w:instrText xml:space="preserve"> seq paragraphs </w:instrText>
      </w:r>
      <w:r>
        <w:fldChar w:fldCharType="separate"/>
      </w:r>
      <w:r w:rsidR="00D11E4C">
        <w:rPr>
          <w:noProof/>
        </w:rPr>
        <w:t>173</w:t>
      </w:r>
      <w:r>
        <w:rPr>
          <w:noProof/>
        </w:rPr>
        <w:fldChar w:fldCharType="end"/>
      </w:r>
      <w:r w:rsidR="00D11E4C">
        <w:t>.</w:t>
      </w:r>
      <w:r w:rsidR="00D11E4C">
        <w:tab/>
        <w:t xml:space="preserve"> In questo modello vanno inserite informazioni riguardanti le posizioni in merci e i relativi requisiti di fondi propri trattati secondo il metodo standardizzato.</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13" w:name="_Toc262566437"/>
      <w:bookmarkStart w:id="714" w:name="_Toc295830013"/>
      <w:bookmarkStart w:id="715" w:name="_Toc308426690"/>
      <w:bookmarkStart w:id="716" w:name="_Toc310415074"/>
      <w:bookmarkStart w:id="717" w:name="_Toc360188409"/>
      <w:bookmarkStart w:id="718" w:name="_Toc473561049"/>
      <w:bookmarkStart w:id="719" w:name="_Toc58915856"/>
      <w:r>
        <w:rPr>
          <w:rFonts w:ascii="Times New Roman" w:hAnsi="Times New Roman"/>
          <w:sz w:val="24"/>
          <w:u w:val="none"/>
        </w:rPr>
        <w:t>5.6.2.</w:t>
      </w:r>
      <w:r>
        <w:tab/>
      </w:r>
      <w:r>
        <w:rPr>
          <w:rFonts w:ascii="Times New Roman" w:hAnsi="Times New Roman"/>
          <w:sz w:val="24"/>
        </w:rPr>
        <w:t>Istruzioni relative a posizioni specifiche</w:t>
      </w:r>
      <w:bookmarkEnd w:id="713"/>
      <w:bookmarkEnd w:id="714"/>
      <w:bookmarkEnd w:id="715"/>
      <w:bookmarkEnd w:id="716"/>
      <w:bookmarkEnd w:id="717"/>
      <w:bookmarkEnd w:id="718"/>
      <w:bookmarkEnd w:id="7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6"/>
        <w:gridCol w:w="7876"/>
      </w:tblGrid>
      <w:tr w:rsidR="000B0B09" w:rsidRPr="00661595" w:rsidTr="00672D2A">
        <w:trPr>
          <w:trHeight w:val="591"/>
        </w:trPr>
        <w:tc>
          <w:tcPr>
            <w:tcW w:w="8862" w:type="dxa"/>
            <w:gridSpan w:val="2"/>
            <w:shd w:val="clear" w:color="auto" w:fill="CCCCCC"/>
          </w:tcPr>
          <w:p w:rsidR="000B0B09" w:rsidRPr="00661595" w:rsidRDefault="000B0B09" w:rsidP="00F2281A">
            <w:pPr>
              <w:suppressAutoHyphens/>
              <w:autoSpaceDE w:val="0"/>
              <w:autoSpaceDN w:val="0"/>
              <w:adjustRightInd w:val="0"/>
              <w:spacing w:after="0"/>
              <w:rPr>
                <w:rFonts w:ascii="Times New Roman" w:hAnsi="Times New Roman"/>
                <w:b/>
                <w:sz w:val="24"/>
              </w:rPr>
            </w:pPr>
            <w:r>
              <w:rPr>
                <w:rFonts w:ascii="Times New Roman" w:hAnsi="Times New Roman"/>
                <w:b/>
                <w:sz w:val="24"/>
              </w:rPr>
              <w:t>Colonne</w:t>
            </w:r>
          </w:p>
        </w:tc>
      </w:tr>
      <w:tr w:rsidR="000B0B09" w:rsidRPr="00661595" w:rsidTr="00672D2A">
        <w:tc>
          <w:tcPr>
            <w:tcW w:w="986" w:type="dxa"/>
          </w:tcPr>
          <w:p w:rsidR="000B0B09"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0010-0020</w:t>
            </w:r>
          </w:p>
        </w:tc>
        <w:tc>
          <w:tcPr>
            <w:tcW w:w="7876" w:type="dxa"/>
          </w:tcPr>
          <w:p w:rsidR="000B0B09" w:rsidRPr="00661595" w:rsidRDefault="000B0B09"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TUTTE LE POSIZIONI (LUNGHE E CORTE)</w:t>
            </w:r>
          </w:p>
          <w:p w:rsidR="000B0B09" w:rsidRPr="00661595" w:rsidRDefault="000B0B09" w:rsidP="00F2281A">
            <w:pPr>
              <w:suppressAutoHyphens/>
              <w:autoSpaceDE w:val="0"/>
              <w:autoSpaceDN w:val="0"/>
              <w:adjustRightInd w:val="0"/>
              <w:spacing w:before="0" w:after="0"/>
              <w:rPr>
                <w:rFonts w:ascii="Times New Roman" w:hAnsi="Times New Roman"/>
                <w:b/>
                <w:bCs/>
                <w:sz w:val="24"/>
                <w:u w:val="single"/>
                <w:lang w:eastAsia="nl-BE"/>
              </w:rPr>
            </w:pPr>
          </w:p>
          <w:p w:rsidR="000B0B09" w:rsidRPr="00661595" w:rsidRDefault="000B0B09"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Posizioni lorde lunghe/corte considerate posizioni nella stessa merce conformemente all</w:t>
            </w:r>
            <w:r w:rsidR="000878EC">
              <w:rPr>
                <w:rFonts w:ascii="Times New Roman" w:hAnsi="Times New Roman"/>
                <w:sz w:val="24"/>
              </w:rPr>
              <w:t>'</w:t>
            </w:r>
            <w:r>
              <w:rPr>
                <w:rFonts w:ascii="Times New Roman" w:hAnsi="Times New Roman"/>
                <w:sz w:val="24"/>
              </w:rPr>
              <w:t>articolo 357, paragrafo 4, del CRR (cfr. anche articolo 359, paragrafo 1, del CRR).</w:t>
            </w:r>
          </w:p>
          <w:p w:rsidR="000B0B09" w:rsidRPr="00661595" w:rsidRDefault="000B0B09"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661595" w:rsidTr="00672D2A">
        <w:tc>
          <w:tcPr>
            <w:tcW w:w="986" w:type="dxa"/>
          </w:tcPr>
          <w:p w:rsidR="000B0B09"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0030-0040 </w:t>
            </w:r>
          </w:p>
        </w:tc>
        <w:tc>
          <w:tcPr>
            <w:tcW w:w="7876" w:type="dxa"/>
          </w:tcPr>
          <w:p w:rsidR="000B0B09" w:rsidRPr="00661595" w:rsidRDefault="000B0B09"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POSIZIONI NETTE (LUNGHE E CORTE)</w:t>
            </w:r>
          </w:p>
          <w:p w:rsidR="000B0B09" w:rsidRPr="00661595" w:rsidRDefault="000B0B09" w:rsidP="00F2281A">
            <w:pPr>
              <w:suppressAutoHyphens/>
              <w:autoSpaceDE w:val="0"/>
              <w:autoSpaceDN w:val="0"/>
              <w:adjustRightInd w:val="0"/>
              <w:spacing w:before="0" w:after="0"/>
              <w:rPr>
                <w:rFonts w:ascii="Times New Roman" w:hAnsi="Times New Roman"/>
                <w:sz w:val="24"/>
                <w:lang w:eastAsia="de-DE"/>
              </w:rPr>
            </w:pPr>
          </w:p>
          <w:p w:rsidR="000B0B09" w:rsidRPr="00661595" w:rsidRDefault="000B0B09" w:rsidP="00F2281A">
            <w:pPr>
              <w:suppressAutoHyphens/>
              <w:autoSpaceDE w:val="0"/>
              <w:autoSpaceDN w:val="0"/>
              <w:adjustRightInd w:val="0"/>
              <w:spacing w:before="0"/>
              <w:rPr>
                <w:rFonts w:ascii="Times New Roman" w:hAnsi="Times New Roman"/>
                <w:sz w:val="24"/>
              </w:rPr>
            </w:pPr>
            <w:r>
              <w:rPr>
                <w:rFonts w:ascii="Times New Roman" w:hAnsi="Times New Roman"/>
                <w:sz w:val="24"/>
              </w:rPr>
              <w:t>Secondo la definizione dell</w:t>
            </w:r>
            <w:r w:rsidR="000878EC">
              <w:rPr>
                <w:rFonts w:ascii="Times New Roman" w:hAnsi="Times New Roman"/>
                <w:sz w:val="24"/>
              </w:rPr>
              <w:t>'</w:t>
            </w:r>
            <w:r>
              <w:rPr>
                <w:rFonts w:ascii="Times New Roman" w:hAnsi="Times New Roman"/>
                <w:sz w:val="24"/>
              </w:rPr>
              <w:t xml:space="preserve">articolo 357, paragrafo 3, del CRR. </w:t>
            </w:r>
          </w:p>
        </w:tc>
      </w:tr>
      <w:tr w:rsidR="000B0B09" w:rsidRPr="00661595" w:rsidTr="00672D2A">
        <w:tc>
          <w:tcPr>
            <w:tcW w:w="986" w:type="dxa"/>
          </w:tcPr>
          <w:p w:rsidR="000B0B09"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76" w:type="dxa"/>
          </w:tcPr>
          <w:p w:rsidR="000B0B09" w:rsidRPr="00661595" w:rsidRDefault="000B0B09"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POSIZIONI SOGGETTE A COPERTURA PATRIMONIALE</w:t>
            </w:r>
          </w:p>
          <w:p w:rsidR="000B0B09" w:rsidRPr="00661595" w:rsidRDefault="000B0B09" w:rsidP="00F2281A">
            <w:pPr>
              <w:suppressAutoHyphens/>
              <w:autoSpaceDE w:val="0"/>
              <w:autoSpaceDN w:val="0"/>
              <w:adjustRightInd w:val="0"/>
              <w:spacing w:before="0" w:after="0"/>
              <w:rPr>
                <w:rFonts w:ascii="Times New Roman" w:hAnsi="Times New Roman"/>
                <w:sz w:val="24"/>
                <w:lang w:eastAsia="de-DE"/>
              </w:rPr>
            </w:pPr>
          </w:p>
          <w:p w:rsidR="000B0B09" w:rsidRPr="00661595" w:rsidRDefault="000B0B09"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Posizioni nette che, secondo i differenti metodi di cui alla parte tre, titolo IV, capo 4, del CRR, ricevono una copertura patrimoniale.</w:t>
            </w:r>
          </w:p>
          <w:p w:rsidR="000B0B09" w:rsidRPr="00661595" w:rsidRDefault="000B0B09" w:rsidP="00F2281A">
            <w:pPr>
              <w:suppressAutoHyphens/>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6" w:type="dxa"/>
          </w:tcPr>
          <w:p w:rsidR="000B0B09"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76" w:type="dxa"/>
          </w:tcPr>
          <w:p w:rsidR="000B0B09" w:rsidRPr="00661595" w:rsidRDefault="000B0B09"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REQUISITI DI FONDI PROPRI</w:t>
            </w:r>
          </w:p>
          <w:p w:rsidR="000B0B09" w:rsidRPr="00661595" w:rsidRDefault="000B0B09" w:rsidP="00F2281A">
            <w:pPr>
              <w:suppressAutoHyphens/>
              <w:autoSpaceDE w:val="0"/>
              <w:autoSpaceDN w:val="0"/>
              <w:adjustRightInd w:val="0"/>
              <w:spacing w:before="0" w:after="0"/>
              <w:rPr>
                <w:rFonts w:ascii="Times New Roman" w:hAnsi="Times New Roman"/>
                <w:b/>
                <w:bCs/>
                <w:sz w:val="24"/>
                <w:u w:val="single"/>
                <w:lang w:eastAsia="nl-BE"/>
              </w:rPr>
            </w:pPr>
          </w:p>
          <w:p w:rsidR="000B0B09" w:rsidRPr="00661595" w:rsidRDefault="000B0B09" w:rsidP="00F2281A">
            <w:pPr>
              <w:suppressAutoHyphens/>
              <w:autoSpaceDE w:val="0"/>
              <w:autoSpaceDN w:val="0"/>
              <w:adjustRightInd w:val="0"/>
              <w:spacing w:before="0"/>
              <w:rPr>
                <w:rFonts w:ascii="Times New Roman" w:hAnsi="Times New Roman"/>
                <w:b/>
                <w:bCs/>
                <w:sz w:val="24"/>
                <w:u w:val="single"/>
              </w:rPr>
            </w:pPr>
            <w:r>
              <w:rPr>
                <w:rFonts w:ascii="Times New Roman" w:hAnsi="Times New Roman"/>
                <w:sz w:val="24"/>
              </w:rPr>
              <w:t>I requisiti di fondi propri calcolati conformemente alla parte tre, titolo IV, capo 4, del CRR di qualsiasi posizione pertinente.</w:t>
            </w:r>
          </w:p>
        </w:tc>
      </w:tr>
      <w:tr w:rsidR="000B0B09" w:rsidRPr="00661595" w:rsidTr="00672D2A">
        <w:tc>
          <w:tcPr>
            <w:tcW w:w="986" w:type="dxa"/>
          </w:tcPr>
          <w:p w:rsidR="000B0B09"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6" w:type="dxa"/>
          </w:tcPr>
          <w:p w:rsidR="000B0B09" w:rsidRPr="00661595" w:rsidRDefault="000B0B09" w:rsidP="00F2281A">
            <w:pPr>
              <w:tabs>
                <w:tab w:val="left" w:pos="1665"/>
              </w:tabs>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IMPORTO COMPLESSIVO DELL</w:t>
            </w:r>
            <w:r w:rsidR="000878EC">
              <w:rPr>
                <w:rFonts w:ascii="Times New Roman" w:hAnsi="Times New Roman"/>
                <w:b/>
                <w:bCs/>
                <w:sz w:val="24"/>
                <w:u w:val="single"/>
              </w:rPr>
              <w:t>'</w:t>
            </w:r>
            <w:r>
              <w:rPr>
                <w:rFonts w:ascii="Times New Roman" w:hAnsi="Times New Roman"/>
                <w:b/>
                <w:bCs/>
                <w:sz w:val="24"/>
                <w:u w:val="single"/>
              </w:rPr>
              <w:t>ESPOSIZIONE AL RISCHIO</w:t>
            </w:r>
          </w:p>
          <w:p w:rsidR="000B0B09" w:rsidRPr="00661595" w:rsidRDefault="000B0B09" w:rsidP="00F2281A">
            <w:pPr>
              <w:tabs>
                <w:tab w:val="left" w:pos="1665"/>
              </w:tabs>
              <w:suppressAutoHyphens/>
              <w:autoSpaceDE w:val="0"/>
              <w:autoSpaceDN w:val="0"/>
              <w:adjustRightInd w:val="0"/>
              <w:spacing w:before="0" w:after="0"/>
              <w:rPr>
                <w:rFonts w:ascii="Times New Roman" w:hAnsi="Times New Roman"/>
                <w:b/>
                <w:bCs/>
                <w:sz w:val="24"/>
                <w:u w:val="single"/>
                <w:lang w:eastAsia="nl-BE"/>
              </w:rPr>
            </w:pPr>
          </w:p>
          <w:p w:rsidR="00A2757B" w:rsidRPr="00661595" w:rsidRDefault="00D21B29" w:rsidP="00F2281A">
            <w:pPr>
              <w:tabs>
                <w:tab w:val="left" w:pos="1665"/>
              </w:tabs>
              <w:suppressAutoHyphens/>
              <w:autoSpaceDE w:val="0"/>
              <w:autoSpaceDN w:val="0"/>
              <w:adjustRightInd w:val="0"/>
              <w:spacing w:before="0"/>
              <w:rPr>
                <w:rFonts w:ascii="Times New Roman" w:hAnsi="Times New Roman"/>
                <w:sz w:val="24"/>
              </w:rPr>
            </w:pPr>
            <w:r>
              <w:rPr>
                <w:rFonts w:ascii="Times New Roman" w:hAnsi="Times New Roman"/>
                <w:sz w:val="24"/>
              </w:rPr>
              <w:t xml:space="preserve">Articolo 92, paragrafo 4, lettera b), del CRR </w:t>
            </w:r>
          </w:p>
          <w:p w:rsidR="000B0B09" w:rsidRPr="00661595" w:rsidRDefault="000B0B09" w:rsidP="00F2281A">
            <w:pPr>
              <w:tabs>
                <w:tab w:val="left" w:pos="1665"/>
              </w:tabs>
              <w:suppressAutoHyphens/>
              <w:autoSpaceDE w:val="0"/>
              <w:autoSpaceDN w:val="0"/>
              <w:adjustRightInd w:val="0"/>
              <w:spacing w:before="0"/>
              <w:rPr>
                <w:rFonts w:ascii="Times New Roman" w:hAnsi="Times New Roman"/>
                <w:b/>
                <w:bCs/>
                <w:sz w:val="24"/>
                <w:u w:val="single"/>
              </w:rPr>
            </w:pPr>
            <w:r>
              <w:rPr>
                <w:rFonts w:ascii="Times New Roman" w:hAnsi="Times New Roman"/>
                <w:sz w:val="24"/>
              </w:rPr>
              <w:t>Risultato della moltiplicazione dei requisiti di fondi propri per 12,5</w:t>
            </w:r>
          </w:p>
        </w:tc>
      </w:tr>
    </w:tbl>
    <w:p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gridCol w:w="7875"/>
      </w:tblGrid>
      <w:tr w:rsidR="000B0B09" w:rsidRPr="00661595" w:rsidTr="00672D2A">
        <w:trPr>
          <w:trHeight w:val="483"/>
        </w:trPr>
        <w:tc>
          <w:tcPr>
            <w:tcW w:w="8862" w:type="dxa"/>
            <w:gridSpan w:val="2"/>
            <w:shd w:val="clear" w:color="auto" w:fill="CCCCCC"/>
          </w:tcPr>
          <w:p w:rsidR="000B0B09" w:rsidRPr="00661595" w:rsidRDefault="000B0B09" w:rsidP="00F2281A">
            <w:pPr>
              <w:suppressAutoHyphens/>
              <w:autoSpaceDE w:val="0"/>
              <w:autoSpaceDN w:val="0"/>
              <w:adjustRightInd w:val="0"/>
              <w:spacing w:after="0"/>
              <w:rPr>
                <w:rFonts w:ascii="Times New Roman" w:hAnsi="Times New Roman"/>
                <w:b/>
                <w:sz w:val="24"/>
              </w:rPr>
            </w:pPr>
            <w:r>
              <w:rPr>
                <w:rFonts w:ascii="Times New Roman" w:hAnsi="Times New Roman"/>
                <w:b/>
                <w:sz w:val="24"/>
              </w:rPr>
              <w:t>Righe</w:t>
            </w:r>
          </w:p>
        </w:tc>
      </w:tr>
      <w:tr w:rsidR="000B0B09" w:rsidRPr="00661595" w:rsidTr="00672D2A">
        <w:tc>
          <w:tcPr>
            <w:tcW w:w="987" w:type="dxa"/>
          </w:tcPr>
          <w:p w:rsidR="000B0B09"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875" w:type="dxa"/>
          </w:tcPr>
          <w:p w:rsidR="000B0B09" w:rsidRPr="00661595" w:rsidRDefault="000B0B09"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POSIZIONI TOTALI IN MERCI</w:t>
            </w:r>
          </w:p>
          <w:p w:rsidR="000B0B09" w:rsidRPr="00661595" w:rsidRDefault="000B0B09" w:rsidP="00F2281A">
            <w:pPr>
              <w:suppressAutoHyphens/>
              <w:autoSpaceDE w:val="0"/>
              <w:autoSpaceDN w:val="0"/>
              <w:adjustRightInd w:val="0"/>
              <w:spacing w:before="0" w:after="0"/>
              <w:rPr>
                <w:rFonts w:ascii="Times New Roman" w:hAnsi="Times New Roman"/>
                <w:sz w:val="24"/>
              </w:rPr>
            </w:pPr>
          </w:p>
          <w:p w:rsidR="000B0B09" w:rsidRPr="00661595" w:rsidRDefault="000B0B09" w:rsidP="00F2281A">
            <w:pPr>
              <w:suppressAutoHyphens/>
              <w:autoSpaceDE w:val="0"/>
              <w:autoSpaceDN w:val="0"/>
              <w:adjustRightInd w:val="0"/>
              <w:spacing w:before="0"/>
              <w:rPr>
                <w:rFonts w:ascii="Times New Roman" w:hAnsi="Times New Roman"/>
                <w:sz w:val="24"/>
              </w:rPr>
            </w:pPr>
            <w:r>
              <w:rPr>
                <w:rFonts w:ascii="Times New Roman" w:hAnsi="Times New Roman"/>
                <w:sz w:val="24"/>
              </w:rPr>
              <w:t>Posizioni in merci e relativi requisiti di fondi propri per il rischio di mercato calcolati conformemente all</w:t>
            </w:r>
            <w:r w:rsidR="000878EC">
              <w:rPr>
                <w:rFonts w:ascii="Times New Roman" w:hAnsi="Times New Roman"/>
                <w:sz w:val="24"/>
              </w:rPr>
              <w:t>'</w:t>
            </w:r>
            <w:r>
              <w:rPr>
                <w:rFonts w:ascii="Times New Roman" w:hAnsi="Times New Roman"/>
                <w:sz w:val="24"/>
              </w:rPr>
              <w:t xml:space="preserve">articolo 92, paragrafo 3, lettera c), punto iii), del CRR e alla parte tre, titolo IV, capo 4, del CRR. </w:t>
            </w:r>
          </w:p>
        </w:tc>
      </w:tr>
      <w:tr w:rsidR="000B0B09" w:rsidRPr="00661595" w:rsidTr="00672D2A">
        <w:tc>
          <w:tcPr>
            <w:tcW w:w="987" w:type="dxa"/>
          </w:tcPr>
          <w:p w:rsidR="000B0B09"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0020-0060</w:t>
            </w:r>
          </w:p>
        </w:tc>
        <w:tc>
          <w:tcPr>
            <w:tcW w:w="7875" w:type="dxa"/>
          </w:tcPr>
          <w:p w:rsidR="000B0B09" w:rsidRPr="00661595" w:rsidRDefault="000B0B09"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POSIZIONI PER CATEGORIA MERCEOLOGICA</w:t>
            </w:r>
          </w:p>
          <w:p w:rsidR="000B0B09" w:rsidRPr="00661595" w:rsidRDefault="000B0B09" w:rsidP="00F2281A">
            <w:pPr>
              <w:suppressAutoHyphens/>
              <w:autoSpaceDE w:val="0"/>
              <w:autoSpaceDN w:val="0"/>
              <w:adjustRightInd w:val="0"/>
              <w:spacing w:before="0" w:after="0"/>
              <w:rPr>
                <w:rFonts w:ascii="Times New Roman" w:hAnsi="Times New Roman"/>
                <w:sz w:val="24"/>
                <w:lang w:eastAsia="de-DE"/>
              </w:rPr>
            </w:pPr>
          </w:p>
          <w:p w:rsidR="000B0B09" w:rsidRPr="00661595" w:rsidRDefault="000B0B09"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A fini di segnalazione le merci sono raggruppate nelle quattro categorie merceologiche di cui alla tabella 2 dell</w:t>
            </w:r>
            <w:r w:rsidR="000878EC">
              <w:rPr>
                <w:rFonts w:ascii="Times New Roman" w:hAnsi="Times New Roman"/>
                <w:sz w:val="24"/>
              </w:rPr>
              <w:t>'</w:t>
            </w:r>
            <w:r>
              <w:rPr>
                <w:rFonts w:ascii="Times New Roman" w:hAnsi="Times New Roman"/>
                <w:sz w:val="24"/>
              </w:rPr>
              <w:t>articolo 361 del CRR.</w:t>
            </w:r>
          </w:p>
          <w:p w:rsidR="000B0B09" w:rsidRPr="00661595" w:rsidRDefault="000B0B09"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 </w:t>
            </w:r>
          </w:p>
        </w:tc>
      </w:tr>
      <w:tr w:rsidR="000B0B09" w:rsidRPr="00661595" w:rsidTr="00672D2A">
        <w:tc>
          <w:tcPr>
            <w:tcW w:w="987" w:type="dxa"/>
          </w:tcPr>
          <w:p w:rsidR="000B0B09"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75" w:type="dxa"/>
          </w:tcPr>
          <w:p w:rsidR="000B0B09" w:rsidRPr="00661595" w:rsidRDefault="000B0B09"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METODO BASATO SULLE FASCE DI SCADENZA</w:t>
            </w:r>
          </w:p>
          <w:p w:rsidR="000B0B09" w:rsidRPr="00661595" w:rsidRDefault="000B0B09" w:rsidP="00F2281A">
            <w:pPr>
              <w:suppressAutoHyphens/>
              <w:autoSpaceDE w:val="0"/>
              <w:autoSpaceDN w:val="0"/>
              <w:adjustRightInd w:val="0"/>
              <w:spacing w:before="0" w:after="0"/>
              <w:rPr>
                <w:rFonts w:ascii="Times New Roman" w:hAnsi="Times New Roman"/>
                <w:sz w:val="24"/>
                <w:lang w:eastAsia="de-DE"/>
              </w:rPr>
            </w:pPr>
          </w:p>
          <w:p w:rsidR="000B0B09" w:rsidRPr="00661595" w:rsidRDefault="000B0B09"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Posizioni in merci soggette al metodo basato sulle fasce di scadenza di cui all</w:t>
            </w:r>
            <w:r w:rsidR="000878EC">
              <w:rPr>
                <w:rFonts w:ascii="Times New Roman" w:hAnsi="Times New Roman"/>
                <w:sz w:val="24"/>
              </w:rPr>
              <w:t>'</w:t>
            </w:r>
            <w:r>
              <w:rPr>
                <w:rFonts w:ascii="Times New Roman" w:hAnsi="Times New Roman"/>
                <w:sz w:val="24"/>
              </w:rPr>
              <w:t>articolo 359 del CRR.</w:t>
            </w:r>
          </w:p>
          <w:p w:rsidR="000B0B09" w:rsidRPr="00661595" w:rsidRDefault="000B0B09" w:rsidP="00F2281A">
            <w:pPr>
              <w:suppressAutoHyphens/>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7" w:type="dxa"/>
          </w:tcPr>
          <w:p w:rsidR="000B0B09"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875" w:type="dxa"/>
          </w:tcPr>
          <w:p w:rsidR="000B0B09" w:rsidRPr="00661595" w:rsidRDefault="000B0B09"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METODO BASATO SULLE FASCE DI SCADENZA AMPLIATO</w:t>
            </w:r>
          </w:p>
          <w:p w:rsidR="000B0B09" w:rsidRPr="00661595" w:rsidRDefault="000B0B09" w:rsidP="00F2281A">
            <w:pPr>
              <w:suppressAutoHyphens/>
              <w:autoSpaceDE w:val="0"/>
              <w:autoSpaceDN w:val="0"/>
              <w:adjustRightInd w:val="0"/>
              <w:spacing w:before="0" w:after="0"/>
              <w:rPr>
                <w:rFonts w:ascii="Times New Roman" w:hAnsi="Times New Roman"/>
                <w:sz w:val="24"/>
                <w:lang w:eastAsia="de-DE"/>
              </w:rPr>
            </w:pPr>
          </w:p>
          <w:p w:rsidR="000B0B09" w:rsidRPr="00661595" w:rsidRDefault="000B0B09"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Posizioni in merci soggette al metodo basato sulle fasce di scadenza ampliato di cui all</w:t>
            </w:r>
            <w:r w:rsidR="000878EC">
              <w:rPr>
                <w:rFonts w:ascii="Times New Roman" w:hAnsi="Times New Roman"/>
                <w:sz w:val="24"/>
              </w:rPr>
              <w:t>'</w:t>
            </w:r>
            <w:r>
              <w:rPr>
                <w:rFonts w:ascii="Times New Roman" w:hAnsi="Times New Roman"/>
                <w:sz w:val="24"/>
              </w:rPr>
              <w:t>articolo 361 del CRR.</w:t>
            </w:r>
          </w:p>
          <w:p w:rsidR="000B0B09" w:rsidRPr="00661595" w:rsidRDefault="000B0B09" w:rsidP="00F2281A">
            <w:pPr>
              <w:suppressAutoHyphens/>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7" w:type="dxa"/>
          </w:tcPr>
          <w:p w:rsidR="000B0B09"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875" w:type="dxa"/>
          </w:tcPr>
          <w:p w:rsidR="000B0B09" w:rsidRPr="00661595" w:rsidRDefault="000B0B09"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METODO SEMPLIFICATO</w:t>
            </w:r>
          </w:p>
          <w:p w:rsidR="000B0B09" w:rsidRPr="00661595" w:rsidRDefault="000B0B09" w:rsidP="00F2281A">
            <w:pPr>
              <w:suppressAutoHyphens/>
              <w:autoSpaceDE w:val="0"/>
              <w:autoSpaceDN w:val="0"/>
              <w:adjustRightInd w:val="0"/>
              <w:spacing w:before="0" w:after="0"/>
              <w:rPr>
                <w:rFonts w:ascii="Times New Roman" w:hAnsi="Times New Roman"/>
                <w:b/>
                <w:bCs/>
                <w:sz w:val="24"/>
                <w:u w:val="single"/>
                <w:lang w:eastAsia="nl-BE"/>
              </w:rPr>
            </w:pPr>
          </w:p>
          <w:p w:rsidR="000B0B09" w:rsidRPr="00661595" w:rsidRDefault="000B0B09"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Posizioni in merci soggette al metodo semplificato di cui all</w:t>
            </w:r>
            <w:r w:rsidR="000878EC">
              <w:rPr>
                <w:rFonts w:ascii="Times New Roman" w:hAnsi="Times New Roman"/>
                <w:sz w:val="24"/>
              </w:rPr>
              <w:t>'</w:t>
            </w:r>
            <w:r>
              <w:rPr>
                <w:rFonts w:ascii="Times New Roman" w:hAnsi="Times New Roman"/>
                <w:sz w:val="24"/>
              </w:rPr>
              <w:t xml:space="preserve">articolo 360 del CRR. </w:t>
            </w:r>
          </w:p>
          <w:p w:rsidR="000B0B09" w:rsidRPr="00661595" w:rsidRDefault="000B0B09" w:rsidP="00F2281A">
            <w:pPr>
              <w:suppressAutoHyphens/>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87" w:type="dxa"/>
          </w:tcPr>
          <w:p w:rsidR="000B0B09"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0100-0140</w:t>
            </w:r>
          </w:p>
        </w:tc>
        <w:tc>
          <w:tcPr>
            <w:tcW w:w="7875" w:type="dxa"/>
          </w:tcPr>
          <w:p w:rsidR="000B0B09" w:rsidRPr="00661595" w:rsidRDefault="000B0B09" w:rsidP="00F2281A">
            <w:pPr>
              <w:suppressAutoHyphens/>
              <w:autoSpaceDE w:val="0"/>
              <w:autoSpaceDN w:val="0"/>
              <w:adjustRightInd w:val="0"/>
              <w:spacing w:before="0" w:after="0"/>
              <w:rPr>
                <w:rFonts w:ascii="Times New Roman" w:hAnsi="Times New Roman"/>
                <w:b/>
                <w:bCs/>
                <w:sz w:val="24"/>
                <w:u w:val="single"/>
              </w:rPr>
            </w:pPr>
            <w:r>
              <w:rPr>
                <w:rStyle w:val="InstructionsTabelleberschrift"/>
                <w:rFonts w:ascii="Times New Roman" w:hAnsi="Times New Roman"/>
                <w:sz w:val="24"/>
              </w:rPr>
              <w:t>REQUISITI AGGIUNTIVI PER LE OPZIONI (RISCHI NON DELTA)</w:t>
            </w:r>
          </w:p>
          <w:p w:rsidR="000B0B09" w:rsidRPr="00661595" w:rsidRDefault="000B0B09" w:rsidP="00F2281A">
            <w:pPr>
              <w:suppressAutoHyphens/>
              <w:autoSpaceDE w:val="0"/>
              <w:autoSpaceDN w:val="0"/>
              <w:adjustRightInd w:val="0"/>
              <w:rPr>
                <w:rFonts w:ascii="Times New Roman" w:hAnsi="Times New Roman"/>
                <w:sz w:val="24"/>
              </w:rPr>
            </w:pPr>
            <w:r>
              <w:rPr>
                <w:rFonts w:ascii="Times New Roman" w:hAnsi="Times New Roman"/>
                <w:sz w:val="24"/>
              </w:rPr>
              <w:t xml:space="preserve">Articolo 358, paragrafo 4, del CRR. </w:t>
            </w:r>
          </w:p>
          <w:p w:rsidR="000B0B09" w:rsidRPr="00661595" w:rsidRDefault="000B0B09"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I requisiti aggiuntivi per le opzioni correlate a rischi diversi dal rischio delta sono segnalati nel metodo utilizzato per il relativo calcolo.</w:t>
            </w:r>
          </w:p>
          <w:p w:rsidR="000B0B09" w:rsidRPr="00661595" w:rsidRDefault="000B0B09" w:rsidP="00F2281A">
            <w:pPr>
              <w:suppressAutoHyphens/>
              <w:autoSpaceDE w:val="0"/>
              <w:autoSpaceDN w:val="0"/>
              <w:adjustRightInd w:val="0"/>
              <w:spacing w:before="0" w:after="0"/>
              <w:rPr>
                <w:rFonts w:ascii="Times New Roman" w:hAnsi="Times New Roman"/>
                <w:sz w:val="24"/>
                <w:lang w:eastAsia="de-DE"/>
              </w:rPr>
            </w:pPr>
          </w:p>
        </w:tc>
      </w:tr>
    </w:tbl>
    <w:p w:rsidR="000B0B09" w:rsidRPr="00661595" w:rsidRDefault="000B0B09" w:rsidP="000B0B09">
      <w:pPr>
        <w:rPr>
          <w:rFonts w:ascii="Times New Roman" w:hAnsi="Times New Roman"/>
          <w:sz w:val="24"/>
        </w:rPr>
      </w:pPr>
    </w:p>
    <w:p w:rsidR="000B0B09" w:rsidRPr="00661595" w:rsidRDefault="00125707" w:rsidP="0023700C">
      <w:pPr>
        <w:pStyle w:val="Instructionsberschrift2"/>
        <w:numPr>
          <w:ilvl w:val="0"/>
          <w:numId w:val="0"/>
        </w:numPr>
        <w:ind w:left="357" w:hanging="357"/>
        <w:rPr>
          <w:rFonts w:ascii="Times New Roman" w:hAnsi="Times New Roman"/>
          <w:sz w:val="24"/>
        </w:rPr>
      </w:pPr>
      <w:bookmarkStart w:id="720" w:name="_Toc295830014"/>
      <w:bookmarkStart w:id="721" w:name="_Toc308426691"/>
      <w:bookmarkStart w:id="722" w:name="_Toc310415075"/>
      <w:bookmarkStart w:id="723" w:name="_Toc360188410"/>
      <w:bookmarkStart w:id="724" w:name="_Toc473561050"/>
      <w:bookmarkStart w:id="725" w:name="_Toc58915857"/>
      <w:r>
        <w:rPr>
          <w:rFonts w:ascii="Times New Roman" w:hAnsi="Times New Roman"/>
          <w:sz w:val="24"/>
          <w:u w:val="none"/>
        </w:rPr>
        <w:t>5.7.</w:t>
      </w:r>
      <w:r w:rsidRPr="00F2281A">
        <w:rPr>
          <w:u w:val="none"/>
        </w:rPr>
        <w:tab/>
      </w:r>
      <w:bookmarkStart w:id="726" w:name="_Toc262566438"/>
      <w:r>
        <w:rPr>
          <w:rFonts w:ascii="Times New Roman" w:hAnsi="Times New Roman"/>
          <w:sz w:val="24"/>
        </w:rPr>
        <w:t>C 24.00 - Modelli interni per il rischio di mercato</w:t>
      </w:r>
      <w:bookmarkEnd w:id="720"/>
      <w:bookmarkEnd w:id="721"/>
      <w:bookmarkEnd w:id="722"/>
      <w:bookmarkEnd w:id="723"/>
      <w:bookmarkEnd w:id="726"/>
      <w:r w:rsidR="000878EC">
        <w:rPr>
          <w:rFonts w:ascii="Times New Roman" w:hAnsi="Times New Roman"/>
          <w:sz w:val="24"/>
        </w:rPr>
        <w:t xml:space="preserve"> </w:t>
      </w:r>
      <w:r>
        <w:rPr>
          <w:rFonts w:ascii="Times New Roman" w:hAnsi="Times New Roman"/>
          <w:sz w:val="24"/>
        </w:rPr>
        <w:t>(MKR IM)</w:t>
      </w:r>
      <w:bookmarkEnd w:id="724"/>
      <w:bookmarkEnd w:id="725"/>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27" w:name="_Toc262566439"/>
      <w:bookmarkStart w:id="728" w:name="_Toc295830015"/>
      <w:bookmarkStart w:id="729" w:name="_Toc308426692"/>
      <w:bookmarkStart w:id="730" w:name="_Toc310415076"/>
      <w:bookmarkStart w:id="731" w:name="_Toc360188411"/>
      <w:bookmarkStart w:id="732" w:name="_Toc473561051"/>
      <w:bookmarkStart w:id="733" w:name="_Toc58915858"/>
      <w:r>
        <w:rPr>
          <w:rFonts w:ascii="Times New Roman" w:hAnsi="Times New Roman"/>
          <w:sz w:val="24"/>
          <w:u w:val="none"/>
        </w:rPr>
        <w:t>5.7.1.</w:t>
      </w:r>
      <w:r w:rsidRPr="00F2281A">
        <w:rPr>
          <w:u w:val="none"/>
        </w:rPr>
        <w:tab/>
      </w:r>
      <w:r>
        <w:rPr>
          <w:rFonts w:ascii="Times New Roman" w:hAnsi="Times New Roman"/>
          <w:sz w:val="24"/>
        </w:rPr>
        <w:t>Osservazioni di carattere generale</w:t>
      </w:r>
      <w:bookmarkEnd w:id="727"/>
      <w:bookmarkEnd w:id="728"/>
      <w:bookmarkEnd w:id="729"/>
      <w:bookmarkEnd w:id="730"/>
      <w:bookmarkEnd w:id="731"/>
      <w:bookmarkEnd w:id="732"/>
      <w:bookmarkEnd w:id="733"/>
    </w:p>
    <w:p w:rsidR="000B0B09" w:rsidRPr="00661595" w:rsidRDefault="00A971CA" w:rsidP="00F2281A">
      <w:pPr>
        <w:pStyle w:val="InstructionsText2"/>
        <w:numPr>
          <w:ilvl w:val="0"/>
          <w:numId w:val="0"/>
        </w:numPr>
        <w:ind w:left="1680" w:hanging="480"/>
      </w:pPr>
      <w:r>
        <w:fldChar w:fldCharType="begin"/>
      </w:r>
      <w:r>
        <w:instrText xml:space="preserve"> seq paragraphs </w:instrText>
      </w:r>
      <w:r>
        <w:fldChar w:fldCharType="separate"/>
      </w:r>
      <w:r w:rsidR="00D11E4C">
        <w:rPr>
          <w:noProof/>
        </w:rPr>
        <w:t>174</w:t>
      </w:r>
      <w:r>
        <w:rPr>
          <w:noProof/>
        </w:rPr>
        <w:fldChar w:fldCharType="end"/>
      </w:r>
      <w:r w:rsidR="00D11E4C">
        <w:t>.</w:t>
      </w:r>
      <w:r w:rsidR="00D11E4C">
        <w:tab/>
        <w:t xml:space="preserve"> Questo modello contiene una ripartizione dei dati del valore a rischio (VaR) e del valore a rischio in condizioni di stress (SVaR) secondo i diversi rischi di mercato (debito, strumenti di capitale, cambio, merci) e altre informazioni rilevanti per il calcolo dei requisiti di fondi propri.</w:t>
      </w:r>
    </w:p>
    <w:p w:rsidR="000B0B09" w:rsidRPr="00661595" w:rsidRDefault="00A971CA" w:rsidP="00F2281A">
      <w:pPr>
        <w:pStyle w:val="InstructionsText2"/>
        <w:numPr>
          <w:ilvl w:val="0"/>
          <w:numId w:val="0"/>
        </w:numPr>
        <w:ind w:left="1680" w:hanging="480"/>
      </w:pPr>
      <w:r>
        <w:fldChar w:fldCharType="begin"/>
      </w:r>
      <w:r>
        <w:instrText xml:space="preserve"> seq paragraphs </w:instrText>
      </w:r>
      <w:r>
        <w:fldChar w:fldCharType="separate"/>
      </w:r>
      <w:r w:rsidR="00D11E4C">
        <w:rPr>
          <w:noProof/>
        </w:rPr>
        <w:t>175</w:t>
      </w:r>
      <w:r>
        <w:rPr>
          <w:noProof/>
        </w:rPr>
        <w:fldChar w:fldCharType="end"/>
      </w:r>
      <w:r w:rsidR="00D11E4C">
        <w:t>.</w:t>
      </w:r>
      <w:r w:rsidR="00D11E4C">
        <w:tab/>
        <w:t xml:space="preserve"> In linea generale, dipende dalla struttura del modello degli enti il fatto che i dati relativi al rischio generico e al rischio specifico possano essere determinati e segnalati separatamente o solo come totale. Lo stesso vale per la scomposizione del VaR/SVaR tra le categorie di rischio (rischio di tasso d</w:t>
      </w:r>
      <w:r w:rsidR="000878EC">
        <w:t>'</w:t>
      </w:r>
      <w:r w:rsidR="00D11E4C">
        <w:t>interesse, azionario, di posizione in merci e di cambio). L</w:t>
      </w:r>
      <w:r w:rsidR="000878EC">
        <w:t>'</w:t>
      </w:r>
      <w:r w:rsidR="00D11E4C">
        <w:t xml:space="preserve">ente può non segnalare queste scomposizioni se è in grado di dimostrare che la segnalazione di questi dati sarebbe ingiustificatamente onerosa. </w:t>
      </w:r>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34" w:name="_Toc262566440"/>
      <w:bookmarkStart w:id="735" w:name="_Toc295830016"/>
      <w:bookmarkStart w:id="736" w:name="_Toc308426693"/>
      <w:bookmarkStart w:id="737" w:name="_Toc310415077"/>
      <w:bookmarkStart w:id="738" w:name="_Toc360188412"/>
      <w:bookmarkStart w:id="739" w:name="_Toc473561052"/>
      <w:bookmarkStart w:id="740" w:name="_Toc58915859"/>
      <w:r>
        <w:rPr>
          <w:rFonts w:ascii="Times New Roman" w:hAnsi="Times New Roman"/>
          <w:sz w:val="24"/>
          <w:u w:val="none"/>
        </w:rPr>
        <w:t>5.7.2.</w:t>
      </w:r>
      <w:r w:rsidRPr="00F2281A">
        <w:rPr>
          <w:u w:val="none"/>
        </w:rPr>
        <w:tab/>
      </w:r>
      <w:r>
        <w:rPr>
          <w:rFonts w:ascii="Times New Roman" w:hAnsi="Times New Roman"/>
          <w:sz w:val="24"/>
        </w:rPr>
        <w:t>Istruzioni relative a posizioni specifiche</w:t>
      </w:r>
      <w:bookmarkEnd w:id="734"/>
      <w:bookmarkEnd w:id="735"/>
      <w:bookmarkEnd w:id="736"/>
      <w:bookmarkEnd w:id="737"/>
      <w:bookmarkEnd w:id="738"/>
      <w:bookmarkEnd w:id="739"/>
      <w:bookmarkEnd w:id="7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869"/>
      </w:tblGrid>
      <w:tr w:rsidR="000B0B09" w:rsidRPr="00661595" w:rsidTr="00672D2A">
        <w:tc>
          <w:tcPr>
            <w:tcW w:w="8862" w:type="dxa"/>
            <w:gridSpan w:val="2"/>
            <w:shd w:val="clear" w:color="auto" w:fill="BFBFBF"/>
          </w:tcPr>
          <w:p w:rsidR="000B0B09" w:rsidRPr="00661595" w:rsidRDefault="0034786E"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Colonne</w:t>
            </w:r>
          </w:p>
        </w:tc>
      </w:tr>
      <w:tr w:rsidR="000B0B09" w:rsidRPr="00661595" w:rsidTr="00672D2A">
        <w:tc>
          <w:tcPr>
            <w:tcW w:w="993" w:type="dxa"/>
          </w:tcPr>
          <w:p w:rsidR="000B0B09"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0030-0040</w:t>
            </w:r>
          </w:p>
        </w:tc>
        <w:tc>
          <w:tcPr>
            <w:tcW w:w="7869" w:type="dxa"/>
          </w:tcPr>
          <w:p w:rsidR="000B0B09" w:rsidRPr="00661595" w:rsidRDefault="0016282F"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Valore a rischio (VaR)</w:t>
            </w:r>
          </w:p>
          <w:p w:rsidR="000B0B09" w:rsidRPr="00661595" w:rsidRDefault="0016282F" w:rsidP="00F2281A">
            <w:pPr>
              <w:suppressAutoHyphens/>
              <w:autoSpaceDE w:val="0"/>
              <w:autoSpaceDN w:val="0"/>
              <w:adjustRightInd w:val="0"/>
              <w:rPr>
                <w:rFonts w:ascii="Times New Roman" w:hAnsi="Times New Roman"/>
                <w:b/>
                <w:bCs/>
                <w:sz w:val="24"/>
                <w:u w:val="single"/>
              </w:rPr>
            </w:pPr>
            <w:r>
              <w:rPr>
                <w:rFonts w:ascii="Times New Roman" w:hAnsi="Times New Roman"/>
                <w:sz w:val="24"/>
              </w:rPr>
              <w:t>Perdita potenziale massima che risulterebbe con una data probabilità da una variazione di prezzo a un orizzonte temporale specificato.</w:t>
            </w:r>
          </w:p>
        </w:tc>
      </w:tr>
      <w:tr w:rsidR="000B0B09" w:rsidRPr="00661595" w:rsidTr="00672D2A">
        <w:tc>
          <w:tcPr>
            <w:tcW w:w="993" w:type="dxa"/>
          </w:tcPr>
          <w:p w:rsidR="000B0B09" w:rsidRPr="00661595" w:rsidRDefault="002F79EA" w:rsidP="00F2281A">
            <w:pPr>
              <w:keepNext/>
              <w:keepLines/>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7869" w:type="dxa"/>
          </w:tcPr>
          <w:p w:rsidR="000B0B09" w:rsidRPr="00661595" w:rsidRDefault="000B0B09" w:rsidP="00F2281A">
            <w:pPr>
              <w:keepNext/>
              <w:keepLines/>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Fattore moltiplicativo (mc) x media dei 60 giorni lavorativi precedenti (VaRavg)</w:t>
            </w:r>
          </w:p>
          <w:p w:rsidR="000B0B09" w:rsidRPr="00661595" w:rsidRDefault="000B0B09" w:rsidP="00F2281A">
            <w:pPr>
              <w:keepNext/>
              <w:keepLines/>
              <w:suppressAutoHyphens/>
              <w:autoSpaceDE w:val="0"/>
              <w:autoSpaceDN w:val="0"/>
              <w:adjustRightInd w:val="0"/>
              <w:spacing w:before="0" w:after="0"/>
              <w:rPr>
                <w:rFonts w:ascii="Times New Roman" w:hAnsi="Times New Roman"/>
                <w:b/>
                <w:bCs/>
                <w:sz w:val="24"/>
                <w:u w:val="single"/>
                <w:lang w:eastAsia="fr-FR"/>
              </w:rPr>
            </w:pPr>
          </w:p>
          <w:p w:rsidR="000B0B09" w:rsidRPr="00661595" w:rsidRDefault="00705025" w:rsidP="00F2281A">
            <w:pPr>
              <w:keepNext/>
              <w:keepLines/>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Articolo 364, paragrafo 1, lettera a), punto ii), e articolo 365, paragrafo 1, del CRR. </w:t>
            </w:r>
          </w:p>
          <w:p w:rsidR="000B0B09" w:rsidRPr="00661595" w:rsidRDefault="000B0B09" w:rsidP="00F2281A">
            <w:pPr>
              <w:keepNext/>
              <w:keepLines/>
              <w:suppressAutoHyphens/>
              <w:autoSpaceDE w:val="0"/>
              <w:autoSpaceDN w:val="0"/>
              <w:adjustRightInd w:val="0"/>
              <w:spacing w:before="0" w:after="0"/>
              <w:rPr>
                <w:rFonts w:ascii="Times New Roman" w:hAnsi="Times New Roman"/>
                <w:sz w:val="24"/>
                <w:lang w:eastAsia="nl-BE"/>
              </w:rPr>
            </w:pPr>
          </w:p>
        </w:tc>
      </w:tr>
      <w:tr w:rsidR="000B0B09" w:rsidRPr="00661595" w:rsidTr="00672D2A">
        <w:tc>
          <w:tcPr>
            <w:tcW w:w="993" w:type="dxa"/>
          </w:tcPr>
          <w:p w:rsidR="000B0B09"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7869" w:type="dxa"/>
          </w:tcPr>
          <w:p w:rsidR="000B0B09" w:rsidRPr="00661595" w:rsidRDefault="000B0B09"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Giorno precedente (VaRt-1)</w:t>
            </w:r>
          </w:p>
          <w:p w:rsidR="000B0B09" w:rsidRPr="00661595" w:rsidRDefault="000B0B09" w:rsidP="00F2281A">
            <w:pPr>
              <w:suppressAutoHyphens/>
              <w:autoSpaceDE w:val="0"/>
              <w:autoSpaceDN w:val="0"/>
              <w:adjustRightInd w:val="0"/>
              <w:spacing w:before="0" w:after="0"/>
              <w:rPr>
                <w:rFonts w:ascii="Times New Roman" w:hAnsi="Times New Roman"/>
                <w:b/>
                <w:bCs/>
                <w:sz w:val="24"/>
                <w:u w:val="single"/>
                <w:lang w:eastAsia="fr-FR"/>
              </w:rPr>
            </w:pPr>
          </w:p>
          <w:p w:rsidR="000B0B09" w:rsidRPr="00661595" w:rsidRDefault="00705025"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Articolo 364, paragrafo 1, lettera a), punto i), e articolo 365, paragrafo 1, del CRR. </w:t>
            </w:r>
          </w:p>
          <w:p w:rsidR="000B0B09" w:rsidRPr="00661595" w:rsidRDefault="000B0B09" w:rsidP="00F2281A">
            <w:pPr>
              <w:suppressAutoHyphens/>
              <w:autoSpaceDE w:val="0"/>
              <w:autoSpaceDN w:val="0"/>
              <w:adjustRightInd w:val="0"/>
              <w:spacing w:before="0" w:after="0"/>
              <w:rPr>
                <w:rFonts w:ascii="Times New Roman" w:hAnsi="Times New Roman"/>
                <w:sz w:val="24"/>
                <w:lang w:eastAsia="nl-BE"/>
              </w:rPr>
            </w:pPr>
          </w:p>
        </w:tc>
      </w:tr>
      <w:tr w:rsidR="000B0B09" w:rsidRPr="00661595" w:rsidTr="00672D2A">
        <w:tc>
          <w:tcPr>
            <w:tcW w:w="993" w:type="dxa"/>
          </w:tcPr>
          <w:p w:rsidR="000B0B09"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0050-0060</w:t>
            </w:r>
          </w:p>
        </w:tc>
        <w:tc>
          <w:tcPr>
            <w:tcW w:w="7869" w:type="dxa"/>
          </w:tcPr>
          <w:p w:rsidR="000B0B09" w:rsidRPr="00661595" w:rsidRDefault="000B0B09"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Valore a rischio in condizioni di stress</w:t>
            </w:r>
          </w:p>
          <w:p w:rsidR="000B0B09" w:rsidRPr="00661595" w:rsidRDefault="000B0B09" w:rsidP="00F2281A">
            <w:pPr>
              <w:suppressAutoHyphens/>
              <w:autoSpaceDE w:val="0"/>
              <w:autoSpaceDN w:val="0"/>
              <w:adjustRightInd w:val="0"/>
              <w:spacing w:before="0" w:after="0"/>
              <w:rPr>
                <w:rFonts w:ascii="Times New Roman" w:hAnsi="Times New Roman"/>
                <w:b/>
                <w:bCs/>
                <w:sz w:val="24"/>
                <w:u w:val="single"/>
                <w:lang w:eastAsia="nl-BE"/>
              </w:rPr>
            </w:pPr>
          </w:p>
          <w:p w:rsidR="000B0B09" w:rsidRPr="00661595" w:rsidRDefault="0016282F" w:rsidP="00F2281A">
            <w:pPr>
              <w:suppressAutoHyphens/>
              <w:autoSpaceDE w:val="0"/>
              <w:autoSpaceDN w:val="0"/>
              <w:adjustRightInd w:val="0"/>
              <w:spacing w:before="0"/>
              <w:rPr>
                <w:rFonts w:ascii="Times New Roman" w:hAnsi="Times New Roman"/>
                <w:sz w:val="24"/>
              </w:rPr>
            </w:pPr>
            <w:r>
              <w:rPr>
                <w:rFonts w:ascii="Times New Roman" w:hAnsi="Times New Roman"/>
                <w:sz w:val="24"/>
              </w:rPr>
              <w:t>Perdita potenziale massima che risulterebbe con una data probabilità da una variazione di prezzo a un orizzonte temporale specificato, ottenuta tramite l</w:t>
            </w:r>
            <w:r w:rsidR="000878EC">
              <w:rPr>
                <w:rFonts w:ascii="Times New Roman" w:hAnsi="Times New Roman"/>
                <w:sz w:val="24"/>
              </w:rPr>
              <w:t>'</w:t>
            </w:r>
            <w:r>
              <w:rPr>
                <w:rFonts w:ascii="Times New Roman" w:hAnsi="Times New Roman"/>
                <w:sz w:val="24"/>
              </w:rPr>
              <w:t>immissione di parametri calibrati su dati storici per un periodo continuato di dodici mesi di stress finanziario pertinente per il portafoglio dell</w:t>
            </w:r>
            <w:r w:rsidR="000878EC">
              <w:rPr>
                <w:rFonts w:ascii="Times New Roman" w:hAnsi="Times New Roman"/>
                <w:sz w:val="24"/>
              </w:rPr>
              <w:t>'</w:t>
            </w:r>
            <w:r>
              <w:rPr>
                <w:rFonts w:ascii="Times New Roman" w:hAnsi="Times New Roman"/>
                <w:sz w:val="24"/>
              </w:rPr>
              <w:t>ente.</w:t>
            </w:r>
          </w:p>
        </w:tc>
      </w:tr>
      <w:tr w:rsidR="000B0B09" w:rsidRPr="00661595" w:rsidTr="00672D2A">
        <w:tc>
          <w:tcPr>
            <w:tcW w:w="993" w:type="dxa"/>
          </w:tcPr>
          <w:p w:rsidR="000B0B09"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869" w:type="dxa"/>
          </w:tcPr>
          <w:p w:rsidR="000B0B09" w:rsidRPr="00661595" w:rsidRDefault="000B0B09"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Fattore moltiplicativo (ms) x media dei 60 giorni lavorativi precedenti (SVaRavg)</w:t>
            </w:r>
          </w:p>
          <w:p w:rsidR="000B0B09" w:rsidRPr="00661595" w:rsidRDefault="000B0B09" w:rsidP="00F2281A">
            <w:pPr>
              <w:suppressAutoHyphens/>
              <w:autoSpaceDE w:val="0"/>
              <w:autoSpaceDN w:val="0"/>
              <w:adjustRightInd w:val="0"/>
              <w:spacing w:before="0" w:after="0"/>
              <w:rPr>
                <w:rStyle w:val="InstructionsTabelleberschrift"/>
                <w:rFonts w:ascii="Times New Roman" w:hAnsi="Times New Roman"/>
                <w:sz w:val="24"/>
              </w:rPr>
            </w:pPr>
          </w:p>
          <w:p w:rsidR="000B0B09" w:rsidRPr="00661595" w:rsidRDefault="00705025" w:rsidP="00F2281A">
            <w:pPr>
              <w:suppressAutoHyphens/>
              <w:autoSpaceDE w:val="0"/>
              <w:autoSpaceDN w:val="0"/>
              <w:adjustRightInd w:val="0"/>
              <w:spacing w:before="0" w:after="0"/>
              <w:rPr>
                <w:rStyle w:val="InstructionsTabelleberschrift"/>
                <w:rFonts w:ascii="Times New Roman" w:hAnsi="Times New Roman"/>
                <w:b w:val="0"/>
                <w:bCs w:val="0"/>
                <w:sz w:val="24"/>
              </w:rPr>
            </w:pPr>
            <w:r>
              <w:rPr>
                <w:rFonts w:ascii="Times New Roman" w:hAnsi="Times New Roman"/>
                <w:sz w:val="24"/>
              </w:rPr>
              <w:t>Articolo 364, paragrafo 1, lettera b), punto ii), e articolo 365, paragrafo 1, del CRR.</w:t>
            </w:r>
            <w:r>
              <w:rPr>
                <w:rStyle w:val="InstructionsTabelleberschrift"/>
                <w:rFonts w:ascii="Times New Roman" w:hAnsi="Times New Roman"/>
                <w:bCs w:val="0"/>
                <w:sz w:val="24"/>
              </w:rPr>
              <w:t xml:space="preserve"> </w:t>
            </w:r>
          </w:p>
          <w:p w:rsidR="000B0B09" w:rsidRPr="00661595" w:rsidRDefault="000B0B09" w:rsidP="00F2281A">
            <w:pPr>
              <w:suppressAutoHyphens/>
              <w:autoSpaceDE w:val="0"/>
              <w:autoSpaceDN w:val="0"/>
              <w:adjustRightInd w:val="0"/>
              <w:spacing w:before="0" w:after="0"/>
              <w:rPr>
                <w:rStyle w:val="InstructionsTabelleberschrift"/>
                <w:rFonts w:ascii="Times New Roman" w:hAnsi="Times New Roman"/>
                <w:sz w:val="24"/>
              </w:rPr>
            </w:pPr>
          </w:p>
        </w:tc>
      </w:tr>
      <w:tr w:rsidR="000B0B09" w:rsidRPr="00661595" w:rsidTr="00672D2A">
        <w:tc>
          <w:tcPr>
            <w:tcW w:w="993" w:type="dxa"/>
          </w:tcPr>
          <w:p w:rsidR="000B0B09"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869" w:type="dxa"/>
          </w:tcPr>
          <w:p w:rsidR="000B0B09" w:rsidRPr="00661595" w:rsidRDefault="000B0B09"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Ultimo disponibile (SVaRt-1)</w:t>
            </w:r>
          </w:p>
          <w:p w:rsidR="000B0B09" w:rsidRPr="00661595" w:rsidRDefault="000B0B09" w:rsidP="00F2281A">
            <w:pPr>
              <w:suppressAutoHyphens/>
              <w:autoSpaceDE w:val="0"/>
              <w:autoSpaceDN w:val="0"/>
              <w:adjustRightInd w:val="0"/>
              <w:spacing w:before="0" w:after="0"/>
              <w:rPr>
                <w:rFonts w:ascii="Times New Roman" w:hAnsi="Times New Roman"/>
                <w:sz w:val="24"/>
              </w:rPr>
            </w:pPr>
          </w:p>
          <w:p w:rsidR="000B0B09" w:rsidRPr="00661595" w:rsidRDefault="00705025"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Articolo 364, paragrafo 1, lettera b), punto i), e articolo 365, paragrafo 1, del CRR. </w:t>
            </w:r>
          </w:p>
          <w:p w:rsidR="000B0B09" w:rsidRPr="00661595" w:rsidRDefault="000B0B09" w:rsidP="00F2281A">
            <w:pPr>
              <w:suppressAutoHyphens/>
              <w:autoSpaceDE w:val="0"/>
              <w:autoSpaceDN w:val="0"/>
              <w:adjustRightInd w:val="0"/>
              <w:spacing w:before="0" w:after="0"/>
              <w:rPr>
                <w:rFonts w:ascii="Times New Roman" w:hAnsi="Times New Roman"/>
                <w:b/>
                <w:bCs/>
                <w:sz w:val="24"/>
                <w:u w:val="single"/>
                <w:lang w:eastAsia="de-DE"/>
              </w:rPr>
            </w:pPr>
          </w:p>
        </w:tc>
      </w:tr>
      <w:tr w:rsidR="000B0B09" w:rsidRPr="00661595" w:rsidTr="00672D2A">
        <w:tc>
          <w:tcPr>
            <w:tcW w:w="993" w:type="dxa"/>
          </w:tcPr>
          <w:p w:rsidR="000B0B09"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0070-0080</w:t>
            </w:r>
          </w:p>
        </w:tc>
        <w:tc>
          <w:tcPr>
            <w:tcW w:w="7869" w:type="dxa"/>
          </w:tcPr>
          <w:p w:rsidR="000B0B09" w:rsidRPr="00661595" w:rsidRDefault="000B0B09"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COPERTURA PATRIMONIALE PER IL RISCHIO INCREMENTALE DI DEFAULT E DI MIGRAZIONE</w:t>
            </w:r>
          </w:p>
          <w:p w:rsidR="000B0B09" w:rsidRPr="00661595" w:rsidRDefault="0016282F" w:rsidP="00F2281A">
            <w:pPr>
              <w:suppressAutoHyphens/>
              <w:rPr>
                <w:rFonts w:ascii="Times New Roman" w:hAnsi="Times New Roman"/>
                <w:b/>
                <w:bCs/>
                <w:sz w:val="24"/>
                <w:u w:val="single"/>
              </w:rPr>
            </w:pPr>
            <w:r>
              <w:rPr>
                <w:rFonts w:ascii="Times New Roman" w:hAnsi="Times New Roman"/>
                <w:sz w:val="24"/>
              </w:rPr>
              <w:t>Perdita potenziale massima che risulterebbe da una variazione di prezzo correlata a rischi di default e di migrazione calco</w:t>
            </w:r>
            <w:r w:rsidR="00F2281A">
              <w:rPr>
                <w:rFonts w:ascii="Times New Roman" w:hAnsi="Times New Roman"/>
                <w:sz w:val="24"/>
              </w:rPr>
              <w:t>lati conformemente all</w:t>
            </w:r>
            <w:r w:rsidR="000878EC">
              <w:rPr>
                <w:rFonts w:ascii="Times New Roman" w:hAnsi="Times New Roman"/>
                <w:sz w:val="24"/>
              </w:rPr>
              <w:t>'</w:t>
            </w:r>
            <w:r w:rsidR="00F2281A">
              <w:rPr>
                <w:rFonts w:ascii="Times New Roman" w:hAnsi="Times New Roman"/>
                <w:sz w:val="24"/>
              </w:rPr>
              <w:t>articolo </w:t>
            </w:r>
            <w:r>
              <w:rPr>
                <w:rFonts w:ascii="Times New Roman" w:hAnsi="Times New Roman"/>
                <w:sz w:val="24"/>
              </w:rPr>
              <w:t xml:space="preserve">364, paragrafo 2, lettera b), in combinato disposto con la parte tre, titolo IV, capo 5, sezione 4, del CRR. </w:t>
            </w:r>
          </w:p>
        </w:tc>
      </w:tr>
      <w:tr w:rsidR="000B0B09" w:rsidRPr="00661595" w:rsidTr="00672D2A">
        <w:tc>
          <w:tcPr>
            <w:tcW w:w="993" w:type="dxa"/>
          </w:tcPr>
          <w:p w:rsidR="000B0B09"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869" w:type="dxa"/>
          </w:tcPr>
          <w:p w:rsidR="000B0B09" w:rsidRPr="00661595" w:rsidRDefault="000B0B09"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Misura media su 12 settimane</w:t>
            </w:r>
          </w:p>
          <w:p w:rsidR="005C14B0" w:rsidRPr="00661595" w:rsidRDefault="005C14B0" w:rsidP="00F2281A">
            <w:pPr>
              <w:suppressAutoHyphens/>
              <w:autoSpaceDE w:val="0"/>
              <w:autoSpaceDN w:val="0"/>
              <w:adjustRightInd w:val="0"/>
              <w:spacing w:before="0" w:after="0"/>
              <w:rPr>
                <w:rFonts w:ascii="Times New Roman" w:hAnsi="Times New Roman"/>
                <w:sz w:val="24"/>
              </w:rPr>
            </w:pPr>
          </w:p>
          <w:p w:rsidR="005C14B0" w:rsidRPr="00661595" w:rsidRDefault="00705025"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Articolo 364, paragrafo 2, lettera b), punto ii), in combinato disposto con la parte tre, titolo IV, capo 5, sezione 4, del CRR.</w:t>
            </w:r>
          </w:p>
          <w:p w:rsidR="000B0B09" w:rsidRPr="00661595" w:rsidRDefault="000B0B09" w:rsidP="00F2281A">
            <w:pPr>
              <w:suppressAutoHyphens/>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869" w:type="dxa"/>
          </w:tcPr>
          <w:p w:rsidR="000B0B09" w:rsidRPr="00661595" w:rsidRDefault="000B0B09"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Ultima misura</w:t>
            </w:r>
          </w:p>
          <w:p w:rsidR="000B0B09" w:rsidRPr="00661595" w:rsidRDefault="000B0B09" w:rsidP="00F2281A">
            <w:pPr>
              <w:suppressAutoHyphens/>
              <w:autoSpaceDE w:val="0"/>
              <w:autoSpaceDN w:val="0"/>
              <w:adjustRightInd w:val="0"/>
              <w:spacing w:before="0" w:after="0"/>
              <w:rPr>
                <w:rFonts w:ascii="Times New Roman" w:hAnsi="Times New Roman"/>
                <w:b/>
                <w:bCs/>
                <w:sz w:val="24"/>
                <w:u w:val="single"/>
                <w:lang w:eastAsia="nl-BE"/>
              </w:rPr>
            </w:pPr>
          </w:p>
          <w:p w:rsidR="000B0B09" w:rsidRPr="00661595" w:rsidRDefault="00705025"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Articolo 364, paragrafo 2, lettera b), punto i), in combinato disposto con la parte tre, titolo IV, capo 5, sezione 4, del CRR.</w:t>
            </w:r>
          </w:p>
          <w:p w:rsidR="000B0B09" w:rsidRPr="00661595" w:rsidRDefault="000B0B09" w:rsidP="00F2281A">
            <w:pPr>
              <w:suppressAutoHyphens/>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0090-0110</w:t>
            </w:r>
          </w:p>
        </w:tc>
        <w:tc>
          <w:tcPr>
            <w:tcW w:w="7869" w:type="dxa"/>
          </w:tcPr>
          <w:p w:rsidR="000B0B09" w:rsidRPr="00661595" w:rsidRDefault="000B0B09"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COPERTURA PATRIMONIALE PER TUTTI I RISCHI DI PREZZO PER IL CTP</w:t>
            </w:r>
          </w:p>
          <w:p w:rsidR="000B0B09" w:rsidRPr="00661595" w:rsidRDefault="000B0B09" w:rsidP="00F2281A">
            <w:pPr>
              <w:suppressAutoHyphens/>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F2281A">
            <w:pPr>
              <w:keepNext/>
              <w:keepLines/>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869" w:type="dxa"/>
          </w:tcPr>
          <w:p w:rsidR="000B0B09" w:rsidRPr="00661595" w:rsidRDefault="000B0B09" w:rsidP="00F2281A">
            <w:pPr>
              <w:keepNext/>
              <w:keepLines/>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REQUISITO MINIMO</w:t>
            </w:r>
          </w:p>
          <w:p w:rsidR="000B0B09" w:rsidRPr="00661595" w:rsidRDefault="00705025" w:rsidP="00F2281A">
            <w:pPr>
              <w:keepNext/>
              <w:keepLines/>
              <w:suppressAutoHyphens/>
              <w:rPr>
                <w:rFonts w:ascii="Times New Roman" w:hAnsi="Times New Roman"/>
                <w:sz w:val="24"/>
              </w:rPr>
            </w:pPr>
            <w:r>
              <w:rPr>
                <w:rFonts w:ascii="Times New Roman" w:hAnsi="Times New Roman"/>
                <w:sz w:val="24"/>
              </w:rPr>
              <w:t>Articolo 364, paragrafo 3, lettera c), del CRR</w:t>
            </w:r>
          </w:p>
          <w:p w:rsidR="000B0B09" w:rsidRPr="00661595" w:rsidRDefault="000B0B09" w:rsidP="00F2281A">
            <w:pPr>
              <w:keepNext/>
              <w:keepLines/>
              <w:suppressAutoHyphens/>
              <w:autoSpaceDE w:val="0"/>
              <w:autoSpaceDN w:val="0"/>
              <w:adjustRightInd w:val="0"/>
              <w:spacing w:before="0" w:after="0"/>
              <w:rPr>
                <w:rFonts w:ascii="Times New Roman" w:hAnsi="Times New Roman"/>
                <w:b/>
                <w:bCs/>
                <w:sz w:val="24"/>
                <w:u w:val="single"/>
              </w:rPr>
            </w:pPr>
            <w:r>
              <w:rPr>
                <w:rFonts w:ascii="Times New Roman" w:hAnsi="Times New Roman"/>
                <w:sz w:val="24"/>
              </w:rPr>
              <w:t>Corrisponde all</w:t>
            </w:r>
            <w:r w:rsidR="000878EC">
              <w:rPr>
                <w:rFonts w:ascii="Times New Roman" w:hAnsi="Times New Roman"/>
                <w:sz w:val="24"/>
              </w:rPr>
              <w:t>'</w:t>
            </w:r>
            <w:r>
              <w:rPr>
                <w:rFonts w:ascii="Times New Roman" w:hAnsi="Times New Roman"/>
                <w:sz w:val="24"/>
              </w:rPr>
              <w:t>8 % della copertura patrimoniale calcolata conformemente all</w:t>
            </w:r>
            <w:r w:rsidR="000878EC">
              <w:rPr>
                <w:rFonts w:ascii="Times New Roman" w:hAnsi="Times New Roman"/>
                <w:sz w:val="24"/>
              </w:rPr>
              <w:t>'</w:t>
            </w:r>
            <w:r>
              <w:rPr>
                <w:rFonts w:ascii="Times New Roman" w:hAnsi="Times New Roman"/>
                <w:sz w:val="24"/>
              </w:rPr>
              <w:t xml:space="preserve">articolo 338, paragrafo 1, del CRR per tutte le posizioni della copertura patrimoniale per </w:t>
            </w:r>
            <w:r w:rsidR="000878EC">
              <w:rPr>
                <w:rFonts w:ascii="Times New Roman" w:hAnsi="Times New Roman"/>
                <w:sz w:val="24"/>
              </w:rPr>
              <w:t>"</w:t>
            </w:r>
            <w:r>
              <w:rPr>
                <w:rFonts w:ascii="Times New Roman" w:hAnsi="Times New Roman"/>
                <w:sz w:val="24"/>
              </w:rPr>
              <w:t>tutti i rischi di prezzo</w:t>
            </w:r>
            <w:r w:rsidR="000878EC">
              <w:rPr>
                <w:rFonts w:ascii="Times New Roman" w:hAnsi="Times New Roman"/>
                <w:sz w:val="24"/>
              </w:rPr>
              <w:t>"</w:t>
            </w:r>
            <w:r>
              <w:rPr>
                <w:rFonts w:ascii="Times New Roman" w:hAnsi="Times New Roman"/>
                <w:sz w:val="24"/>
              </w:rPr>
              <w:t>.</w:t>
            </w:r>
            <w:r>
              <w:rPr>
                <w:rFonts w:ascii="Times New Roman" w:hAnsi="Times New Roman"/>
                <w:b/>
                <w:bCs/>
                <w:sz w:val="24"/>
                <w:u w:val="single"/>
              </w:rPr>
              <w:t xml:space="preserve"> </w:t>
            </w:r>
          </w:p>
          <w:p w:rsidR="000B0B09" w:rsidRPr="00661595" w:rsidRDefault="000B0B09" w:rsidP="00F2281A">
            <w:pPr>
              <w:keepNext/>
              <w:keepLines/>
              <w:suppressAutoHyphens/>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0100-0110</w:t>
            </w:r>
          </w:p>
        </w:tc>
        <w:tc>
          <w:tcPr>
            <w:tcW w:w="7869" w:type="dxa"/>
          </w:tcPr>
          <w:p w:rsidR="000B0B09" w:rsidRPr="00661595" w:rsidRDefault="000B0B09"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MISURA MEDIA SU 12 SETTIMANE E ULTIMA MISURA</w:t>
            </w:r>
          </w:p>
          <w:p w:rsidR="000B0B09" w:rsidRPr="00661595" w:rsidRDefault="00705025" w:rsidP="00F2281A">
            <w:pPr>
              <w:suppressAutoHyphens/>
              <w:autoSpaceDE w:val="0"/>
              <w:autoSpaceDN w:val="0"/>
              <w:adjustRightInd w:val="0"/>
              <w:spacing w:after="0"/>
              <w:rPr>
                <w:rFonts w:ascii="Times New Roman" w:hAnsi="Times New Roman"/>
                <w:bCs/>
                <w:sz w:val="24"/>
              </w:rPr>
            </w:pPr>
            <w:r>
              <w:rPr>
                <w:rFonts w:ascii="Times New Roman" w:hAnsi="Times New Roman"/>
                <w:bCs/>
                <w:sz w:val="24"/>
              </w:rPr>
              <w:t>Articolo 364, paragrafo 3, lettera b), del CRR</w:t>
            </w:r>
          </w:p>
          <w:p w:rsidR="000B0B09" w:rsidRPr="00661595" w:rsidRDefault="000B0B09" w:rsidP="00F2281A">
            <w:pPr>
              <w:suppressAutoHyphens/>
              <w:autoSpaceDE w:val="0"/>
              <w:autoSpaceDN w:val="0"/>
              <w:adjustRightInd w:val="0"/>
              <w:spacing w:before="0" w:after="0"/>
              <w:rPr>
                <w:rFonts w:ascii="Times New Roman" w:hAnsi="Times New Roman"/>
                <w:bCs/>
                <w:sz w:val="24"/>
                <w:u w:val="single"/>
                <w:lang w:eastAsia="nl-BE"/>
              </w:rPr>
            </w:pPr>
          </w:p>
        </w:tc>
      </w:tr>
      <w:tr w:rsidR="000B0B09" w:rsidRPr="00661595" w:rsidTr="00672D2A">
        <w:tc>
          <w:tcPr>
            <w:tcW w:w="993" w:type="dxa"/>
          </w:tcPr>
          <w:p w:rsidR="000B0B09"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7869" w:type="dxa"/>
          </w:tcPr>
          <w:p w:rsidR="000B0B09" w:rsidRPr="00661595" w:rsidRDefault="000B0B09" w:rsidP="00F2281A">
            <w:pPr>
              <w:suppressAutoHyphens/>
              <w:autoSpaceDE w:val="0"/>
              <w:autoSpaceDN w:val="0"/>
              <w:adjustRightInd w:val="0"/>
              <w:spacing w:before="0"/>
              <w:rPr>
                <w:rFonts w:ascii="Times New Roman" w:hAnsi="Times New Roman"/>
                <w:b/>
                <w:bCs/>
                <w:sz w:val="24"/>
                <w:u w:val="single"/>
              </w:rPr>
            </w:pPr>
            <w:r>
              <w:rPr>
                <w:rFonts w:ascii="Times New Roman" w:hAnsi="Times New Roman"/>
                <w:b/>
                <w:bCs/>
                <w:sz w:val="24"/>
                <w:u w:val="single"/>
              </w:rPr>
              <w:t>ULTIMA MISURA</w:t>
            </w:r>
          </w:p>
          <w:p w:rsidR="005C14B0" w:rsidRPr="00661595" w:rsidRDefault="00705025" w:rsidP="00F2281A">
            <w:pPr>
              <w:suppressAutoHyphens/>
              <w:autoSpaceDE w:val="0"/>
              <w:autoSpaceDN w:val="0"/>
              <w:adjustRightInd w:val="0"/>
              <w:spacing w:before="0" w:after="0"/>
              <w:rPr>
                <w:rFonts w:ascii="Times New Roman" w:hAnsi="Times New Roman"/>
                <w:bCs/>
                <w:sz w:val="24"/>
              </w:rPr>
            </w:pPr>
            <w:r>
              <w:rPr>
                <w:rFonts w:ascii="Times New Roman" w:hAnsi="Times New Roman"/>
                <w:bCs/>
                <w:sz w:val="24"/>
              </w:rPr>
              <w:t>Articolo 364, paragrafo 3, lettera a), del CRR</w:t>
            </w:r>
          </w:p>
          <w:p w:rsidR="000B0B09" w:rsidRPr="00661595" w:rsidRDefault="000B0B09" w:rsidP="00F2281A">
            <w:pPr>
              <w:suppressAutoHyphens/>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0120</w:t>
            </w:r>
          </w:p>
        </w:tc>
        <w:tc>
          <w:tcPr>
            <w:tcW w:w="7869" w:type="dxa"/>
          </w:tcPr>
          <w:p w:rsidR="000B0B09" w:rsidRPr="00661595" w:rsidRDefault="000B0B09"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REQUISITI DI FONDI PROPRI</w:t>
            </w:r>
          </w:p>
          <w:p w:rsidR="000B0B09" w:rsidRPr="00661595" w:rsidRDefault="00BE0363" w:rsidP="00F2281A">
            <w:pPr>
              <w:suppressAutoHyphens/>
              <w:autoSpaceDE w:val="0"/>
              <w:autoSpaceDN w:val="0"/>
              <w:adjustRightInd w:val="0"/>
              <w:rPr>
                <w:rFonts w:ascii="Times New Roman" w:hAnsi="Times New Roman"/>
                <w:b/>
                <w:bCs/>
                <w:sz w:val="24"/>
                <w:u w:val="single"/>
              </w:rPr>
            </w:pPr>
            <w:r>
              <w:rPr>
                <w:rFonts w:ascii="Times New Roman" w:hAnsi="Times New Roman"/>
                <w:bCs/>
                <w:sz w:val="24"/>
              </w:rPr>
              <w:t>Requisiti di fondi propri</w:t>
            </w:r>
            <w:r>
              <w:rPr>
                <w:rFonts w:ascii="Times New Roman" w:hAnsi="Times New Roman"/>
                <w:sz w:val="24"/>
              </w:rPr>
              <w:t xml:space="preserve"> citati nell</w:t>
            </w:r>
            <w:r w:rsidR="000878EC">
              <w:rPr>
                <w:rFonts w:ascii="Times New Roman" w:hAnsi="Times New Roman"/>
                <w:sz w:val="24"/>
              </w:rPr>
              <w:t>'</w:t>
            </w:r>
            <w:r>
              <w:rPr>
                <w:rFonts w:ascii="Times New Roman" w:hAnsi="Times New Roman"/>
                <w:sz w:val="24"/>
              </w:rPr>
              <w:t>articolo 364 del CRR per tutti i fattori di rischio, tenuto conto degli effetti di correlazione, ove applicabili, più il rischio incrementale di default e di migrazione e tutti i rischi di prezzo per il CTP, esclusi però le coperture patrimoniali delle posizioni verso la cartolarizzazione e i derivati su crediti di tipo nth-to-default conformemente all</w:t>
            </w:r>
            <w:r w:rsidR="000878EC">
              <w:rPr>
                <w:rFonts w:ascii="Times New Roman" w:hAnsi="Times New Roman"/>
                <w:sz w:val="24"/>
              </w:rPr>
              <w:t>'</w:t>
            </w:r>
            <w:r>
              <w:rPr>
                <w:rFonts w:ascii="Times New Roman" w:hAnsi="Times New Roman"/>
                <w:sz w:val="24"/>
              </w:rPr>
              <w:t xml:space="preserve">articolo 364, paragrafo 2, del CRR. </w:t>
            </w:r>
          </w:p>
        </w:tc>
      </w:tr>
      <w:tr w:rsidR="000B0B09" w:rsidRPr="00661595" w:rsidTr="00672D2A">
        <w:tc>
          <w:tcPr>
            <w:tcW w:w="993" w:type="dxa"/>
          </w:tcPr>
          <w:p w:rsidR="000B0B09"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0130</w:t>
            </w:r>
          </w:p>
        </w:tc>
        <w:tc>
          <w:tcPr>
            <w:tcW w:w="7869" w:type="dxa"/>
          </w:tcPr>
          <w:p w:rsidR="000B0B09" w:rsidRPr="00661595" w:rsidRDefault="000B0B09"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IMPORTO COMPLESSIVO DELL</w:t>
            </w:r>
            <w:r w:rsidR="000878EC">
              <w:rPr>
                <w:rFonts w:ascii="Times New Roman" w:hAnsi="Times New Roman"/>
                <w:b/>
                <w:bCs/>
                <w:sz w:val="24"/>
                <w:u w:val="single"/>
              </w:rPr>
              <w:t>'</w:t>
            </w:r>
            <w:r>
              <w:rPr>
                <w:rFonts w:ascii="Times New Roman" w:hAnsi="Times New Roman"/>
                <w:b/>
                <w:bCs/>
                <w:sz w:val="24"/>
                <w:u w:val="single"/>
              </w:rPr>
              <w:t>ESPOSIZIONE AL RISCHIO</w:t>
            </w:r>
          </w:p>
          <w:p w:rsidR="000B0B09" w:rsidRPr="00661595" w:rsidRDefault="000B0B09" w:rsidP="00F2281A">
            <w:pPr>
              <w:suppressAutoHyphens/>
              <w:autoSpaceDE w:val="0"/>
              <w:autoSpaceDN w:val="0"/>
              <w:adjustRightInd w:val="0"/>
              <w:spacing w:before="0" w:after="0"/>
              <w:rPr>
                <w:rFonts w:ascii="Times New Roman" w:hAnsi="Times New Roman"/>
                <w:b/>
                <w:bCs/>
                <w:sz w:val="24"/>
                <w:u w:val="single"/>
                <w:lang w:eastAsia="nl-BE"/>
              </w:rPr>
            </w:pPr>
          </w:p>
          <w:p w:rsidR="00BE0363" w:rsidRPr="00661595" w:rsidRDefault="00D21B29"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 xml:space="preserve">Articolo 92, paragrafo 4, lettera b), del CRR </w:t>
            </w:r>
          </w:p>
          <w:p w:rsidR="000B0B09" w:rsidRPr="00661595" w:rsidRDefault="000B0B09"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Risultato della moltiplicazione dei requisiti di fondi propri per 12,5</w:t>
            </w:r>
          </w:p>
          <w:p w:rsidR="000B0B09" w:rsidRPr="00661595" w:rsidRDefault="000B0B09" w:rsidP="00F2281A">
            <w:pPr>
              <w:suppressAutoHyphens/>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0140</w:t>
            </w:r>
          </w:p>
        </w:tc>
        <w:tc>
          <w:tcPr>
            <w:tcW w:w="7869" w:type="dxa"/>
          </w:tcPr>
          <w:p w:rsidR="000B0B09" w:rsidRPr="00661595" w:rsidRDefault="000B0B09" w:rsidP="00F2281A">
            <w:pPr>
              <w:suppressAutoHyphens/>
              <w:autoSpaceDE w:val="0"/>
              <w:autoSpaceDN w:val="0"/>
              <w:adjustRightInd w:val="0"/>
              <w:spacing w:before="0"/>
              <w:rPr>
                <w:rFonts w:ascii="Times New Roman" w:hAnsi="Times New Roman"/>
                <w:b/>
                <w:bCs/>
                <w:sz w:val="24"/>
                <w:u w:val="single"/>
              </w:rPr>
            </w:pPr>
            <w:r>
              <w:rPr>
                <w:rFonts w:ascii="Times New Roman" w:hAnsi="Times New Roman"/>
                <w:b/>
                <w:bCs/>
                <w:sz w:val="24"/>
                <w:u w:val="single"/>
              </w:rPr>
              <w:t>Numero di scostamenti (durante i 250 giorni lavorativi precedenti)</w:t>
            </w:r>
          </w:p>
          <w:p w:rsidR="00A92CFF" w:rsidRPr="00661595" w:rsidRDefault="000B0B09" w:rsidP="00F2281A">
            <w:pPr>
              <w:suppressAutoHyphens/>
              <w:autoSpaceDE w:val="0"/>
              <w:autoSpaceDN w:val="0"/>
              <w:adjustRightInd w:val="0"/>
              <w:spacing w:before="0"/>
              <w:rPr>
                <w:rFonts w:ascii="Times New Roman" w:hAnsi="Times New Roman"/>
                <w:sz w:val="24"/>
              </w:rPr>
            </w:pPr>
            <w:r>
              <w:rPr>
                <w:rFonts w:ascii="Times New Roman" w:hAnsi="Times New Roman"/>
                <w:sz w:val="24"/>
              </w:rPr>
              <w:t>Di cui all</w:t>
            </w:r>
            <w:r w:rsidR="000878EC">
              <w:rPr>
                <w:rFonts w:ascii="Times New Roman" w:hAnsi="Times New Roman"/>
                <w:sz w:val="24"/>
              </w:rPr>
              <w:t>'</w:t>
            </w:r>
            <w:r>
              <w:rPr>
                <w:rFonts w:ascii="Times New Roman" w:hAnsi="Times New Roman"/>
                <w:sz w:val="24"/>
              </w:rPr>
              <w:t>articolo 366 del CRR.</w:t>
            </w:r>
          </w:p>
          <w:p w:rsidR="000B0B09" w:rsidRPr="00661595" w:rsidRDefault="00A92CFF" w:rsidP="00F2281A">
            <w:pPr>
              <w:suppressAutoHyphens/>
              <w:autoSpaceDE w:val="0"/>
              <w:autoSpaceDN w:val="0"/>
              <w:adjustRightInd w:val="0"/>
              <w:spacing w:before="0"/>
              <w:rPr>
                <w:rFonts w:ascii="Times New Roman" w:hAnsi="Times New Roman"/>
                <w:b/>
                <w:bCs/>
                <w:sz w:val="24"/>
                <w:u w:val="single"/>
              </w:rPr>
            </w:pPr>
            <w:r>
              <w:rPr>
                <w:rFonts w:ascii="Times New Roman" w:hAnsi="Times New Roman"/>
                <w:sz w:val="24"/>
              </w:rPr>
              <w:t>È indicato il numero di scostamenti in base al quale è determinato l</w:t>
            </w:r>
            <w:r w:rsidR="000878EC">
              <w:rPr>
                <w:rFonts w:ascii="Times New Roman" w:hAnsi="Times New Roman"/>
                <w:sz w:val="24"/>
              </w:rPr>
              <w:t>'</w:t>
            </w:r>
            <w:r>
              <w:rPr>
                <w:rFonts w:ascii="Times New Roman" w:hAnsi="Times New Roman"/>
                <w:sz w:val="24"/>
              </w:rPr>
              <w:t>addendo. Quando agli enti è consentito escludere taluni scostamenti dal calcolo dell</w:t>
            </w:r>
            <w:r w:rsidR="000878EC">
              <w:rPr>
                <w:rFonts w:ascii="Times New Roman" w:hAnsi="Times New Roman"/>
                <w:sz w:val="24"/>
              </w:rPr>
              <w:t>'</w:t>
            </w:r>
            <w:r>
              <w:rPr>
                <w:rFonts w:ascii="Times New Roman" w:hAnsi="Times New Roman"/>
                <w:sz w:val="24"/>
              </w:rPr>
              <w:t>addendo conformemente all</w:t>
            </w:r>
            <w:r w:rsidR="000878EC">
              <w:rPr>
                <w:rFonts w:ascii="Times New Roman" w:hAnsi="Times New Roman"/>
                <w:sz w:val="24"/>
              </w:rPr>
              <w:t>'</w:t>
            </w:r>
            <w:r>
              <w:rPr>
                <w:rFonts w:ascii="Times New Roman" w:hAnsi="Times New Roman"/>
                <w:sz w:val="24"/>
              </w:rPr>
              <w:t>articolo 500 quater del CRR, il numero degli scostamenti segnalati in questa colonna è al netto degli scostamenti esclusi.</w:t>
            </w:r>
          </w:p>
        </w:tc>
      </w:tr>
      <w:tr w:rsidR="000B0B09" w:rsidRPr="00661595" w:rsidTr="00672D2A">
        <w:tc>
          <w:tcPr>
            <w:tcW w:w="993" w:type="dxa"/>
          </w:tcPr>
          <w:p w:rsidR="000B0B09"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0150-0160</w:t>
            </w:r>
          </w:p>
        </w:tc>
        <w:tc>
          <w:tcPr>
            <w:tcW w:w="7869" w:type="dxa"/>
          </w:tcPr>
          <w:p w:rsidR="000B0B09" w:rsidRPr="00661595" w:rsidRDefault="000B0B09" w:rsidP="00F2281A">
            <w:pPr>
              <w:suppressAutoHyphens/>
              <w:autoSpaceDE w:val="0"/>
              <w:autoSpaceDN w:val="0"/>
              <w:adjustRightInd w:val="0"/>
              <w:spacing w:before="0"/>
              <w:rPr>
                <w:rFonts w:ascii="Times New Roman" w:hAnsi="Times New Roman"/>
                <w:b/>
                <w:bCs/>
                <w:sz w:val="24"/>
                <w:u w:val="single"/>
              </w:rPr>
            </w:pPr>
            <w:r>
              <w:rPr>
                <w:rFonts w:ascii="Times New Roman" w:hAnsi="Times New Roman"/>
                <w:b/>
                <w:bCs/>
                <w:sz w:val="24"/>
                <w:u w:val="single"/>
              </w:rPr>
              <w:t>Fattore moltiplicativo del valore a rischio (mc) e fattore moltiplicativo del valore a rischio in condizioni di stress (ms)</w:t>
            </w:r>
          </w:p>
          <w:p w:rsidR="005C14B0" w:rsidRDefault="000B0B09" w:rsidP="00F2281A">
            <w:pPr>
              <w:suppressAutoHyphens/>
              <w:autoSpaceDE w:val="0"/>
              <w:autoSpaceDN w:val="0"/>
              <w:adjustRightInd w:val="0"/>
              <w:spacing w:before="0"/>
              <w:rPr>
                <w:rFonts w:ascii="Times New Roman" w:hAnsi="Times New Roman"/>
                <w:sz w:val="24"/>
              </w:rPr>
            </w:pPr>
            <w:r>
              <w:rPr>
                <w:rFonts w:ascii="Times New Roman" w:hAnsi="Times New Roman"/>
                <w:sz w:val="24"/>
              </w:rPr>
              <w:t>Di cui all</w:t>
            </w:r>
            <w:r w:rsidR="000878EC">
              <w:rPr>
                <w:rFonts w:ascii="Times New Roman" w:hAnsi="Times New Roman"/>
                <w:sz w:val="24"/>
              </w:rPr>
              <w:t>'</w:t>
            </w:r>
            <w:r>
              <w:rPr>
                <w:rFonts w:ascii="Times New Roman" w:hAnsi="Times New Roman"/>
                <w:sz w:val="24"/>
              </w:rPr>
              <w:t>articolo 366 del CRR.</w:t>
            </w:r>
          </w:p>
          <w:p w:rsidR="00011AFA" w:rsidRPr="00661595" w:rsidRDefault="00011AFA" w:rsidP="00F2281A">
            <w:pPr>
              <w:suppressAutoHyphens/>
              <w:autoSpaceDE w:val="0"/>
              <w:autoSpaceDN w:val="0"/>
              <w:adjustRightInd w:val="0"/>
              <w:spacing w:before="0" w:after="0"/>
              <w:rPr>
                <w:rStyle w:val="InstructionsTabelleberschrift"/>
              </w:rPr>
            </w:pPr>
            <w:r>
              <w:rPr>
                <w:rFonts w:ascii="Times New Roman" w:hAnsi="Times New Roman"/>
                <w:sz w:val="24"/>
              </w:rPr>
              <w:t>Sono segnalati i fattori moltiplicativi effettivamente applicabili per il calcolo dei requisiti di fondi propri; se del caso, dopo l</w:t>
            </w:r>
            <w:r w:rsidR="000878EC">
              <w:rPr>
                <w:rFonts w:ascii="Times New Roman" w:hAnsi="Times New Roman"/>
                <w:sz w:val="24"/>
              </w:rPr>
              <w:t>'</w:t>
            </w:r>
            <w:r>
              <w:rPr>
                <w:rFonts w:ascii="Times New Roman" w:hAnsi="Times New Roman"/>
                <w:sz w:val="24"/>
              </w:rPr>
              <w:t>applicazione dell</w:t>
            </w:r>
            <w:r w:rsidR="000878EC">
              <w:rPr>
                <w:rFonts w:ascii="Times New Roman" w:hAnsi="Times New Roman"/>
                <w:sz w:val="24"/>
              </w:rPr>
              <w:t>'</w:t>
            </w:r>
            <w:r>
              <w:rPr>
                <w:rFonts w:ascii="Times New Roman" w:hAnsi="Times New Roman"/>
                <w:sz w:val="24"/>
              </w:rPr>
              <w:t>articolo 500 quater del CRR.</w:t>
            </w:r>
          </w:p>
          <w:p w:rsidR="000B0B09" w:rsidRPr="00661595" w:rsidRDefault="000B0B09" w:rsidP="00F2281A">
            <w:pPr>
              <w:suppressAutoHyphens/>
              <w:autoSpaceDE w:val="0"/>
              <w:autoSpaceDN w:val="0"/>
              <w:adjustRightInd w:val="0"/>
              <w:spacing w:before="0" w:after="0"/>
              <w:rPr>
                <w:rFonts w:ascii="Times New Roman" w:hAnsi="Times New Roman"/>
                <w:b/>
                <w:bCs/>
                <w:sz w:val="24"/>
                <w:u w:val="single"/>
                <w:lang w:eastAsia="fr-FR"/>
              </w:rPr>
            </w:pPr>
          </w:p>
        </w:tc>
      </w:tr>
      <w:tr w:rsidR="000B0B09" w:rsidRPr="00661595" w:rsidTr="00672D2A">
        <w:tc>
          <w:tcPr>
            <w:tcW w:w="993" w:type="dxa"/>
          </w:tcPr>
          <w:p w:rsidR="000B0B09" w:rsidRPr="00661595" w:rsidRDefault="002F79EA"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0170-0180</w:t>
            </w:r>
          </w:p>
        </w:tc>
        <w:tc>
          <w:tcPr>
            <w:tcW w:w="7869" w:type="dxa"/>
          </w:tcPr>
          <w:p w:rsidR="000B0B09" w:rsidRPr="00661595" w:rsidRDefault="000B0B09"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COPERTURA PRESUNTA PER IL REQUISITO MINIMO DEL CTP – POSIZIONI NETTE LUNGHE/CORTE PONDERATE DOPO L</w:t>
            </w:r>
            <w:r w:rsidR="000878EC">
              <w:rPr>
                <w:rFonts w:ascii="Times New Roman" w:hAnsi="Times New Roman"/>
                <w:b/>
                <w:bCs/>
                <w:sz w:val="24"/>
                <w:u w:val="single"/>
              </w:rPr>
              <w:t>'</w:t>
            </w:r>
            <w:r>
              <w:rPr>
                <w:rFonts w:ascii="Times New Roman" w:hAnsi="Times New Roman"/>
                <w:b/>
                <w:bCs/>
                <w:sz w:val="24"/>
                <w:u w:val="single"/>
              </w:rPr>
              <w:t>APPLICAZIONE DEL MASSIMALE</w:t>
            </w:r>
          </w:p>
          <w:p w:rsidR="00902EFC" w:rsidRPr="00661595" w:rsidRDefault="000B0B09" w:rsidP="00F2281A">
            <w:pPr>
              <w:suppressAutoHyphens/>
              <w:autoSpaceDE w:val="0"/>
              <w:autoSpaceDN w:val="0"/>
              <w:adjustRightInd w:val="0"/>
              <w:rPr>
                <w:rStyle w:val="InstructionsTabelleberschrift"/>
                <w:rFonts w:ascii="Times New Roman" w:hAnsi="Times New Roman"/>
                <w:sz w:val="24"/>
              </w:rPr>
            </w:pPr>
            <w:r>
              <w:rPr>
                <w:rFonts w:ascii="Times New Roman" w:hAnsi="Times New Roman"/>
                <w:sz w:val="24"/>
              </w:rPr>
              <w:t>L</w:t>
            </w:r>
            <w:r w:rsidR="000878EC">
              <w:rPr>
                <w:rFonts w:ascii="Times New Roman" w:hAnsi="Times New Roman"/>
                <w:sz w:val="24"/>
              </w:rPr>
              <w:t>'</w:t>
            </w:r>
            <w:r>
              <w:rPr>
                <w:rFonts w:ascii="Times New Roman" w:hAnsi="Times New Roman"/>
                <w:sz w:val="24"/>
              </w:rPr>
              <w:t>importo segnalato e che serve da base di calcolo del requisito minimo di copertura patrimoniale per tutti i rischi di prezzo conformemente all</w:t>
            </w:r>
            <w:r w:rsidR="000878EC">
              <w:rPr>
                <w:rFonts w:ascii="Times New Roman" w:hAnsi="Times New Roman"/>
                <w:sz w:val="24"/>
              </w:rPr>
              <w:t>'</w:t>
            </w:r>
            <w:r>
              <w:rPr>
                <w:rFonts w:ascii="Times New Roman" w:hAnsi="Times New Roman"/>
                <w:bCs/>
                <w:sz w:val="24"/>
              </w:rPr>
              <w:t>articolo 364, paragrafo 3, lettera c), del CRR</w:t>
            </w:r>
            <w:r>
              <w:rPr>
                <w:rFonts w:ascii="Times New Roman" w:hAnsi="Times New Roman"/>
                <w:sz w:val="24"/>
              </w:rPr>
              <w:t>, tenendo conto de</w:t>
            </w:r>
            <w:r w:rsidR="00F2281A">
              <w:rPr>
                <w:rFonts w:ascii="Times New Roman" w:hAnsi="Times New Roman"/>
                <w:sz w:val="24"/>
              </w:rPr>
              <w:t>lla facoltà di cui all</w:t>
            </w:r>
            <w:r w:rsidR="000878EC">
              <w:rPr>
                <w:rFonts w:ascii="Times New Roman" w:hAnsi="Times New Roman"/>
                <w:sz w:val="24"/>
              </w:rPr>
              <w:t>'</w:t>
            </w:r>
            <w:r w:rsidR="00F2281A">
              <w:rPr>
                <w:rFonts w:ascii="Times New Roman" w:hAnsi="Times New Roman"/>
                <w:sz w:val="24"/>
              </w:rPr>
              <w:t>articolo </w:t>
            </w:r>
            <w:r>
              <w:rPr>
                <w:rFonts w:ascii="Times New Roman" w:hAnsi="Times New Roman"/>
                <w:sz w:val="24"/>
              </w:rPr>
              <w:t xml:space="preserve">335 del CRR, che permette a un ente di fissare, per il prodotto della ponderazione e della posizione netta, un massimale pari alla perdita massima possibile relativa al rischio di default. </w:t>
            </w:r>
          </w:p>
        </w:tc>
      </w:tr>
    </w:tbl>
    <w:p w:rsidR="000B0B09" w:rsidRPr="00661595" w:rsidRDefault="000B0B09" w:rsidP="000B0B09">
      <w:pPr>
        <w:rPr>
          <w:rFonts w:ascii="Times New Roman" w:hAnsi="Times New Roman"/>
          <w:sz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7903"/>
      </w:tblGrid>
      <w:tr w:rsidR="000B0B09" w:rsidRPr="00661595" w:rsidTr="00672D2A">
        <w:trPr>
          <w:trHeight w:val="566"/>
        </w:trPr>
        <w:tc>
          <w:tcPr>
            <w:tcW w:w="8896" w:type="dxa"/>
            <w:gridSpan w:val="2"/>
            <w:shd w:val="clear" w:color="auto" w:fill="CCCCCC"/>
          </w:tcPr>
          <w:p w:rsidR="000B0B09" w:rsidRPr="00661595" w:rsidRDefault="000B0B09" w:rsidP="00F2281A">
            <w:pPr>
              <w:suppressAutoHyphens/>
              <w:autoSpaceDE w:val="0"/>
              <w:autoSpaceDN w:val="0"/>
              <w:adjustRightInd w:val="0"/>
              <w:spacing w:after="0"/>
              <w:rPr>
                <w:rFonts w:ascii="Times New Roman" w:hAnsi="Times New Roman"/>
                <w:b/>
                <w:sz w:val="24"/>
              </w:rPr>
            </w:pPr>
            <w:r>
              <w:rPr>
                <w:rFonts w:ascii="Times New Roman" w:hAnsi="Times New Roman"/>
                <w:b/>
                <w:sz w:val="24"/>
              </w:rPr>
              <w:t>Righe</w:t>
            </w:r>
          </w:p>
        </w:tc>
      </w:tr>
      <w:tr w:rsidR="000B0B09" w:rsidRPr="00661595" w:rsidTr="00672D2A">
        <w:tc>
          <w:tcPr>
            <w:tcW w:w="993" w:type="dxa"/>
          </w:tcPr>
          <w:p w:rsidR="000B0B09" w:rsidRPr="00661595" w:rsidRDefault="00787733"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0010</w:t>
            </w:r>
          </w:p>
        </w:tc>
        <w:tc>
          <w:tcPr>
            <w:tcW w:w="7903" w:type="dxa"/>
          </w:tcPr>
          <w:p w:rsidR="000B0B09" w:rsidRPr="00661595" w:rsidRDefault="000B0B09"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POSIZIONI TOTALI</w:t>
            </w:r>
          </w:p>
          <w:p w:rsidR="000B0B09" w:rsidRPr="00661595" w:rsidRDefault="000B0B09" w:rsidP="00F2281A">
            <w:pPr>
              <w:suppressAutoHyphens/>
              <w:autoSpaceDE w:val="0"/>
              <w:autoSpaceDN w:val="0"/>
              <w:adjustRightInd w:val="0"/>
              <w:spacing w:before="0" w:after="0"/>
              <w:rPr>
                <w:rFonts w:ascii="Times New Roman" w:hAnsi="Times New Roman"/>
                <w:b/>
                <w:bCs/>
                <w:sz w:val="24"/>
                <w:u w:val="single"/>
                <w:lang w:eastAsia="nl-BE"/>
              </w:rPr>
            </w:pPr>
          </w:p>
          <w:p w:rsidR="005C14B0" w:rsidRPr="00661595" w:rsidRDefault="000B0B09" w:rsidP="00F2281A">
            <w:pPr>
              <w:suppressAutoHyphens/>
              <w:autoSpaceDE w:val="0"/>
              <w:autoSpaceDN w:val="0"/>
              <w:adjustRightInd w:val="0"/>
              <w:spacing w:before="0"/>
              <w:rPr>
                <w:rFonts w:ascii="Times New Roman" w:hAnsi="Times New Roman"/>
                <w:sz w:val="24"/>
              </w:rPr>
            </w:pPr>
            <w:r>
              <w:rPr>
                <w:rFonts w:ascii="Times New Roman" w:hAnsi="Times New Roman"/>
                <w:sz w:val="24"/>
              </w:rPr>
              <w:t>Parte del rischio di posizione, di cambio e di posizio</w:t>
            </w:r>
            <w:r w:rsidR="00F2281A">
              <w:rPr>
                <w:rFonts w:ascii="Times New Roman" w:hAnsi="Times New Roman"/>
                <w:sz w:val="24"/>
              </w:rPr>
              <w:t>ne in merci di cui all</w:t>
            </w:r>
            <w:r w:rsidR="000878EC">
              <w:rPr>
                <w:rFonts w:ascii="Times New Roman" w:hAnsi="Times New Roman"/>
                <w:sz w:val="24"/>
              </w:rPr>
              <w:t>'</w:t>
            </w:r>
            <w:r w:rsidR="00F2281A">
              <w:rPr>
                <w:rFonts w:ascii="Times New Roman" w:hAnsi="Times New Roman"/>
                <w:sz w:val="24"/>
              </w:rPr>
              <w:t>articolo </w:t>
            </w:r>
            <w:r>
              <w:rPr>
                <w:rFonts w:ascii="Times New Roman" w:hAnsi="Times New Roman"/>
                <w:sz w:val="24"/>
              </w:rPr>
              <w:t>363, paragrafo 1, del CRR correlata ai fattori di rischio specificati nell</w:t>
            </w:r>
            <w:r w:rsidR="000878EC">
              <w:rPr>
                <w:rFonts w:ascii="Times New Roman" w:hAnsi="Times New Roman"/>
                <w:sz w:val="24"/>
              </w:rPr>
              <w:t>'</w:t>
            </w:r>
            <w:r>
              <w:rPr>
                <w:rFonts w:ascii="Times New Roman" w:hAnsi="Times New Roman"/>
                <w:sz w:val="24"/>
              </w:rPr>
              <w:t>articolo 367, paragrafo 2, del CRR.</w:t>
            </w:r>
          </w:p>
          <w:p w:rsidR="005C14B0" w:rsidRPr="00661595" w:rsidRDefault="000B0B09"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Nelle colonne da 0030 a 0060 (VaR e SVaR), le cifre segnalate nella riga del totale non sono uguali alla scomposizione delle cifre del VaR/SVaR delle pertinenti componenti del rischio.</w:t>
            </w:r>
          </w:p>
          <w:p w:rsidR="000B0B09" w:rsidRPr="00661595" w:rsidRDefault="000B0B09" w:rsidP="00F2281A">
            <w:pPr>
              <w:suppressAutoHyphens/>
              <w:autoSpaceDE w:val="0"/>
              <w:autoSpaceDN w:val="0"/>
              <w:adjustRightInd w:val="0"/>
              <w:spacing w:before="0" w:after="0"/>
              <w:rPr>
                <w:rFonts w:ascii="Times New Roman" w:hAnsi="Times New Roman"/>
                <w:sz w:val="24"/>
                <w:lang w:eastAsia="fr-FR"/>
              </w:rPr>
            </w:pPr>
          </w:p>
        </w:tc>
      </w:tr>
      <w:tr w:rsidR="000B0B09" w:rsidRPr="00661595" w:rsidTr="00672D2A">
        <w:tc>
          <w:tcPr>
            <w:tcW w:w="993" w:type="dxa"/>
          </w:tcPr>
          <w:p w:rsidR="000B0B09" w:rsidRPr="00661595" w:rsidRDefault="00787733"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0020</w:t>
            </w:r>
          </w:p>
        </w:tc>
        <w:tc>
          <w:tcPr>
            <w:tcW w:w="7903" w:type="dxa"/>
          </w:tcPr>
          <w:p w:rsidR="000B0B09" w:rsidRPr="00661595" w:rsidRDefault="000B0B09"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STRUMENTI DI DEBITO NEGOZIATI</w:t>
            </w:r>
          </w:p>
          <w:p w:rsidR="000B0B09" w:rsidRPr="00661595" w:rsidRDefault="000B0B09" w:rsidP="00F2281A">
            <w:pPr>
              <w:suppressAutoHyphens/>
              <w:autoSpaceDE w:val="0"/>
              <w:autoSpaceDN w:val="0"/>
              <w:adjustRightInd w:val="0"/>
              <w:rPr>
                <w:rFonts w:ascii="Times New Roman" w:hAnsi="Times New Roman"/>
                <w:sz w:val="24"/>
              </w:rPr>
            </w:pPr>
            <w:r>
              <w:rPr>
                <w:rFonts w:ascii="Times New Roman" w:hAnsi="Times New Roman"/>
                <w:sz w:val="24"/>
              </w:rPr>
              <w:t>Parte del rischio di posizione di cui all</w:t>
            </w:r>
            <w:r w:rsidR="000878EC">
              <w:rPr>
                <w:rFonts w:ascii="Times New Roman" w:hAnsi="Times New Roman"/>
                <w:sz w:val="24"/>
              </w:rPr>
              <w:t>'</w:t>
            </w:r>
            <w:r>
              <w:rPr>
                <w:rFonts w:ascii="Times New Roman" w:hAnsi="Times New Roman"/>
                <w:sz w:val="24"/>
              </w:rPr>
              <w:t>articolo 363, paragrafo 1, del CRR correlata ai fattori di rischio di tasso d</w:t>
            </w:r>
            <w:r w:rsidR="000878EC">
              <w:rPr>
                <w:rFonts w:ascii="Times New Roman" w:hAnsi="Times New Roman"/>
                <w:sz w:val="24"/>
              </w:rPr>
              <w:t>'</w:t>
            </w:r>
            <w:r>
              <w:rPr>
                <w:rFonts w:ascii="Times New Roman" w:hAnsi="Times New Roman"/>
                <w:sz w:val="24"/>
              </w:rPr>
              <w:t>interesse specificati nell</w:t>
            </w:r>
            <w:r w:rsidR="000878EC">
              <w:rPr>
                <w:rFonts w:ascii="Times New Roman" w:hAnsi="Times New Roman"/>
                <w:sz w:val="24"/>
              </w:rPr>
              <w:t>'</w:t>
            </w:r>
            <w:r>
              <w:rPr>
                <w:rFonts w:ascii="Times New Roman" w:hAnsi="Times New Roman"/>
                <w:sz w:val="24"/>
              </w:rPr>
              <w:t>articolo 367, paragrafo 2, lettera a), del CRR.</w:t>
            </w:r>
          </w:p>
        </w:tc>
      </w:tr>
      <w:tr w:rsidR="000B0B09" w:rsidRPr="00661595" w:rsidTr="00672D2A">
        <w:tc>
          <w:tcPr>
            <w:tcW w:w="993" w:type="dxa"/>
          </w:tcPr>
          <w:p w:rsidR="000B0B09" w:rsidRPr="00661595" w:rsidRDefault="00787733"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0030</w:t>
            </w:r>
          </w:p>
        </w:tc>
        <w:tc>
          <w:tcPr>
            <w:tcW w:w="7903" w:type="dxa"/>
          </w:tcPr>
          <w:p w:rsidR="000B0B09" w:rsidRPr="00661595" w:rsidRDefault="000B0B09"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STRUMENTO DI DEBITO NEGOZIATI – RISCHIO GENERICO</w:t>
            </w:r>
          </w:p>
          <w:p w:rsidR="000B0B09" w:rsidRPr="00661595" w:rsidRDefault="000B0B09" w:rsidP="00F2281A">
            <w:pPr>
              <w:suppressAutoHyphens/>
              <w:autoSpaceDE w:val="0"/>
              <w:autoSpaceDN w:val="0"/>
              <w:adjustRightInd w:val="0"/>
              <w:rPr>
                <w:rFonts w:ascii="Times New Roman" w:hAnsi="Times New Roman"/>
                <w:sz w:val="24"/>
              </w:rPr>
            </w:pPr>
            <w:r>
              <w:rPr>
                <w:rFonts w:ascii="Times New Roman" w:hAnsi="Times New Roman"/>
                <w:sz w:val="24"/>
              </w:rPr>
              <w:t>Componente del rischio generico di cui all</w:t>
            </w:r>
            <w:r w:rsidR="000878EC">
              <w:rPr>
                <w:rFonts w:ascii="Times New Roman" w:hAnsi="Times New Roman"/>
                <w:sz w:val="24"/>
              </w:rPr>
              <w:t>'</w:t>
            </w:r>
            <w:r>
              <w:rPr>
                <w:rFonts w:ascii="Times New Roman" w:hAnsi="Times New Roman"/>
                <w:sz w:val="24"/>
              </w:rPr>
              <w:t xml:space="preserve">articolo 362 del CRR </w:t>
            </w:r>
          </w:p>
        </w:tc>
      </w:tr>
      <w:tr w:rsidR="000B0B09" w:rsidRPr="00661595" w:rsidTr="00672D2A">
        <w:tc>
          <w:tcPr>
            <w:tcW w:w="993" w:type="dxa"/>
          </w:tcPr>
          <w:p w:rsidR="000B0B09" w:rsidRPr="00661595" w:rsidRDefault="00787733"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0040</w:t>
            </w:r>
          </w:p>
        </w:tc>
        <w:tc>
          <w:tcPr>
            <w:tcW w:w="7903" w:type="dxa"/>
          </w:tcPr>
          <w:p w:rsidR="000B0B09" w:rsidRPr="00661595" w:rsidRDefault="000B0B09"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STRUMENTO DI DEBITO NEGOZIATI – RISCHIO SPECIFICO</w:t>
            </w:r>
          </w:p>
          <w:p w:rsidR="000B0B09" w:rsidRPr="00661595" w:rsidRDefault="000B0B09" w:rsidP="00F2281A">
            <w:pPr>
              <w:suppressAutoHyphens/>
              <w:autoSpaceDE w:val="0"/>
              <w:autoSpaceDN w:val="0"/>
              <w:adjustRightInd w:val="0"/>
              <w:spacing w:before="0" w:after="0"/>
              <w:rPr>
                <w:rFonts w:ascii="Times New Roman" w:hAnsi="Times New Roman"/>
                <w:sz w:val="24"/>
                <w:lang w:eastAsia="de-DE"/>
              </w:rPr>
            </w:pPr>
          </w:p>
          <w:p w:rsidR="000B0B09" w:rsidRPr="00661595" w:rsidRDefault="000B0B09" w:rsidP="00F2281A">
            <w:pPr>
              <w:suppressAutoHyphens/>
              <w:autoSpaceDE w:val="0"/>
              <w:autoSpaceDN w:val="0"/>
              <w:adjustRightInd w:val="0"/>
              <w:rPr>
                <w:rFonts w:ascii="Times New Roman" w:hAnsi="Times New Roman"/>
                <w:b/>
                <w:bCs/>
                <w:sz w:val="24"/>
                <w:u w:val="single"/>
              </w:rPr>
            </w:pPr>
            <w:r>
              <w:rPr>
                <w:rFonts w:ascii="Times New Roman" w:hAnsi="Times New Roman"/>
                <w:sz w:val="24"/>
              </w:rPr>
              <w:t>Componente del rischio specifico di cui all</w:t>
            </w:r>
            <w:r w:rsidR="000878EC">
              <w:rPr>
                <w:rFonts w:ascii="Times New Roman" w:hAnsi="Times New Roman"/>
                <w:sz w:val="24"/>
              </w:rPr>
              <w:t>'</w:t>
            </w:r>
            <w:r>
              <w:rPr>
                <w:rFonts w:ascii="Times New Roman" w:hAnsi="Times New Roman"/>
                <w:sz w:val="24"/>
              </w:rPr>
              <w:t xml:space="preserve">articolo 362 del CRR </w:t>
            </w:r>
          </w:p>
        </w:tc>
      </w:tr>
      <w:tr w:rsidR="000B0B09" w:rsidRPr="00661595" w:rsidTr="00672D2A">
        <w:tc>
          <w:tcPr>
            <w:tcW w:w="993" w:type="dxa"/>
          </w:tcPr>
          <w:p w:rsidR="000B0B09" w:rsidRPr="00661595" w:rsidRDefault="00787733"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0050</w:t>
            </w:r>
          </w:p>
        </w:tc>
        <w:tc>
          <w:tcPr>
            <w:tcW w:w="7903" w:type="dxa"/>
          </w:tcPr>
          <w:p w:rsidR="000B0B09" w:rsidRPr="00661595" w:rsidRDefault="000B0B09"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STRUMENTI DI CAPITALE</w:t>
            </w:r>
          </w:p>
          <w:p w:rsidR="000B0B09" w:rsidRPr="00661595" w:rsidRDefault="000B0B09" w:rsidP="00F2281A">
            <w:pPr>
              <w:suppressAutoHyphens/>
              <w:autoSpaceDE w:val="0"/>
              <w:autoSpaceDN w:val="0"/>
              <w:adjustRightInd w:val="0"/>
              <w:spacing w:before="0" w:after="0"/>
              <w:rPr>
                <w:rFonts w:ascii="Times New Roman" w:hAnsi="Times New Roman"/>
                <w:sz w:val="24"/>
                <w:lang w:eastAsia="de-DE"/>
              </w:rPr>
            </w:pPr>
          </w:p>
          <w:p w:rsidR="000B0B09" w:rsidRPr="00661595" w:rsidRDefault="000B0B09"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Parte del rischio di posizione di cui all</w:t>
            </w:r>
            <w:r w:rsidR="000878EC">
              <w:rPr>
                <w:rFonts w:ascii="Times New Roman" w:hAnsi="Times New Roman"/>
                <w:sz w:val="24"/>
              </w:rPr>
              <w:t>'</w:t>
            </w:r>
            <w:r>
              <w:rPr>
                <w:rFonts w:ascii="Times New Roman" w:hAnsi="Times New Roman"/>
                <w:sz w:val="24"/>
              </w:rPr>
              <w:t>articolo 363, paragrafo 1, del CRR correlata ai fattori di rischio di strumenti di capitale specificati nell</w:t>
            </w:r>
            <w:r w:rsidR="000878EC">
              <w:rPr>
                <w:rFonts w:ascii="Times New Roman" w:hAnsi="Times New Roman"/>
                <w:sz w:val="24"/>
              </w:rPr>
              <w:t>'</w:t>
            </w:r>
            <w:r>
              <w:rPr>
                <w:rFonts w:ascii="Times New Roman" w:hAnsi="Times New Roman"/>
                <w:sz w:val="24"/>
              </w:rPr>
              <w:t xml:space="preserve">articolo 367, paragrafo 2, lettera c), del CRR. </w:t>
            </w:r>
          </w:p>
          <w:p w:rsidR="000B0B09" w:rsidRPr="00661595" w:rsidRDefault="000B0B09" w:rsidP="00F2281A">
            <w:pPr>
              <w:suppressAutoHyphens/>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787733"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0060</w:t>
            </w:r>
          </w:p>
        </w:tc>
        <w:tc>
          <w:tcPr>
            <w:tcW w:w="7903" w:type="dxa"/>
          </w:tcPr>
          <w:p w:rsidR="000B0B09" w:rsidRPr="00661595" w:rsidRDefault="000B0B09"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STRUMENTI DI CAPITALE – RISCHIO GENERICO</w:t>
            </w:r>
          </w:p>
          <w:p w:rsidR="000B0B09" w:rsidRPr="00661595" w:rsidRDefault="000B0B09" w:rsidP="00F2281A">
            <w:pPr>
              <w:suppressAutoHyphens/>
              <w:autoSpaceDE w:val="0"/>
              <w:autoSpaceDN w:val="0"/>
              <w:adjustRightInd w:val="0"/>
              <w:rPr>
                <w:rFonts w:ascii="Times New Roman" w:hAnsi="Times New Roman"/>
                <w:b/>
                <w:bCs/>
                <w:sz w:val="24"/>
                <w:u w:val="single"/>
              </w:rPr>
            </w:pPr>
            <w:r>
              <w:rPr>
                <w:rFonts w:ascii="Times New Roman" w:hAnsi="Times New Roman"/>
                <w:sz w:val="24"/>
              </w:rPr>
              <w:t>Componente del rischio generico di cui all</w:t>
            </w:r>
            <w:r w:rsidR="000878EC">
              <w:rPr>
                <w:rFonts w:ascii="Times New Roman" w:hAnsi="Times New Roman"/>
                <w:sz w:val="24"/>
              </w:rPr>
              <w:t>'</w:t>
            </w:r>
            <w:r>
              <w:rPr>
                <w:rFonts w:ascii="Times New Roman" w:hAnsi="Times New Roman"/>
                <w:sz w:val="24"/>
              </w:rPr>
              <w:t>articolo 362 del CRR</w:t>
            </w:r>
          </w:p>
        </w:tc>
      </w:tr>
      <w:tr w:rsidR="000B0B09" w:rsidRPr="00661595" w:rsidTr="00672D2A">
        <w:tc>
          <w:tcPr>
            <w:tcW w:w="993" w:type="dxa"/>
          </w:tcPr>
          <w:p w:rsidR="000B0B09" w:rsidRPr="00661595" w:rsidRDefault="00787733"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0070</w:t>
            </w:r>
          </w:p>
        </w:tc>
        <w:tc>
          <w:tcPr>
            <w:tcW w:w="7903" w:type="dxa"/>
          </w:tcPr>
          <w:p w:rsidR="000B0B09" w:rsidRPr="00661595" w:rsidRDefault="000B0B09"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STRUMENTI DI CAPITALE – RISCHIO SPECIFICO</w:t>
            </w:r>
          </w:p>
          <w:p w:rsidR="000B0B09" w:rsidRPr="00661595" w:rsidRDefault="000B0B09" w:rsidP="00F2281A">
            <w:pPr>
              <w:suppressAutoHyphens/>
              <w:autoSpaceDE w:val="0"/>
              <w:autoSpaceDN w:val="0"/>
              <w:adjustRightInd w:val="0"/>
              <w:rPr>
                <w:rFonts w:ascii="Times New Roman" w:hAnsi="Times New Roman"/>
                <w:b/>
                <w:bCs/>
                <w:sz w:val="24"/>
                <w:u w:val="single"/>
              </w:rPr>
            </w:pPr>
            <w:r>
              <w:rPr>
                <w:rFonts w:ascii="Times New Roman" w:hAnsi="Times New Roman"/>
                <w:sz w:val="24"/>
              </w:rPr>
              <w:t>Componente del rischio specifico di cui all</w:t>
            </w:r>
            <w:r w:rsidR="000878EC">
              <w:rPr>
                <w:rFonts w:ascii="Times New Roman" w:hAnsi="Times New Roman"/>
                <w:sz w:val="24"/>
              </w:rPr>
              <w:t>'</w:t>
            </w:r>
            <w:r>
              <w:rPr>
                <w:rFonts w:ascii="Times New Roman" w:hAnsi="Times New Roman"/>
                <w:sz w:val="24"/>
              </w:rPr>
              <w:t xml:space="preserve">articolo 362 del CRR </w:t>
            </w:r>
          </w:p>
        </w:tc>
      </w:tr>
      <w:tr w:rsidR="000B0B09" w:rsidRPr="00661595" w:rsidTr="00672D2A">
        <w:tc>
          <w:tcPr>
            <w:tcW w:w="993" w:type="dxa"/>
          </w:tcPr>
          <w:p w:rsidR="000B0B09" w:rsidRPr="00661595" w:rsidRDefault="00787733"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0080</w:t>
            </w:r>
          </w:p>
        </w:tc>
        <w:tc>
          <w:tcPr>
            <w:tcW w:w="7903" w:type="dxa"/>
          </w:tcPr>
          <w:p w:rsidR="000B0B09" w:rsidRPr="00661595" w:rsidRDefault="000B0B09"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RISCHIO DI CAMBIO</w:t>
            </w:r>
          </w:p>
          <w:p w:rsidR="000B0B09" w:rsidRPr="00661595" w:rsidRDefault="000B0B09" w:rsidP="00F2281A">
            <w:pPr>
              <w:suppressAutoHyphens/>
              <w:autoSpaceDE w:val="0"/>
              <w:autoSpaceDN w:val="0"/>
              <w:adjustRightInd w:val="0"/>
              <w:rPr>
                <w:rFonts w:ascii="Times New Roman" w:hAnsi="Times New Roman"/>
                <w:b/>
                <w:bCs/>
                <w:sz w:val="24"/>
                <w:u w:val="single"/>
              </w:rPr>
            </w:pPr>
            <w:r>
              <w:rPr>
                <w:rFonts w:ascii="Times New Roman" w:hAnsi="Times New Roman"/>
                <w:sz w:val="24"/>
              </w:rPr>
              <w:t>Articolo 363, paragrafo 1, e articolo 367, paragrafo 2, lettera b), del CRR</w:t>
            </w:r>
          </w:p>
        </w:tc>
      </w:tr>
      <w:tr w:rsidR="000B0B09" w:rsidRPr="00661595" w:rsidTr="00672D2A">
        <w:tc>
          <w:tcPr>
            <w:tcW w:w="993" w:type="dxa"/>
          </w:tcPr>
          <w:p w:rsidR="000B0B09" w:rsidRPr="00661595" w:rsidRDefault="00787733"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0090</w:t>
            </w:r>
          </w:p>
        </w:tc>
        <w:tc>
          <w:tcPr>
            <w:tcW w:w="7903" w:type="dxa"/>
          </w:tcPr>
          <w:p w:rsidR="000B0B09" w:rsidRPr="00661595" w:rsidRDefault="000B0B09"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RISCHIO DI POSIZIONE IN MERCI</w:t>
            </w:r>
          </w:p>
          <w:p w:rsidR="000B0B09" w:rsidRPr="00661595" w:rsidRDefault="000B0B09" w:rsidP="00F2281A">
            <w:pPr>
              <w:suppressAutoHyphens/>
              <w:autoSpaceDE w:val="0"/>
              <w:autoSpaceDN w:val="0"/>
              <w:adjustRightInd w:val="0"/>
              <w:rPr>
                <w:rFonts w:ascii="Times New Roman" w:hAnsi="Times New Roman"/>
                <w:b/>
                <w:bCs/>
                <w:sz w:val="24"/>
                <w:u w:val="single"/>
              </w:rPr>
            </w:pPr>
            <w:r>
              <w:rPr>
                <w:rFonts w:ascii="Times New Roman" w:hAnsi="Times New Roman"/>
                <w:sz w:val="24"/>
              </w:rPr>
              <w:t xml:space="preserve">Articolo 363, paragrafo 1, e articolo 367, paragrafo 2, lettera d), del CRR </w:t>
            </w:r>
          </w:p>
        </w:tc>
      </w:tr>
      <w:tr w:rsidR="000B0B09" w:rsidRPr="00661595" w:rsidTr="00672D2A">
        <w:tc>
          <w:tcPr>
            <w:tcW w:w="993" w:type="dxa"/>
          </w:tcPr>
          <w:p w:rsidR="000B0B09" w:rsidRPr="00661595" w:rsidRDefault="00787733" w:rsidP="00F2281A">
            <w:pPr>
              <w:keepNext/>
              <w:keepLines/>
              <w:suppressAutoHyphens/>
              <w:autoSpaceDE w:val="0"/>
              <w:autoSpaceDN w:val="0"/>
              <w:adjustRightInd w:val="0"/>
              <w:spacing w:before="0" w:after="0"/>
              <w:rPr>
                <w:rFonts w:ascii="Times New Roman" w:hAnsi="Times New Roman"/>
                <w:sz w:val="24"/>
              </w:rPr>
            </w:pPr>
            <w:r>
              <w:rPr>
                <w:rFonts w:ascii="Times New Roman" w:hAnsi="Times New Roman"/>
                <w:sz w:val="24"/>
              </w:rPr>
              <w:t>0100</w:t>
            </w:r>
          </w:p>
        </w:tc>
        <w:tc>
          <w:tcPr>
            <w:tcW w:w="7903" w:type="dxa"/>
          </w:tcPr>
          <w:p w:rsidR="000B0B09" w:rsidRPr="00661595" w:rsidRDefault="000B0B09" w:rsidP="00F2281A">
            <w:pPr>
              <w:keepNext/>
              <w:keepLines/>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IMPORTO COMPLESSIVO PER IL RISCHIO GENERICO</w:t>
            </w:r>
          </w:p>
          <w:p w:rsidR="005C14B0" w:rsidRPr="00661595" w:rsidRDefault="005C14B0" w:rsidP="00F2281A">
            <w:pPr>
              <w:keepNext/>
              <w:keepLines/>
              <w:suppressAutoHyphens/>
              <w:autoSpaceDE w:val="0"/>
              <w:autoSpaceDN w:val="0"/>
              <w:adjustRightInd w:val="0"/>
              <w:spacing w:before="0" w:after="0"/>
              <w:rPr>
                <w:rFonts w:ascii="Times New Roman" w:hAnsi="Times New Roman"/>
                <w:b/>
                <w:bCs/>
                <w:sz w:val="24"/>
                <w:u w:val="single"/>
                <w:lang w:eastAsia="nl-BE"/>
              </w:rPr>
            </w:pPr>
          </w:p>
          <w:p w:rsidR="000B0B09" w:rsidRPr="00661595" w:rsidRDefault="000B0B09" w:rsidP="00F2281A">
            <w:pPr>
              <w:keepNext/>
              <w:keepLines/>
              <w:suppressAutoHyphens/>
              <w:autoSpaceDE w:val="0"/>
              <w:autoSpaceDN w:val="0"/>
              <w:adjustRightInd w:val="0"/>
              <w:spacing w:before="0" w:after="0"/>
              <w:rPr>
                <w:rFonts w:ascii="Times New Roman" w:hAnsi="Times New Roman"/>
                <w:b/>
                <w:bCs/>
                <w:sz w:val="24"/>
                <w:u w:val="single"/>
              </w:rPr>
            </w:pPr>
            <w:r>
              <w:rPr>
                <w:rStyle w:val="InstructionsTabelleText"/>
                <w:rFonts w:ascii="Times New Roman" w:hAnsi="Times New Roman"/>
                <w:sz w:val="24"/>
              </w:rPr>
              <w:t>Rischio di mercato dovuto a movimenti generali di mercato di strumenti di debito negoziati, strumenti di capitale, cambio e merci. VaR del rischio generico di tutti i fattori di rischio (tenuto conto degli effetti di correlazione, ove applicabili).</w:t>
            </w:r>
            <w:r w:rsidR="000878EC">
              <w:rPr>
                <w:rStyle w:val="InstructionsTabelleText"/>
                <w:rFonts w:ascii="Times New Roman" w:hAnsi="Times New Roman"/>
                <w:sz w:val="24"/>
              </w:rPr>
              <w:t xml:space="preserve"> </w:t>
            </w:r>
          </w:p>
          <w:p w:rsidR="005C14B0" w:rsidRPr="00661595" w:rsidRDefault="005C14B0" w:rsidP="00F2281A">
            <w:pPr>
              <w:keepNext/>
              <w:keepLines/>
              <w:suppressAutoHyphens/>
              <w:autoSpaceDE w:val="0"/>
              <w:autoSpaceDN w:val="0"/>
              <w:adjustRightInd w:val="0"/>
              <w:spacing w:before="0" w:after="0"/>
              <w:rPr>
                <w:rFonts w:ascii="Times New Roman" w:hAnsi="Times New Roman"/>
                <w:b/>
                <w:bCs/>
                <w:sz w:val="24"/>
                <w:u w:val="single"/>
                <w:lang w:eastAsia="nl-BE"/>
              </w:rPr>
            </w:pPr>
          </w:p>
        </w:tc>
      </w:tr>
      <w:tr w:rsidR="000B0B09" w:rsidRPr="00661595" w:rsidTr="00672D2A">
        <w:tc>
          <w:tcPr>
            <w:tcW w:w="993" w:type="dxa"/>
          </w:tcPr>
          <w:p w:rsidR="000B0B09" w:rsidRPr="00661595" w:rsidRDefault="00787733" w:rsidP="00F2281A">
            <w:pPr>
              <w:suppressAutoHyphens/>
              <w:autoSpaceDE w:val="0"/>
              <w:autoSpaceDN w:val="0"/>
              <w:adjustRightInd w:val="0"/>
              <w:spacing w:before="0" w:after="0"/>
              <w:rPr>
                <w:rFonts w:ascii="Times New Roman" w:hAnsi="Times New Roman"/>
                <w:sz w:val="24"/>
              </w:rPr>
            </w:pPr>
            <w:r>
              <w:rPr>
                <w:rFonts w:ascii="Times New Roman" w:hAnsi="Times New Roman"/>
                <w:sz w:val="24"/>
              </w:rPr>
              <w:t>0110</w:t>
            </w:r>
          </w:p>
        </w:tc>
        <w:tc>
          <w:tcPr>
            <w:tcW w:w="7903" w:type="dxa"/>
          </w:tcPr>
          <w:p w:rsidR="000B0B09" w:rsidRPr="00661595" w:rsidRDefault="000B0B09" w:rsidP="00F2281A">
            <w:pPr>
              <w:suppressAutoHyphens/>
              <w:autoSpaceDE w:val="0"/>
              <w:autoSpaceDN w:val="0"/>
              <w:adjustRightInd w:val="0"/>
              <w:spacing w:before="0" w:after="0"/>
              <w:rPr>
                <w:rFonts w:ascii="Times New Roman" w:hAnsi="Times New Roman"/>
                <w:b/>
                <w:bCs/>
                <w:sz w:val="24"/>
                <w:u w:val="single"/>
              </w:rPr>
            </w:pPr>
            <w:r>
              <w:rPr>
                <w:rFonts w:ascii="Times New Roman" w:hAnsi="Times New Roman"/>
                <w:b/>
                <w:bCs/>
                <w:sz w:val="24"/>
                <w:u w:val="single"/>
              </w:rPr>
              <w:t>IMPORTO COMPLESSIVO PER IL RISCHIO SPECIFICO</w:t>
            </w:r>
          </w:p>
          <w:p w:rsidR="000B0B09" w:rsidRPr="00661595" w:rsidRDefault="000B0B09" w:rsidP="00F2281A">
            <w:pPr>
              <w:suppressAutoHyphens/>
              <w:autoSpaceDE w:val="0"/>
              <w:autoSpaceDN w:val="0"/>
              <w:adjustRightInd w:val="0"/>
              <w:rPr>
                <w:rFonts w:ascii="Times New Roman" w:hAnsi="Times New Roman"/>
                <w:b/>
                <w:bCs/>
                <w:sz w:val="24"/>
                <w:u w:val="single"/>
              </w:rPr>
            </w:pPr>
            <w:r>
              <w:rPr>
                <w:rStyle w:val="InstructionsTabelleText"/>
                <w:rFonts w:ascii="Times New Roman" w:hAnsi="Times New Roman"/>
                <w:sz w:val="24"/>
              </w:rPr>
              <w:t>Componente del rischio specifico di strumenti di debito negoziati e strumenti di capitale. VaR del rischio specifico degli strumenti di capitale e strumenti di debito negoziati interni al portafoglio di negoziazione (tenuto conto degli effetti di correlazione, ove applicabili).</w:t>
            </w:r>
          </w:p>
        </w:tc>
      </w:tr>
    </w:tbl>
    <w:p w:rsidR="000B0B09" w:rsidRPr="00661595" w:rsidRDefault="000B0B09">
      <w:pPr>
        <w:spacing w:before="0" w:after="0"/>
        <w:jc w:val="left"/>
        <w:rPr>
          <w:rStyle w:val="InstructionsTabelleText"/>
          <w:rFonts w:ascii="Times New Roman" w:hAnsi="Times New Roman"/>
          <w:sz w:val="24"/>
        </w:rPr>
      </w:pPr>
    </w:p>
    <w:p w:rsidR="000B0B09" w:rsidRPr="00661595" w:rsidRDefault="00125707" w:rsidP="00F2281A">
      <w:pPr>
        <w:pStyle w:val="Instructionsberschrift2"/>
        <w:numPr>
          <w:ilvl w:val="0"/>
          <w:numId w:val="0"/>
        </w:numPr>
        <w:suppressAutoHyphens/>
        <w:ind w:left="357" w:hanging="357"/>
        <w:rPr>
          <w:rFonts w:ascii="Times New Roman" w:hAnsi="Times New Roman" w:cs="Times New Roman"/>
          <w:sz w:val="24"/>
        </w:rPr>
      </w:pPr>
      <w:bookmarkStart w:id="741" w:name="_Toc473561053"/>
      <w:bookmarkStart w:id="742" w:name="_Toc58915860"/>
      <w:r>
        <w:rPr>
          <w:rFonts w:ascii="Times New Roman" w:hAnsi="Times New Roman"/>
          <w:sz w:val="24"/>
          <w:u w:val="none"/>
        </w:rPr>
        <w:t>5.8.</w:t>
      </w:r>
      <w:r w:rsidRPr="00F2281A">
        <w:rPr>
          <w:u w:val="none"/>
        </w:rPr>
        <w:tab/>
      </w:r>
      <w:bookmarkStart w:id="743" w:name="_Toc360188413"/>
      <w:r>
        <w:rPr>
          <w:rFonts w:ascii="Times New Roman" w:hAnsi="Times New Roman"/>
          <w:sz w:val="24"/>
        </w:rPr>
        <w:t>C 25.00 — RISCHIO DI AGGIUSTAMENTO DELLA VALUTAZIONE DEL CREDITO</w:t>
      </w:r>
      <w:bookmarkEnd w:id="743"/>
      <w:r>
        <w:rPr>
          <w:rFonts w:ascii="Times New Roman" w:hAnsi="Times New Roman"/>
          <w:sz w:val="24"/>
        </w:rPr>
        <w:t xml:space="preserve"> (CVA)</w:t>
      </w:r>
      <w:bookmarkEnd w:id="741"/>
      <w:bookmarkEnd w:id="742"/>
    </w:p>
    <w:p w:rsidR="000B0B09" w:rsidRPr="00661595" w:rsidRDefault="00125707" w:rsidP="0023700C">
      <w:pPr>
        <w:pStyle w:val="Instructionsberschrift2"/>
        <w:numPr>
          <w:ilvl w:val="0"/>
          <w:numId w:val="0"/>
        </w:numPr>
        <w:ind w:left="357" w:hanging="357"/>
        <w:rPr>
          <w:rFonts w:ascii="Times New Roman" w:hAnsi="Times New Roman" w:cs="Times New Roman"/>
          <w:sz w:val="24"/>
        </w:rPr>
      </w:pPr>
      <w:bookmarkStart w:id="744" w:name="_Toc360188414"/>
      <w:bookmarkStart w:id="745" w:name="_Toc473561054"/>
      <w:bookmarkStart w:id="746" w:name="_Toc310008820"/>
      <w:bookmarkStart w:id="747" w:name="_Toc58915861"/>
      <w:r>
        <w:rPr>
          <w:rFonts w:ascii="Times New Roman" w:hAnsi="Times New Roman"/>
          <w:sz w:val="24"/>
          <w:u w:val="none"/>
        </w:rPr>
        <w:t>5.8.1.</w:t>
      </w:r>
      <w:r w:rsidRPr="00F2281A">
        <w:rPr>
          <w:u w:val="none"/>
        </w:rPr>
        <w:tab/>
      </w:r>
      <w:r>
        <w:rPr>
          <w:rFonts w:ascii="Times New Roman" w:hAnsi="Times New Roman"/>
          <w:sz w:val="24"/>
        </w:rPr>
        <w:t>Istruzioni relative a posizioni specifiche</w:t>
      </w:r>
      <w:bookmarkEnd w:id="744"/>
      <w:bookmarkEnd w:id="745"/>
      <w:bookmarkEnd w:id="74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661595" w:rsidTr="00672D2A">
        <w:tc>
          <w:tcPr>
            <w:tcW w:w="8856" w:type="dxa"/>
            <w:gridSpan w:val="2"/>
            <w:shd w:val="clear" w:color="auto" w:fill="CCCCCC"/>
          </w:tcPr>
          <w:p w:rsidR="000B0B09" w:rsidRPr="00661595" w:rsidRDefault="000B0B09" w:rsidP="00F2281A">
            <w:pPr>
              <w:suppressAutoHyphens/>
              <w:rPr>
                <w:rFonts w:ascii="Times New Roman" w:hAnsi="Times New Roman"/>
                <w:b/>
                <w:sz w:val="24"/>
              </w:rPr>
            </w:pPr>
            <w:r>
              <w:rPr>
                <w:rFonts w:ascii="Times New Roman" w:hAnsi="Times New Roman"/>
                <w:b/>
                <w:sz w:val="24"/>
              </w:rPr>
              <w:t>Colonne</w:t>
            </w:r>
          </w:p>
        </w:tc>
      </w:tr>
      <w:tr w:rsidR="000B0B09" w:rsidRPr="00661595" w:rsidTr="00672D2A">
        <w:tc>
          <w:tcPr>
            <w:tcW w:w="852" w:type="dxa"/>
          </w:tcPr>
          <w:p w:rsidR="000B0B09" w:rsidRPr="00661595" w:rsidRDefault="00787733" w:rsidP="00F2281A">
            <w:pPr>
              <w:suppressAutoHyphens/>
              <w:rPr>
                <w:rFonts w:ascii="Times New Roman" w:hAnsi="Times New Roman"/>
                <w:sz w:val="24"/>
              </w:rPr>
            </w:pPr>
            <w:r>
              <w:rPr>
                <w:rFonts w:ascii="Times New Roman" w:hAnsi="Times New Roman"/>
                <w:sz w:val="24"/>
              </w:rPr>
              <w:t>0010</w:t>
            </w:r>
          </w:p>
        </w:tc>
        <w:tc>
          <w:tcPr>
            <w:tcW w:w="8004" w:type="dxa"/>
          </w:tcPr>
          <w:p w:rsidR="000B0B09" w:rsidRPr="00661595" w:rsidRDefault="000B0B09" w:rsidP="00F2281A">
            <w:pPr>
              <w:suppressAutoHyphens/>
              <w:rPr>
                <w:rFonts w:ascii="Times New Roman" w:hAnsi="Times New Roman"/>
                <w:b/>
                <w:bCs/>
                <w:sz w:val="24"/>
                <w:u w:val="single"/>
              </w:rPr>
            </w:pPr>
            <w:r>
              <w:rPr>
                <w:rFonts w:ascii="Times New Roman" w:hAnsi="Times New Roman"/>
                <w:b/>
                <w:bCs/>
                <w:sz w:val="24"/>
                <w:u w:val="single"/>
              </w:rPr>
              <w:t>Valore dell</w:t>
            </w:r>
            <w:r w:rsidR="000878EC">
              <w:rPr>
                <w:rFonts w:ascii="Times New Roman" w:hAnsi="Times New Roman"/>
                <w:b/>
                <w:bCs/>
                <w:sz w:val="24"/>
                <w:u w:val="single"/>
              </w:rPr>
              <w:t>'</w:t>
            </w:r>
            <w:r>
              <w:rPr>
                <w:rFonts w:ascii="Times New Roman" w:hAnsi="Times New Roman"/>
                <w:b/>
                <w:bCs/>
                <w:sz w:val="24"/>
                <w:u w:val="single"/>
              </w:rPr>
              <w:t xml:space="preserve">esposizione </w:t>
            </w:r>
          </w:p>
          <w:p w:rsidR="000B0B09" w:rsidRPr="00661595" w:rsidRDefault="000B0B09" w:rsidP="00F2281A">
            <w:pPr>
              <w:suppressAutoHyphens/>
              <w:rPr>
                <w:rFonts w:ascii="Times New Roman" w:hAnsi="Times New Roman"/>
                <w:sz w:val="24"/>
              </w:rPr>
            </w:pPr>
            <w:r>
              <w:rPr>
                <w:rFonts w:ascii="Times New Roman" w:hAnsi="Times New Roman"/>
                <w:sz w:val="24"/>
              </w:rPr>
              <w:t>Articolo 271 del CRR, in combinato disposto con l</w:t>
            </w:r>
            <w:r w:rsidR="000878EC">
              <w:rPr>
                <w:rFonts w:ascii="Times New Roman" w:hAnsi="Times New Roman"/>
                <w:sz w:val="24"/>
              </w:rPr>
              <w:t>'</w:t>
            </w:r>
            <w:r>
              <w:rPr>
                <w:rFonts w:ascii="Times New Roman" w:hAnsi="Times New Roman"/>
                <w:sz w:val="24"/>
              </w:rPr>
              <w:t>articolo 382 del CRR.</w:t>
            </w:r>
          </w:p>
          <w:p w:rsidR="000B0B09" w:rsidRPr="00661595" w:rsidRDefault="000B0B09" w:rsidP="00F2281A">
            <w:pPr>
              <w:suppressAutoHyphens/>
              <w:rPr>
                <w:rFonts w:ascii="Times New Roman" w:hAnsi="Times New Roman"/>
                <w:sz w:val="24"/>
              </w:rPr>
            </w:pPr>
            <w:r>
              <w:rPr>
                <w:rFonts w:ascii="Times New Roman" w:hAnsi="Times New Roman"/>
                <w:sz w:val="24"/>
              </w:rPr>
              <w:t>EAD totale di tutte le operazioni soggette a copertura del rischio di CVA.</w:t>
            </w:r>
          </w:p>
        </w:tc>
      </w:tr>
      <w:tr w:rsidR="000B0B09" w:rsidRPr="00661595" w:rsidTr="00672D2A">
        <w:tc>
          <w:tcPr>
            <w:tcW w:w="852" w:type="dxa"/>
          </w:tcPr>
          <w:p w:rsidR="000B0B09" w:rsidRPr="00661595" w:rsidRDefault="00787733" w:rsidP="00F2281A">
            <w:pPr>
              <w:suppressAutoHyphens/>
              <w:rPr>
                <w:rFonts w:ascii="Times New Roman" w:hAnsi="Times New Roman"/>
                <w:sz w:val="24"/>
              </w:rPr>
            </w:pPr>
            <w:r>
              <w:rPr>
                <w:rFonts w:ascii="Times New Roman" w:hAnsi="Times New Roman"/>
                <w:sz w:val="24"/>
              </w:rPr>
              <w:t>0020</w:t>
            </w:r>
          </w:p>
        </w:tc>
        <w:tc>
          <w:tcPr>
            <w:tcW w:w="8004" w:type="dxa"/>
          </w:tcPr>
          <w:p w:rsidR="000B0B09" w:rsidRPr="00661595" w:rsidRDefault="000B0B09" w:rsidP="00F2281A">
            <w:pPr>
              <w:suppressAutoHyphens/>
              <w:rPr>
                <w:rFonts w:ascii="Times New Roman" w:hAnsi="Times New Roman"/>
                <w:b/>
                <w:bCs/>
                <w:sz w:val="24"/>
                <w:u w:val="single"/>
              </w:rPr>
            </w:pPr>
            <w:r>
              <w:rPr>
                <w:rFonts w:ascii="Times New Roman" w:hAnsi="Times New Roman"/>
                <w:b/>
                <w:bCs/>
                <w:sz w:val="24"/>
                <w:u w:val="single"/>
              </w:rPr>
              <w:t xml:space="preserve">di cui: Derivati OTC </w:t>
            </w:r>
          </w:p>
          <w:p w:rsidR="000B0B09" w:rsidRPr="00661595" w:rsidRDefault="000B0B09" w:rsidP="00F2281A">
            <w:pPr>
              <w:suppressAutoHyphens/>
              <w:rPr>
                <w:rFonts w:ascii="Times New Roman" w:hAnsi="Times New Roman"/>
                <w:sz w:val="24"/>
              </w:rPr>
            </w:pPr>
            <w:r>
              <w:rPr>
                <w:rFonts w:ascii="Times New Roman" w:hAnsi="Times New Roman"/>
                <w:sz w:val="24"/>
              </w:rPr>
              <w:t>Articolo 271 del CRR, in combinato disposto con l</w:t>
            </w:r>
            <w:r w:rsidR="000878EC">
              <w:rPr>
                <w:rFonts w:ascii="Times New Roman" w:hAnsi="Times New Roman"/>
                <w:sz w:val="24"/>
              </w:rPr>
              <w:t>'</w:t>
            </w:r>
            <w:r>
              <w:rPr>
                <w:rFonts w:ascii="Times New Roman" w:hAnsi="Times New Roman"/>
                <w:sz w:val="24"/>
              </w:rPr>
              <w:t>articolo 382, paragrafo 1, del CRR.</w:t>
            </w:r>
          </w:p>
          <w:p w:rsidR="000B0B09" w:rsidRPr="00661595" w:rsidRDefault="000B0B09" w:rsidP="00F2281A">
            <w:pPr>
              <w:suppressAutoHyphens/>
              <w:rPr>
                <w:rFonts w:ascii="Times New Roman" w:hAnsi="Times New Roman"/>
                <w:sz w:val="24"/>
              </w:rPr>
            </w:pPr>
            <w:r>
              <w:rPr>
                <w:rFonts w:ascii="Times New Roman" w:hAnsi="Times New Roman"/>
                <w:sz w:val="24"/>
              </w:rPr>
              <w:t>Parte dell</w:t>
            </w:r>
            <w:r w:rsidR="000878EC">
              <w:rPr>
                <w:rFonts w:ascii="Times New Roman" w:hAnsi="Times New Roman"/>
                <w:sz w:val="24"/>
              </w:rPr>
              <w:t>'</w:t>
            </w:r>
            <w:r>
              <w:rPr>
                <w:rFonts w:ascii="Times New Roman" w:hAnsi="Times New Roman"/>
                <w:sz w:val="24"/>
              </w:rPr>
              <w:t>esposizione totale al rischio di controparte dovuta esclusivamente a derivati OTC. Gli enti che utilizzano il metodo dei modelli interni e detengono derivati OTC e operazioni di finanziamento tramite titoli nel medesimo insieme di attività soggette a compensazione non sono tenuti a segnalare questa informazione.</w:t>
            </w:r>
          </w:p>
        </w:tc>
      </w:tr>
      <w:tr w:rsidR="000B0B09" w:rsidRPr="00661595" w:rsidTr="00672D2A">
        <w:tc>
          <w:tcPr>
            <w:tcW w:w="852" w:type="dxa"/>
          </w:tcPr>
          <w:p w:rsidR="000B0B09" w:rsidRPr="00661595" w:rsidRDefault="00787733" w:rsidP="00F2281A">
            <w:pPr>
              <w:suppressAutoHyphens/>
              <w:rPr>
                <w:rFonts w:ascii="Times New Roman" w:hAnsi="Times New Roman"/>
                <w:sz w:val="24"/>
              </w:rPr>
            </w:pPr>
            <w:r>
              <w:rPr>
                <w:rFonts w:ascii="Times New Roman" w:hAnsi="Times New Roman"/>
                <w:sz w:val="24"/>
              </w:rPr>
              <w:t>0030</w:t>
            </w:r>
          </w:p>
        </w:tc>
        <w:tc>
          <w:tcPr>
            <w:tcW w:w="8004" w:type="dxa"/>
          </w:tcPr>
          <w:p w:rsidR="000B0B09" w:rsidRPr="00661595" w:rsidRDefault="000B0B09" w:rsidP="00F2281A">
            <w:pPr>
              <w:suppressAutoHyphens/>
              <w:rPr>
                <w:rFonts w:ascii="Times New Roman" w:hAnsi="Times New Roman"/>
                <w:b/>
                <w:bCs/>
                <w:sz w:val="24"/>
                <w:u w:val="single"/>
              </w:rPr>
            </w:pPr>
            <w:r>
              <w:rPr>
                <w:rFonts w:ascii="Times New Roman" w:hAnsi="Times New Roman"/>
                <w:b/>
                <w:bCs/>
                <w:sz w:val="24"/>
                <w:u w:val="single"/>
              </w:rPr>
              <w:t xml:space="preserve">di cui: operazioni di finanziamento tramite titoli </w:t>
            </w:r>
          </w:p>
          <w:p w:rsidR="000B0B09" w:rsidRPr="00661595" w:rsidRDefault="000B0B09" w:rsidP="00F2281A">
            <w:pPr>
              <w:suppressAutoHyphens/>
              <w:rPr>
                <w:rFonts w:ascii="Times New Roman" w:hAnsi="Times New Roman"/>
                <w:sz w:val="24"/>
              </w:rPr>
            </w:pPr>
            <w:r>
              <w:rPr>
                <w:rFonts w:ascii="Times New Roman" w:hAnsi="Times New Roman"/>
                <w:sz w:val="24"/>
              </w:rPr>
              <w:t>Articolo 271 del CRR, in combinato disposto con l</w:t>
            </w:r>
            <w:r w:rsidR="000878EC">
              <w:rPr>
                <w:rFonts w:ascii="Times New Roman" w:hAnsi="Times New Roman"/>
                <w:sz w:val="24"/>
              </w:rPr>
              <w:t>'</w:t>
            </w:r>
            <w:r>
              <w:rPr>
                <w:rFonts w:ascii="Times New Roman" w:hAnsi="Times New Roman"/>
                <w:sz w:val="24"/>
              </w:rPr>
              <w:t>articolo 382, paragrafo 2, del CRR.</w:t>
            </w:r>
          </w:p>
          <w:p w:rsidR="000B0B09" w:rsidRPr="00661595" w:rsidRDefault="000B0B09" w:rsidP="00F2281A">
            <w:pPr>
              <w:suppressAutoHyphens/>
              <w:rPr>
                <w:rFonts w:ascii="Times New Roman" w:hAnsi="Times New Roman"/>
                <w:sz w:val="24"/>
              </w:rPr>
            </w:pPr>
            <w:r>
              <w:rPr>
                <w:rFonts w:ascii="Times New Roman" w:hAnsi="Times New Roman"/>
                <w:sz w:val="24"/>
              </w:rPr>
              <w:t>La parte dell</w:t>
            </w:r>
            <w:r w:rsidR="000878EC">
              <w:rPr>
                <w:rFonts w:ascii="Times New Roman" w:hAnsi="Times New Roman"/>
                <w:sz w:val="24"/>
              </w:rPr>
              <w:t>'</w:t>
            </w:r>
            <w:r>
              <w:rPr>
                <w:rFonts w:ascii="Times New Roman" w:hAnsi="Times New Roman"/>
                <w:sz w:val="24"/>
              </w:rPr>
              <w:t>esposizione totale al rischio di controparte dovuta esclusivamente a derivati su operazioni di finanziamento tramite titoli. Gli enti che utilizzano il metodo dei modelli interni e detengono derivati OTC e operazioni di finanziamento tramite titoli nel medesimo insieme di attività soggette a compensazione non sono tenuti a segnalare questa informazione.</w:t>
            </w:r>
          </w:p>
        </w:tc>
      </w:tr>
      <w:tr w:rsidR="000B0B09" w:rsidRPr="00661595" w:rsidTr="00672D2A">
        <w:tc>
          <w:tcPr>
            <w:tcW w:w="852" w:type="dxa"/>
          </w:tcPr>
          <w:p w:rsidR="000B0B09" w:rsidRPr="00661595" w:rsidRDefault="00787733" w:rsidP="00A44D06">
            <w:pPr>
              <w:keepNext/>
              <w:keepLines/>
              <w:suppressAutoHyphens/>
              <w:rPr>
                <w:rFonts w:ascii="Times New Roman" w:hAnsi="Times New Roman"/>
                <w:sz w:val="24"/>
              </w:rPr>
            </w:pPr>
            <w:r>
              <w:rPr>
                <w:rFonts w:ascii="Times New Roman" w:hAnsi="Times New Roman"/>
                <w:sz w:val="24"/>
              </w:rPr>
              <w:t>0040</w:t>
            </w:r>
          </w:p>
        </w:tc>
        <w:tc>
          <w:tcPr>
            <w:tcW w:w="8004" w:type="dxa"/>
          </w:tcPr>
          <w:p w:rsidR="000B0B09" w:rsidRPr="00661595" w:rsidRDefault="000B0B09" w:rsidP="00A44D06">
            <w:pPr>
              <w:keepNext/>
              <w:keepLines/>
              <w:suppressAutoHyphens/>
              <w:rPr>
                <w:rFonts w:ascii="Times New Roman" w:hAnsi="Times New Roman"/>
                <w:b/>
                <w:sz w:val="24"/>
                <w:u w:val="single"/>
              </w:rPr>
            </w:pPr>
            <w:r>
              <w:rPr>
                <w:rFonts w:ascii="Times New Roman" w:hAnsi="Times New Roman"/>
                <w:b/>
                <w:sz w:val="24"/>
                <w:u w:val="single"/>
              </w:rPr>
              <w:t>FATTORE MOLTIPLICATIVO (mc) x MEDIA DEI 60 GIORNI LAVORATIVI PRECEDENTI (VaRavg)</w:t>
            </w:r>
          </w:p>
          <w:p w:rsidR="004F6B6B" w:rsidRPr="00661595" w:rsidRDefault="000B0B09" w:rsidP="00A44D06">
            <w:pPr>
              <w:keepNext/>
              <w:keepLines/>
              <w:suppressAutoHyphens/>
              <w:rPr>
                <w:rFonts w:ascii="Times New Roman" w:hAnsi="Times New Roman"/>
                <w:sz w:val="24"/>
              </w:rPr>
            </w:pPr>
            <w:r>
              <w:rPr>
                <w:rFonts w:ascii="Times New Roman" w:hAnsi="Times New Roman"/>
                <w:sz w:val="24"/>
              </w:rPr>
              <w:t>Articolo 383 del CRR, in combinato disposto con l</w:t>
            </w:r>
            <w:r w:rsidR="000878EC">
              <w:rPr>
                <w:rFonts w:ascii="Times New Roman" w:hAnsi="Times New Roman"/>
                <w:sz w:val="24"/>
              </w:rPr>
              <w:t>'</w:t>
            </w:r>
            <w:r>
              <w:rPr>
                <w:rFonts w:ascii="Times New Roman" w:hAnsi="Times New Roman"/>
                <w:sz w:val="24"/>
              </w:rPr>
              <w:t xml:space="preserve">articolo 363, paragrafo 1, lettera d), del CRR. </w:t>
            </w:r>
          </w:p>
          <w:p w:rsidR="000B0B09" w:rsidRPr="00661595" w:rsidRDefault="000B0B09" w:rsidP="00A44D06">
            <w:pPr>
              <w:keepNext/>
              <w:keepLines/>
              <w:suppressAutoHyphens/>
              <w:rPr>
                <w:rFonts w:ascii="Times New Roman" w:hAnsi="Times New Roman"/>
                <w:sz w:val="24"/>
              </w:rPr>
            </w:pPr>
            <w:r>
              <w:rPr>
                <w:rFonts w:ascii="Times New Roman" w:hAnsi="Times New Roman"/>
                <w:sz w:val="24"/>
              </w:rPr>
              <w:t xml:space="preserve">Calcolo del valore a rischio basato sui modelli interni per il rischio di mercato. </w:t>
            </w:r>
          </w:p>
        </w:tc>
      </w:tr>
      <w:tr w:rsidR="000B0B09" w:rsidRPr="00661595" w:rsidTr="00672D2A">
        <w:tc>
          <w:tcPr>
            <w:tcW w:w="852" w:type="dxa"/>
          </w:tcPr>
          <w:p w:rsidR="000B0B09" w:rsidRPr="00661595" w:rsidRDefault="00787733" w:rsidP="00F2281A">
            <w:pPr>
              <w:suppressAutoHyphens/>
              <w:rPr>
                <w:rFonts w:ascii="Times New Roman" w:hAnsi="Times New Roman"/>
                <w:sz w:val="24"/>
              </w:rPr>
            </w:pPr>
            <w:r>
              <w:rPr>
                <w:rFonts w:ascii="Times New Roman" w:hAnsi="Times New Roman"/>
                <w:sz w:val="24"/>
              </w:rPr>
              <w:t>0050</w:t>
            </w:r>
          </w:p>
        </w:tc>
        <w:tc>
          <w:tcPr>
            <w:tcW w:w="8004" w:type="dxa"/>
          </w:tcPr>
          <w:p w:rsidR="000B0B09" w:rsidRPr="00661595" w:rsidRDefault="000B0B09" w:rsidP="00F2281A">
            <w:pPr>
              <w:suppressAutoHyphens/>
              <w:rPr>
                <w:rFonts w:ascii="Times New Roman" w:hAnsi="Times New Roman"/>
                <w:b/>
                <w:bCs/>
                <w:sz w:val="24"/>
                <w:u w:val="single"/>
              </w:rPr>
            </w:pPr>
            <w:r>
              <w:rPr>
                <w:rFonts w:ascii="Times New Roman" w:hAnsi="Times New Roman"/>
                <w:b/>
                <w:bCs/>
                <w:sz w:val="24"/>
                <w:u w:val="single"/>
              </w:rPr>
              <w:t>GIORNO PRECEDENTE (VaRt-1)</w:t>
            </w:r>
          </w:p>
          <w:p w:rsidR="000B0B09" w:rsidRPr="00661595" w:rsidRDefault="000B0B09" w:rsidP="00F2281A">
            <w:pPr>
              <w:suppressAutoHyphens/>
              <w:rPr>
                <w:rFonts w:ascii="Times New Roman" w:hAnsi="Times New Roman"/>
                <w:sz w:val="24"/>
              </w:rPr>
            </w:pPr>
            <w:r>
              <w:rPr>
                <w:rFonts w:ascii="Times New Roman" w:hAnsi="Times New Roman"/>
                <w:sz w:val="24"/>
              </w:rPr>
              <w:t>Cfr. le istruzioni relative alla colonna 0040</w:t>
            </w:r>
          </w:p>
        </w:tc>
      </w:tr>
      <w:tr w:rsidR="000B0B09" w:rsidRPr="00661595" w:rsidTr="00672D2A">
        <w:tc>
          <w:tcPr>
            <w:tcW w:w="852" w:type="dxa"/>
          </w:tcPr>
          <w:p w:rsidR="000B0B09" w:rsidRPr="00661595" w:rsidRDefault="00787733" w:rsidP="00F2281A">
            <w:pPr>
              <w:suppressAutoHyphens/>
              <w:rPr>
                <w:rFonts w:ascii="Times New Roman" w:hAnsi="Times New Roman"/>
                <w:sz w:val="24"/>
              </w:rPr>
            </w:pPr>
            <w:r>
              <w:rPr>
                <w:rFonts w:ascii="Times New Roman" w:hAnsi="Times New Roman"/>
                <w:sz w:val="24"/>
              </w:rPr>
              <w:t>0060</w:t>
            </w:r>
          </w:p>
        </w:tc>
        <w:tc>
          <w:tcPr>
            <w:tcW w:w="8004" w:type="dxa"/>
          </w:tcPr>
          <w:p w:rsidR="000B0B09" w:rsidRPr="00661595" w:rsidRDefault="000B0B09" w:rsidP="00F2281A">
            <w:pPr>
              <w:suppressAutoHyphens/>
              <w:rPr>
                <w:rFonts w:ascii="Times New Roman" w:hAnsi="Times New Roman"/>
                <w:b/>
                <w:bCs/>
                <w:sz w:val="24"/>
                <w:u w:val="single"/>
              </w:rPr>
            </w:pPr>
            <w:r>
              <w:rPr>
                <w:rFonts w:ascii="Times New Roman" w:hAnsi="Times New Roman"/>
                <w:b/>
                <w:bCs/>
                <w:sz w:val="24"/>
                <w:u w:val="single"/>
              </w:rPr>
              <w:t>FATTORE MOLTIPLICATIVO (ms) x MEDIA DEI 60 GIORNI LAVORATIVI PRECEDENTI (SVaRavg)</w:t>
            </w:r>
          </w:p>
          <w:p w:rsidR="000B0B09" w:rsidRPr="00661595" w:rsidRDefault="000B0B09" w:rsidP="00F2281A">
            <w:pPr>
              <w:suppressAutoHyphens/>
              <w:rPr>
                <w:rFonts w:ascii="Times New Roman" w:hAnsi="Times New Roman"/>
                <w:sz w:val="24"/>
              </w:rPr>
            </w:pPr>
            <w:r>
              <w:rPr>
                <w:rFonts w:ascii="Times New Roman" w:hAnsi="Times New Roman"/>
                <w:sz w:val="24"/>
              </w:rPr>
              <w:t>Cfr. le istruzioni relative alla colonna 0040</w:t>
            </w:r>
          </w:p>
        </w:tc>
      </w:tr>
      <w:tr w:rsidR="000B0B09" w:rsidRPr="00661595" w:rsidTr="00672D2A">
        <w:tc>
          <w:tcPr>
            <w:tcW w:w="852" w:type="dxa"/>
          </w:tcPr>
          <w:p w:rsidR="000B0B09" w:rsidRPr="00661595" w:rsidRDefault="00787733" w:rsidP="00F2281A">
            <w:pPr>
              <w:suppressAutoHyphens/>
              <w:rPr>
                <w:rFonts w:ascii="Times New Roman" w:hAnsi="Times New Roman"/>
                <w:sz w:val="24"/>
              </w:rPr>
            </w:pPr>
            <w:r>
              <w:rPr>
                <w:rFonts w:ascii="Times New Roman" w:hAnsi="Times New Roman"/>
                <w:sz w:val="24"/>
              </w:rPr>
              <w:t>0070</w:t>
            </w:r>
          </w:p>
        </w:tc>
        <w:tc>
          <w:tcPr>
            <w:tcW w:w="8004" w:type="dxa"/>
          </w:tcPr>
          <w:p w:rsidR="000B0B09" w:rsidRPr="00661595" w:rsidRDefault="000B0B09" w:rsidP="00F2281A">
            <w:pPr>
              <w:suppressAutoHyphens/>
              <w:rPr>
                <w:rFonts w:ascii="Times New Roman" w:hAnsi="Times New Roman"/>
                <w:b/>
                <w:sz w:val="24"/>
                <w:u w:val="single"/>
              </w:rPr>
            </w:pPr>
            <w:r>
              <w:rPr>
                <w:rFonts w:ascii="Times New Roman" w:hAnsi="Times New Roman"/>
                <w:b/>
                <w:sz w:val="24"/>
                <w:u w:val="single"/>
              </w:rPr>
              <w:t>ULTIMO DISPONIBILE (SVaRt-1)</w:t>
            </w:r>
          </w:p>
          <w:p w:rsidR="000B0B09" w:rsidRPr="00661595" w:rsidRDefault="000B0B09" w:rsidP="00F2281A">
            <w:pPr>
              <w:suppressAutoHyphens/>
              <w:rPr>
                <w:rFonts w:ascii="Times New Roman" w:hAnsi="Times New Roman"/>
                <w:b/>
                <w:sz w:val="24"/>
                <w:u w:val="single"/>
              </w:rPr>
            </w:pPr>
            <w:r>
              <w:rPr>
                <w:rFonts w:ascii="Times New Roman" w:hAnsi="Times New Roman"/>
                <w:sz w:val="24"/>
              </w:rPr>
              <w:t>Cfr. le istruzioni relative alla colonna 0040</w:t>
            </w:r>
          </w:p>
        </w:tc>
      </w:tr>
      <w:tr w:rsidR="000B0B09" w:rsidRPr="00661595" w:rsidTr="00672D2A">
        <w:tc>
          <w:tcPr>
            <w:tcW w:w="852" w:type="dxa"/>
          </w:tcPr>
          <w:p w:rsidR="000B0B09" w:rsidRPr="00661595" w:rsidRDefault="00787733" w:rsidP="00F2281A">
            <w:pPr>
              <w:suppressAutoHyphens/>
              <w:rPr>
                <w:rFonts w:ascii="Times New Roman" w:hAnsi="Times New Roman"/>
                <w:sz w:val="24"/>
              </w:rPr>
            </w:pPr>
            <w:r>
              <w:rPr>
                <w:rFonts w:ascii="Times New Roman" w:hAnsi="Times New Roman"/>
                <w:sz w:val="24"/>
              </w:rPr>
              <w:t>0080</w:t>
            </w:r>
          </w:p>
        </w:tc>
        <w:tc>
          <w:tcPr>
            <w:tcW w:w="8004" w:type="dxa"/>
          </w:tcPr>
          <w:p w:rsidR="000B0B09" w:rsidRPr="00661595" w:rsidRDefault="000B0B09" w:rsidP="00F2281A">
            <w:pPr>
              <w:suppressAutoHyphens/>
              <w:rPr>
                <w:rFonts w:ascii="Times New Roman" w:hAnsi="Times New Roman"/>
                <w:b/>
                <w:sz w:val="24"/>
                <w:u w:val="single"/>
              </w:rPr>
            </w:pPr>
            <w:r>
              <w:rPr>
                <w:rFonts w:ascii="Times New Roman" w:hAnsi="Times New Roman"/>
                <w:b/>
                <w:sz w:val="24"/>
                <w:u w:val="single"/>
              </w:rPr>
              <w:t>REQUISITI DI FONDI PROPRI</w:t>
            </w:r>
          </w:p>
          <w:p w:rsidR="004F6B6B" w:rsidRPr="00661595" w:rsidRDefault="001E0C80" w:rsidP="00F2281A">
            <w:pPr>
              <w:suppressAutoHyphens/>
              <w:rPr>
                <w:rFonts w:ascii="Times New Roman" w:hAnsi="Times New Roman"/>
                <w:sz w:val="24"/>
              </w:rPr>
            </w:pPr>
            <w:r>
              <w:rPr>
                <w:rFonts w:ascii="Times New Roman" w:hAnsi="Times New Roman"/>
                <w:sz w:val="24"/>
              </w:rPr>
              <w:t xml:space="preserve">Articolo 92, paragrafo 3, lettera d), del CRR. </w:t>
            </w:r>
          </w:p>
          <w:p w:rsidR="000B0B09" w:rsidRPr="00661595" w:rsidRDefault="000B0B09" w:rsidP="00F2281A">
            <w:pPr>
              <w:suppressAutoHyphens/>
              <w:rPr>
                <w:rFonts w:ascii="Times New Roman" w:hAnsi="Times New Roman"/>
                <w:sz w:val="24"/>
              </w:rPr>
            </w:pPr>
            <w:r>
              <w:rPr>
                <w:rFonts w:ascii="Times New Roman" w:hAnsi="Times New Roman"/>
                <w:sz w:val="24"/>
              </w:rPr>
              <w:t>Requisiti di fondi propri per il rischio di CVA calcolato secondo il metodo prescelto.</w:t>
            </w:r>
          </w:p>
        </w:tc>
      </w:tr>
      <w:tr w:rsidR="000B0B09" w:rsidRPr="00661595" w:rsidTr="00672D2A">
        <w:tc>
          <w:tcPr>
            <w:tcW w:w="852" w:type="dxa"/>
          </w:tcPr>
          <w:p w:rsidR="000B0B09" w:rsidRPr="00661595" w:rsidRDefault="00787733" w:rsidP="00F2281A">
            <w:pPr>
              <w:suppressAutoHyphens/>
              <w:rPr>
                <w:rFonts w:ascii="Times New Roman" w:hAnsi="Times New Roman"/>
                <w:sz w:val="24"/>
              </w:rPr>
            </w:pPr>
            <w:r>
              <w:rPr>
                <w:rFonts w:ascii="Times New Roman" w:hAnsi="Times New Roman"/>
                <w:sz w:val="24"/>
              </w:rPr>
              <w:t>0090</w:t>
            </w:r>
          </w:p>
        </w:tc>
        <w:tc>
          <w:tcPr>
            <w:tcW w:w="8004" w:type="dxa"/>
          </w:tcPr>
          <w:p w:rsidR="000B0B09" w:rsidRPr="00661595" w:rsidRDefault="000B0B09" w:rsidP="00F2281A">
            <w:pPr>
              <w:suppressAutoHyphens/>
              <w:rPr>
                <w:rFonts w:ascii="Times New Roman" w:hAnsi="Times New Roman"/>
                <w:b/>
                <w:sz w:val="24"/>
                <w:u w:val="single"/>
              </w:rPr>
            </w:pPr>
            <w:r>
              <w:rPr>
                <w:rFonts w:ascii="Times New Roman" w:hAnsi="Times New Roman"/>
                <w:b/>
                <w:sz w:val="24"/>
                <w:u w:val="single"/>
              </w:rPr>
              <w:t>IMPORTO COMPLESSIVO DELL</w:t>
            </w:r>
            <w:r w:rsidR="000878EC">
              <w:rPr>
                <w:rFonts w:ascii="Times New Roman" w:hAnsi="Times New Roman"/>
                <w:b/>
                <w:sz w:val="24"/>
                <w:u w:val="single"/>
              </w:rPr>
              <w:t>'</w:t>
            </w:r>
            <w:r>
              <w:rPr>
                <w:rFonts w:ascii="Times New Roman" w:hAnsi="Times New Roman"/>
                <w:b/>
                <w:sz w:val="24"/>
                <w:u w:val="single"/>
              </w:rPr>
              <w:t>ESPOSIZIONE AL RISCHIO</w:t>
            </w:r>
          </w:p>
          <w:p w:rsidR="004F6B6B" w:rsidRPr="00661595" w:rsidRDefault="001E0C80" w:rsidP="00F2281A">
            <w:pPr>
              <w:suppressAutoHyphens/>
              <w:rPr>
                <w:rFonts w:ascii="Times New Roman" w:hAnsi="Times New Roman"/>
                <w:sz w:val="24"/>
              </w:rPr>
            </w:pPr>
            <w:r>
              <w:rPr>
                <w:rFonts w:ascii="Times New Roman" w:hAnsi="Times New Roman"/>
                <w:sz w:val="24"/>
              </w:rPr>
              <w:t>Articolo 92, paragrafo 4, lettera b), del CRR</w:t>
            </w:r>
          </w:p>
          <w:p w:rsidR="000B0B09" w:rsidRPr="00661595" w:rsidRDefault="000B0B09" w:rsidP="00F2281A">
            <w:pPr>
              <w:suppressAutoHyphens/>
              <w:rPr>
                <w:rFonts w:ascii="Times New Roman" w:hAnsi="Times New Roman"/>
                <w:sz w:val="24"/>
              </w:rPr>
            </w:pPr>
            <w:r>
              <w:rPr>
                <w:rFonts w:ascii="Times New Roman" w:hAnsi="Times New Roman"/>
                <w:sz w:val="24"/>
              </w:rPr>
              <w:t>Requisiti di fondi propri moltiplicati per 12,5.</w:t>
            </w:r>
          </w:p>
        </w:tc>
      </w:tr>
      <w:tr w:rsidR="000B0B09" w:rsidRPr="00661595" w:rsidTr="00672D2A">
        <w:tc>
          <w:tcPr>
            <w:tcW w:w="852" w:type="dxa"/>
          </w:tcPr>
          <w:p w:rsidR="000B0B09" w:rsidRPr="00661595" w:rsidRDefault="000B0B09" w:rsidP="00F2281A">
            <w:pPr>
              <w:suppressAutoHyphens/>
              <w:rPr>
                <w:rFonts w:ascii="Times New Roman" w:hAnsi="Times New Roman"/>
                <w:sz w:val="24"/>
              </w:rPr>
            </w:pPr>
          </w:p>
        </w:tc>
        <w:tc>
          <w:tcPr>
            <w:tcW w:w="8004" w:type="dxa"/>
          </w:tcPr>
          <w:p w:rsidR="000B0B09" w:rsidRPr="00661595" w:rsidRDefault="000B0B09" w:rsidP="00F2281A">
            <w:pPr>
              <w:suppressAutoHyphens/>
              <w:rPr>
                <w:rFonts w:ascii="Times New Roman" w:hAnsi="Times New Roman"/>
                <w:b/>
                <w:sz w:val="24"/>
                <w:u w:val="single"/>
              </w:rPr>
            </w:pPr>
            <w:r>
              <w:rPr>
                <w:rFonts w:ascii="Times New Roman" w:hAnsi="Times New Roman"/>
                <w:b/>
                <w:sz w:val="24"/>
                <w:u w:val="single"/>
              </w:rPr>
              <w:t>Voci per memoria</w:t>
            </w:r>
          </w:p>
        </w:tc>
      </w:tr>
      <w:tr w:rsidR="000B0B09" w:rsidRPr="00661595" w:rsidTr="00672D2A">
        <w:tc>
          <w:tcPr>
            <w:tcW w:w="852" w:type="dxa"/>
          </w:tcPr>
          <w:p w:rsidR="000B0B09" w:rsidRPr="00661595" w:rsidRDefault="00787733" w:rsidP="00F2281A">
            <w:pPr>
              <w:suppressAutoHyphens/>
              <w:rPr>
                <w:rFonts w:ascii="Times New Roman" w:hAnsi="Times New Roman"/>
                <w:sz w:val="24"/>
              </w:rPr>
            </w:pPr>
            <w:r>
              <w:rPr>
                <w:rFonts w:ascii="Times New Roman" w:hAnsi="Times New Roman"/>
                <w:sz w:val="24"/>
              </w:rPr>
              <w:t>0100</w:t>
            </w:r>
          </w:p>
        </w:tc>
        <w:tc>
          <w:tcPr>
            <w:tcW w:w="8004" w:type="dxa"/>
          </w:tcPr>
          <w:p w:rsidR="000B0B09" w:rsidRPr="00661595" w:rsidRDefault="000B0B09" w:rsidP="00F2281A">
            <w:pPr>
              <w:suppressAutoHyphens/>
              <w:rPr>
                <w:rFonts w:ascii="Times New Roman" w:hAnsi="Times New Roman"/>
                <w:b/>
                <w:sz w:val="24"/>
                <w:u w:val="single"/>
              </w:rPr>
            </w:pPr>
            <w:r>
              <w:rPr>
                <w:rFonts w:ascii="Times New Roman" w:hAnsi="Times New Roman"/>
                <w:b/>
                <w:sz w:val="24"/>
                <w:u w:val="single"/>
              </w:rPr>
              <w:t>Numero di controparti</w:t>
            </w:r>
          </w:p>
          <w:p w:rsidR="000B0B09" w:rsidRPr="00661595" w:rsidRDefault="000B0B09" w:rsidP="00F2281A">
            <w:pPr>
              <w:suppressAutoHyphens/>
              <w:rPr>
                <w:rFonts w:ascii="Times New Roman" w:hAnsi="Times New Roman"/>
                <w:sz w:val="24"/>
              </w:rPr>
            </w:pPr>
            <w:r>
              <w:rPr>
                <w:rFonts w:ascii="Times New Roman" w:hAnsi="Times New Roman"/>
                <w:sz w:val="24"/>
              </w:rPr>
              <w:t>Articolo 382 del CRR.</w:t>
            </w:r>
          </w:p>
          <w:p w:rsidR="000B0B09" w:rsidRPr="00661595" w:rsidRDefault="000B0B09" w:rsidP="00F2281A">
            <w:pPr>
              <w:suppressAutoHyphens/>
              <w:rPr>
                <w:rFonts w:ascii="Times New Roman" w:hAnsi="Times New Roman"/>
                <w:sz w:val="24"/>
              </w:rPr>
            </w:pPr>
            <w:r>
              <w:rPr>
                <w:rFonts w:ascii="Times New Roman" w:hAnsi="Times New Roman"/>
                <w:sz w:val="24"/>
              </w:rPr>
              <w:t>Numero delle controparti comprese nel calcolo dei fondi propri per il rischio di CVA.</w:t>
            </w:r>
          </w:p>
          <w:p w:rsidR="000B0B09" w:rsidRPr="00661595" w:rsidRDefault="000B0B09" w:rsidP="00F2281A">
            <w:pPr>
              <w:suppressAutoHyphens/>
              <w:rPr>
                <w:rFonts w:ascii="Times New Roman" w:hAnsi="Times New Roman"/>
                <w:sz w:val="24"/>
              </w:rPr>
            </w:pPr>
            <w:r>
              <w:rPr>
                <w:rFonts w:ascii="Times New Roman" w:hAnsi="Times New Roman"/>
                <w:sz w:val="24"/>
              </w:rPr>
              <w:t>Le controparti sono un sottoinsieme di debitori. Esistono soltanto nelle operazioni su derivati e nelle operazioni di finanziamento tramite titoli, nelle quali sono l</w:t>
            </w:r>
            <w:r w:rsidR="000878EC">
              <w:rPr>
                <w:rFonts w:ascii="Times New Roman" w:hAnsi="Times New Roman"/>
                <w:sz w:val="24"/>
              </w:rPr>
              <w:t>'</w:t>
            </w:r>
            <w:r>
              <w:rPr>
                <w:rFonts w:ascii="Times New Roman" w:hAnsi="Times New Roman"/>
                <w:sz w:val="24"/>
              </w:rPr>
              <w:t xml:space="preserve">altra parte contrattuale. </w:t>
            </w:r>
          </w:p>
        </w:tc>
      </w:tr>
      <w:tr w:rsidR="000B0B09" w:rsidRPr="00661595" w:rsidTr="00672D2A">
        <w:tc>
          <w:tcPr>
            <w:tcW w:w="852" w:type="dxa"/>
          </w:tcPr>
          <w:p w:rsidR="000B0B09" w:rsidRPr="00661595" w:rsidRDefault="00787733" w:rsidP="00F2281A">
            <w:pPr>
              <w:suppressAutoHyphens/>
              <w:rPr>
                <w:rFonts w:ascii="Times New Roman" w:hAnsi="Times New Roman"/>
                <w:sz w:val="24"/>
              </w:rPr>
            </w:pPr>
            <w:r>
              <w:rPr>
                <w:rFonts w:ascii="Times New Roman" w:hAnsi="Times New Roman"/>
                <w:sz w:val="24"/>
              </w:rPr>
              <w:t>0110</w:t>
            </w:r>
          </w:p>
        </w:tc>
        <w:tc>
          <w:tcPr>
            <w:tcW w:w="8004" w:type="dxa"/>
          </w:tcPr>
          <w:p w:rsidR="000B0B09" w:rsidRPr="00661595" w:rsidRDefault="000B0B09" w:rsidP="00F2281A">
            <w:pPr>
              <w:suppressAutoHyphens/>
              <w:rPr>
                <w:rFonts w:ascii="Times New Roman" w:hAnsi="Times New Roman"/>
                <w:b/>
                <w:sz w:val="24"/>
                <w:u w:val="single"/>
              </w:rPr>
            </w:pPr>
            <w:r>
              <w:rPr>
                <w:rFonts w:ascii="Times New Roman" w:hAnsi="Times New Roman"/>
                <w:b/>
                <w:sz w:val="24"/>
                <w:u w:val="single"/>
              </w:rPr>
              <w:t>di cui: utilizzo di una variabile proxy per determinare il differenziale creditizio</w:t>
            </w:r>
          </w:p>
          <w:p w:rsidR="000B0B09" w:rsidRPr="00661595" w:rsidRDefault="005C14B0" w:rsidP="00F2281A">
            <w:pPr>
              <w:suppressAutoHyphens/>
              <w:rPr>
                <w:rFonts w:ascii="Times New Roman" w:hAnsi="Times New Roman"/>
                <w:b/>
                <w:sz w:val="24"/>
                <w:u w:val="single"/>
              </w:rPr>
            </w:pPr>
            <w:r>
              <w:rPr>
                <w:rFonts w:ascii="Times New Roman" w:hAnsi="Times New Roman"/>
                <w:sz w:val="24"/>
              </w:rPr>
              <w:t>Numero di controparti per le quali il differenziale creditizio è stato determinato utilizzando una variabile proxy invece dei dati di mercato osservati direttamente.</w:t>
            </w:r>
          </w:p>
        </w:tc>
      </w:tr>
      <w:tr w:rsidR="000B0B09" w:rsidRPr="00661595" w:rsidTr="00672D2A">
        <w:tc>
          <w:tcPr>
            <w:tcW w:w="852" w:type="dxa"/>
          </w:tcPr>
          <w:p w:rsidR="000B0B09" w:rsidRPr="00661595" w:rsidRDefault="00787733" w:rsidP="00F2281A">
            <w:pPr>
              <w:suppressAutoHyphens/>
              <w:rPr>
                <w:rFonts w:ascii="Times New Roman" w:hAnsi="Times New Roman"/>
                <w:sz w:val="24"/>
              </w:rPr>
            </w:pPr>
            <w:r>
              <w:rPr>
                <w:rFonts w:ascii="Times New Roman" w:hAnsi="Times New Roman"/>
                <w:sz w:val="24"/>
              </w:rPr>
              <w:t>0120</w:t>
            </w:r>
          </w:p>
        </w:tc>
        <w:tc>
          <w:tcPr>
            <w:tcW w:w="8004" w:type="dxa"/>
          </w:tcPr>
          <w:p w:rsidR="000B0B09" w:rsidRPr="00661595" w:rsidRDefault="000B0B09" w:rsidP="00F2281A">
            <w:pPr>
              <w:suppressAutoHyphens/>
              <w:rPr>
                <w:rFonts w:ascii="Times New Roman" w:hAnsi="Times New Roman"/>
                <w:b/>
                <w:sz w:val="24"/>
                <w:u w:val="single"/>
              </w:rPr>
            </w:pPr>
            <w:r>
              <w:rPr>
                <w:rFonts w:ascii="Times New Roman" w:hAnsi="Times New Roman"/>
                <w:b/>
                <w:sz w:val="24"/>
                <w:u w:val="single"/>
              </w:rPr>
              <w:t>CVA SOSTENUTO</w:t>
            </w:r>
          </w:p>
          <w:p w:rsidR="000B0B09" w:rsidRPr="00661595" w:rsidRDefault="000B0B09" w:rsidP="00F2281A">
            <w:pPr>
              <w:suppressAutoHyphens/>
              <w:rPr>
                <w:rFonts w:ascii="Times New Roman" w:hAnsi="Times New Roman"/>
                <w:sz w:val="24"/>
              </w:rPr>
            </w:pPr>
            <w:r>
              <w:rPr>
                <w:rFonts w:ascii="Times New Roman" w:hAnsi="Times New Roman"/>
                <w:sz w:val="24"/>
              </w:rPr>
              <w:t>Accantonamenti contabili dovuti al calo del merito di credito delle controparti dei derivati.</w:t>
            </w:r>
          </w:p>
        </w:tc>
      </w:tr>
      <w:tr w:rsidR="000B0B09" w:rsidRPr="00661595" w:rsidTr="00672D2A">
        <w:tc>
          <w:tcPr>
            <w:tcW w:w="852" w:type="dxa"/>
          </w:tcPr>
          <w:p w:rsidR="000B0B09" w:rsidRPr="00661595" w:rsidRDefault="00787733" w:rsidP="00F2281A">
            <w:pPr>
              <w:suppressAutoHyphens/>
              <w:rPr>
                <w:rFonts w:ascii="Times New Roman" w:hAnsi="Times New Roman"/>
                <w:sz w:val="24"/>
              </w:rPr>
            </w:pPr>
            <w:r>
              <w:rPr>
                <w:rFonts w:ascii="Times New Roman" w:hAnsi="Times New Roman"/>
                <w:sz w:val="24"/>
              </w:rPr>
              <w:t>0130</w:t>
            </w:r>
          </w:p>
        </w:tc>
        <w:tc>
          <w:tcPr>
            <w:tcW w:w="8004" w:type="dxa"/>
          </w:tcPr>
          <w:p w:rsidR="000B0B09" w:rsidRPr="00661595" w:rsidRDefault="000B0B09" w:rsidP="00F2281A">
            <w:pPr>
              <w:suppressAutoHyphens/>
              <w:rPr>
                <w:rFonts w:ascii="Times New Roman" w:hAnsi="Times New Roman"/>
                <w:b/>
                <w:sz w:val="24"/>
                <w:u w:val="single"/>
              </w:rPr>
            </w:pPr>
            <w:r>
              <w:rPr>
                <w:rFonts w:ascii="Times New Roman" w:hAnsi="Times New Roman"/>
                <w:b/>
                <w:sz w:val="24"/>
                <w:u w:val="single"/>
              </w:rPr>
              <w:t>CDS SINGLE NAME</w:t>
            </w:r>
          </w:p>
          <w:p w:rsidR="000B0B09" w:rsidRPr="00661595" w:rsidRDefault="00D21B29" w:rsidP="00F2281A">
            <w:pPr>
              <w:suppressAutoHyphens/>
              <w:rPr>
                <w:rFonts w:ascii="Times New Roman" w:hAnsi="Times New Roman"/>
                <w:sz w:val="24"/>
              </w:rPr>
            </w:pPr>
            <w:r>
              <w:rPr>
                <w:rFonts w:ascii="Times New Roman" w:hAnsi="Times New Roman"/>
                <w:sz w:val="24"/>
              </w:rPr>
              <w:t xml:space="preserve">Articolo 386, paragrafo 1, lettera a), del CRR </w:t>
            </w:r>
          </w:p>
          <w:p w:rsidR="000B0B09" w:rsidRPr="00661595" w:rsidRDefault="000B0B09" w:rsidP="00F2281A">
            <w:pPr>
              <w:suppressAutoHyphens/>
              <w:rPr>
                <w:rFonts w:ascii="Times New Roman" w:hAnsi="Times New Roman"/>
                <w:sz w:val="24"/>
              </w:rPr>
            </w:pPr>
            <w:r>
              <w:rPr>
                <w:rFonts w:ascii="Times New Roman" w:hAnsi="Times New Roman"/>
                <w:sz w:val="24"/>
              </w:rPr>
              <w:t>Importi nozionali totali dei single name CDS utilizzati come copertura del rischio di CVA.</w:t>
            </w:r>
          </w:p>
        </w:tc>
      </w:tr>
      <w:tr w:rsidR="000B0B09" w:rsidRPr="00661595" w:rsidTr="00672D2A">
        <w:tc>
          <w:tcPr>
            <w:tcW w:w="852" w:type="dxa"/>
          </w:tcPr>
          <w:p w:rsidR="000B0B09" w:rsidRPr="00661595" w:rsidRDefault="00787733" w:rsidP="00F2281A">
            <w:pPr>
              <w:suppressAutoHyphens/>
              <w:rPr>
                <w:rFonts w:ascii="Times New Roman" w:hAnsi="Times New Roman"/>
                <w:sz w:val="24"/>
              </w:rPr>
            </w:pPr>
            <w:r>
              <w:rPr>
                <w:rFonts w:ascii="Times New Roman" w:hAnsi="Times New Roman"/>
                <w:sz w:val="24"/>
              </w:rPr>
              <w:t>0140</w:t>
            </w:r>
          </w:p>
        </w:tc>
        <w:tc>
          <w:tcPr>
            <w:tcW w:w="8004" w:type="dxa"/>
          </w:tcPr>
          <w:p w:rsidR="000B0B09" w:rsidRPr="00661595" w:rsidRDefault="000B0B09" w:rsidP="00F2281A">
            <w:pPr>
              <w:suppressAutoHyphens/>
              <w:rPr>
                <w:rFonts w:ascii="Times New Roman" w:hAnsi="Times New Roman"/>
                <w:b/>
                <w:sz w:val="24"/>
                <w:u w:val="single"/>
              </w:rPr>
            </w:pPr>
            <w:r>
              <w:rPr>
                <w:rFonts w:ascii="Times New Roman" w:hAnsi="Times New Roman"/>
                <w:b/>
                <w:sz w:val="24"/>
                <w:u w:val="single"/>
              </w:rPr>
              <w:t>CDS DELL</w:t>
            </w:r>
            <w:r w:rsidR="000878EC">
              <w:rPr>
                <w:rFonts w:ascii="Times New Roman" w:hAnsi="Times New Roman"/>
                <w:b/>
                <w:sz w:val="24"/>
                <w:u w:val="single"/>
              </w:rPr>
              <w:t>'</w:t>
            </w:r>
            <w:r>
              <w:rPr>
                <w:rFonts w:ascii="Times New Roman" w:hAnsi="Times New Roman"/>
                <w:b/>
                <w:sz w:val="24"/>
                <w:u w:val="single"/>
              </w:rPr>
              <w:t>INDICE</w:t>
            </w:r>
          </w:p>
          <w:p w:rsidR="000B0B09" w:rsidRPr="00661595" w:rsidRDefault="00D21B29" w:rsidP="00F2281A">
            <w:pPr>
              <w:suppressAutoHyphens/>
              <w:rPr>
                <w:rFonts w:ascii="Times New Roman" w:hAnsi="Times New Roman"/>
                <w:sz w:val="24"/>
              </w:rPr>
            </w:pPr>
            <w:r>
              <w:rPr>
                <w:rFonts w:ascii="Times New Roman" w:hAnsi="Times New Roman"/>
                <w:sz w:val="24"/>
              </w:rPr>
              <w:t>Articolo 386, paragrafo 1, lettera b), del CRR</w:t>
            </w:r>
          </w:p>
          <w:p w:rsidR="000B0B09" w:rsidRPr="00661595" w:rsidRDefault="000B0B09" w:rsidP="00F2281A">
            <w:pPr>
              <w:suppressAutoHyphens/>
              <w:rPr>
                <w:rFonts w:ascii="Times New Roman" w:hAnsi="Times New Roman"/>
                <w:b/>
                <w:sz w:val="24"/>
                <w:u w:val="single"/>
              </w:rPr>
            </w:pPr>
            <w:r>
              <w:rPr>
                <w:rFonts w:ascii="Times New Roman" w:hAnsi="Times New Roman"/>
                <w:sz w:val="24"/>
              </w:rPr>
              <w:t>Importi nozionali totali di CDS dell</w:t>
            </w:r>
            <w:r w:rsidR="000878EC">
              <w:rPr>
                <w:rFonts w:ascii="Times New Roman" w:hAnsi="Times New Roman"/>
                <w:sz w:val="24"/>
              </w:rPr>
              <w:t>'</w:t>
            </w:r>
            <w:r>
              <w:rPr>
                <w:rFonts w:ascii="Times New Roman" w:hAnsi="Times New Roman"/>
                <w:sz w:val="24"/>
              </w:rPr>
              <w:t>indice utilizzati come copertura del rischio di CVA.</w:t>
            </w:r>
          </w:p>
        </w:tc>
      </w:tr>
    </w:tbl>
    <w:p w:rsidR="000B0B09" w:rsidRPr="00661595" w:rsidRDefault="000B0B09" w:rsidP="000B0B09">
      <w:pPr>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0B0B09" w:rsidRPr="00661595" w:rsidTr="00672D2A">
        <w:tc>
          <w:tcPr>
            <w:tcW w:w="8856" w:type="dxa"/>
            <w:gridSpan w:val="2"/>
            <w:shd w:val="clear" w:color="auto" w:fill="CCCCCC"/>
          </w:tcPr>
          <w:p w:rsidR="000B0B09" w:rsidRPr="00661595" w:rsidRDefault="000B0B09" w:rsidP="000B0B09">
            <w:pPr>
              <w:rPr>
                <w:rFonts w:ascii="Times New Roman" w:hAnsi="Times New Roman"/>
                <w:b/>
                <w:sz w:val="24"/>
              </w:rPr>
            </w:pPr>
            <w:r>
              <w:rPr>
                <w:rFonts w:ascii="Times New Roman" w:hAnsi="Times New Roman"/>
                <w:b/>
                <w:sz w:val="24"/>
              </w:rPr>
              <w:t>Righe</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0010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Rischio totale di CVA</w:t>
            </w:r>
          </w:p>
          <w:p w:rsidR="000B0B09" w:rsidRPr="00661595" w:rsidRDefault="000B0B09" w:rsidP="002300C6">
            <w:pPr>
              <w:rPr>
                <w:rFonts w:ascii="Times New Roman" w:hAnsi="Times New Roman"/>
                <w:bCs/>
                <w:sz w:val="24"/>
              </w:rPr>
            </w:pPr>
            <w:r>
              <w:rPr>
                <w:rFonts w:ascii="Times New Roman" w:hAnsi="Times New Roman"/>
                <w:bCs/>
                <w:sz w:val="24"/>
              </w:rPr>
              <w:t>Somma delle righe da 0020 a 0040.</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 xml:space="preserve">0020 </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Metodo avanzato</w:t>
            </w:r>
          </w:p>
          <w:p w:rsidR="000B0B09" w:rsidRPr="00661595" w:rsidRDefault="000B0B09" w:rsidP="000B0B09">
            <w:pPr>
              <w:rPr>
                <w:rFonts w:ascii="Times New Roman" w:hAnsi="Times New Roman"/>
                <w:bCs/>
                <w:sz w:val="24"/>
              </w:rPr>
            </w:pPr>
            <w:r>
              <w:rPr>
                <w:rFonts w:ascii="Times New Roman" w:hAnsi="Times New Roman"/>
                <w:bCs/>
                <w:sz w:val="24"/>
              </w:rPr>
              <w:t>Metodo avanzato di calcolo del rischio di CVA previsto dall</w:t>
            </w:r>
            <w:r w:rsidR="000878EC">
              <w:rPr>
                <w:rFonts w:ascii="Times New Roman" w:hAnsi="Times New Roman"/>
                <w:bCs/>
                <w:sz w:val="24"/>
              </w:rPr>
              <w:t>'</w:t>
            </w:r>
            <w:r>
              <w:rPr>
                <w:rFonts w:ascii="Times New Roman" w:hAnsi="Times New Roman"/>
                <w:bCs/>
                <w:sz w:val="24"/>
              </w:rPr>
              <w:t>articolo 383 del</w:t>
            </w:r>
            <w:r>
              <w:rPr>
                <w:rFonts w:ascii="Times New Roman" w:hAnsi="Times New Roman"/>
                <w:sz w:val="24"/>
              </w:rPr>
              <w:t xml:space="preserve"> CRR.</w:t>
            </w:r>
            <w:r>
              <w:rPr>
                <w:rFonts w:ascii="Times New Roman" w:hAnsi="Times New Roman"/>
                <w:bCs/>
                <w:sz w:val="24"/>
              </w:rPr>
              <w:t xml:space="preserve"> </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0030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Metodo standardizzato</w:t>
            </w:r>
          </w:p>
          <w:p w:rsidR="000B0B09" w:rsidRPr="00661595" w:rsidRDefault="000B0B09" w:rsidP="000B0B09">
            <w:pPr>
              <w:rPr>
                <w:rFonts w:ascii="Times New Roman" w:hAnsi="Times New Roman"/>
                <w:bCs/>
                <w:sz w:val="24"/>
              </w:rPr>
            </w:pPr>
            <w:r>
              <w:rPr>
                <w:rFonts w:ascii="Times New Roman" w:hAnsi="Times New Roman"/>
                <w:bCs/>
                <w:sz w:val="24"/>
              </w:rPr>
              <w:t>Metodo standardizzato di calcolo del rischio di CVA previsto dall</w:t>
            </w:r>
            <w:r w:rsidR="000878EC">
              <w:rPr>
                <w:rFonts w:ascii="Times New Roman" w:hAnsi="Times New Roman"/>
                <w:bCs/>
                <w:sz w:val="24"/>
              </w:rPr>
              <w:t>'</w:t>
            </w:r>
            <w:r>
              <w:rPr>
                <w:rFonts w:ascii="Times New Roman" w:hAnsi="Times New Roman"/>
                <w:bCs/>
                <w:sz w:val="24"/>
              </w:rPr>
              <w:t xml:space="preserve">articolo 384 del </w:t>
            </w:r>
            <w:r>
              <w:rPr>
                <w:rFonts w:ascii="Times New Roman" w:hAnsi="Times New Roman"/>
                <w:sz w:val="24"/>
              </w:rPr>
              <w:t>CRR.</w:t>
            </w:r>
            <w:r>
              <w:rPr>
                <w:rFonts w:ascii="Times New Roman" w:hAnsi="Times New Roman"/>
                <w:bCs/>
                <w:sz w:val="24"/>
              </w:rPr>
              <w:t xml:space="preserve"> </w:t>
            </w:r>
          </w:p>
        </w:tc>
      </w:tr>
      <w:tr w:rsidR="000B0B09" w:rsidRPr="00661595" w:rsidTr="00672D2A">
        <w:tc>
          <w:tcPr>
            <w:tcW w:w="852" w:type="dxa"/>
          </w:tcPr>
          <w:p w:rsidR="000B0B09" w:rsidRPr="00661595" w:rsidRDefault="00787733" w:rsidP="000B0B09">
            <w:pPr>
              <w:rPr>
                <w:rFonts w:ascii="Times New Roman" w:hAnsi="Times New Roman"/>
                <w:sz w:val="24"/>
              </w:rPr>
            </w:pPr>
            <w:r>
              <w:rPr>
                <w:rFonts w:ascii="Times New Roman" w:hAnsi="Times New Roman"/>
                <w:sz w:val="24"/>
              </w:rPr>
              <w:t>0040</w:t>
            </w:r>
          </w:p>
        </w:tc>
        <w:tc>
          <w:tcPr>
            <w:tcW w:w="8004" w:type="dxa"/>
          </w:tcPr>
          <w:p w:rsidR="000B0B09" w:rsidRPr="00661595" w:rsidRDefault="000B0B09" w:rsidP="000B0B09">
            <w:pPr>
              <w:rPr>
                <w:rFonts w:ascii="Times New Roman" w:hAnsi="Times New Roman"/>
                <w:b/>
                <w:bCs/>
                <w:sz w:val="24"/>
                <w:u w:val="single"/>
              </w:rPr>
            </w:pPr>
            <w:r>
              <w:rPr>
                <w:rFonts w:ascii="Times New Roman" w:hAnsi="Times New Roman"/>
                <w:b/>
                <w:bCs/>
                <w:sz w:val="24"/>
                <w:u w:val="single"/>
              </w:rPr>
              <w:t>In base al metodo dell</w:t>
            </w:r>
            <w:r w:rsidR="000878EC">
              <w:rPr>
                <w:rFonts w:ascii="Times New Roman" w:hAnsi="Times New Roman"/>
                <w:b/>
                <w:bCs/>
                <w:sz w:val="24"/>
                <w:u w:val="single"/>
              </w:rPr>
              <w:t>'</w:t>
            </w:r>
            <w:r>
              <w:rPr>
                <w:rFonts w:ascii="Times New Roman" w:hAnsi="Times New Roman"/>
                <w:b/>
                <w:bCs/>
                <w:sz w:val="24"/>
                <w:u w:val="single"/>
              </w:rPr>
              <w:t>esposizione originaria (OEM)</w:t>
            </w:r>
          </w:p>
          <w:p w:rsidR="000B0B09" w:rsidRPr="00661595" w:rsidRDefault="000B0B09" w:rsidP="00E871FE">
            <w:pPr>
              <w:rPr>
                <w:rFonts w:ascii="Times New Roman" w:hAnsi="Times New Roman"/>
                <w:bCs/>
                <w:sz w:val="24"/>
              </w:rPr>
            </w:pPr>
            <w:r>
              <w:rPr>
                <w:rFonts w:ascii="Times New Roman" w:hAnsi="Times New Roman"/>
                <w:bCs/>
                <w:sz w:val="24"/>
              </w:rPr>
              <w:t>Importi soggetti all</w:t>
            </w:r>
            <w:r w:rsidR="000878EC">
              <w:rPr>
                <w:rFonts w:ascii="Times New Roman" w:hAnsi="Times New Roman"/>
                <w:bCs/>
                <w:sz w:val="24"/>
              </w:rPr>
              <w:t>'</w:t>
            </w:r>
            <w:r>
              <w:rPr>
                <w:rFonts w:ascii="Times New Roman" w:hAnsi="Times New Roman"/>
                <w:bCs/>
                <w:sz w:val="24"/>
              </w:rPr>
              <w:t>applicazione dell</w:t>
            </w:r>
            <w:r w:rsidR="000878EC">
              <w:rPr>
                <w:rFonts w:ascii="Times New Roman" w:hAnsi="Times New Roman"/>
                <w:bCs/>
                <w:sz w:val="24"/>
              </w:rPr>
              <w:t>'</w:t>
            </w:r>
            <w:r>
              <w:rPr>
                <w:rFonts w:ascii="Times New Roman" w:hAnsi="Times New Roman"/>
                <w:bCs/>
                <w:sz w:val="24"/>
              </w:rPr>
              <w:t>articolo 385 del</w:t>
            </w:r>
            <w:r>
              <w:rPr>
                <w:rFonts w:ascii="Times New Roman" w:hAnsi="Times New Roman"/>
                <w:sz w:val="24"/>
              </w:rPr>
              <w:t xml:space="preserve"> CRR.</w:t>
            </w:r>
          </w:p>
        </w:tc>
      </w:tr>
      <w:bookmarkEnd w:id="746"/>
    </w:tbl>
    <w:p w:rsidR="00633DEB" w:rsidRPr="00661595" w:rsidRDefault="00633DEB" w:rsidP="00C61FF5">
      <w:pPr>
        <w:rPr>
          <w:rStyle w:val="InstructionsTabelleText"/>
          <w:rFonts w:ascii="Times New Roman" w:hAnsi="Times New Roman"/>
          <w:sz w:val="24"/>
        </w:rPr>
      </w:pPr>
    </w:p>
    <w:p w:rsidR="00995A7F" w:rsidRPr="00661595" w:rsidRDefault="00995A7F" w:rsidP="00995A7F">
      <w:pPr>
        <w:pStyle w:val="Instructionsberschrift2"/>
        <w:numPr>
          <w:ilvl w:val="0"/>
          <w:numId w:val="0"/>
        </w:numPr>
        <w:ind w:left="357" w:hanging="357"/>
        <w:rPr>
          <w:rFonts w:ascii="Times New Roman" w:hAnsi="Times New Roman" w:cs="Times New Roman"/>
          <w:sz w:val="24"/>
        </w:rPr>
      </w:pPr>
      <w:bookmarkStart w:id="748" w:name="_Toc58915862"/>
      <w:r>
        <w:rPr>
          <w:rFonts w:ascii="Times New Roman" w:hAnsi="Times New Roman"/>
          <w:sz w:val="24"/>
          <w:u w:val="none"/>
        </w:rPr>
        <w:t>6.</w:t>
      </w:r>
      <w:r w:rsidRPr="00A44D06">
        <w:rPr>
          <w:u w:val="none"/>
        </w:rPr>
        <w:tab/>
      </w:r>
      <w:r>
        <w:rPr>
          <w:rFonts w:ascii="Times New Roman" w:hAnsi="Times New Roman"/>
          <w:sz w:val="24"/>
        </w:rPr>
        <w:t>Valutazione prudente (PruVal)</w:t>
      </w:r>
      <w:bookmarkEnd w:id="748"/>
    </w:p>
    <w:p w:rsidR="00995A7F" w:rsidRPr="00661595" w:rsidRDefault="00995A7F" w:rsidP="00995A7F">
      <w:pPr>
        <w:pStyle w:val="Instructionsberschrift2"/>
        <w:numPr>
          <w:ilvl w:val="0"/>
          <w:numId w:val="0"/>
        </w:numPr>
        <w:ind w:left="357" w:hanging="357"/>
        <w:rPr>
          <w:rFonts w:ascii="Times New Roman" w:hAnsi="Times New Roman" w:cs="Times New Roman"/>
          <w:sz w:val="24"/>
          <w:u w:val="none"/>
        </w:rPr>
      </w:pPr>
      <w:bookmarkStart w:id="749" w:name="_Toc58915863"/>
      <w:r>
        <w:rPr>
          <w:rFonts w:ascii="Times New Roman" w:hAnsi="Times New Roman"/>
          <w:sz w:val="24"/>
          <w:u w:val="none"/>
        </w:rPr>
        <w:t>6,1.</w:t>
      </w:r>
      <w:r w:rsidRPr="00A44D06">
        <w:rPr>
          <w:u w:val="none"/>
        </w:rPr>
        <w:tab/>
      </w:r>
      <w:r>
        <w:rPr>
          <w:rFonts w:ascii="Times New Roman" w:hAnsi="Times New Roman"/>
          <w:sz w:val="24"/>
        </w:rPr>
        <w:t>C 32.01 - Valutazione prudente: attività e passività valutate al fair value (valore equo) (PruVal 1)</w:t>
      </w:r>
      <w:bookmarkEnd w:id="749"/>
    </w:p>
    <w:p w:rsidR="00995A7F" w:rsidRPr="00661595" w:rsidRDefault="00995A7F" w:rsidP="00995A7F">
      <w:pPr>
        <w:pStyle w:val="Instructionsberschrift2"/>
        <w:numPr>
          <w:ilvl w:val="0"/>
          <w:numId w:val="0"/>
        </w:numPr>
        <w:ind w:left="357" w:hanging="357"/>
        <w:rPr>
          <w:rFonts w:ascii="Times New Roman" w:hAnsi="Times New Roman" w:cs="Times New Roman"/>
          <w:sz w:val="24"/>
          <w:u w:val="none"/>
        </w:rPr>
      </w:pPr>
      <w:bookmarkStart w:id="750" w:name="_Toc58915864"/>
      <w:r>
        <w:rPr>
          <w:rFonts w:ascii="Times New Roman" w:hAnsi="Times New Roman"/>
          <w:sz w:val="24"/>
          <w:u w:val="none"/>
        </w:rPr>
        <w:t>6.1.1.</w:t>
      </w:r>
      <w:r w:rsidRPr="00A44D06">
        <w:rPr>
          <w:u w:val="none"/>
        </w:rPr>
        <w:tab/>
      </w:r>
      <w:r>
        <w:rPr>
          <w:rFonts w:ascii="Times New Roman" w:hAnsi="Times New Roman"/>
          <w:sz w:val="24"/>
        </w:rPr>
        <w:t>Osservazioni di carattere generale</w:t>
      </w:r>
      <w:bookmarkEnd w:id="750"/>
      <w:r>
        <w:rPr>
          <w:rFonts w:ascii="Times New Roman" w:hAnsi="Times New Roman"/>
          <w:sz w:val="24"/>
          <w:u w:val="none"/>
        </w:rPr>
        <w:t xml:space="preserve"> </w:t>
      </w:r>
    </w:p>
    <w:p w:rsidR="00B828CC" w:rsidRPr="00661595" w:rsidRDefault="00A971CA" w:rsidP="00A44D06">
      <w:pPr>
        <w:pStyle w:val="InstructionsText2"/>
        <w:numPr>
          <w:ilvl w:val="0"/>
          <w:numId w:val="0"/>
        </w:numPr>
        <w:ind w:left="1680" w:hanging="480"/>
      </w:pPr>
      <w:r>
        <w:fldChar w:fldCharType="begin"/>
      </w:r>
      <w:r>
        <w:instrText xml:space="preserve"> seq paragraphs </w:instrText>
      </w:r>
      <w:r>
        <w:fldChar w:fldCharType="separate"/>
      </w:r>
      <w:r w:rsidR="00D11E4C">
        <w:rPr>
          <w:noProof/>
        </w:rPr>
        <w:t>176</w:t>
      </w:r>
      <w:r>
        <w:rPr>
          <w:noProof/>
        </w:rPr>
        <w:fldChar w:fldCharType="end"/>
      </w:r>
      <w:r w:rsidR="00A44D06">
        <w:t>.</w:t>
      </w:r>
      <w:r w:rsidR="00A44D06">
        <w:tab/>
      </w:r>
      <w:r w:rsidR="00D11E4C">
        <w:t>Questo modello è compilato da tutti gli enti, a prescindere dal fatto che abbiano o meno adottato il metodo semplificato per la determinazione degli aggiustamenti di valutazione supplementari (AVA). Ha per oggetto il valore assoluto delle attività e passività valutate al fair value (valore equo) utilizzato per determinare se siano o meno soddisfatte le condizioni di cui all</w:t>
      </w:r>
      <w:r w:rsidR="000878EC">
        <w:t>'</w:t>
      </w:r>
      <w:r w:rsidR="00D11E4C">
        <w:t>articolo 4 del regolamento delegato (UE) 2016/101 della Commissione</w:t>
      </w:r>
      <w:r w:rsidR="00D11E4C">
        <w:rPr>
          <w:rStyle w:val="FootnoteReference"/>
        </w:rPr>
        <w:footnoteReference w:id="15"/>
      </w:r>
      <w:r w:rsidR="00D11E4C">
        <w:t xml:space="preserve"> per l</w:t>
      </w:r>
      <w:r w:rsidR="000878EC">
        <w:t>'</w:t>
      </w:r>
      <w:r w:rsidR="00D11E4C">
        <w:t>uso del metodo semplificato per la determinazione degli AVA.</w:t>
      </w:r>
    </w:p>
    <w:p w:rsidR="00995A7F" w:rsidRPr="00661595" w:rsidRDefault="00A971CA" w:rsidP="003E376A">
      <w:pPr>
        <w:pStyle w:val="InstructionsText2"/>
        <w:numPr>
          <w:ilvl w:val="0"/>
          <w:numId w:val="0"/>
        </w:numPr>
        <w:ind w:left="1680" w:hanging="480"/>
      </w:pPr>
      <w:r>
        <w:fldChar w:fldCharType="begin"/>
      </w:r>
      <w:r>
        <w:instrText xml:space="preserve"> seq paragraphs </w:instrText>
      </w:r>
      <w:r>
        <w:fldChar w:fldCharType="separate"/>
      </w:r>
      <w:r w:rsidR="00D11E4C">
        <w:rPr>
          <w:noProof/>
        </w:rPr>
        <w:t>177</w:t>
      </w:r>
      <w:r>
        <w:rPr>
          <w:noProof/>
        </w:rPr>
        <w:fldChar w:fldCharType="end"/>
      </w:r>
      <w:r w:rsidR="003E376A">
        <w:t>.</w:t>
      </w:r>
      <w:r w:rsidR="003E376A">
        <w:tab/>
      </w:r>
      <w:r w:rsidR="00D11E4C">
        <w:t>Per quanto riguarda gli enti che utilizzano il metodo semplificato, questo modello fornisce l</w:t>
      </w:r>
      <w:r w:rsidR="000878EC">
        <w:t>'</w:t>
      </w:r>
      <w:r w:rsidR="00D11E4C">
        <w:t>AVA totale da dedurre dai fondi propri a norma degli articoli 34 e 105 del CRR come previsto all</w:t>
      </w:r>
      <w:r w:rsidR="000878EC">
        <w:t>'</w:t>
      </w:r>
      <w:r w:rsidR="00D11E4C">
        <w:t>articolo 5 del regolamento delegato (UE) 2016/101, che va segnalato di conseguenza nella riga 0290 del C 01.00.</w:t>
      </w:r>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51" w:name="_Toc58915865"/>
      <w:r>
        <w:rPr>
          <w:rFonts w:ascii="Times New Roman" w:hAnsi="Times New Roman"/>
          <w:sz w:val="24"/>
          <w:u w:val="none"/>
        </w:rPr>
        <w:t>6.1.2.</w:t>
      </w:r>
      <w:r w:rsidRPr="003E376A">
        <w:rPr>
          <w:u w:val="none"/>
        </w:rPr>
        <w:tab/>
      </w:r>
      <w:r>
        <w:rPr>
          <w:rFonts w:ascii="Times New Roman" w:hAnsi="Times New Roman"/>
          <w:sz w:val="24"/>
        </w:rPr>
        <w:t>Istruzioni relative a posizioni specifiche</w:t>
      </w:r>
      <w:bookmarkEnd w:id="751"/>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661595" w:rsidTr="00672D2A">
        <w:tc>
          <w:tcPr>
            <w:tcW w:w="9291" w:type="dxa"/>
            <w:gridSpan w:val="2"/>
            <w:shd w:val="clear" w:color="auto" w:fill="CCCCCC"/>
          </w:tcPr>
          <w:p w:rsidR="00B93FA1" w:rsidRPr="00661595" w:rsidRDefault="00B93FA1" w:rsidP="003E376A">
            <w:pPr>
              <w:suppressAutoHyphens/>
              <w:spacing w:beforeLines="60" w:before="144" w:afterLines="60" w:after="144"/>
              <w:rPr>
                <w:rFonts w:ascii="Times New Roman" w:hAnsi="Times New Roman"/>
                <w:b/>
                <w:sz w:val="24"/>
              </w:rPr>
            </w:pPr>
            <w:r>
              <w:rPr>
                <w:rFonts w:ascii="Times New Roman" w:hAnsi="Times New Roman"/>
                <w:b/>
                <w:sz w:val="24"/>
              </w:rPr>
              <w:t>Colonne</w:t>
            </w:r>
          </w:p>
        </w:tc>
      </w:tr>
      <w:tr w:rsidR="00B93FA1" w:rsidRPr="00661595" w:rsidTr="00672D2A">
        <w:tc>
          <w:tcPr>
            <w:tcW w:w="1101" w:type="dxa"/>
          </w:tcPr>
          <w:p w:rsidR="00B93FA1" w:rsidRPr="00661595" w:rsidRDefault="00B93FA1" w:rsidP="003E376A">
            <w:pPr>
              <w:suppressAutoHyphens/>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B93FA1" w:rsidRPr="00661595" w:rsidRDefault="00B93FA1" w:rsidP="003E376A">
            <w:pPr>
              <w:suppressAutoHyphens/>
              <w:spacing w:beforeLines="60" w:before="144" w:afterLines="60" w:after="144"/>
              <w:rPr>
                <w:rFonts w:ascii="Times New Roman" w:hAnsi="Times New Roman"/>
                <w:b/>
                <w:caps/>
                <w:sz w:val="24"/>
                <w:u w:val="single"/>
              </w:rPr>
            </w:pPr>
            <w:r>
              <w:rPr>
                <w:rFonts w:ascii="Times New Roman" w:hAnsi="Times New Roman"/>
                <w:b/>
                <w:caps/>
                <w:sz w:val="24"/>
                <w:u w:val="single"/>
              </w:rPr>
              <w:t>ATTIVITÀ E PASSIVITÀ VALUTATE AL FAIR VALUE (VALORE EQUO)</w:t>
            </w:r>
          </w:p>
          <w:p w:rsidR="00B93FA1" w:rsidRPr="00661595" w:rsidRDefault="00B93FA1" w:rsidP="003E376A">
            <w:pPr>
              <w:suppressAutoHyphens/>
              <w:spacing w:beforeLines="60" w:before="144" w:afterLines="60" w:after="144"/>
              <w:rPr>
                <w:rFonts w:ascii="Times New Roman" w:hAnsi="Times New Roman"/>
                <w:sz w:val="24"/>
              </w:rPr>
            </w:pPr>
            <w:r>
              <w:rPr>
                <w:rFonts w:ascii="Times New Roman" w:hAnsi="Times New Roman"/>
                <w:sz w:val="24"/>
              </w:rPr>
              <w:t>Il valore assoluto delle attività e delle passività valutate al fair value (valore equo) rilevato a bilancio ai sensi della disciplina contabile applicabile di cui all</w:t>
            </w:r>
            <w:r w:rsidR="000878EC">
              <w:rPr>
                <w:rFonts w:ascii="Times New Roman" w:hAnsi="Times New Roman"/>
                <w:sz w:val="24"/>
              </w:rPr>
              <w:t>'</w:t>
            </w:r>
            <w:r>
              <w:rPr>
                <w:rFonts w:ascii="Times New Roman" w:hAnsi="Times New Roman"/>
                <w:sz w:val="24"/>
              </w:rPr>
              <w:t>articolo 4, paragrafo 1, del regolamento delegato (UE) 2016/101, prima di qualsiasi esclusione a norma dell</w:t>
            </w:r>
            <w:r w:rsidR="000878EC">
              <w:rPr>
                <w:rFonts w:ascii="Times New Roman" w:hAnsi="Times New Roman"/>
                <w:sz w:val="24"/>
              </w:rPr>
              <w:t>'</w:t>
            </w:r>
            <w:r>
              <w:rPr>
                <w:rFonts w:ascii="Times New Roman" w:hAnsi="Times New Roman"/>
                <w:sz w:val="24"/>
              </w:rPr>
              <w:t>articolo 4, paragrafo 2, del medesimo regolamento delegato.</w:t>
            </w:r>
          </w:p>
        </w:tc>
      </w:tr>
      <w:tr w:rsidR="00B93FA1" w:rsidRPr="00661595" w:rsidTr="00672D2A">
        <w:tc>
          <w:tcPr>
            <w:tcW w:w="1101" w:type="dxa"/>
          </w:tcPr>
          <w:p w:rsidR="00B93FA1" w:rsidRPr="00661595" w:rsidRDefault="001924F4" w:rsidP="003E376A">
            <w:pPr>
              <w:suppressAutoHyphens/>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B93FA1" w:rsidRPr="00661595" w:rsidRDefault="00B93FA1" w:rsidP="003E376A">
            <w:pPr>
              <w:suppressAutoHyphens/>
              <w:spacing w:beforeLines="60" w:before="144" w:afterLines="60" w:after="144"/>
              <w:rPr>
                <w:rFonts w:ascii="Times New Roman" w:hAnsi="Times New Roman"/>
                <w:b/>
                <w:caps/>
                <w:sz w:val="24"/>
                <w:u w:val="single"/>
              </w:rPr>
            </w:pPr>
            <w:r>
              <w:rPr>
                <w:rFonts w:ascii="Times New Roman" w:hAnsi="Times New Roman"/>
                <w:b/>
                <w:caps/>
                <w:sz w:val="24"/>
                <w:u w:val="single"/>
              </w:rPr>
              <w:t>DI CUI: portafoglio di negoziazione</w:t>
            </w:r>
          </w:p>
          <w:p w:rsidR="00B93FA1" w:rsidRPr="00661595" w:rsidRDefault="00B93FA1" w:rsidP="003E376A">
            <w:pPr>
              <w:suppressAutoHyphens/>
              <w:spacing w:beforeLines="60" w:before="144" w:afterLines="60" w:after="144"/>
              <w:rPr>
                <w:rFonts w:ascii="Times New Roman" w:hAnsi="Times New Roman"/>
                <w:b/>
                <w:caps/>
                <w:sz w:val="24"/>
                <w:u w:val="single"/>
              </w:rPr>
            </w:pPr>
            <w:r>
              <w:rPr>
                <w:rFonts w:ascii="Times New Roman" w:hAnsi="Times New Roman"/>
                <w:sz w:val="24"/>
              </w:rPr>
              <w:t xml:space="preserve">Il valore assoluto delle attività e delle passività valutate al fair value (valore equo) di cui a 010 corrispondenti a posizioni detenute nel portafoglio di negoziazione. </w:t>
            </w:r>
          </w:p>
        </w:tc>
      </w:tr>
      <w:tr w:rsidR="00B93FA1" w:rsidRPr="00661595" w:rsidTr="00672D2A">
        <w:tc>
          <w:tcPr>
            <w:tcW w:w="1101" w:type="dxa"/>
          </w:tcPr>
          <w:p w:rsidR="00B93FA1" w:rsidRPr="00661595" w:rsidRDefault="00B93FA1" w:rsidP="003E376A">
            <w:pPr>
              <w:suppressAutoHyphens/>
              <w:spacing w:beforeLines="60" w:before="144" w:afterLines="60" w:after="144"/>
              <w:rPr>
                <w:rFonts w:ascii="Times New Roman" w:hAnsi="Times New Roman"/>
                <w:sz w:val="24"/>
              </w:rPr>
            </w:pPr>
            <w:r>
              <w:rPr>
                <w:rFonts w:ascii="Times New Roman" w:hAnsi="Times New Roman"/>
                <w:sz w:val="24"/>
              </w:rPr>
              <w:t>0030-0070</w:t>
            </w:r>
          </w:p>
        </w:tc>
        <w:tc>
          <w:tcPr>
            <w:tcW w:w="8190" w:type="dxa"/>
          </w:tcPr>
          <w:p w:rsidR="00B93FA1" w:rsidRPr="00661595" w:rsidRDefault="00B93FA1" w:rsidP="003E376A">
            <w:pPr>
              <w:suppressAutoHyphens/>
              <w:spacing w:beforeLines="60" w:before="144" w:afterLines="60" w:after="144"/>
              <w:rPr>
                <w:rFonts w:ascii="Times New Roman" w:hAnsi="Times New Roman"/>
                <w:b/>
                <w:caps/>
                <w:sz w:val="24"/>
                <w:u w:val="single"/>
              </w:rPr>
            </w:pPr>
            <w:r>
              <w:rPr>
                <w:rFonts w:ascii="Times New Roman" w:hAnsi="Times New Roman"/>
                <w:b/>
                <w:caps/>
                <w:sz w:val="24"/>
                <w:u w:val="single"/>
              </w:rPr>
              <w:t>ATTIVITÀ E PASSIVITÀ VALUTATE AL FAIR VALUE (VALORE EQUO) ESCLUSE A CAUSA DELL</w:t>
            </w:r>
            <w:r w:rsidR="000878EC">
              <w:rPr>
                <w:rFonts w:ascii="Times New Roman" w:hAnsi="Times New Roman"/>
                <w:b/>
                <w:caps/>
                <w:sz w:val="24"/>
                <w:u w:val="single"/>
              </w:rPr>
              <w:t>'</w:t>
            </w:r>
            <w:r>
              <w:rPr>
                <w:rFonts w:ascii="Times New Roman" w:hAnsi="Times New Roman"/>
                <w:b/>
                <w:caps/>
                <w:sz w:val="24"/>
                <w:u w:val="single"/>
              </w:rPr>
              <w:t>IMPATTO PARZIALE SUL CET1</w:t>
            </w:r>
          </w:p>
          <w:p w:rsidR="00B93FA1" w:rsidRPr="00661595" w:rsidRDefault="00B93FA1" w:rsidP="003E376A">
            <w:pPr>
              <w:suppressAutoHyphens/>
              <w:spacing w:beforeLines="60" w:before="144" w:afterLines="60" w:after="144"/>
              <w:rPr>
                <w:rFonts w:ascii="Times New Roman" w:hAnsi="Times New Roman"/>
                <w:b/>
                <w:caps/>
                <w:sz w:val="24"/>
                <w:u w:val="single"/>
              </w:rPr>
            </w:pPr>
            <w:r>
              <w:rPr>
                <w:rFonts w:ascii="Times New Roman" w:hAnsi="Times New Roman"/>
                <w:sz w:val="24"/>
              </w:rPr>
              <w:t>Il valore assoluto delle attività e delle passività valutate al fair value (valore equo) escluse a norma dell</w:t>
            </w:r>
            <w:r w:rsidR="000878EC">
              <w:rPr>
                <w:rFonts w:ascii="Times New Roman" w:hAnsi="Times New Roman"/>
                <w:sz w:val="24"/>
              </w:rPr>
              <w:t>'</w:t>
            </w:r>
            <w:r>
              <w:rPr>
                <w:rFonts w:ascii="Times New Roman" w:hAnsi="Times New Roman"/>
                <w:sz w:val="24"/>
              </w:rPr>
              <w:t>articolo 4, paragrafo 2, del regolamento delegato (UE) 2016/101.</w:t>
            </w:r>
          </w:p>
        </w:tc>
      </w:tr>
      <w:tr w:rsidR="00B93FA1" w:rsidRPr="00661595" w:rsidTr="00672D2A">
        <w:tc>
          <w:tcPr>
            <w:tcW w:w="1101" w:type="dxa"/>
          </w:tcPr>
          <w:p w:rsidR="00B93FA1" w:rsidRPr="00661595" w:rsidRDefault="00B93FA1" w:rsidP="003E376A">
            <w:pPr>
              <w:suppressAutoHyphens/>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B93FA1" w:rsidRPr="00661595" w:rsidRDefault="00B93FA1" w:rsidP="003E376A">
            <w:pPr>
              <w:suppressAutoHyphens/>
              <w:spacing w:beforeLines="60" w:before="144" w:afterLines="60" w:after="144"/>
              <w:rPr>
                <w:rFonts w:ascii="Times New Roman" w:hAnsi="Times New Roman"/>
                <w:b/>
                <w:caps/>
                <w:sz w:val="24"/>
                <w:u w:val="single"/>
              </w:rPr>
            </w:pPr>
            <w:r>
              <w:rPr>
                <w:rFonts w:ascii="Times New Roman" w:hAnsi="Times New Roman"/>
                <w:b/>
                <w:caps/>
                <w:sz w:val="24"/>
                <w:u w:val="single"/>
              </w:rPr>
              <w:t>Perfettamente corrispondenti</w:t>
            </w:r>
          </w:p>
          <w:p w:rsidR="00B93FA1" w:rsidRPr="00661595" w:rsidRDefault="00B93FA1" w:rsidP="003E376A">
            <w:pPr>
              <w:suppressAutoHyphens/>
              <w:spacing w:beforeLines="60" w:before="144" w:afterLines="60" w:after="144"/>
              <w:rPr>
                <w:rFonts w:ascii="Times New Roman" w:hAnsi="Times New Roman"/>
                <w:sz w:val="24"/>
              </w:rPr>
            </w:pPr>
            <w:r>
              <w:rPr>
                <w:rFonts w:ascii="Times New Roman" w:hAnsi="Times New Roman"/>
                <w:sz w:val="24"/>
              </w:rPr>
              <w:t>Le attività e le passività valutate al fair value (valore equo) di segno opposto perfettamente corrispondenti escluse a norma dell</w:t>
            </w:r>
            <w:r w:rsidR="000878EC">
              <w:rPr>
                <w:rFonts w:ascii="Times New Roman" w:hAnsi="Times New Roman"/>
                <w:sz w:val="24"/>
              </w:rPr>
              <w:t>'</w:t>
            </w:r>
            <w:r>
              <w:rPr>
                <w:rFonts w:ascii="Times New Roman" w:hAnsi="Times New Roman"/>
                <w:sz w:val="24"/>
              </w:rPr>
              <w:t>articolo 4, paragrafo 2, del regolamento delegato (UE) 2016/101.</w:t>
            </w:r>
          </w:p>
        </w:tc>
      </w:tr>
      <w:tr w:rsidR="00B93FA1" w:rsidRPr="00661595" w:rsidTr="00672D2A">
        <w:tc>
          <w:tcPr>
            <w:tcW w:w="1101" w:type="dxa"/>
          </w:tcPr>
          <w:p w:rsidR="00B93FA1" w:rsidRPr="00661595" w:rsidRDefault="001924F4" w:rsidP="003E376A">
            <w:pPr>
              <w:suppressAutoHyphens/>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B93FA1" w:rsidRPr="00661595" w:rsidRDefault="00B93FA1" w:rsidP="003E376A">
            <w:pPr>
              <w:suppressAutoHyphens/>
              <w:spacing w:beforeLines="60" w:before="144" w:afterLines="60" w:after="144"/>
              <w:rPr>
                <w:rFonts w:ascii="Times New Roman" w:hAnsi="Times New Roman"/>
                <w:b/>
                <w:caps/>
                <w:sz w:val="24"/>
                <w:u w:val="single"/>
              </w:rPr>
            </w:pPr>
            <w:r>
              <w:rPr>
                <w:rFonts w:ascii="Times New Roman" w:hAnsi="Times New Roman"/>
                <w:b/>
                <w:caps/>
                <w:sz w:val="24"/>
                <w:u w:val="single"/>
              </w:rPr>
              <w:t>Contabilizzazione delle operazioni di copertura</w:t>
            </w:r>
          </w:p>
          <w:p w:rsidR="00B93FA1" w:rsidRPr="00661595" w:rsidRDefault="00B93FA1" w:rsidP="003E376A">
            <w:pPr>
              <w:suppressAutoHyphens/>
              <w:spacing w:beforeLines="60" w:before="144" w:afterLines="60" w:after="144"/>
              <w:rPr>
                <w:rFonts w:ascii="Times New Roman" w:hAnsi="Times New Roman"/>
                <w:sz w:val="24"/>
              </w:rPr>
            </w:pPr>
            <w:r>
              <w:rPr>
                <w:rFonts w:ascii="Times New Roman" w:hAnsi="Times New Roman"/>
                <w:sz w:val="24"/>
              </w:rPr>
              <w:t>Per le posizioni soggette a contabilizzazione delle operazioni di copertura ai sensi della disciplina contabile applicabile, il valore assoluto delle attività e delle passività valutate al fair value (valore equo) escluse in proporzione all</w:t>
            </w:r>
            <w:r w:rsidR="000878EC">
              <w:rPr>
                <w:rFonts w:ascii="Times New Roman" w:hAnsi="Times New Roman"/>
                <w:sz w:val="24"/>
              </w:rPr>
              <w:t>'</w:t>
            </w:r>
            <w:r>
              <w:rPr>
                <w:rFonts w:ascii="Times New Roman" w:hAnsi="Times New Roman"/>
                <w:sz w:val="24"/>
              </w:rPr>
              <w:t>impatto della pertinente variazione della valutazione sul capitale CET1 a norma dell</w:t>
            </w:r>
            <w:r w:rsidR="000878EC">
              <w:rPr>
                <w:rFonts w:ascii="Times New Roman" w:hAnsi="Times New Roman"/>
                <w:sz w:val="24"/>
              </w:rPr>
              <w:t>'</w:t>
            </w:r>
            <w:r>
              <w:rPr>
                <w:rFonts w:ascii="Times New Roman" w:hAnsi="Times New Roman"/>
                <w:sz w:val="24"/>
              </w:rPr>
              <w:t>articolo 4, paragrafo 2, del regolamento delegato (UE) 2016/101.</w:t>
            </w:r>
          </w:p>
        </w:tc>
      </w:tr>
      <w:tr w:rsidR="00B93FA1" w:rsidRPr="00661595" w:rsidTr="00672D2A">
        <w:tc>
          <w:tcPr>
            <w:tcW w:w="1101" w:type="dxa"/>
          </w:tcPr>
          <w:p w:rsidR="00B93FA1" w:rsidRPr="00661595" w:rsidRDefault="001924F4" w:rsidP="003E376A">
            <w:pPr>
              <w:suppressAutoHyphens/>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B93FA1" w:rsidRPr="00661595" w:rsidRDefault="00B93FA1" w:rsidP="003E376A">
            <w:pPr>
              <w:suppressAutoHyphens/>
              <w:spacing w:beforeLines="60" w:before="144" w:afterLines="60" w:after="144"/>
              <w:rPr>
                <w:rFonts w:ascii="Times New Roman" w:hAnsi="Times New Roman"/>
                <w:b/>
                <w:caps/>
                <w:sz w:val="24"/>
              </w:rPr>
            </w:pPr>
            <w:r>
              <w:rPr>
                <w:rFonts w:ascii="Times New Roman" w:hAnsi="Times New Roman"/>
                <w:b/>
                <w:caps/>
                <w:sz w:val="24"/>
                <w:u w:val="single"/>
              </w:rPr>
              <w:t xml:space="preserve">Filtri PRUDENZIALI </w:t>
            </w:r>
          </w:p>
          <w:p w:rsidR="00B93FA1" w:rsidRPr="00661595" w:rsidRDefault="00B93FA1" w:rsidP="003E376A">
            <w:pPr>
              <w:suppressAutoHyphens/>
              <w:spacing w:beforeLines="60" w:before="144" w:afterLines="60" w:after="144"/>
              <w:rPr>
                <w:rFonts w:ascii="Times New Roman" w:hAnsi="Times New Roman"/>
                <w:sz w:val="24"/>
              </w:rPr>
            </w:pPr>
            <w:r>
              <w:rPr>
                <w:rFonts w:ascii="Times New Roman" w:hAnsi="Times New Roman"/>
                <w:sz w:val="24"/>
              </w:rPr>
              <w:t>Il valore assoluto delle attività e delle passività valutate al fair value (valore equo) escluse a norma dell</w:t>
            </w:r>
            <w:r w:rsidR="000878EC">
              <w:rPr>
                <w:rFonts w:ascii="Times New Roman" w:hAnsi="Times New Roman"/>
                <w:sz w:val="24"/>
              </w:rPr>
              <w:t>'</w:t>
            </w:r>
            <w:r>
              <w:rPr>
                <w:rFonts w:ascii="Times New Roman" w:hAnsi="Times New Roman"/>
                <w:sz w:val="24"/>
              </w:rPr>
              <w:t>articolo 4, paragrafo 2, del regolamento delegato (UE) 2016/101 a causa dell</w:t>
            </w:r>
            <w:r w:rsidR="000878EC">
              <w:rPr>
                <w:rFonts w:ascii="Times New Roman" w:hAnsi="Times New Roman"/>
                <w:sz w:val="24"/>
              </w:rPr>
              <w:t>'</w:t>
            </w:r>
            <w:r>
              <w:rPr>
                <w:rFonts w:ascii="Times New Roman" w:hAnsi="Times New Roman"/>
                <w:sz w:val="24"/>
              </w:rPr>
              <w:t>applicazione transitoria dei filtri prudenziali di cui agli articoli 467 e 468 del CRR.</w:t>
            </w:r>
          </w:p>
        </w:tc>
      </w:tr>
      <w:tr w:rsidR="00B93FA1" w:rsidRPr="00661595" w:rsidTr="00672D2A">
        <w:tc>
          <w:tcPr>
            <w:tcW w:w="1101" w:type="dxa"/>
          </w:tcPr>
          <w:p w:rsidR="00B93FA1" w:rsidRPr="00661595" w:rsidRDefault="001924F4" w:rsidP="003E376A">
            <w:pPr>
              <w:keepNext/>
              <w:keepLines/>
              <w:suppressAutoHyphens/>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B93FA1" w:rsidRPr="00661595" w:rsidRDefault="00B93FA1" w:rsidP="003E376A">
            <w:pPr>
              <w:keepNext/>
              <w:keepLines/>
              <w:suppressAutoHyphens/>
              <w:spacing w:beforeLines="60" w:before="144" w:afterLines="60" w:after="144"/>
              <w:rPr>
                <w:rFonts w:ascii="Times New Roman" w:hAnsi="Times New Roman"/>
                <w:b/>
                <w:caps/>
                <w:sz w:val="24"/>
                <w:u w:val="single"/>
              </w:rPr>
            </w:pPr>
            <w:r>
              <w:rPr>
                <w:rFonts w:ascii="Times New Roman" w:hAnsi="Times New Roman"/>
                <w:b/>
                <w:caps/>
                <w:sz w:val="24"/>
                <w:u w:val="single"/>
              </w:rPr>
              <w:t>Altro</w:t>
            </w:r>
          </w:p>
          <w:p w:rsidR="00B93FA1" w:rsidRPr="00661595" w:rsidRDefault="00B93FA1" w:rsidP="003E376A">
            <w:pPr>
              <w:keepNext/>
              <w:keepLines/>
              <w:suppressAutoHyphens/>
              <w:spacing w:beforeLines="60" w:before="144" w:afterLines="60" w:after="144"/>
              <w:rPr>
                <w:rFonts w:ascii="Times New Roman" w:hAnsi="Times New Roman"/>
                <w:sz w:val="24"/>
              </w:rPr>
            </w:pPr>
            <w:r>
              <w:rPr>
                <w:rFonts w:ascii="Times New Roman" w:hAnsi="Times New Roman"/>
                <w:sz w:val="24"/>
              </w:rPr>
              <w:t>Qualsiasi altra posizione esclusa a norma dell</w:t>
            </w:r>
            <w:r w:rsidR="000878EC">
              <w:rPr>
                <w:rFonts w:ascii="Times New Roman" w:hAnsi="Times New Roman"/>
                <w:sz w:val="24"/>
              </w:rPr>
              <w:t>'</w:t>
            </w:r>
            <w:r>
              <w:rPr>
                <w:rFonts w:ascii="Times New Roman" w:hAnsi="Times New Roman"/>
                <w:sz w:val="24"/>
              </w:rPr>
              <w:t>articolo 4, paragrafo 2, del regolamento delegato (UE) 2016/101 a causa di aggiustamenti del valore contabile aventi solo un effetto proporzionale sul capitale CET1.</w:t>
            </w:r>
          </w:p>
          <w:p w:rsidR="00B93FA1" w:rsidRPr="00661595" w:rsidRDefault="00B93FA1" w:rsidP="003E376A">
            <w:pPr>
              <w:keepNext/>
              <w:keepLines/>
              <w:suppressAutoHyphens/>
              <w:spacing w:beforeLines="60" w:before="144" w:afterLines="60" w:after="144"/>
              <w:rPr>
                <w:rFonts w:ascii="Times New Roman" w:hAnsi="Times New Roman"/>
                <w:sz w:val="24"/>
              </w:rPr>
            </w:pPr>
            <w:r>
              <w:rPr>
                <w:rFonts w:ascii="Times New Roman" w:hAnsi="Times New Roman"/>
                <w:sz w:val="24"/>
              </w:rPr>
              <w:t>Questa riga è compilata solo nei rari casi in cui element</w:t>
            </w:r>
            <w:r w:rsidR="003E376A">
              <w:rPr>
                <w:rFonts w:ascii="Times New Roman" w:hAnsi="Times New Roman"/>
                <w:sz w:val="24"/>
              </w:rPr>
              <w:t>i esclusi a norma dell</w:t>
            </w:r>
            <w:r w:rsidR="000878EC">
              <w:rPr>
                <w:rFonts w:ascii="Times New Roman" w:hAnsi="Times New Roman"/>
                <w:sz w:val="24"/>
              </w:rPr>
              <w:t>'</w:t>
            </w:r>
            <w:r w:rsidR="003E376A">
              <w:rPr>
                <w:rFonts w:ascii="Times New Roman" w:hAnsi="Times New Roman"/>
                <w:sz w:val="24"/>
              </w:rPr>
              <w:t>articolo </w:t>
            </w:r>
            <w:r>
              <w:rPr>
                <w:rFonts w:ascii="Times New Roman" w:hAnsi="Times New Roman"/>
                <w:sz w:val="24"/>
              </w:rPr>
              <w:t>4, paragrafo 2, del regolamento delegato (UE) 2016/101 non possono essere indicati nelle colonne 0030, 0040 o 0050 di questo modello.</w:t>
            </w:r>
          </w:p>
        </w:tc>
      </w:tr>
      <w:tr w:rsidR="00B93FA1" w:rsidRPr="00661595" w:rsidTr="00672D2A">
        <w:tc>
          <w:tcPr>
            <w:tcW w:w="1101" w:type="dxa"/>
          </w:tcPr>
          <w:p w:rsidR="00B93FA1" w:rsidRPr="00661595" w:rsidRDefault="001924F4" w:rsidP="003E376A">
            <w:pPr>
              <w:suppressAutoHyphens/>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B93FA1" w:rsidRPr="00661595" w:rsidRDefault="00B93FA1" w:rsidP="003E376A">
            <w:pPr>
              <w:suppressAutoHyphens/>
              <w:spacing w:beforeLines="60" w:before="144" w:afterLines="60" w:after="144"/>
              <w:rPr>
                <w:rFonts w:ascii="Times New Roman" w:hAnsi="Times New Roman"/>
                <w:sz w:val="24"/>
              </w:rPr>
            </w:pPr>
            <w:r>
              <w:rPr>
                <w:rFonts w:ascii="Times New Roman" w:hAnsi="Times New Roman"/>
                <w:b/>
                <w:caps/>
                <w:sz w:val="24"/>
                <w:u w:val="single"/>
              </w:rPr>
              <w:t>Commenti per altro</w:t>
            </w:r>
            <w:r>
              <w:rPr>
                <w:rFonts w:ascii="Times New Roman" w:hAnsi="Times New Roman"/>
                <w:sz w:val="24"/>
              </w:rPr>
              <w:t xml:space="preserve"> </w:t>
            </w:r>
          </w:p>
          <w:p w:rsidR="00B93FA1" w:rsidRPr="00661595" w:rsidRDefault="00C11B8D" w:rsidP="003E376A">
            <w:pPr>
              <w:suppressAutoHyphens/>
              <w:spacing w:beforeLines="60" w:before="144" w:afterLines="60" w:after="144"/>
              <w:rPr>
                <w:rFonts w:ascii="Times New Roman" w:hAnsi="Times New Roman"/>
                <w:b/>
                <w:caps/>
                <w:sz w:val="24"/>
                <w:u w:val="single"/>
              </w:rPr>
            </w:pPr>
            <w:r>
              <w:rPr>
                <w:rFonts w:ascii="Times New Roman" w:hAnsi="Times New Roman"/>
                <w:sz w:val="24"/>
              </w:rPr>
              <w:t>Occorre indicare le ragioni principali per cui le posizioni segnalate nella colonna 0060 sono state escluse.</w:t>
            </w:r>
          </w:p>
        </w:tc>
      </w:tr>
      <w:tr w:rsidR="00B93FA1" w:rsidRPr="00661595" w:rsidTr="00672D2A">
        <w:tc>
          <w:tcPr>
            <w:tcW w:w="1101" w:type="dxa"/>
          </w:tcPr>
          <w:p w:rsidR="00B93FA1" w:rsidRPr="00661595" w:rsidRDefault="001924F4" w:rsidP="003E376A">
            <w:pPr>
              <w:suppressAutoHyphens/>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B93FA1" w:rsidRPr="00661595" w:rsidRDefault="00B93FA1" w:rsidP="003E376A">
            <w:pPr>
              <w:suppressAutoHyphens/>
              <w:spacing w:beforeLines="60" w:before="144" w:afterLines="60" w:after="144"/>
              <w:rPr>
                <w:rFonts w:ascii="Times New Roman" w:hAnsi="Times New Roman"/>
                <w:b/>
                <w:caps/>
                <w:sz w:val="24"/>
                <w:u w:val="single"/>
              </w:rPr>
            </w:pPr>
            <w:r>
              <w:rPr>
                <w:rFonts w:ascii="Times New Roman" w:hAnsi="Times New Roman"/>
                <w:b/>
                <w:caps/>
                <w:sz w:val="24"/>
                <w:u w:val="single"/>
              </w:rPr>
              <w:t>Attività e passività VALUTATE AL FAIR VALUE (VALORE EQUO) incluse nella soglia di cui all</w:t>
            </w:r>
            <w:r w:rsidR="000878EC">
              <w:rPr>
                <w:rFonts w:ascii="Times New Roman" w:hAnsi="Times New Roman"/>
                <w:b/>
                <w:caps/>
                <w:sz w:val="24"/>
                <w:u w:val="single"/>
              </w:rPr>
              <w:t>'</w:t>
            </w:r>
            <w:r>
              <w:rPr>
                <w:rFonts w:ascii="Times New Roman" w:hAnsi="Times New Roman"/>
                <w:b/>
                <w:caps/>
                <w:sz w:val="24"/>
                <w:u w:val="single"/>
              </w:rPr>
              <w:t>ARTICOLO 4, PARAGRAFO 1</w:t>
            </w:r>
          </w:p>
          <w:p w:rsidR="00B93FA1" w:rsidRPr="00661595" w:rsidRDefault="00B93FA1" w:rsidP="003E376A">
            <w:pPr>
              <w:suppressAutoHyphens/>
              <w:spacing w:beforeLines="60" w:before="144" w:afterLines="60" w:after="144"/>
              <w:rPr>
                <w:rFonts w:ascii="Times New Roman" w:hAnsi="Times New Roman"/>
                <w:b/>
                <w:caps/>
                <w:sz w:val="24"/>
                <w:u w:val="single"/>
              </w:rPr>
            </w:pPr>
            <w:r>
              <w:rPr>
                <w:rFonts w:ascii="Times New Roman" w:hAnsi="Times New Roman"/>
                <w:sz w:val="24"/>
              </w:rPr>
              <w:t>Il valore assoluto delle attività e delle passività valutate al fair value (valore equo) effettivamente incluse ai fini del computo della soglia a norma dell</w:t>
            </w:r>
            <w:r w:rsidR="000878EC">
              <w:rPr>
                <w:rFonts w:ascii="Times New Roman" w:hAnsi="Times New Roman"/>
                <w:sz w:val="24"/>
              </w:rPr>
              <w:t>'</w:t>
            </w:r>
            <w:r>
              <w:rPr>
                <w:rFonts w:ascii="Times New Roman" w:hAnsi="Times New Roman"/>
                <w:sz w:val="24"/>
              </w:rPr>
              <w:t>articolo 4, paragrafo 1, del regolamento delegato (UE) 2016/101.</w:t>
            </w:r>
          </w:p>
        </w:tc>
      </w:tr>
      <w:tr w:rsidR="00B93FA1" w:rsidRPr="00661595" w:rsidTr="00672D2A">
        <w:tc>
          <w:tcPr>
            <w:tcW w:w="1101" w:type="dxa"/>
          </w:tcPr>
          <w:p w:rsidR="00B93FA1" w:rsidRPr="00661595" w:rsidRDefault="001924F4" w:rsidP="003E376A">
            <w:pPr>
              <w:suppressAutoHyphens/>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B93FA1" w:rsidRPr="00661595" w:rsidRDefault="00B93FA1" w:rsidP="003E376A">
            <w:pPr>
              <w:suppressAutoHyphens/>
              <w:spacing w:beforeLines="60" w:before="144" w:afterLines="60" w:after="144"/>
              <w:rPr>
                <w:rFonts w:ascii="Times New Roman" w:hAnsi="Times New Roman"/>
                <w:b/>
                <w:caps/>
                <w:sz w:val="24"/>
                <w:u w:val="single"/>
              </w:rPr>
            </w:pPr>
            <w:r>
              <w:rPr>
                <w:rFonts w:ascii="Times New Roman" w:hAnsi="Times New Roman"/>
                <w:b/>
                <w:caps/>
                <w:sz w:val="24"/>
                <w:u w:val="single"/>
              </w:rPr>
              <w:t>DI CUI: portafoglio di negoziazione</w:t>
            </w:r>
          </w:p>
          <w:p w:rsidR="00B93FA1" w:rsidRPr="00661595" w:rsidRDefault="00B93FA1" w:rsidP="003E376A">
            <w:pPr>
              <w:suppressAutoHyphens/>
              <w:spacing w:beforeLines="60" w:before="144" w:afterLines="60" w:after="144"/>
              <w:rPr>
                <w:rFonts w:ascii="Times New Roman" w:hAnsi="Times New Roman"/>
                <w:b/>
                <w:caps/>
                <w:sz w:val="24"/>
                <w:u w:val="single"/>
              </w:rPr>
            </w:pPr>
            <w:r>
              <w:rPr>
                <w:rFonts w:ascii="Times New Roman" w:hAnsi="Times New Roman"/>
                <w:sz w:val="24"/>
              </w:rPr>
              <w:t>Il valore assoluto delle attività e delle passività valutate al fair value (valore equo) indicato nella colonna 0080 corrispondente alle posizioni detenute nel portafoglio di negoziazione.</w:t>
            </w:r>
          </w:p>
        </w:tc>
      </w:tr>
    </w:tbl>
    <w:p w:rsidR="00E60B53" w:rsidRPr="00661595" w:rsidRDefault="00E60B53" w:rsidP="00C61FF5">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B93FA1" w:rsidRPr="00661595" w:rsidTr="00672D2A">
        <w:tc>
          <w:tcPr>
            <w:tcW w:w="9291" w:type="dxa"/>
            <w:gridSpan w:val="2"/>
            <w:shd w:val="clear" w:color="auto" w:fill="CCCCCC"/>
          </w:tcPr>
          <w:p w:rsidR="00B93FA1" w:rsidRPr="00661595" w:rsidRDefault="00B93FA1" w:rsidP="003E376A">
            <w:pPr>
              <w:suppressAutoHyphens/>
              <w:spacing w:beforeLines="60" w:before="144" w:afterLines="60" w:after="144"/>
              <w:rPr>
                <w:rFonts w:ascii="Times New Roman" w:hAnsi="Times New Roman"/>
                <w:b/>
                <w:sz w:val="24"/>
              </w:rPr>
            </w:pPr>
            <w:r>
              <w:rPr>
                <w:rFonts w:ascii="Times New Roman" w:hAnsi="Times New Roman"/>
                <w:b/>
                <w:sz w:val="24"/>
              </w:rPr>
              <w:t>Righe</w:t>
            </w:r>
          </w:p>
        </w:tc>
      </w:tr>
      <w:tr w:rsidR="00B93FA1" w:rsidRPr="00661595" w:rsidTr="00672D2A">
        <w:tc>
          <w:tcPr>
            <w:tcW w:w="1101" w:type="dxa"/>
          </w:tcPr>
          <w:p w:rsidR="00B93FA1" w:rsidRPr="00661595" w:rsidRDefault="001924F4" w:rsidP="003E376A">
            <w:pPr>
              <w:suppressAutoHyphens/>
              <w:spacing w:beforeLines="60" w:before="144" w:afterLines="60" w:after="144"/>
              <w:rPr>
                <w:rFonts w:ascii="Times New Roman" w:hAnsi="Times New Roman"/>
                <w:sz w:val="24"/>
              </w:rPr>
            </w:pPr>
            <w:r>
              <w:rPr>
                <w:rFonts w:ascii="Times New Roman" w:hAnsi="Times New Roman"/>
                <w:sz w:val="24"/>
              </w:rPr>
              <w:t>0010 – 0210</w:t>
            </w:r>
          </w:p>
        </w:tc>
        <w:tc>
          <w:tcPr>
            <w:tcW w:w="8190" w:type="dxa"/>
          </w:tcPr>
          <w:p w:rsidR="00B93FA1" w:rsidRPr="00661595" w:rsidRDefault="00B93FA1" w:rsidP="003E376A">
            <w:pPr>
              <w:suppressAutoHyphens/>
              <w:spacing w:beforeLines="60" w:before="144" w:afterLines="60" w:after="144"/>
              <w:rPr>
                <w:rFonts w:ascii="Times New Roman" w:hAnsi="Times New Roman"/>
                <w:sz w:val="24"/>
              </w:rPr>
            </w:pPr>
            <w:r>
              <w:rPr>
                <w:rFonts w:ascii="Times New Roman" w:hAnsi="Times New Roman"/>
                <w:sz w:val="24"/>
              </w:rPr>
              <w:t xml:space="preserve">Le definizioni di queste categorie corrispondono a quelle delle righe corrispondenti dei modelli FINREP 1.1 e 1.2. </w:t>
            </w:r>
          </w:p>
        </w:tc>
      </w:tr>
      <w:tr w:rsidR="00B93FA1" w:rsidRPr="00661595" w:rsidTr="00672D2A">
        <w:tc>
          <w:tcPr>
            <w:tcW w:w="1101" w:type="dxa"/>
          </w:tcPr>
          <w:p w:rsidR="00B93FA1" w:rsidRPr="00661595" w:rsidRDefault="001924F4" w:rsidP="003E376A">
            <w:pPr>
              <w:suppressAutoHyphens/>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B93FA1" w:rsidRPr="00661595" w:rsidRDefault="00B93FA1" w:rsidP="003E376A">
            <w:pPr>
              <w:suppressAutoHyphens/>
              <w:spacing w:beforeLines="60" w:before="144" w:afterLines="60" w:after="144"/>
              <w:rPr>
                <w:rFonts w:ascii="Times New Roman" w:hAnsi="Times New Roman"/>
                <w:b/>
                <w:sz w:val="24"/>
                <w:u w:val="single"/>
              </w:rPr>
            </w:pPr>
            <w:r>
              <w:rPr>
                <w:rFonts w:ascii="Times New Roman" w:hAnsi="Times New Roman"/>
                <w:b/>
                <w:sz w:val="24"/>
                <w:u w:val="single"/>
              </w:rPr>
              <w:t>1 ATTIVITÀ E PASSIVITÀ TOTALI VALUTATE AL FAIR VALUE (VALORE EQUO)</w:t>
            </w:r>
          </w:p>
          <w:p w:rsidR="00B93FA1" w:rsidRPr="00661595" w:rsidRDefault="00B93FA1" w:rsidP="003E376A">
            <w:pPr>
              <w:suppressAutoHyphens/>
              <w:spacing w:beforeLines="60" w:before="144" w:afterLines="60" w:after="144"/>
              <w:rPr>
                <w:rFonts w:ascii="Times New Roman" w:hAnsi="Times New Roman"/>
                <w:b/>
                <w:sz w:val="24"/>
                <w:u w:val="single"/>
              </w:rPr>
            </w:pPr>
            <w:r>
              <w:rPr>
                <w:rFonts w:ascii="Times New Roman" w:hAnsi="Times New Roman"/>
                <w:sz w:val="24"/>
              </w:rPr>
              <w:t>Il totale delle attività e delle passività valutate al fair value (valore equo) indicate nelle righe da 0020 a 0210.</w:t>
            </w:r>
          </w:p>
        </w:tc>
      </w:tr>
      <w:tr w:rsidR="00B93FA1" w:rsidRPr="00661595" w:rsidTr="00672D2A">
        <w:tc>
          <w:tcPr>
            <w:tcW w:w="1101" w:type="dxa"/>
          </w:tcPr>
          <w:p w:rsidR="00B93FA1" w:rsidRPr="00661595" w:rsidRDefault="001924F4" w:rsidP="003E376A">
            <w:pPr>
              <w:suppressAutoHyphens/>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B93FA1" w:rsidRPr="00661595" w:rsidRDefault="00B93FA1" w:rsidP="003E376A">
            <w:pPr>
              <w:suppressAutoHyphens/>
              <w:spacing w:beforeLines="60" w:before="144" w:afterLines="60" w:after="144"/>
              <w:rPr>
                <w:rFonts w:ascii="Times New Roman" w:hAnsi="Times New Roman"/>
                <w:b/>
                <w:sz w:val="24"/>
                <w:u w:val="single"/>
              </w:rPr>
            </w:pPr>
            <w:r>
              <w:rPr>
                <w:rFonts w:ascii="Times New Roman" w:hAnsi="Times New Roman"/>
                <w:b/>
                <w:sz w:val="24"/>
                <w:u w:val="single"/>
              </w:rPr>
              <w:t>1.1 ATTIVITÀ TOTALI VALUTATE AL FAIR VALUE (VALORE EQUO)</w:t>
            </w:r>
          </w:p>
          <w:p w:rsidR="00B93FA1" w:rsidRPr="00661595" w:rsidRDefault="00B93FA1" w:rsidP="003E376A">
            <w:pPr>
              <w:suppressAutoHyphens/>
              <w:spacing w:beforeLines="60" w:before="144" w:afterLines="60" w:after="144"/>
              <w:rPr>
                <w:rFonts w:ascii="Times New Roman" w:hAnsi="Times New Roman"/>
                <w:sz w:val="24"/>
              </w:rPr>
            </w:pPr>
            <w:r>
              <w:rPr>
                <w:rFonts w:ascii="Times New Roman" w:hAnsi="Times New Roman"/>
                <w:sz w:val="24"/>
              </w:rPr>
              <w:t xml:space="preserve">Il totale delle attività valutate al fair value (valore equo) indicate nelle righe da 0030 a 0140. </w:t>
            </w:r>
          </w:p>
          <w:p w:rsidR="00B93FA1" w:rsidRPr="00661595" w:rsidRDefault="00B93FA1" w:rsidP="003E376A">
            <w:pPr>
              <w:suppressAutoHyphens/>
              <w:spacing w:beforeLines="60" w:before="144" w:afterLines="60" w:after="144"/>
              <w:rPr>
                <w:rFonts w:ascii="Times New Roman" w:hAnsi="Times New Roman"/>
                <w:sz w:val="24"/>
              </w:rPr>
            </w:pPr>
            <w:r>
              <w:rPr>
                <w:rFonts w:ascii="Times New Roman" w:hAnsi="Times New Roman"/>
                <w:sz w:val="24"/>
              </w:rPr>
              <w:t>Le celle pertinenti delle righe da 0030 a 0130 sono compilate in linea con il modello FINREP F 01.01 di cui agli allegati III e IV del presente regolamento di esecuzione in funzione dei principi contabili applicati dall</w:t>
            </w:r>
            <w:r w:rsidR="000878EC">
              <w:rPr>
                <w:rFonts w:ascii="Times New Roman" w:hAnsi="Times New Roman"/>
                <w:sz w:val="24"/>
              </w:rPr>
              <w:t>'</w:t>
            </w:r>
            <w:r>
              <w:rPr>
                <w:rFonts w:ascii="Times New Roman" w:hAnsi="Times New Roman"/>
                <w:sz w:val="24"/>
              </w:rPr>
              <w:t>ente:</w:t>
            </w:r>
          </w:p>
          <w:p w:rsidR="00B93FA1" w:rsidRPr="00661595" w:rsidRDefault="00B93FA1" w:rsidP="003E376A">
            <w:pPr>
              <w:pStyle w:val="ListParagraph"/>
              <w:numPr>
                <w:ilvl w:val="0"/>
                <w:numId w:val="30"/>
              </w:numPr>
              <w:suppressAutoHyphens/>
              <w:spacing w:beforeLines="60" w:before="144" w:afterLines="60" w:after="144"/>
              <w:rPr>
                <w:rFonts w:ascii="Times New Roman" w:hAnsi="Times New Roman"/>
                <w:sz w:val="24"/>
              </w:rPr>
            </w:pPr>
            <w:r>
              <w:rPr>
                <w:rFonts w:ascii="Times New Roman" w:hAnsi="Times New Roman"/>
                <w:sz w:val="24"/>
              </w:rPr>
              <w:t>gli IFRS omologati dall</w:t>
            </w:r>
            <w:r w:rsidR="000878EC">
              <w:rPr>
                <w:rFonts w:ascii="Times New Roman" w:hAnsi="Times New Roman"/>
                <w:sz w:val="24"/>
              </w:rPr>
              <w:t>'</w:t>
            </w:r>
            <w:r>
              <w:rPr>
                <w:rFonts w:ascii="Times New Roman" w:hAnsi="Times New Roman"/>
                <w:sz w:val="24"/>
              </w:rPr>
              <w:t>Unione in applicazione del regolamento (CE) n. 1606/2002 del Parlamento europeo e del Consiglio (IFRS UE)</w:t>
            </w:r>
            <w:r>
              <w:rPr>
                <w:rStyle w:val="FootnoteReference"/>
                <w:rFonts w:ascii="Times New Roman" w:hAnsi="Times New Roman"/>
                <w:sz w:val="20"/>
                <w:szCs w:val="20"/>
                <w:vertAlign w:val="superscript"/>
              </w:rPr>
              <w:footnoteReference w:id="16"/>
            </w:r>
            <w:r>
              <w:rPr>
                <w:rFonts w:ascii="Times New Roman" w:hAnsi="Times New Roman"/>
              </w:rPr>
              <w:t>;</w:t>
            </w:r>
          </w:p>
          <w:p w:rsidR="00B93FA1" w:rsidRPr="00661595" w:rsidRDefault="00B93FA1" w:rsidP="003E376A">
            <w:pPr>
              <w:pStyle w:val="ListParagraph"/>
              <w:numPr>
                <w:ilvl w:val="0"/>
                <w:numId w:val="30"/>
              </w:numPr>
              <w:suppressAutoHyphens/>
              <w:spacing w:beforeLines="60" w:before="144" w:afterLines="60" w:after="144"/>
              <w:rPr>
                <w:rFonts w:ascii="Times New Roman" w:hAnsi="Times New Roman"/>
                <w:sz w:val="24"/>
              </w:rPr>
            </w:pPr>
            <w:r>
              <w:rPr>
                <w:rFonts w:ascii="Times New Roman" w:hAnsi="Times New Roman"/>
                <w:sz w:val="24"/>
              </w:rPr>
              <w:t>i principi contabili nazionali compatibili con gli IFRS UE (</w:t>
            </w:r>
            <w:r w:rsidR="000878EC">
              <w:rPr>
                <w:rFonts w:ascii="Times New Roman" w:hAnsi="Times New Roman"/>
                <w:sz w:val="24"/>
              </w:rPr>
              <w:t>"</w:t>
            </w:r>
            <w:r>
              <w:rPr>
                <w:rFonts w:ascii="Times New Roman" w:hAnsi="Times New Roman"/>
                <w:sz w:val="24"/>
              </w:rPr>
              <w:t>GAAP nazionali compatibili con gli IFRS</w:t>
            </w:r>
            <w:r w:rsidR="000878EC">
              <w:rPr>
                <w:rFonts w:ascii="Times New Roman" w:hAnsi="Times New Roman"/>
                <w:sz w:val="24"/>
              </w:rPr>
              <w:t>"</w:t>
            </w:r>
            <w:r>
              <w:rPr>
                <w:rFonts w:ascii="Times New Roman" w:hAnsi="Times New Roman"/>
                <w:sz w:val="24"/>
              </w:rPr>
              <w:t>); o</w:t>
            </w:r>
          </w:p>
          <w:p w:rsidR="00B93FA1" w:rsidRPr="00661595" w:rsidRDefault="00B93FA1" w:rsidP="003E376A">
            <w:pPr>
              <w:pStyle w:val="ListParagraph"/>
              <w:numPr>
                <w:ilvl w:val="0"/>
                <w:numId w:val="30"/>
              </w:numPr>
              <w:suppressAutoHyphens/>
              <w:spacing w:beforeLines="60" w:before="144" w:afterLines="60" w:after="144"/>
              <w:rPr>
                <w:rFonts w:ascii="Times New Roman" w:hAnsi="Times New Roman"/>
                <w:sz w:val="24"/>
              </w:rPr>
            </w:pPr>
            <w:r>
              <w:rPr>
                <w:rFonts w:ascii="Times New Roman" w:hAnsi="Times New Roman"/>
                <w:sz w:val="24"/>
              </w:rPr>
              <w:t xml:space="preserve">i GAAP nazionali basati sulla BAD (FINREP </w:t>
            </w:r>
            <w:r w:rsidR="000878EC">
              <w:rPr>
                <w:rFonts w:ascii="Times New Roman" w:hAnsi="Times New Roman"/>
                <w:sz w:val="24"/>
              </w:rPr>
              <w:t>"</w:t>
            </w:r>
            <w:r>
              <w:rPr>
                <w:rFonts w:ascii="Times New Roman" w:hAnsi="Times New Roman"/>
                <w:sz w:val="24"/>
              </w:rPr>
              <w:t>GAAP nazionali basati sulla BAD</w:t>
            </w:r>
            <w:r w:rsidR="000878EC">
              <w:rPr>
                <w:rFonts w:ascii="Times New Roman" w:hAnsi="Times New Roman"/>
                <w:sz w:val="24"/>
              </w:rPr>
              <w:t>"</w:t>
            </w:r>
            <w:r>
              <w:rPr>
                <w:rFonts w:ascii="Times New Roman" w:hAnsi="Times New Roman"/>
                <w:sz w:val="24"/>
              </w:rPr>
              <w:t>).</w:t>
            </w:r>
          </w:p>
        </w:tc>
      </w:tr>
      <w:tr w:rsidR="00B93FA1" w:rsidRPr="00661595" w:rsidTr="00672D2A">
        <w:tc>
          <w:tcPr>
            <w:tcW w:w="1101" w:type="dxa"/>
          </w:tcPr>
          <w:p w:rsidR="00B93FA1" w:rsidRPr="00661595" w:rsidRDefault="001924F4" w:rsidP="003E376A">
            <w:pPr>
              <w:suppressAutoHyphens/>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B93FA1" w:rsidRPr="00661595" w:rsidRDefault="00B93FA1" w:rsidP="003E376A">
            <w:pPr>
              <w:suppressAutoHyphens/>
              <w:spacing w:beforeLines="60" w:before="144" w:afterLines="60" w:after="144"/>
              <w:rPr>
                <w:rFonts w:ascii="Times New Roman" w:hAnsi="Times New Roman"/>
                <w:b/>
                <w:sz w:val="24"/>
                <w:u w:val="single"/>
              </w:rPr>
            </w:pPr>
            <w:r>
              <w:rPr>
                <w:rFonts w:ascii="Times New Roman" w:hAnsi="Times New Roman"/>
                <w:b/>
                <w:sz w:val="24"/>
                <w:u w:val="single"/>
              </w:rPr>
              <w:t>1.1.1 ATTIVITÀ FINANZIARIE POSSEDUTE PER NEGOZIAZIONE</w:t>
            </w:r>
          </w:p>
          <w:p w:rsidR="00B93FA1" w:rsidRPr="00661595" w:rsidRDefault="00B93FA1" w:rsidP="003E376A">
            <w:pPr>
              <w:suppressAutoHyphens/>
              <w:spacing w:beforeLines="60" w:before="144" w:afterLines="60" w:after="144"/>
              <w:rPr>
                <w:rFonts w:ascii="Times New Roman" w:hAnsi="Times New Roman"/>
                <w:sz w:val="24"/>
              </w:rPr>
            </w:pPr>
            <w:r>
              <w:rPr>
                <w:rFonts w:ascii="Times New Roman" w:hAnsi="Times New Roman"/>
                <w:sz w:val="24"/>
              </w:rPr>
              <w:t>IFRS 9. Appendice A.</w:t>
            </w:r>
          </w:p>
          <w:p w:rsidR="00B93FA1" w:rsidRPr="00661595" w:rsidRDefault="00B93FA1" w:rsidP="003E376A">
            <w:pPr>
              <w:suppressAutoHyphens/>
              <w:spacing w:beforeLines="60" w:before="144" w:afterLines="60" w:after="144"/>
              <w:rPr>
                <w:rFonts w:ascii="Times New Roman" w:hAnsi="Times New Roman"/>
                <w:sz w:val="24"/>
              </w:rPr>
            </w:pPr>
            <w:r>
              <w:rPr>
                <w:rFonts w:ascii="Times New Roman" w:hAnsi="Times New Roman"/>
                <w:sz w:val="24"/>
              </w:rPr>
              <w:t>Le informazioni fornite in questa riga corrispondono a quelle della riga 0050 del modello F 01.01 degli allegati III e IV del presente regolamento di esecuzione.</w:t>
            </w:r>
          </w:p>
        </w:tc>
      </w:tr>
      <w:tr w:rsidR="00B93FA1" w:rsidRPr="00661595" w:rsidTr="00672D2A">
        <w:tc>
          <w:tcPr>
            <w:tcW w:w="1101" w:type="dxa"/>
          </w:tcPr>
          <w:p w:rsidR="00B93FA1" w:rsidRPr="00661595" w:rsidRDefault="001924F4" w:rsidP="003E376A">
            <w:pPr>
              <w:suppressAutoHyphens/>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B93FA1" w:rsidRPr="00661595" w:rsidRDefault="00B93FA1" w:rsidP="003E376A">
            <w:pPr>
              <w:suppressAutoHyphens/>
              <w:spacing w:beforeLines="60" w:before="144" w:afterLines="60" w:after="144"/>
              <w:rPr>
                <w:rFonts w:ascii="Times New Roman" w:hAnsi="Times New Roman"/>
                <w:b/>
                <w:sz w:val="24"/>
                <w:u w:val="single"/>
              </w:rPr>
            </w:pPr>
            <w:r>
              <w:rPr>
                <w:rFonts w:ascii="Times New Roman" w:hAnsi="Times New Roman"/>
                <w:b/>
                <w:sz w:val="24"/>
                <w:u w:val="single"/>
              </w:rPr>
              <w:t>1.1.2 ATTIVITÀ FINANZIARIE PER NEGOZIAZIONE</w:t>
            </w:r>
          </w:p>
          <w:p w:rsidR="00B93FA1" w:rsidRPr="00661595" w:rsidRDefault="002F78EA" w:rsidP="003E376A">
            <w:pPr>
              <w:suppressAutoHyphens/>
              <w:spacing w:beforeLines="60" w:before="144" w:afterLines="60" w:after="144"/>
              <w:rPr>
                <w:rFonts w:ascii="Times New Roman" w:hAnsi="Times New Roman"/>
                <w:sz w:val="24"/>
              </w:rPr>
            </w:pPr>
            <w:r>
              <w:rPr>
                <w:rFonts w:ascii="Times New Roman" w:hAnsi="Times New Roman"/>
                <w:sz w:val="24"/>
              </w:rPr>
              <w:t xml:space="preserve">Articoli 32 e 33 della BAD; </w:t>
            </w:r>
            <w:r>
              <w:rPr>
                <w:rFonts w:ascii="Times New Roman" w:hAnsi="Times New Roman"/>
                <w:bCs/>
                <w:sz w:val="24"/>
              </w:rPr>
              <w:t>parte 1.17 dell</w:t>
            </w:r>
            <w:r w:rsidR="000878EC">
              <w:rPr>
                <w:rFonts w:ascii="Times New Roman" w:hAnsi="Times New Roman"/>
                <w:bCs/>
                <w:sz w:val="24"/>
              </w:rPr>
              <w:t>'</w:t>
            </w:r>
            <w:r>
              <w:rPr>
                <w:rFonts w:ascii="Times New Roman" w:hAnsi="Times New Roman"/>
                <w:bCs/>
                <w:sz w:val="24"/>
              </w:rPr>
              <w:t>allegato V del presente regolamento di esecuzione</w:t>
            </w:r>
            <w:r>
              <w:rPr>
                <w:rFonts w:ascii="Times New Roman" w:hAnsi="Times New Roman"/>
                <w:sz w:val="24"/>
              </w:rPr>
              <w:t xml:space="preserve">. </w:t>
            </w:r>
          </w:p>
          <w:p w:rsidR="00DE08E6" w:rsidRPr="00661595" w:rsidRDefault="00B93FA1" w:rsidP="003E376A">
            <w:pPr>
              <w:suppressAutoHyphens/>
              <w:spacing w:beforeLines="60" w:before="144" w:afterLines="60" w:after="144"/>
              <w:rPr>
                <w:rFonts w:ascii="Times New Roman" w:hAnsi="Times New Roman"/>
                <w:sz w:val="24"/>
              </w:rPr>
            </w:pPr>
            <w:r>
              <w:rPr>
                <w:rFonts w:ascii="Times New Roman" w:hAnsi="Times New Roman"/>
                <w:sz w:val="24"/>
              </w:rPr>
              <w:t>Le informazioni fornite in questa riga corrispondono alle attività valutate al fair value (valore equo) incluse nel valore segnalato nella riga 0091 del modello F 01.01 degli allegati III e IV del presente regolamento di esecuzione.</w:t>
            </w:r>
          </w:p>
        </w:tc>
      </w:tr>
      <w:tr w:rsidR="00B93FA1" w:rsidRPr="00661595" w:rsidTr="00672D2A">
        <w:tc>
          <w:tcPr>
            <w:tcW w:w="1101" w:type="dxa"/>
          </w:tcPr>
          <w:p w:rsidR="00B93FA1" w:rsidRPr="00661595" w:rsidRDefault="001924F4" w:rsidP="003E376A">
            <w:pPr>
              <w:suppressAutoHyphens/>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B93FA1" w:rsidRPr="00661595" w:rsidRDefault="00B93FA1" w:rsidP="003E376A">
            <w:pPr>
              <w:suppressAutoHyphens/>
              <w:spacing w:beforeLines="60" w:before="144" w:afterLines="60" w:after="144"/>
              <w:rPr>
                <w:rFonts w:ascii="Times New Roman" w:hAnsi="Times New Roman"/>
                <w:b/>
                <w:sz w:val="24"/>
                <w:u w:val="single"/>
              </w:rPr>
            </w:pPr>
            <w:r>
              <w:rPr>
                <w:rFonts w:ascii="Times New Roman" w:hAnsi="Times New Roman"/>
                <w:b/>
                <w:sz w:val="24"/>
                <w:u w:val="single"/>
              </w:rPr>
              <w:t>1.1.3 ATTIVITÀ FINANZIARIE NON PER NEGOZIAZIONE OBBLIGATORIAMENTE AL FAIR VALUE (VALORE EQUO) RILEVATO NELL</w:t>
            </w:r>
            <w:r w:rsidR="000878EC">
              <w:rPr>
                <w:rFonts w:ascii="Times New Roman" w:hAnsi="Times New Roman"/>
                <w:b/>
                <w:sz w:val="24"/>
                <w:u w:val="single"/>
              </w:rPr>
              <w:t>'</w:t>
            </w:r>
            <w:r>
              <w:rPr>
                <w:rFonts w:ascii="Times New Roman" w:hAnsi="Times New Roman"/>
                <w:b/>
                <w:sz w:val="24"/>
                <w:u w:val="single"/>
              </w:rPr>
              <w:t>UTILE (PERDITA) D</w:t>
            </w:r>
            <w:r w:rsidR="000878EC">
              <w:rPr>
                <w:rFonts w:ascii="Times New Roman" w:hAnsi="Times New Roman"/>
                <w:b/>
                <w:sz w:val="24"/>
                <w:u w:val="single"/>
              </w:rPr>
              <w:t>'</w:t>
            </w:r>
            <w:r>
              <w:rPr>
                <w:rFonts w:ascii="Times New Roman" w:hAnsi="Times New Roman"/>
                <w:b/>
                <w:sz w:val="24"/>
                <w:u w:val="single"/>
              </w:rPr>
              <w:t xml:space="preserve">ESERCIZIO </w:t>
            </w:r>
          </w:p>
          <w:p w:rsidR="00B93FA1" w:rsidRPr="00661595" w:rsidRDefault="00B93FA1" w:rsidP="003E376A">
            <w:pPr>
              <w:suppressAutoHyphens/>
              <w:spacing w:beforeLines="60" w:before="144" w:afterLines="60" w:after="144"/>
              <w:rPr>
                <w:rFonts w:ascii="Times New Roman" w:hAnsi="Times New Roman"/>
                <w:sz w:val="24"/>
              </w:rPr>
            </w:pPr>
            <w:r>
              <w:rPr>
                <w:rFonts w:ascii="Times New Roman" w:hAnsi="Times New Roman"/>
                <w:sz w:val="24"/>
              </w:rPr>
              <w:t xml:space="preserve">IFRS 7.8(a)(ii); IFRS 9.4.1.4. </w:t>
            </w:r>
          </w:p>
          <w:p w:rsidR="00B93FA1" w:rsidRPr="00661595" w:rsidRDefault="00B93FA1" w:rsidP="003E376A">
            <w:pPr>
              <w:suppressAutoHyphens/>
              <w:spacing w:beforeLines="60" w:before="144" w:afterLines="60" w:after="144"/>
              <w:rPr>
                <w:rFonts w:ascii="Times New Roman" w:hAnsi="Times New Roman"/>
                <w:b/>
                <w:sz w:val="24"/>
                <w:u w:val="single"/>
              </w:rPr>
            </w:pPr>
            <w:r>
              <w:rPr>
                <w:rFonts w:ascii="Times New Roman" w:hAnsi="Times New Roman"/>
                <w:sz w:val="24"/>
              </w:rPr>
              <w:t>Le informazioni fornite in questa riga corrispondono a quelle della riga 0096 del modello F 01.01 degli allegati III e IV del presente regolamento di esecuzione.</w:t>
            </w:r>
          </w:p>
        </w:tc>
      </w:tr>
      <w:tr w:rsidR="00B93FA1" w:rsidRPr="00661595" w:rsidTr="00672D2A">
        <w:tc>
          <w:tcPr>
            <w:tcW w:w="1101" w:type="dxa"/>
          </w:tcPr>
          <w:p w:rsidR="00B93FA1" w:rsidRPr="00661595" w:rsidRDefault="001924F4" w:rsidP="003E376A">
            <w:pPr>
              <w:suppressAutoHyphens/>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B93FA1" w:rsidRPr="00661595" w:rsidRDefault="00B93FA1" w:rsidP="003E376A">
            <w:pPr>
              <w:suppressAutoHyphens/>
              <w:spacing w:beforeLines="60" w:before="144" w:afterLines="60" w:after="144"/>
              <w:rPr>
                <w:rFonts w:ascii="Times New Roman" w:hAnsi="Times New Roman"/>
                <w:b/>
                <w:sz w:val="24"/>
                <w:u w:val="single"/>
              </w:rPr>
            </w:pPr>
            <w:r>
              <w:rPr>
                <w:rFonts w:ascii="Times New Roman" w:hAnsi="Times New Roman"/>
                <w:b/>
                <w:sz w:val="24"/>
                <w:u w:val="single"/>
              </w:rPr>
              <w:t>1.1.4 ATTIVITÀ FINANZIARIE DESIGNATE AL FAIR VALUE (VALORE EQUO) RILEVATO NELL</w:t>
            </w:r>
            <w:r w:rsidR="000878EC">
              <w:rPr>
                <w:rFonts w:ascii="Times New Roman" w:hAnsi="Times New Roman"/>
                <w:b/>
                <w:sz w:val="24"/>
                <w:u w:val="single"/>
              </w:rPr>
              <w:t>'</w:t>
            </w:r>
            <w:r>
              <w:rPr>
                <w:rFonts w:ascii="Times New Roman" w:hAnsi="Times New Roman"/>
                <w:b/>
                <w:sz w:val="24"/>
                <w:u w:val="single"/>
              </w:rPr>
              <w:t>UTILE (PERDITA) D</w:t>
            </w:r>
            <w:r w:rsidR="000878EC">
              <w:rPr>
                <w:rFonts w:ascii="Times New Roman" w:hAnsi="Times New Roman"/>
                <w:b/>
                <w:sz w:val="24"/>
                <w:u w:val="single"/>
              </w:rPr>
              <w:t>'</w:t>
            </w:r>
            <w:r>
              <w:rPr>
                <w:rFonts w:ascii="Times New Roman" w:hAnsi="Times New Roman"/>
                <w:b/>
                <w:sz w:val="24"/>
                <w:u w:val="single"/>
              </w:rPr>
              <w:t>ESERCIZIO</w:t>
            </w:r>
          </w:p>
          <w:p w:rsidR="00B93FA1" w:rsidRPr="00661595" w:rsidRDefault="00B93FA1" w:rsidP="003E376A">
            <w:pPr>
              <w:suppressAutoHyphens/>
              <w:spacing w:beforeLines="60" w:before="144" w:afterLines="60" w:after="144"/>
              <w:rPr>
                <w:rFonts w:ascii="Times New Roman" w:hAnsi="Times New Roman"/>
                <w:sz w:val="24"/>
              </w:rPr>
            </w:pPr>
            <w:r>
              <w:rPr>
                <w:rFonts w:ascii="Times New Roman" w:hAnsi="Times New Roman"/>
                <w:sz w:val="24"/>
              </w:rPr>
              <w:t>IFRS 7.8(a)(i); IFRS 9.4.1.5; articolo 8, paragrafo 1, lettera a), e articolo 8, paragrafo 6, della AD.</w:t>
            </w:r>
          </w:p>
          <w:p w:rsidR="00B93FA1" w:rsidRPr="00661595" w:rsidRDefault="00B93FA1" w:rsidP="003E376A">
            <w:pPr>
              <w:suppressAutoHyphens/>
              <w:spacing w:beforeLines="60" w:before="144" w:afterLines="60" w:after="144"/>
              <w:rPr>
                <w:rFonts w:ascii="Times New Roman" w:hAnsi="Times New Roman"/>
                <w:sz w:val="24"/>
              </w:rPr>
            </w:pPr>
            <w:r>
              <w:rPr>
                <w:rFonts w:ascii="Times New Roman" w:hAnsi="Times New Roman"/>
                <w:sz w:val="24"/>
              </w:rPr>
              <w:t>Le informazioni fornite in questa riga corrispondono a quelle della riga 0100 del modello F 01.01 degli allegati III e IV del presente regolamento di esecuzione.</w:t>
            </w:r>
          </w:p>
        </w:tc>
      </w:tr>
      <w:tr w:rsidR="00B93FA1" w:rsidRPr="00661595" w:rsidTr="00672D2A">
        <w:tc>
          <w:tcPr>
            <w:tcW w:w="1101" w:type="dxa"/>
          </w:tcPr>
          <w:p w:rsidR="00B93FA1" w:rsidRPr="00661595" w:rsidRDefault="001924F4" w:rsidP="003E376A">
            <w:pPr>
              <w:suppressAutoHyphens/>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B93FA1" w:rsidRPr="00661595" w:rsidRDefault="00B93FA1" w:rsidP="003E376A">
            <w:pPr>
              <w:suppressAutoHyphens/>
              <w:spacing w:beforeLines="60" w:before="144" w:afterLines="60" w:after="144"/>
              <w:rPr>
                <w:rFonts w:ascii="Times New Roman" w:hAnsi="Times New Roman"/>
                <w:b/>
                <w:sz w:val="24"/>
                <w:u w:val="single"/>
              </w:rPr>
            </w:pPr>
            <w:r>
              <w:rPr>
                <w:rFonts w:ascii="Times New Roman" w:hAnsi="Times New Roman"/>
                <w:b/>
                <w:sz w:val="24"/>
                <w:u w:val="single"/>
              </w:rPr>
              <w:t>1.1.5</w:t>
            </w:r>
            <w:r>
              <w:rPr>
                <w:sz w:val="24"/>
              </w:rPr>
              <w:t xml:space="preserve"> </w:t>
            </w:r>
            <w:r>
              <w:rPr>
                <w:rFonts w:ascii="Times New Roman" w:hAnsi="Times New Roman"/>
                <w:b/>
                <w:sz w:val="24"/>
                <w:u w:val="single"/>
              </w:rPr>
              <w:t>ATTIVITÀ FINANZIARIE AL FAIR VALUE (VALORE EQUO) RILEVATO NELLE ALTRE COMPONENTI DI CONTO ECONOMICO COMPLESSIVO</w:t>
            </w:r>
          </w:p>
          <w:p w:rsidR="00B93FA1" w:rsidRPr="00661595" w:rsidRDefault="00B93FA1" w:rsidP="003E376A">
            <w:pPr>
              <w:suppressAutoHyphens/>
              <w:spacing w:beforeLines="60" w:before="144" w:afterLines="60" w:after="144"/>
              <w:rPr>
                <w:rFonts w:ascii="Times New Roman" w:hAnsi="Times New Roman"/>
                <w:sz w:val="24"/>
              </w:rPr>
            </w:pPr>
            <w:r>
              <w:rPr>
                <w:rFonts w:ascii="Times New Roman" w:hAnsi="Times New Roman"/>
                <w:sz w:val="24"/>
              </w:rPr>
              <w:t>IFRS 7.8(h); IFRS 9.4.1.2A.</w:t>
            </w:r>
          </w:p>
          <w:p w:rsidR="00B93FA1" w:rsidRPr="00661595" w:rsidRDefault="00B93FA1" w:rsidP="003E376A">
            <w:pPr>
              <w:suppressAutoHyphens/>
              <w:spacing w:beforeLines="60" w:before="144" w:afterLines="60" w:after="144"/>
              <w:rPr>
                <w:rFonts w:ascii="Times New Roman" w:hAnsi="Times New Roman"/>
                <w:sz w:val="24"/>
              </w:rPr>
            </w:pPr>
            <w:r>
              <w:rPr>
                <w:rFonts w:ascii="Times New Roman" w:hAnsi="Times New Roman"/>
                <w:sz w:val="24"/>
              </w:rPr>
              <w:t>Le informazioni fornite in questa riga corrispondono a quelle della riga 0141 del modello F 01.01 degli allegati III e IV del presente regolamento di esecuzione.</w:t>
            </w:r>
          </w:p>
        </w:tc>
      </w:tr>
      <w:tr w:rsidR="00B93FA1" w:rsidRPr="00661595" w:rsidTr="00672D2A">
        <w:tc>
          <w:tcPr>
            <w:tcW w:w="1101" w:type="dxa"/>
          </w:tcPr>
          <w:p w:rsidR="00B93FA1" w:rsidRPr="00661595" w:rsidRDefault="001924F4" w:rsidP="003E376A">
            <w:pPr>
              <w:suppressAutoHyphens/>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B93FA1" w:rsidRPr="00661595" w:rsidRDefault="00B93FA1" w:rsidP="003E376A">
            <w:pPr>
              <w:suppressAutoHyphens/>
              <w:spacing w:beforeLines="60" w:before="144" w:afterLines="60" w:after="144"/>
              <w:rPr>
                <w:rFonts w:ascii="Times New Roman" w:hAnsi="Times New Roman"/>
                <w:b/>
                <w:sz w:val="24"/>
                <w:u w:val="single"/>
              </w:rPr>
            </w:pPr>
            <w:r>
              <w:rPr>
                <w:rFonts w:ascii="Times New Roman" w:hAnsi="Times New Roman"/>
                <w:b/>
                <w:sz w:val="24"/>
                <w:u w:val="single"/>
              </w:rPr>
              <w:t>1.1.6 ATTIVITÀ FINANZIARIE NON DERIVATE E NON PER NEGOZIAZIONE VALUTATE AL FAIR VALUE (VALORE EQUO) RILEVATO NELL</w:t>
            </w:r>
            <w:r w:rsidR="000878EC">
              <w:rPr>
                <w:rFonts w:ascii="Times New Roman" w:hAnsi="Times New Roman"/>
                <w:b/>
                <w:sz w:val="24"/>
                <w:u w:val="single"/>
              </w:rPr>
              <w:t>'</w:t>
            </w:r>
            <w:r>
              <w:rPr>
                <w:rFonts w:ascii="Times New Roman" w:hAnsi="Times New Roman"/>
                <w:b/>
                <w:sz w:val="24"/>
                <w:u w:val="single"/>
              </w:rPr>
              <w:t>UTILE (PERDITA) D</w:t>
            </w:r>
            <w:r w:rsidR="000878EC">
              <w:rPr>
                <w:rFonts w:ascii="Times New Roman" w:hAnsi="Times New Roman"/>
                <w:b/>
                <w:sz w:val="24"/>
                <w:u w:val="single"/>
              </w:rPr>
              <w:t>'</w:t>
            </w:r>
            <w:r>
              <w:rPr>
                <w:rFonts w:ascii="Times New Roman" w:hAnsi="Times New Roman"/>
                <w:b/>
                <w:sz w:val="24"/>
                <w:u w:val="single"/>
              </w:rPr>
              <w:t>ESERCIZIO</w:t>
            </w:r>
          </w:p>
          <w:p w:rsidR="00B93FA1" w:rsidRPr="00661595" w:rsidRDefault="002F78EA" w:rsidP="003E376A">
            <w:pPr>
              <w:suppressAutoHyphens/>
              <w:spacing w:beforeLines="60" w:before="144" w:afterLines="60" w:after="144"/>
              <w:rPr>
                <w:rFonts w:ascii="Times New Roman" w:hAnsi="Times New Roman"/>
                <w:b/>
                <w:sz w:val="24"/>
                <w:u w:val="single"/>
              </w:rPr>
            </w:pPr>
            <w:r>
              <w:rPr>
                <w:rFonts w:ascii="Times New Roman" w:hAnsi="Times New Roman"/>
                <w:sz w:val="24"/>
              </w:rPr>
              <w:t>Articolo 36, paragrafo 2, della BAD. Le informazioni fornite in questa riga corrispondono a quelle della riga 0171 del modello F 01.01 degli allegati III e IV del presente regolamento di esecuzione.</w:t>
            </w:r>
          </w:p>
        </w:tc>
      </w:tr>
      <w:tr w:rsidR="00B93FA1" w:rsidRPr="00661595" w:rsidTr="00672D2A">
        <w:tc>
          <w:tcPr>
            <w:tcW w:w="1101" w:type="dxa"/>
          </w:tcPr>
          <w:p w:rsidR="00B93FA1" w:rsidRPr="00661595" w:rsidRDefault="001924F4" w:rsidP="003E376A">
            <w:pPr>
              <w:suppressAutoHyphens/>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B93FA1" w:rsidRPr="00661595" w:rsidRDefault="00B93FA1" w:rsidP="003E376A">
            <w:pPr>
              <w:suppressAutoHyphens/>
              <w:spacing w:beforeLines="60" w:before="144" w:afterLines="60" w:after="144"/>
              <w:rPr>
                <w:rFonts w:ascii="Times New Roman" w:hAnsi="Times New Roman"/>
                <w:b/>
                <w:sz w:val="24"/>
                <w:u w:val="single"/>
              </w:rPr>
            </w:pPr>
            <w:r>
              <w:rPr>
                <w:rFonts w:ascii="Times New Roman" w:hAnsi="Times New Roman"/>
                <w:b/>
                <w:sz w:val="24"/>
                <w:u w:val="single"/>
              </w:rPr>
              <w:t>1.1.7 ATTIVITÀ FINANZIARIE NON DERIVATE E NON PER NEGOZIAZIONE VALUTATE AL FAIR VALUE (VALORE EQUO) RILEVATO A PATRIMONIO NETTO</w:t>
            </w:r>
          </w:p>
          <w:p w:rsidR="00B93FA1" w:rsidRPr="00661595" w:rsidRDefault="002F78EA" w:rsidP="003E376A">
            <w:pPr>
              <w:suppressAutoHyphens/>
              <w:spacing w:beforeLines="60" w:before="144" w:afterLines="60" w:after="144"/>
              <w:rPr>
                <w:rFonts w:ascii="Times New Roman" w:hAnsi="Times New Roman"/>
                <w:sz w:val="24"/>
              </w:rPr>
            </w:pPr>
            <w:r>
              <w:rPr>
                <w:rFonts w:ascii="Times New Roman" w:hAnsi="Times New Roman"/>
                <w:sz w:val="24"/>
              </w:rPr>
              <w:t xml:space="preserve">Articolo 8, paragrafo 1, lettera a), e articolo 8, paragrafo 8, della AD. </w:t>
            </w:r>
          </w:p>
          <w:p w:rsidR="00B93FA1" w:rsidRPr="00661595" w:rsidRDefault="00B93FA1" w:rsidP="003E376A">
            <w:pPr>
              <w:suppressAutoHyphens/>
              <w:spacing w:beforeLines="60" w:before="144" w:afterLines="60" w:after="144"/>
              <w:rPr>
                <w:rFonts w:ascii="Times New Roman" w:hAnsi="Times New Roman"/>
                <w:b/>
                <w:sz w:val="24"/>
                <w:u w:val="single"/>
              </w:rPr>
            </w:pPr>
            <w:r>
              <w:rPr>
                <w:rFonts w:ascii="Times New Roman" w:hAnsi="Times New Roman"/>
                <w:sz w:val="24"/>
              </w:rPr>
              <w:t>Le informazioni fornite in questa riga corrispondono a quelle della riga 0175 del modello F 01.01 degli allegati III e IV del presente regolamento di esecuzione.</w:t>
            </w:r>
          </w:p>
        </w:tc>
      </w:tr>
      <w:tr w:rsidR="00B93FA1" w:rsidRPr="00661595" w:rsidTr="00672D2A">
        <w:tc>
          <w:tcPr>
            <w:tcW w:w="1101" w:type="dxa"/>
          </w:tcPr>
          <w:p w:rsidR="00B93FA1" w:rsidRPr="00661595" w:rsidRDefault="001924F4" w:rsidP="003E376A">
            <w:pPr>
              <w:suppressAutoHyphens/>
              <w:spacing w:beforeLines="60" w:before="144" w:afterLines="60" w:after="144"/>
              <w:rPr>
                <w:rFonts w:ascii="Times New Roman" w:hAnsi="Times New Roman"/>
                <w:sz w:val="24"/>
              </w:rPr>
            </w:pPr>
            <w:r>
              <w:rPr>
                <w:rFonts w:ascii="Times New Roman" w:hAnsi="Times New Roman"/>
                <w:sz w:val="24"/>
              </w:rPr>
              <w:t>0100</w:t>
            </w:r>
          </w:p>
        </w:tc>
        <w:tc>
          <w:tcPr>
            <w:tcW w:w="8190" w:type="dxa"/>
          </w:tcPr>
          <w:p w:rsidR="00B93FA1" w:rsidRPr="00661595" w:rsidRDefault="00B93FA1" w:rsidP="003E376A">
            <w:pPr>
              <w:suppressAutoHyphens/>
              <w:spacing w:beforeLines="60" w:before="144" w:afterLines="60" w:after="144"/>
              <w:rPr>
                <w:rFonts w:ascii="Times New Roman" w:hAnsi="Times New Roman"/>
                <w:b/>
                <w:sz w:val="24"/>
                <w:u w:val="single"/>
              </w:rPr>
            </w:pPr>
            <w:r>
              <w:rPr>
                <w:rFonts w:ascii="Times New Roman" w:hAnsi="Times New Roman"/>
                <w:b/>
                <w:sz w:val="24"/>
                <w:u w:val="single"/>
              </w:rPr>
              <w:t>1.1.8 ALTRE ATTIVITÀ FINANZIARIE NON DERIVATE E NON PER NEGOZIAZIONE</w:t>
            </w:r>
          </w:p>
          <w:p w:rsidR="00B93FA1" w:rsidRPr="00661595" w:rsidRDefault="002F78EA" w:rsidP="003E376A">
            <w:pPr>
              <w:suppressAutoHyphens/>
              <w:spacing w:beforeLines="60" w:before="144" w:afterLines="60" w:after="144"/>
              <w:rPr>
                <w:rFonts w:ascii="Times New Roman" w:hAnsi="Times New Roman"/>
                <w:sz w:val="24"/>
              </w:rPr>
            </w:pPr>
            <w:r>
              <w:rPr>
                <w:rFonts w:ascii="Times New Roman" w:hAnsi="Times New Roman"/>
                <w:sz w:val="24"/>
              </w:rPr>
              <w:t xml:space="preserve">Articolo 37 della BAD; Articolo 12, paragrafo 7, della AD; </w:t>
            </w:r>
            <w:r>
              <w:rPr>
                <w:rFonts w:ascii="Times New Roman" w:hAnsi="Times New Roman"/>
                <w:bCs/>
                <w:sz w:val="24"/>
              </w:rPr>
              <w:t>Parte 1.20 dell</w:t>
            </w:r>
            <w:r w:rsidR="000878EC">
              <w:rPr>
                <w:rFonts w:ascii="Times New Roman" w:hAnsi="Times New Roman"/>
                <w:bCs/>
                <w:sz w:val="24"/>
              </w:rPr>
              <w:t>'</w:t>
            </w:r>
            <w:r>
              <w:rPr>
                <w:rFonts w:ascii="Times New Roman" w:hAnsi="Times New Roman"/>
                <w:bCs/>
                <w:sz w:val="24"/>
              </w:rPr>
              <w:t>allegato V del presente regolamento di esecuzione</w:t>
            </w:r>
          </w:p>
          <w:p w:rsidR="00DE08E6" w:rsidRPr="00661595" w:rsidRDefault="00B93FA1" w:rsidP="003E376A">
            <w:pPr>
              <w:suppressAutoHyphens/>
              <w:spacing w:beforeLines="60" w:before="144" w:afterLines="60" w:after="144"/>
              <w:rPr>
                <w:rFonts w:ascii="Times New Roman" w:hAnsi="Times New Roman"/>
                <w:sz w:val="24"/>
              </w:rPr>
            </w:pPr>
            <w:r>
              <w:rPr>
                <w:rFonts w:ascii="Times New Roman" w:hAnsi="Times New Roman"/>
                <w:sz w:val="24"/>
              </w:rPr>
              <w:t>Le informazioni fornite in questa riga corrispondono alle attività valutate al fair value (valore equo) incluse nel valore segnalato nella riga 0234 del modello F 01.01 degli allegati III e IV del presente regolamento di esecuzione.</w:t>
            </w:r>
          </w:p>
        </w:tc>
      </w:tr>
      <w:tr w:rsidR="00B93FA1" w:rsidRPr="00661595" w:rsidTr="00672D2A">
        <w:tc>
          <w:tcPr>
            <w:tcW w:w="1101" w:type="dxa"/>
          </w:tcPr>
          <w:p w:rsidR="00B93FA1" w:rsidRPr="00661595" w:rsidRDefault="001924F4" w:rsidP="003E376A">
            <w:pPr>
              <w:suppressAutoHyphens/>
              <w:spacing w:beforeLines="60" w:before="144" w:afterLines="60" w:after="144"/>
              <w:rPr>
                <w:rFonts w:ascii="Times New Roman" w:hAnsi="Times New Roman"/>
                <w:sz w:val="24"/>
              </w:rPr>
            </w:pPr>
            <w:r>
              <w:rPr>
                <w:rFonts w:ascii="Times New Roman" w:hAnsi="Times New Roman"/>
                <w:sz w:val="24"/>
              </w:rPr>
              <w:t>0110</w:t>
            </w:r>
          </w:p>
        </w:tc>
        <w:tc>
          <w:tcPr>
            <w:tcW w:w="8190" w:type="dxa"/>
          </w:tcPr>
          <w:p w:rsidR="00B93FA1" w:rsidRPr="00661595" w:rsidRDefault="00B93FA1" w:rsidP="003E376A">
            <w:pPr>
              <w:suppressAutoHyphens/>
              <w:spacing w:beforeLines="60" w:before="144" w:afterLines="60" w:after="144"/>
              <w:rPr>
                <w:rFonts w:ascii="Times New Roman" w:hAnsi="Times New Roman"/>
                <w:b/>
                <w:sz w:val="24"/>
                <w:u w:val="single"/>
              </w:rPr>
            </w:pPr>
            <w:r>
              <w:rPr>
                <w:rFonts w:ascii="Times New Roman" w:hAnsi="Times New Roman"/>
                <w:b/>
                <w:sz w:val="24"/>
                <w:u w:val="single"/>
              </w:rPr>
              <w:t>1.1.9 DERIVATI-CONTABILIZZAZIONE DELLE OPERAZIONI DI COPERTURA</w:t>
            </w:r>
          </w:p>
          <w:p w:rsidR="00B93FA1" w:rsidRPr="00661595" w:rsidRDefault="00B93FA1" w:rsidP="003E376A">
            <w:pPr>
              <w:suppressAutoHyphens/>
              <w:spacing w:beforeLines="60" w:before="144" w:afterLines="60" w:after="144"/>
              <w:rPr>
                <w:rFonts w:ascii="Times New Roman" w:hAnsi="Times New Roman"/>
                <w:sz w:val="24"/>
              </w:rPr>
            </w:pPr>
            <w:r>
              <w:rPr>
                <w:rFonts w:ascii="Times New Roman" w:hAnsi="Times New Roman"/>
                <w:sz w:val="24"/>
              </w:rPr>
              <w:t xml:space="preserve">IFRS 9.6.2.1; </w:t>
            </w:r>
            <w:r>
              <w:rPr>
                <w:rFonts w:ascii="Times New Roman" w:hAnsi="Times New Roman"/>
                <w:bCs/>
                <w:sz w:val="24"/>
              </w:rPr>
              <w:t>parte 1.22 dell</w:t>
            </w:r>
            <w:r w:rsidR="000878EC">
              <w:rPr>
                <w:rFonts w:ascii="Times New Roman" w:hAnsi="Times New Roman"/>
                <w:bCs/>
                <w:sz w:val="24"/>
              </w:rPr>
              <w:t>'</w:t>
            </w:r>
            <w:r>
              <w:rPr>
                <w:rFonts w:ascii="Times New Roman" w:hAnsi="Times New Roman"/>
                <w:bCs/>
                <w:sz w:val="24"/>
              </w:rPr>
              <w:t>allegato V del presente regolamento di esecuzione</w:t>
            </w:r>
            <w:r>
              <w:rPr>
                <w:rFonts w:ascii="Times New Roman" w:hAnsi="Times New Roman"/>
                <w:sz w:val="24"/>
              </w:rPr>
              <w:t>; articolo 8, paragrafo 1, lettera a), e articolo 8, paragrafi 6 e 8, della AD; IAS 39.9</w:t>
            </w:r>
          </w:p>
          <w:p w:rsidR="00B93FA1" w:rsidRPr="00661595" w:rsidRDefault="00B93FA1" w:rsidP="003E376A">
            <w:pPr>
              <w:suppressAutoHyphens/>
              <w:spacing w:beforeLines="60" w:before="144" w:afterLines="60" w:after="144"/>
              <w:rPr>
                <w:rFonts w:ascii="Times New Roman" w:hAnsi="Times New Roman"/>
                <w:sz w:val="24"/>
              </w:rPr>
            </w:pPr>
            <w:r>
              <w:rPr>
                <w:rFonts w:ascii="Times New Roman" w:hAnsi="Times New Roman"/>
                <w:sz w:val="24"/>
              </w:rPr>
              <w:t>Le informazioni fornite in questa riga corrispondono a quelle della riga 0240 del modello F 01.01 degli allegati III e IV del presente regolamento di esecuzione.</w:t>
            </w:r>
          </w:p>
        </w:tc>
      </w:tr>
      <w:tr w:rsidR="00B93FA1" w:rsidRPr="00661595" w:rsidTr="00672D2A">
        <w:tc>
          <w:tcPr>
            <w:tcW w:w="1101" w:type="dxa"/>
          </w:tcPr>
          <w:p w:rsidR="00B93FA1" w:rsidRPr="00661595" w:rsidDel="006529A1" w:rsidRDefault="001924F4" w:rsidP="003E376A">
            <w:pPr>
              <w:suppressAutoHyphens/>
              <w:spacing w:beforeLines="60" w:before="144" w:afterLines="60" w:after="144"/>
              <w:rPr>
                <w:rFonts w:ascii="Times New Roman" w:hAnsi="Times New Roman"/>
                <w:sz w:val="24"/>
              </w:rPr>
            </w:pPr>
            <w:r>
              <w:rPr>
                <w:rFonts w:ascii="Times New Roman" w:hAnsi="Times New Roman"/>
                <w:sz w:val="24"/>
              </w:rPr>
              <w:t>0120</w:t>
            </w:r>
          </w:p>
        </w:tc>
        <w:tc>
          <w:tcPr>
            <w:tcW w:w="8190" w:type="dxa"/>
          </w:tcPr>
          <w:p w:rsidR="00B93FA1" w:rsidRPr="00661595" w:rsidRDefault="00B93FA1" w:rsidP="003E376A">
            <w:pPr>
              <w:suppressAutoHyphens/>
              <w:spacing w:beforeLines="60" w:before="144" w:afterLines="60" w:after="144"/>
              <w:rPr>
                <w:rFonts w:ascii="Times New Roman" w:hAnsi="Times New Roman"/>
                <w:b/>
                <w:sz w:val="24"/>
                <w:u w:val="single"/>
              </w:rPr>
            </w:pPr>
            <w:r>
              <w:rPr>
                <w:rFonts w:ascii="Times New Roman" w:hAnsi="Times New Roman"/>
                <w:b/>
                <w:sz w:val="24"/>
                <w:u w:val="single"/>
              </w:rPr>
              <w:t>1.1.10 VARIAZIONI DEL FAIR VALUE (VALORE EQUO) DEGLI ELEMENTI COPERTI IN UNA COPERTURA DI PORTAFOGLIO DAL RISCHIO DI TASSO DI INTERESSE</w:t>
            </w:r>
          </w:p>
          <w:p w:rsidR="00B93FA1" w:rsidRPr="00661595" w:rsidRDefault="00B93FA1" w:rsidP="003E376A">
            <w:pPr>
              <w:suppressAutoHyphens/>
              <w:spacing w:beforeLines="60" w:before="144" w:afterLines="60" w:after="144"/>
              <w:rPr>
                <w:rFonts w:ascii="Times New Roman" w:hAnsi="Times New Roman"/>
                <w:b/>
                <w:sz w:val="24"/>
                <w:u w:val="single"/>
              </w:rPr>
            </w:pPr>
            <w:r>
              <w:rPr>
                <w:rFonts w:ascii="Times New Roman" w:hAnsi="Times New Roman"/>
                <w:sz w:val="24"/>
              </w:rPr>
              <w:t>IAS 39.89A(a); IFRS 9.6.5.8; articolo 8, paragrafi 5 e 6, della AD. Le informazioni fornite in questa riga corrispondono a quelle della riga 0250 del modello F 01.01 degli allegati III e IV del presente regolamento di esecuzione.</w:t>
            </w:r>
          </w:p>
        </w:tc>
      </w:tr>
      <w:tr w:rsidR="00B93FA1" w:rsidRPr="00661595" w:rsidTr="00672D2A">
        <w:tc>
          <w:tcPr>
            <w:tcW w:w="1101" w:type="dxa"/>
          </w:tcPr>
          <w:p w:rsidR="00B93FA1" w:rsidRPr="00661595" w:rsidRDefault="001924F4" w:rsidP="003E376A">
            <w:pPr>
              <w:suppressAutoHyphens/>
              <w:spacing w:beforeLines="60" w:before="144" w:afterLines="60" w:after="144"/>
              <w:rPr>
                <w:rFonts w:ascii="Times New Roman" w:hAnsi="Times New Roman"/>
                <w:sz w:val="24"/>
              </w:rPr>
            </w:pPr>
            <w:r>
              <w:rPr>
                <w:rFonts w:ascii="Times New Roman" w:hAnsi="Times New Roman"/>
                <w:sz w:val="24"/>
              </w:rPr>
              <w:t>0130</w:t>
            </w:r>
          </w:p>
        </w:tc>
        <w:tc>
          <w:tcPr>
            <w:tcW w:w="8190" w:type="dxa"/>
          </w:tcPr>
          <w:p w:rsidR="00B93FA1" w:rsidRPr="00661595" w:rsidRDefault="00B93FA1" w:rsidP="003E376A">
            <w:pPr>
              <w:suppressAutoHyphens/>
              <w:spacing w:beforeLines="60" w:before="144" w:afterLines="60" w:after="144"/>
              <w:rPr>
                <w:rFonts w:ascii="Times New Roman" w:hAnsi="Times New Roman"/>
                <w:b/>
                <w:sz w:val="24"/>
                <w:u w:val="single"/>
              </w:rPr>
            </w:pPr>
            <w:r>
              <w:rPr>
                <w:rFonts w:ascii="Times New Roman" w:hAnsi="Times New Roman"/>
                <w:b/>
                <w:sz w:val="24"/>
                <w:u w:val="single"/>
              </w:rPr>
              <w:t>1.1.11 PARTECIPAZIONI IN FILIAZIONI, IN JOINT VENTURE E IN SOCIETÀ COLLEGATE</w:t>
            </w:r>
          </w:p>
          <w:p w:rsidR="00B93FA1" w:rsidRPr="00661595" w:rsidRDefault="00B93FA1" w:rsidP="003E376A">
            <w:pPr>
              <w:suppressAutoHyphens/>
              <w:spacing w:beforeLines="60" w:before="144" w:afterLines="60" w:after="144"/>
              <w:rPr>
                <w:rFonts w:ascii="Times New Roman" w:hAnsi="Times New Roman"/>
                <w:sz w:val="24"/>
              </w:rPr>
            </w:pPr>
            <w:r>
              <w:rPr>
                <w:rFonts w:ascii="Times New Roman" w:hAnsi="Times New Roman"/>
                <w:sz w:val="24"/>
              </w:rPr>
              <w:t xml:space="preserve">IAS 1.54(e); </w:t>
            </w:r>
            <w:r>
              <w:rPr>
                <w:rFonts w:ascii="Times New Roman" w:hAnsi="Times New Roman"/>
                <w:bCs/>
                <w:sz w:val="24"/>
              </w:rPr>
              <w:t>parti 1.21 e 2.4 dell</w:t>
            </w:r>
            <w:r w:rsidR="000878EC">
              <w:rPr>
                <w:rFonts w:ascii="Times New Roman" w:hAnsi="Times New Roman"/>
                <w:bCs/>
                <w:sz w:val="24"/>
              </w:rPr>
              <w:t>'</w:t>
            </w:r>
            <w:r>
              <w:rPr>
                <w:rFonts w:ascii="Times New Roman" w:hAnsi="Times New Roman"/>
                <w:bCs/>
                <w:sz w:val="24"/>
              </w:rPr>
              <w:t>allegato V del presente regolamento di esecuzione</w:t>
            </w:r>
            <w:r>
              <w:rPr>
                <w:rFonts w:ascii="Times New Roman" w:hAnsi="Times New Roman"/>
                <w:sz w:val="24"/>
              </w:rPr>
              <w:t>; articolo 4, punti 7 e 8, della BAD; articolo 2, paragrafo 2, della AD.</w:t>
            </w:r>
          </w:p>
          <w:p w:rsidR="00B93FA1" w:rsidRPr="00661595" w:rsidRDefault="00B93FA1" w:rsidP="003E376A">
            <w:pPr>
              <w:suppressAutoHyphens/>
              <w:spacing w:beforeLines="60" w:before="144" w:afterLines="60" w:after="144"/>
              <w:rPr>
                <w:rFonts w:ascii="Times New Roman" w:hAnsi="Times New Roman"/>
                <w:b/>
                <w:sz w:val="24"/>
                <w:u w:val="single"/>
              </w:rPr>
            </w:pPr>
            <w:r>
              <w:rPr>
                <w:rFonts w:ascii="Times New Roman" w:hAnsi="Times New Roman"/>
                <w:sz w:val="24"/>
              </w:rPr>
              <w:t>Le informazioni fornite in questa riga corrispondono a quelle della riga 0260 del modello F 01.01 degli allegati III e IV del presente regolamento di esecuzione.</w:t>
            </w:r>
          </w:p>
        </w:tc>
      </w:tr>
      <w:tr w:rsidR="00B93FA1" w:rsidRPr="00661595" w:rsidTr="00672D2A">
        <w:tc>
          <w:tcPr>
            <w:tcW w:w="1101" w:type="dxa"/>
          </w:tcPr>
          <w:p w:rsidR="00B93FA1" w:rsidRPr="00661595" w:rsidRDefault="001924F4" w:rsidP="003E376A">
            <w:pPr>
              <w:suppressAutoHyphens/>
              <w:spacing w:beforeLines="60" w:before="144" w:afterLines="60" w:after="144"/>
              <w:rPr>
                <w:rFonts w:ascii="Times New Roman" w:hAnsi="Times New Roman"/>
                <w:sz w:val="24"/>
              </w:rPr>
            </w:pPr>
            <w:r>
              <w:rPr>
                <w:rFonts w:ascii="Times New Roman" w:hAnsi="Times New Roman"/>
                <w:sz w:val="24"/>
              </w:rPr>
              <w:t>0140</w:t>
            </w:r>
          </w:p>
        </w:tc>
        <w:tc>
          <w:tcPr>
            <w:tcW w:w="8190" w:type="dxa"/>
          </w:tcPr>
          <w:p w:rsidR="00B93FA1" w:rsidRPr="00661595" w:rsidRDefault="00B93FA1" w:rsidP="003E376A">
            <w:pPr>
              <w:suppressAutoHyphens/>
              <w:spacing w:beforeLines="60" w:before="144" w:afterLines="60" w:after="144"/>
              <w:rPr>
                <w:rFonts w:ascii="Times New Roman" w:hAnsi="Times New Roman"/>
                <w:b/>
                <w:sz w:val="24"/>
                <w:u w:val="single"/>
              </w:rPr>
            </w:pPr>
            <w:r>
              <w:rPr>
                <w:rFonts w:ascii="Times New Roman" w:hAnsi="Times New Roman"/>
                <w:b/>
                <w:sz w:val="24"/>
                <w:u w:val="single"/>
              </w:rPr>
              <w:t>1.1.12 (-) SCARTI DI GARANZIA RELATIVI AD ATTIVITÀ PER NEGOZIAZIONE AL FAIR VALUE (VALORE EQUO)</w:t>
            </w:r>
          </w:p>
          <w:p w:rsidR="00B93FA1" w:rsidRPr="00661595" w:rsidRDefault="002F78EA" w:rsidP="003E376A">
            <w:pPr>
              <w:suppressAutoHyphens/>
              <w:spacing w:beforeLines="60" w:before="144" w:afterLines="60" w:after="144"/>
              <w:rPr>
                <w:rFonts w:ascii="Times New Roman" w:hAnsi="Times New Roman"/>
                <w:sz w:val="24"/>
              </w:rPr>
            </w:pPr>
            <w:r>
              <w:rPr>
                <w:rFonts w:ascii="Times New Roman" w:hAnsi="Times New Roman"/>
                <w:bCs/>
                <w:sz w:val="24"/>
              </w:rPr>
              <w:t>Parte 1.29 dell</w:t>
            </w:r>
            <w:r w:rsidR="000878EC">
              <w:rPr>
                <w:rFonts w:ascii="Times New Roman" w:hAnsi="Times New Roman"/>
                <w:bCs/>
                <w:sz w:val="24"/>
              </w:rPr>
              <w:t>'</w:t>
            </w:r>
            <w:r>
              <w:rPr>
                <w:rFonts w:ascii="Times New Roman" w:hAnsi="Times New Roman"/>
                <w:bCs/>
                <w:sz w:val="24"/>
              </w:rPr>
              <w:t>allegato V del presente regolamento di esecuzione.</w:t>
            </w:r>
          </w:p>
          <w:p w:rsidR="00B93FA1" w:rsidRPr="00661595" w:rsidRDefault="00B93FA1" w:rsidP="003E376A">
            <w:pPr>
              <w:suppressAutoHyphens/>
              <w:spacing w:beforeLines="60" w:before="144" w:afterLines="60" w:after="144"/>
              <w:rPr>
                <w:rFonts w:ascii="Times New Roman" w:hAnsi="Times New Roman"/>
                <w:b/>
                <w:sz w:val="24"/>
                <w:u w:val="single"/>
              </w:rPr>
            </w:pPr>
            <w:r>
              <w:rPr>
                <w:rFonts w:ascii="Times New Roman" w:hAnsi="Times New Roman"/>
                <w:sz w:val="24"/>
              </w:rPr>
              <w:t>Le informazioni fornite in questa riga corrispondono a quelle della riga 0375 del modello F 01.01 degli allegati III e IV del presente regolamento di esecuzione.</w:t>
            </w:r>
          </w:p>
        </w:tc>
      </w:tr>
      <w:tr w:rsidR="00B93FA1" w:rsidRPr="00661595" w:rsidTr="00672D2A">
        <w:tc>
          <w:tcPr>
            <w:tcW w:w="1101" w:type="dxa"/>
          </w:tcPr>
          <w:p w:rsidR="00B93FA1" w:rsidRPr="00661595" w:rsidRDefault="001924F4" w:rsidP="003E376A">
            <w:pPr>
              <w:suppressAutoHyphens/>
              <w:spacing w:beforeLines="60" w:before="144" w:afterLines="60" w:after="144"/>
              <w:rPr>
                <w:rFonts w:ascii="Times New Roman" w:hAnsi="Times New Roman"/>
                <w:sz w:val="24"/>
              </w:rPr>
            </w:pPr>
            <w:r>
              <w:rPr>
                <w:rFonts w:ascii="Times New Roman" w:hAnsi="Times New Roman"/>
                <w:sz w:val="24"/>
              </w:rPr>
              <w:t>0150</w:t>
            </w:r>
          </w:p>
        </w:tc>
        <w:tc>
          <w:tcPr>
            <w:tcW w:w="8190" w:type="dxa"/>
          </w:tcPr>
          <w:p w:rsidR="00B93FA1" w:rsidRPr="00661595" w:rsidRDefault="00B93FA1" w:rsidP="003E376A">
            <w:pPr>
              <w:suppressAutoHyphens/>
              <w:spacing w:beforeLines="60" w:before="144" w:afterLines="60" w:after="144"/>
              <w:rPr>
                <w:rFonts w:ascii="Times New Roman" w:hAnsi="Times New Roman"/>
                <w:b/>
                <w:sz w:val="24"/>
                <w:u w:val="single"/>
              </w:rPr>
            </w:pPr>
            <w:r>
              <w:rPr>
                <w:rFonts w:ascii="Times New Roman" w:hAnsi="Times New Roman"/>
                <w:b/>
                <w:sz w:val="24"/>
                <w:u w:val="single"/>
              </w:rPr>
              <w:t>1.2 PASSIVITÀ TOTALI VALUTATE AL FAIR VALUE (VALORE EQUO)</w:t>
            </w:r>
            <w:r w:rsidR="000878EC">
              <w:rPr>
                <w:rFonts w:ascii="Times New Roman" w:hAnsi="Times New Roman"/>
                <w:b/>
                <w:sz w:val="24"/>
                <w:u w:val="single"/>
              </w:rPr>
              <w:t xml:space="preserve"> </w:t>
            </w:r>
          </w:p>
          <w:p w:rsidR="00B93FA1" w:rsidRPr="00661595" w:rsidRDefault="00B93FA1" w:rsidP="003E376A">
            <w:pPr>
              <w:suppressAutoHyphens/>
              <w:spacing w:beforeLines="60" w:before="144" w:afterLines="60" w:after="144"/>
              <w:rPr>
                <w:rFonts w:ascii="Times New Roman" w:hAnsi="Times New Roman"/>
                <w:sz w:val="24"/>
              </w:rPr>
            </w:pPr>
            <w:r>
              <w:rPr>
                <w:rFonts w:ascii="Times New Roman" w:hAnsi="Times New Roman"/>
                <w:sz w:val="24"/>
              </w:rPr>
              <w:t>Il totale delle passività valutate al fair value (valore equo) indicate nelle righe da 0160 a 0210.</w:t>
            </w:r>
          </w:p>
          <w:p w:rsidR="00B93FA1" w:rsidRPr="00661595" w:rsidRDefault="00B93FA1" w:rsidP="003E376A">
            <w:pPr>
              <w:suppressAutoHyphens/>
              <w:spacing w:beforeLines="60" w:before="144" w:afterLines="60" w:after="144"/>
              <w:rPr>
                <w:rFonts w:ascii="Times New Roman" w:hAnsi="Times New Roman"/>
                <w:sz w:val="24"/>
              </w:rPr>
            </w:pPr>
            <w:r>
              <w:rPr>
                <w:rFonts w:ascii="Times New Roman" w:hAnsi="Times New Roman"/>
                <w:sz w:val="24"/>
              </w:rPr>
              <w:t>Le celle pertinenti delle righe da 0150 a 0190 sono compilate in linea con il modello FINREP F 01.02 di cui agli allegati III e IV del presente regolamento di esecuzione in funzione dei principi contabili applicati dall</w:t>
            </w:r>
            <w:r w:rsidR="000878EC">
              <w:rPr>
                <w:rFonts w:ascii="Times New Roman" w:hAnsi="Times New Roman"/>
                <w:sz w:val="24"/>
              </w:rPr>
              <w:t>'</w:t>
            </w:r>
            <w:r>
              <w:rPr>
                <w:rFonts w:ascii="Times New Roman" w:hAnsi="Times New Roman"/>
                <w:sz w:val="24"/>
              </w:rPr>
              <w:t xml:space="preserve">ente: </w:t>
            </w:r>
          </w:p>
          <w:p w:rsidR="00B93FA1" w:rsidRPr="00661595" w:rsidRDefault="00B93FA1" w:rsidP="003E376A">
            <w:pPr>
              <w:pStyle w:val="ListParagraph"/>
              <w:numPr>
                <w:ilvl w:val="0"/>
                <w:numId w:val="30"/>
              </w:numPr>
              <w:suppressAutoHyphens/>
              <w:spacing w:beforeLines="60" w:before="144" w:afterLines="60" w:after="144"/>
              <w:rPr>
                <w:rFonts w:ascii="Times New Roman" w:hAnsi="Times New Roman"/>
                <w:sz w:val="24"/>
              </w:rPr>
            </w:pPr>
            <w:r>
              <w:rPr>
                <w:rFonts w:ascii="Times New Roman" w:hAnsi="Times New Roman"/>
                <w:sz w:val="24"/>
              </w:rPr>
              <w:t>gli IFRS omologati dall</w:t>
            </w:r>
            <w:r w:rsidR="000878EC">
              <w:rPr>
                <w:rFonts w:ascii="Times New Roman" w:hAnsi="Times New Roman"/>
                <w:sz w:val="24"/>
              </w:rPr>
              <w:t>'</w:t>
            </w:r>
            <w:r>
              <w:rPr>
                <w:rFonts w:ascii="Times New Roman" w:hAnsi="Times New Roman"/>
                <w:sz w:val="24"/>
              </w:rPr>
              <w:t>Unione in applicazione del regolamento (CE) n. 1606/2002 (IFRS UE)</w:t>
            </w:r>
          </w:p>
          <w:p w:rsidR="00B93FA1" w:rsidRPr="00661595" w:rsidRDefault="00B93FA1" w:rsidP="003E376A">
            <w:pPr>
              <w:pStyle w:val="ListParagraph"/>
              <w:numPr>
                <w:ilvl w:val="0"/>
                <w:numId w:val="30"/>
              </w:numPr>
              <w:suppressAutoHyphens/>
              <w:spacing w:beforeLines="60" w:before="144" w:afterLines="60" w:after="144"/>
              <w:rPr>
                <w:rFonts w:ascii="Times New Roman" w:hAnsi="Times New Roman"/>
                <w:sz w:val="24"/>
              </w:rPr>
            </w:pPr>
            <w:r>
              <w:rPr>
                <w:rFonts w:ascii="Times New Roman" w:hAnsi="Times New Roman"/>
                <w:sz w:val="24"/>
              </w:rPr>
              <w:t>i principi contabili nazionali compatibili con gli IFRS UE (</w:t>
            </w:r>
            <w:r w:rsidR="000878EC">
              <w:rPr>
                <w:rFonts w:ascii="Times New Roman" w:hAnsi="Times New Roman"/>
                <w:sz w:val="24"/>
              </w:rPr>
              <w:t>"</w:t>
            </w:r>
            <w:r>
              <w:rPr>
                <w:rFonts w:ascii="Times New Roman" w:hAnsi="Times New Roman"/>
                <w:sz w:val="24"/>
              </w:rPr>
              <w:t>GAAP nazionali compatibili con gli IFRS</w:t>
            </w:r>
            <w:r w:rsidR="000878EC">
              <w:rPr>
                <w:rFonts w:ascii="Times New Roman" w:hAnsi="Times New Roman"/>
                <w:sz w:val="24"/>
              </w:rPr>
              <w:t>"</w:t>
            </w:r>
            <w:r>
              <w:rPr>
                <w:rFonts w:ascii="Times New Roman" w:hAnsi="Times New Roman"/>
                <w:sz w:val="24"/>
              </w:rPr>
              <w:t xml:space="preserve">) </w:t>
            </w:r>
          </w:p>
          <w:p w:rsidR="00B93FA1" w:rsidRPr="00661595" w:rsidRDefault="00B93FA1" w:rsidP="003E376A">
            <w:pPr>
              <w:pStyle w:val="ListParagraph"/>
              <w:numPr>
                <w:ilvl w:val="0"/>
                <w:numId w:val="30"/>
              </w:numPr>
              <w:suppressAutoHyphens/>
              <w:spacing w:beforeLines="60" w:before="144" w:afterLines="60" w:after="144"/>
              <w:rPr>
                <w:rFonts w:ascii="Times New Roman" w:hAnsi="Times New Roman"/>
                <w:sz w:val="24"/>
              </w:rPr>
            </w:pPr>
            <w:r>
              <w:rPr>
                <w:rFonts w:ascii="Times New Roman" w:hAnsi="Times New Roman"/>
                <w:sz w:val="24"/>
              </w:rPr>
              <w:t xml:space="preserve">o i GAAP nazionali basati sulla BAD (FINREP </w:t>
            </w:r>
            <w:r w:rsidR="000878EC">
              <w:rPr>
                <w:rFonts w:ascii="Times New Roman" w:hAnsi="Times New Roman"/>
                <w:sz w:val="24"/>
              </w:rPr>
              <w:t>"</w:t>
            </w:r>
            <w:r>
              <w:rPr>
                <w:rFonts w:ascii="Times New Roman" w:hAnsi="Times New Roman"/>
                <w:sz w:val="24"/>
              </w:rPr>
              <w:t>GAAP nazionali basati sulla BAD</w:t>
            </w:r>
            <w:r w:rsidR="000878EC">
              <w:rPr>
                <w:rFonts w:ascii="Times New Roman" w:hAnsi="Times New Roman"/>
                <w:sz w:val="24"/>
              </w:rPr>
              <w:t>"</w:t>
            </w:r>
            <w:r>
              <w:rPr>
                <w:rFonts w:ascii="Times New Roman" w:hAnsi="Times New Roman"/>
                <w:sz w:val="24"/>
              </w:rPr>
              <w:t>).</w:t>
            </w:r>
          </w:p>
        </w:tc>
      </w:tr>
      <w:tr w:rsidR="00B93FA1" w:rsidRPr="00661595" w:rsidTr="00672D2A">
        <w:tc>
          <w:tcPr>
            <w:tcW w:w="1101" w:type="dxa"/>
          </w:tcPr>
          <w:p w:rsidR="00B93FA1" w:rsidRPr="00661595" w:rsidRDefault="001924F4" w:rsidP="003E376A">
            <w:pPr>
              <w:suppressAutoHyphens/>
              <w:spacing w:beforeLines="60" w:before="144" w:afterLines="60" w:after="144"/>
              <w:rPr>
                <w:rFonts w:ascii="Times New Roman" w:hAnsi="Times New Roman"/>
                <w:sz w:val="24"/>
              </w:rPr>
            </w:pPr>
            <w:r>
              <w:rPr>
                <w:rFonts w:ascii="Times New Roman" w:hAnsi="Times New Roman"/>
                <w:sz w:val="24"/>
              </w:rPr>
              <w:t>0160</w:t>
            </w:r>
          </w:p>
        </w:tc>
        <w:tc>
          <w:tcPr>
            <w:tcW w:w="8190" w:type="dxa"/>
          </w:tcPr>
          <w:p w:rsidR="00B93FA1" w:rsidRPr="00661595" w:rsidRDefault="00B93FA1" w:rsidP="003E376A">
            <w:pPr>
              <w:suppressAutoHyphens/>
              <w:spacing w:beforeLines="60" w:before="144" w:afterLines="60" w:after="144"/>
              <w:rPr>
                <w:rFonts w:ascii="Times New Roman" w:hAnsi="Times New Roman"/>
                <w:b/>
                <w:sz w:val="24"/>
                <w:u w:val="single"/>
              </w:rPr>
            </w:pPr>
            <w:r>
              <w:rPr>
                <w:rFonts w:ascii="Times New Roman" w:hAnsi="Times New Roman"/>
                <w:b/>
                <w:sz w:val="24"/>
                <w:u w:val="single"/>
              </w:rPr>
              <w:t>1.2.1 PASSIVITÀ FINANZIARIE POSSEDUTE PER NEGOZIAZIONE</w:t>
            </w:r>
          </w:p>
          <w:p w:rsidR="00B93FA1" w:rsidRPr="00661595" w:rsidRDefault="00B93FA1" w:rsidP="003E376A">
            <w:pPr>
              <w:suppressAutoHyphens/>
              <w:spacing w:beforeLines="60" w:before="144" w:afterLines="60" w:after="144"/>
              <w:rPr>
                <w:rFonts w:ascii="Times New Roman" w:hAnsi="Times New Roman"/>
                <w:sz w:val="24"/>
              </w:rPr>
            </w:pPr>
            <w:r>
              <w:rPr>
                <w:rFonts w:ascii="Times New Roman" w:hAnsi="Times New Roman"/>
                <w:sz w:val="24"/>
              </w:rPr>
              <w:t>IFRS 7.8 (e) (ii); IFRS 9.BA.6.</w:t>
            </w:r>
          </w:p>
          <w:p w:rsidR="00B93FA1" w:rsidRPr="00661595" w:rsidRDefault="00B93FA1" w:rsidP="003E376A">
            <w:pPr>
              <w:suppressAutoHyphens/>
              <w:spacing w:beforeLines="60" w:before="144" w:afterLines="60" w:after="144"/>
              <w:rPr>
                <w:rFonts w:ascii="Times New Roman" w:hAnsi="Times New Roman"/>
                <w:sz w:val="24"/>
              </w:rPr>
            </w:pPr>
            <w:r>
              <w:rPr>
                <w:rFonts w:ascii="Times New Roman" w:hAnsi="Times New Roman"/>
                <w:sz w:val="24"/>
              </w:rPr>
              <w:t>Le informazioni fornite in questa riga corrispondono a quelle della riga 0010 del modello F 01.02 degli allegati III e IV del presente regolamento di esecuzione.</w:t>
            </w:r>
          </w:p>
        </w:tc>
      </w:tr>
      <w:tr w:rsidR="00B93FA1" w:rsidRPr="00661595" w:rsidTr="00672D2A">
        <w:tc>
          <w:tcPr>
            <w:tcW w:w="1101" w:type="dxa"/>
          </w:tcPr>
          <w:p w:rsidR="00B93FA1" w:rsidRPr="00661595" w:rsidRDefault="001924F4" w:rsidP="003E376A">
            <w:pPr>
              <w:suppressAutoHyphens/>
              <w:spacing w:beforeLines="60" w:before="144" w:afterLines="60" w:after="144"/>
              <w:rPr>
                <w:rFonts w:ascii="Times New Roman" w:hAnsi="Times New Roman"/>
                <w:sz w:val="24"/>
              </w:rPr>
            </w:pPr>
            <w:r>
              <w:rPr>
                <w:rFonts w:ascii="Times New Roman" w:hAnsi="Times New Roman"/>
                <w:sz w:val="24"/>
              </w:rPr>
              <w:t>0170</w:t>
            </w:r>
          </w:p>
        </w:tc>
        <w:tc>
          <w:tcPr>
            <w:tcW w:w="8190" w:type="dxa"/>
          </w:tcPr>
          <w:p w:rsidR="00B93FA1" w:rsidRPr="00661595" w:rsidRDefault="00B93FA1" w:rsidP="003E376A">
            <w:pPr>
              <w:suppressAutoHyphens/>
              <w:spacing w:beforeLines="60" w:before="144" w:afterLines="60" w:after="144"/>
              <w:rPr>
                <w:rFonts w:ascii="Times New Roman" w:hAnsi="Times New Roman"/>
                <w:b/>
                <w:sz w:val="24"/>
                <w:u w:val="single"/>
              </w:rPr>
            </w:pPr>
            <w:r>
              <w:rPr>
                <w:rFonts w:ascii="Times New Roman" w:hAnsi="Times New Roman"/>
                <w:b/>
                <w:sz w:val="24"/>
                <w:u w:val="single"/>
              </w:rPr>
              <w:t>1.2.2 PASSIVITÀ FINANZIARIE PER NEGOZIAZIONE</w:t>
            </w:r>
          </w:p>
          <w:p w:rsidR="00B93FA1" w:rsidRPr="00661595" w:rsidRDefault="002F78EA" w:rsidP="003E376A">
            <w:pPr>
              <w:suppressAutoHyphens/>
              <w:spacing w:beforeLines="60" w:before="144" w:afterLines="60" w:after="144"/>
              <w:rPr>
                <w:rFonts w:ascii="Times New Roman" w:hAnsi="Times New Roman"/>
                <w:sz w:val="24"/>
              </w:rPr>
            </w:pPr>
            <w:r>
              <w:rPr>
                <w:rFonts w:ascii="Times New Roman" w:hAnsi="Times New Roman"/>
                <w:sz w:val="24"/>
              </w:rPr>
              <w:t>Articolo 8, paragrafo 1, lettera a), e articolo 8, paragrafi 3 e 6, della AD.</w:t>
            </w:r>
          </w:p>
          <w:p w:rsidR="00B93FA1" w:rsidRPr="00661595" w:rsidRDefault="00B93FA1" w:rsidP="003E376A">
            <w:pPr>
              <w:suppressAutoHyphens/>
              <w:spacing w:beforeLines="60" w:before="144" w:afterLines="60" w:after="144"/>
              <w:rPr>
                <w:rFonts w:ascii="Times New Roman" w:hAnsi="Times New Roman"/>
                <w:b/>
                <w:sz w:val="24"/>
                <w:u w:val="single"/>
              </w:rPr>
            </w:pPr>
            <w:r>
              <w:rPr>
                <w:rFonts w:ascii="Times New Roman" w:hAnsi="Times New Roman"/>
                <w:sz w:val="24"/>
              </w:rPr>
              <w:t>Le informazioni fornite in questa riga corrispondono a quelle della riga 0061 del modello F 01.02 degli allegati III e IV del presente regolamento di esecuzione.</w:t>
            </w:r>
          </w:p>
        </w:tc>
      </w:tr>
      <w:tr w:rsidR="00B93FA1" w:rsidRPr="00661595" w:rsidTr="00672D2A">
        <w:tc>
          <w:tcPr>
            <w:tcW w:w="1101" w:type="dxa"/>
          </w:tcPr>
          <w:p w:rsidR="00B93FA1" w:rsidRPr="00661595" w:rsidRDefault="001924F4" w:rsidP="003E376A">
            <w:pPr>
              <w:suppressAutoHyphens/>
              <w:spacing w:beforeLines="60" w:before="144" w:afterLines="60" w:after="144"/>
              <w:rPr>
                <w:rFonts w:ascii="Times New Roman" w:hAnsi="Times New Roman"/>
                <w:sz w:val="24"/>
              </w:rPr>
            </w:pPr>
            <w:r>
              <w:rPr>
                <w:rFonts w:ascii="Times New Roman" w:hAnsi="Times New Roman"/>
                <w:sz w:val="24"/>
              </w:rPr>
              <w:t>0180</w:t>
            </w:r>
          </w:p>
        </w:tc>
        <w:tc>
          <w:tcPr>
            <w:tcW w:w="8190" w:type="dxa"/>
          </w:tcPr>
          <w:p w:rsidR="00B93FA1" w:rsidRPr="00661595" w:rsidRDefault="00B93FA1" w:rsidP="003E376A">
            <w:pPr>
              <w:suppressAutoHyphens/>
              <w:spacing w:beforeLines="60" w:before="144" w:afterLines="60" w:after="144"/>
              <w:rPr>
                <w:rFonts w:ascii="Times New Roman" w:hAnsi="Times New Roman"/>
                <w:b/>
                <w:sz w:val="24"/>
                <w:u w:val="single"/>
              </w:rPr>
            </w:pPr>
            <w:r>
              <w:rPr>
                <w:rFonts w:ascii="Times New Roman" w:hAnsi="Times New Roman"/>
                <w:b/>
                <w:sz w:val="24"/>
                <w:u w:val="single"/>
              </w:rPr>
              <w:t>1.2.3 PASSIVITÀ FINANZIARIE DESIGNATE AL FAIR VALUE (VALORE EQUO) RILEVATO NELL</w:t>
            </w:r>
            <w:r w:rsidR="000878EC">
              <w:rPr>
                <w:rFonts w:ascii="Times New Roman" w:hAnsi="Times New Roman"/>
                <w:b/>
                <w:sz w:val="24"/>
                <w:u w:val="single"/>
              </w:rPr>
              <w:t>'</w:t>
            </w:r>
            <w:r>
              <w:rPr>
                <w:rFonts w:ascii="Times New Roman" w:hAnsi="Times New Roman"/>
                <w:b/>
                <w:sz w:val="24"/>
                <w:u w:val="single"/>
              </w:rPr>
              <w:t>UTILE (PERDITA) D</w:t>
            </w:r>
            <w:r w:rsidR="000878EC">
              <w:rPr>
                <w:rFonts w:ascii="Times New Roman" w:hAnsi="Times New Roman"/>
                <w:b/>
                <w:sz w:val="24"/>
                <w:u w:val="single"/>
              </w:rPr>
              <w:t>'</w:t>
            </w:r>
            <w:r>
              <w:rPr>
                <w:rFonts w:ascii="Times New Roman" w:hAnsi="Times New Roman"/>
                <w:b/>
                <w:sz w:val="24"/>
                <w:u w:val="single"/>
              </w:rPr>
              <w:t>ESERCIZIO</w:t>
            </w:r>
          </w:p>
          <w:p w:rsidR="00B93FA1" w:rsidRPr="00661595" w:rsidRDefault="00B93FA1" w:rsidP="003E376A">
            <w:pPr>
              <w:suppressAutoHyphens/>
              <w:spacing w:beforeLines="60" w:before="144" w:afterLines="60" w:after="144"/>
              <w:rPr>
                <w:rFonts w:ascii="Times New Roman" w:hAnsi="Times New Roman"/>
                <w:sz w:val="24"/>
              </w:rPr>
            </w:pPr>
            <w:r>
              <w:rPr>
                <w:rFonts w:ascii="Times New Roman" w:hAnsi="Times New Roman"/>
                <w:sz w:val="24"/>
              </w:rPr>
              <w:t>IFRS 7.8 (e)(i); IFRS 9.4.2.2;</w:t>
            </w:r>
            <w:r>
              <w:rPr>
                <w:sz w:val="24"/>
              </w:rPr>
              <w:t xml:space="preserve"> </w:t>
            </w:r>
            <w:r>
              <w:rPr>
                <w:rFonts w:ascii="Times New Roman" w:hAnsi="Times New Roman"/>
                <w:sz w:val="24"/>
              </w:rPr>
              <w:t xml:space="preserve">articolo 8, paragrafo 1, lettera a), e articolo 8, paragrafo 6, della AD; IAS 39.9. </w:t>
            </w:r>
          </w:p>
          <w:p w:rsidR="00B93FA1" w:rsidRPr="00661595" w:rsidRDefault="00B93FA1" w:rsidP="003E376A">
            <w:pPr>
              <w:suppressAutoHyphens/>
              <w:spacing w:beforeLines="60" w:before="144" w:afterLines="60" w:after="144"/>
              <w:rPr>
                <w:rFonts w:ascii="Times New Roman" w:hAnsi="Times New Roman"/>
                <w:sz w:val="24"/>
              </w:rPr>
            </w:pPr>
            <w:r>
              <w:rPr>
                <w:rFonts w:ascii="Times New Roman" w:hAnsi="Times New Roman"/>
                <w:sz w:val="24"/>
              </w:rPr>
              <w:t>Le informazioni fornite in questa riga corrispondono a quelle della riga 0070 del modello F 01.02 degli allegati III e IV del presente regolamento di esecuzione.</w:t>
            </w:r>
          </w:p>
        </w:tc>
      </w:tr>
      <w:tr w:rsidR="00B93FA1" w:rsidRPr="00661595" w:rsidTr="00672D2A">
        <w:tc>
          <w:tcPr>
            <w:tcW w:w="1101" w:type="dxa"/>
          </w:tcPr>
          <w:p w:rsidR="00B93FA1" w:rsidRPr="00661595" w:rsidRDefault="001924F4" w:rsidP="003E376A">
            <w:pPr>
              <w:suppressAutoHyphens/>
              <w:spacing w:beforeLines="60" w:before="144" w:afterLines="60" w:after="144"/>
              <w:rPr>
                <w:rFonts w:ascii="Times New Roman" w:hAnsi="Times New Roman"/>
                <w:sz w:val="24"/>
              </w:rPr>
            </w:pPr>
            <w:r>
              <w:rPr>
                <w:rFonts w:ascii="Times New Roman" w:hAnsi="Times New Roman"/>
                <w:sz w:val="24"/>
              </w:rPr>
              <w:t>0190</w:t>
            </w:r>
          </w:p>
        </w:tc>
        <w:tc>
          <w:tcPr>
            <w:tcW w:w="8190" w:type="dxa"/>
          </w:tcPr>
          <w:p w:rsidR="00B93FA1" w:rsidRPr="00661595" w:rsidRDefault="00B93FA1" w:rsidP="003E376A">
            <w:pPr>
              <w:suppressAutoHyphens/>
              <w:spacing w:beforeLines="60" w:before="144" w:afterLines="60" w:after="144"/>
              <w:rPr>
                <w:rFonts w:ascii="Times New Roman" w:hAnsi="Times New Roman"/>
                <w:b/>
                <w:sz w:val="24"/>
                <w:u w:val="single"/>
              </w:rPr>
            </w:pPr>
            <w:r>
              <w:rPr>
                <w:rFonts w:ascii="Times New Roman" w:hAnsi="Times New Roman"/>
                <w:b/>
                <w:sz w:val="24"/>
                <w:u w:val="single"/>
              </w:rPr>
              <w:t>1.2.4 DERIVATI-CONTABILIZZAZIONE DELLE OPERAZIONI DI COPERTURA</w:t>
            </w:r>
          </w:p>
          <w:p w:rsidR="00B93FA1" w:rsidRPr="00661595" w:rsidRDefault="00B93FA1" w:rsidP="003E376A">
            <w:pPr>
              <w:suppressAutoHyphens/>
              <w:spacing w:beforeLines="60" w:before="144" w:afterLines="60" w:after="144"/>
              <w:rPr>
                <w:rFonts w:ascii="Times New Roman" w:hAnsi="Times New Roman"/>
                <w:sz w:val="24"/>
              </w:rPr>
            </w:pPr>
            <w:r>
              <w:rPr>
                <w:rFonts w:ascii="Times New Roman" w:hAnsi="Times New Roman"/>
                <w:sz w:val="24"/>
              </w:rPr>
              <w:t xml:space="preserve">IFRS 9.6.2.1; </w:t>
            </w:r>
            <w:r>
              <w:rPr>
                <w:rFonts w:ascii="Times New Roman" w:hAnsi="Times New Roman"/>
                <w:bCs/>
                <w:sz w:val="24"/>
              </w:rPr>
              <w:t>parte 1.26 dell</w:t>
            </w:r>
            <w:r w:rsidR="000878EC">
              <w:rPr>
                <w:rFonts w:ascii="Times New Roman" w:hAnsi="Times New Roman"/>
                <w:bCs/>
                <w:sz w:val="24"/>
              </w:rPr>
              <w:t>'</w:t>
            </w:r>
            <w:r>
              <w:rPr>
                <w:rFonts w:ascii="Times New Roman" w:hAnsi="Times New Roman"/>
                <w:bCs/>
                <w:sz w:val="24"/>
              </w:rPr>
              <w:t>allegato V del presente regolamento di esecuzione</w:t>
            </w:r>
            <w:r>
              <w:rPr>
                <w:rFonts w:ascii="Times New Roman" w:hAnsi="Times New Roman"/>
                <w:sz w:val="24"/>
              </w:rPr>
              <w:t>; articolo 8, paragrafo 1, lettera a), articolo 8, paragrafo 6, e articolo 8, paragrafo 8, lettera a), della AD.</w:t>
            </w:r>
          </w:p>
          <w:p w:rsidR="00B93FA1" w:rsidRPr="00661595" w:rsidRDefault="00B93FA1" w:rsidP="003E376A">
            <w:pPr>
              <w:suppressAutoHyphens/>
              <w:spacing w:beforeLines="60" w:before="144" w:afterLines="60" w:after="144"/>
              <w:rPr>
                <w:rFonts w:ascii="Times New Roman" w:hAnsi="Times New Roman"/>
                <w:sz w:val="24"/>
              </w:rPr>
            </w:pPr>
            <w:r>
              <w:rPr>
                <w:rFonts w:ascii="Times New Roman" w:hAnsi="Times New Roman"/>
                <w:sz w:val="24"/>
              </w:rPr>
              <w:t>Le informazioni fornite in questa riga corrispondono a quelle della riga 0150 del modello F 01.02 degli allegati III e IV del presente regolamento di esecuzione.</w:t>
            </w:r>
          </w:p>
        </w:tc>
      </w:tr>
      <w:tr w:rsidR="00B93FA1" w:rsidRPr="00661595" w:rsidTr="00672D2A">
        <w:tc>
          <w:tcPr>
            <w:tcW w:w="1101" w:type="dxa"/>
          </w:tcPr>
          <w:p w:rsidR="00B93FA1" w:rsidRPr="00661595" w:rsidRDefault="001924F4" w:rsidP="003E376A">
            <w:pPr>
              <w:suppressAutoHyphens/>
              <w:spacing w:beforeLines="60" w:before="144" w:afterLines="60" w:after="144"/>
              <w:rPr>
                <w:rFonts w:ascii="Times New Roman" w:hAnsi="Times New Roman"/>
                <w:sz w:val="24"/>
              </w:rPr>
            </w:pPr>
            <w:r>
              <w:rPr>
                <w:rFonts w:ascii="Times New Roman" w:hAnsi="Times New Roman"/>
                <w:sz w:val="24"/>
              </w:rPr>
              <w:t>0200</w:t>
            </w:r>
          </w:p>
        </w:tc>
        <w:tc>
          <w:tcPr>
            <w:tcW w:w="8190" w:type="dxa"/>
          </w:tcPr>
          <w:p w:rsidR="00B93FA1" w:rsidRPr="00661595" w:rsidRDefault="00B93FA1" w:rsidP="003E376A">
            <w:pPr>
              <w:suppressAutoHyphens/>
              <w:spacing w:beforeLines="60" w:before="144" w:afterLines="60" w:after="144"/>
              <w:rPr>
                <w:rFonts w:ascii="Times New Roman" w:hAnsi="Times New Roman"/>
                <w:b/>
                <w:sz w:val="24"/>
                <w:u w:val="single"/>
              </w:rPr>
            </w:pPr>
            <w:r>
              <w:rPr>
                <w:rFonts w:ascii="Times New Roman" w:hAnsi="Times New Roman"/>
                <w:b/>
                <w:sz w:val="24"/>
                <w:u w:val="single"/>
              </w:rPr>
              <w:t>1.2.5 VARIAZIONI DEL FAIR VALUE (VALORE EQUO) DEGLI ELEMENTI COPERTI IN UNA COPERTURA DI PORTAFOGLIO DAL RISCHIO DI TASSO DI INTERESSE</w:t>
            </w:r>
          </w:p>
          <w:p w:rsidR="00B93FA1" w:rsidRPr="00661595" w:rsidRDefault="00B93FA1" w:rsidP="003E376A">
            <w:pPr>
              <w:suppressAutoHyphens/>
              <w:spacing w:beforeLines="60" w:before="144" w:afterLines="60" w:after="144"/>
              <w:rPr>
                <w:rFonts w:ascii="Times New Roman" w:hAnsi="Times New Roman"/>
                <w:sz w:val="24"/>
              </w:rPr>
            </w:pPr>
            <w:r>
              <w:rPr>
                <w:rFonts w:ascii="Times New Roman" w:hAnsi="Times New Roman"/>
                <w:sz w:val="24"/>
              </w:rPr>
              <w:t>IAS 39.89A(b), IFRS 9.6.5.8; articolo 8, paragrafi 5 e 6, della AD; parte 2.8 dell</w:t>
            </w:r>
            <w:r w:rsidR="000878EC">
              <w:rPr>
                <w:rFonts w:ascii="Times New Roman" w:hAnsi="Times New Roman"/>
                <w:sz w:val="24"/>
              </w:rPr>
              <w:t>'</w:t>
            </w:r>
            <w:r>
              <w:rPr>
                <w:rFonts w:ascii="Times New Roman" w:hAnsi="Times New Roman"/>
                <w:sz w:val="24"/>
              </w:rPr>
              <w:t>allegato V del presente regolamento di esecuzione.</w:t>
            </w:r>
          </w:p>
          <w:p w:rsidR="00B93FA1" w:rsidRPr="00661595" w:rsidRDefault="00B93FA1" w:rsidP="003E376A">
            <w:pPr>
              <w:suppressAutoHyphens/>
              <w:spacing w:beforeLines="60" w:before="144" w:afterLines="60" w:after="144"/>
              <w:rPr>
                <w:rFonts w:ascii="Times New Roman" w:hAnsi="Times New Roman"/>
                <w:b/>
                <w:sz w:val="24"/>
                <w:u w:val="single"/>
              </w:rPr>
            </w:pPr>
            <w:r>
              <w:rPr>
                <w:rFonts w:ascii="Times New Roman" w:hAnsi="Times New Roman"/>
                <w:sz w:val="24"/>
              </w:rPr>
              <w:t>Le informazioni fornite in questa riga corrispondono a quelle della riga 0160 del modello F 01.02 degli allegati III e IV del presente regolamento di esecuzione.</w:t>
            </w:r>
          </w:p>
        </w:tc>
      </w:tr>
      <w:tr w:rsidR="00B93FA1" w:rsidRPr="00661595" w:rsidTr="00672D2A">
        <w:tc>
          <w:tcPr>
            <w:tcW w:w="1101" w:type="dxa"/>
          </w:tcPr>
          <w:p w:rsidR="00B93FA1" w:rsidRPr="00661595" w:rsidRDefault="001924F4" w:rsidP="003E376A">
            <w:pPr>
              <w:suppressAutoHyphens/>
              <w:spacing w:beforeLines="60" w:before="144" w:afterLines="60" w:after="144"/>
              <w:rPr>
                <w:rFonts w:ascii="Times New Roman" w:hAnsi="Times New Roman"/>
                <w:sz w:val="24"/>
              </w:rPr>
            </w:pPr>
            <w:r>
              <w:rPr>
                <w:rFonts w:ascii="Times New Roman" w:hAnsi="Times New Roman"/>
                <w:sz w:val="24"/>
              </w:rPr>
              <w:t>0210</w:t>
            </w:r>
          </w:p>
        </w:tc>
        <w:tc>
          <w:tcPr>
            <w:tcW w:w="8190" w:type="dxa"/>
          </w:tcPr>
          <w:p w:rsidR="00B93FA1" w:rsidRPr="00661595" w:rsidRDefault="00B93FA1" w:rsidP="003E376A">
            <w:pPr>
              <w:suppressAutoHyphens/>
              <w:spacing w:beforeLines="60" w:before="144" w:afterLines="60" w:after="144"/>
              <w:rPr>
                <w:rFonts w:ascii="Times New Roman" w:hAnsi="Times New Roman"/>
                <w:b/>
                <w:sz w:val="24"/>
                <w:u w:val="single"/>
              </w:rPr>
            </w:pPr>
            <w:r>
              <w:rPr>
                <w:rFonts w:ascii="Times New Roman" w:hAnsi="Times New Roman"/>
                <w:b/>
                <w:sz w:val="24"/>
                <w:u w:val="single"/>
              </w:rPr>
              <w:t>1.2.6 SCARTI DI GARANZIA RELATIVI A PASSIVITÀ PER NEGOZIAZIONE AL FAIR VALUE (VALORE EQUO)</w:t>
            </w:r>
          </w:p>
          <w:p w:rsidR="00B93FA1" w:rsidRPr="00661595" w:rsidRDefault="002F78EA" w:rsidP="003E376A">
            <w:pPr>
              <w:suppressAutoHyphens/>
              <w:spacing w:beforeLines="60" w:before="144" w:afterLines="60" w:after="144"/>
              <w:rPr>
                <w:rFonts w:ascii="Times New Roman" w:hAnsi="Times New Roman"/>
                <w:sz w:val="24"/>
              </w:rPr>
            </w:pPr>
            <w:r>
              <w:rPr>
                <w:rFonts w:ascii="Times New Roman" w:hAnsi="Times New Roman"/>
                <w:bCs/>
                <w:sz w:val="24"/>
              </w:rPr>
              <w:t>Parte 1.29 dell</w:t>
            </w:r>
            <w:r w:rsidR="000878EC">
              <w:rPr>
                <w:rFonts w:ascii="Times New Roman" w:hAnsi="Times New Roman"/>
                <w:bCs/>
                <w:sz w:val="24"/>
              </w:rPr>
              <w:t>'</w:t>
            </w:r>
            <w:r>
              <w:rPr>
                <w:rFonts w:ascii="Times New Roman" w:hAnsi="Times New Roman"/>
                <w:bCs/>
                <w:sz w:val="24"/>
              </w:rPr>
              <w:t>allegato V del presente regolamento di esecuzione.</w:t>
            </w:r>
          </w:p>
          <w:p w:rsidR="00B93FA1" w:rsidRPr="00661595" w:rsidRDefault="00B93FA1" w:rsidP="003E376A">
            <w:pPr>
              <w:suppressAutoHyphens/>
              <w:spacing w:beforeLines="60" w:before="144" w:afterLines="60" w:after="144"/>
              <w:rPr>
                <w:rFonts w:ascii="Times New Roman" w:hAnsi="Times New Roman"/>
                <w:b/>
                <w:sz w:val="24"/>
                <w:u w:val="single"/>
              </w:rPr>
            </w:pPr>
            <w:r>
              <w:rPr>
                <w:rFonts w:ascii="Times New Roman" w:hAnsi="Times New Roman"/>
                <w:sz w:val="24"/>
              </w:rPr>
              <w:t>Le informazioni fornite in questa riga corrispondono a quelle della riga 0295 del modello F 01.02 degli allegati III e IV del presente regolamento di esecuzione.</w:t>
            </w:r>
          </w:p>
        </w:tc>
      </w:tr>
    </w:tbl>
    <w:p w:rsidR="00995A7F" w:rsidRPr="00661595" w:rsidRDefault="00995A7F" w:rsidP="00C61FF5">
      <w:pPr>
        <w:rPr>
          <w:rStyle w:val="InstructionsTabelleText"/>
          <w:rFonts w:ascii="Times New Roman" w:hAnsi="Times New Roman"/>
          <w:sz w:val="24"/>
        </w:rPr>
      </w:pPr>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52" w:name="_Toc58915866"/>
      <w:r>
        <w:rPr>
          <w:rFonts w:ascii="Times New Roman" w:hAnsi="Times New Roman"/>
          <w:sz w:val="24"/>
          <w:u w:val="none"/>
        </w:rPr>
        <w:t>6.2.</w:t>
      </w:r>
      <w:r w:rsidRPr="003E376A">
        <w:rPr>
          <w:u w:val="none"/>
        </w:rPr>
        <w:tab/>
      </w:r>
      <w:r>
        <w:rPr>
          <w:rFonts w:ascii="Times New Roman" w:hAnsi="Times New Roman"/>
          <w:sz w:val="24"/>
        </w:rPr>
        <w:t>C 32.02 - Valutazione prudente: metodo di base (PruVal 2)</w:t>
      </w:r>
      <w:bookmarkEnd w:id="752"/>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53" w:name="_Toc58915867"/>
      <w:r>
        <w:rPr>
          <w:rFonts w:ascii="Times New Roman" w:hAnsi="Times New Roman"/>
          <w:sz w:val="24"/>
          <w:u w:val="none"/>
        </w:rPr>
        <w:t>6.2.1.</w:t>
      </w:r>
      <w:r w:rsidRPr="003E376A">
        <w:rPr>
          <w:u w:val="none"/>
        </w:rPr>
        <w:tab/>
      </w:r>
      <w:r>
        <w:rPr>
          <w:rFonts w:ascii="Times New Roman" w:hAnsi="Times New Roman"/>
          <w:sz w:val="24"/>
        </w:rPr>
        <w:t>Osservazioni di carattere generale</w:t>
      </w:r>
      <w:bookmarkEnd w:id="753"/>
      <w:r>
        <w:rPr>
          <w:rFonts w:ascii="Times New Roman" w:hAnsi="Times New Roman"/>
          <w:sz w:val="24"/>
          <w:u w:val="none"/>
        </w:rPr>
        <w:t xml:space="preserve"> </w:t>
      </w:r>
    </w:p>
    <w:p w:rsidR="00B93FA1" w:rsidRPr="00661595" w:rsidRDefault="00A971CA" w:rsidP="003E376A">
      <w:pPr>
        <w:pStyle w:val="InstructionsText2"/>
        <w:numPr>
          <w:ilvl w:val="0"/>
          <w:numId w:val="0"/>
        </w:numPr>
        <w:ind w:left="1560" w:hanging="480"/>
      </w:pPr>
      <w:r>
        <w:fldChar w:fldCharType="begin"/>
      </w:r>
      <w:r>
        <w:instrText xml:space="preserve"> seq paragraphs </w:instrText>
      </w:r>
      <w:r>
        <w:fldChar w:fldCharType="separate"/>
      </w:r>
      <w:r w:rsidR="00D11E4C">
        <w:rPr>
          <w:noProof/>
        </w:rPr>
        <w:t>178</w:t>
      </w:r>
      <w:r>
        <w:rPr>
          <w:noProof/>
        </w:rPr>
        <w:fldChar w:fldCharType="end"/>
      </w:r>
      <w:r w:rsidR="003E376A">
        <w:t>.</w:t>
      </w:r>
      <w:r w:rsidR="003E376A">
        <w:tab/>
      </w:r>
      <w:r w:rsidR="00D11E4C">
        <w:t>Lo scopo di questo modello è fornire informazioni sulla composizione dell</w:t>
      </w:r>
      <w:r w:rsidR="000878EC">
        <w:t>'</w:t>
      </w:r>
      <w:r w:rsidR="00D11E4C">
        <w:t>AVA totale da dedurre dai fondi propri a norma degli articoli 34 e 105 del CRR insieme alle informazioni pertinenti sulla valutazione contabile delle posizioni che danno origine alla determinazione degli AVA.</w:t>
      </w:r>
    </w:p>
    <w:p w:rsidR="00B93FA1" w:rsidRPr="00661595" w:rsidRDefault="00A971CA" w:rsidP="003E376A">
      <w:pPr>
        <w:pStyle w:val="InstructionsText2"/>
        <w:numPr>
          <w:ilvl w:val="0"/>
          <w:numId w:val="0"/>
        </w:numPr>
        <w:ind w:left="1560" w:hanging="480"/>
      </w:pPr>
      <w:r>
        <w:fldChar w:fldCharType="begin"/>
      </w:r>
      <w:r>
        <w:instrText xml:space="preserve"> seq paragraphs </w:instrText>
      </w:r>
      <w:r>
        <w:fldChar w:fldCharType="separate"/>
      </w:r>
      <w:r w:rsidR="00D11E4C">
        <w:rPr>
          <w:noProof/>
        </w:rPr>
        <w:t>179</w:t>
      </w:r>
      <w:r>
        <w:rPr>
          <w:noProof/>
        </w:rPr>
        <w:fldChar w:fldCharType="end"/>
      </w:r>
      <w:r w:rsidR="003E376A">
        <w:t>.</w:t>
      </w:r>
      <w:r w:rsidR="003E376A">
        <w:tab/>
      </w:r>
      <w:r w:rsidR="00D11E4C">
        <w:t xml:space="preserve">Questo modello è compilato da tutti gli enti che </w:t>
      </w:r>
    </w:p>
    <w:p w:rsidR="00B93FA1" w:rsidRPr="00661595" w:rsidRDefault="00B93FA1" w:rsidP="003E376A">
      <w:pPr>
        <w:pStyle w:val="InstructionsText2"/>
        <w:numPr>
          <w:ilvl w:val="0"/>
          <w:numId w:val="0"/>
        </w:numPr>
        <w:ind w:left="1560" w:hanging="480"/>
      </w:pPr>
      <w:r>
        <w:t>a) sono tenuti ad utilizzare il metodo di base poiché superano la soglia di cui all</w:t>
      </w:r>
      <w:r w:rsidR="000878EC">
        <w:t>'</w:t>
      </w:r>
      <w:r>
        <w:t>articolo 4, paragrafo 1, del regolamento delegato (UE) 2016/101, su base individuale o su base consolidata, come previsto all</w:t>
      </w:r>
      <w:r w:rsidR="000878EC">
        <w:t>'</w:t>
      </w:r>
      <w:r>
        <w:t>articolo 4, paragrafo 3, del medesimo regolamento; o</w:t>
      </w:r>
    </w:p>
    <w:p w:rsidR="00B93FA1" w:rsidRPr="00661595" w:rsidRDefault="00973707" w:rsidP="003E376A">
      <w:pPr>
        <w:pStyle w:val="InstructionsText2"/>
        <w:numPr>
          <w:ilvl w:val="0"/>
          <w:numId w:val="0"/>
        </w:numPr>
        <w:ind w:left="1560" w:hanging="480"/>
      </w:pPr>
      <w:r>
        <w:t xml:space="preserve">b) hanno scelto di applicare il metodo di base sebbene non superino la soglia. </w:t>
      </w:r>
    </w:p>
    <w:p w:rsidR="00973707" w:rsidRPr="00661595" w:rsidRDefault="00A971CA" w:rsidP="003E376A">
      <w:pPr>
        <w:pStyle w:val="InstructionsText2"/>
        <w:numPr>
          <w:ilvl w:val="0"/>
          <w:numId w:val="0"/>
        </w:numPr>
        <w:ind w:left="1560" w:hanging="480"/>
      </w:pPr>
      <w:r>
        <w:fldChar w:fldCharType="begin"/>
      </w:r>
      <w:r>
        <w:instrText xml:space="preserve"> seq paragraphs </w:instrText>
      </w:r>
      <w:r>
        <w:fldChar w:fldCharType="separate"/>
      </w:r>
      <w:r w:rsidR="00D11E4C">
        <w:rPr>
          <w:noProof/>
        </w:rPr>
        <w:t>180</w:t>
      </w:r>
      <w:r>
        <w:rPr>
          <w:noProof/>
        </w:rPr>
        <w:fldChar w:fldCharType="end"/>
      </w:r>
      <w:r w:rsidR="003E376A">
        <w:t>.</w:t>
      </w:r>
      <w:r w:rsidR="003E376A">
        <w:tab/>
      </w:r>
      <w:r w:rsidR="00D11E4C">
        <w:t xml:space="preserve">Ai fini di questo modello per incertezza </w:t>
      </w:r>
      <w:r w:rsidR="000878EC">
        <w:t>"</w:t>
      </w:r>
      <w:r w:rsidR="00D11E4C">
        <w:t>upside</w:t>
      </w:r>
      <w:r w:rsidR="000878EC">
        <w:t>"</w:t>
      </w:r>
      <w:r w:rsidR="00D11E4C">
        <w:t xml:space="preserve"> si intende quanto segue. Come stabilito dall</w:t>
      </w:r>
      <w:r w:rsidR="000878EC">
        <w:t>'</w:t>
      </w:r>
      <w:r w:rsidR="00D11E4C">
        <w:t>articolo 8, paragrafo 2, del regolamento delegato (UE) 2016/101, gli AVA sono pari alla differenza tra il fair value (valore equo) e una valutazione prudente determinata sulla base di una sicurezza del 90 % che gli enti possano uscire dall</w:t>
      </w:r>
      <w:r w:rsidR="000878EC">
        <w:t>'</w:t>
      </w:r>
      <w:r w:rsidR="00D11E4C">
        <w:t xml:space="preserve">esposizione a tale punto o meglio entro il range nozionale dei valori plausibili. Il valore o incertezza </w:t>
      </w:r>
      <w:r w:rsidR="000878EC">
        <w:t>"</w:t>
      </w:r>
      <w:r w:rsidR="00D11E4C">
        <w:t>upside</w:t>
      </w:r>
      <w:r w:rsidR="000878EC">
        <w:t>"</w:t>
      </w:r>
      <w:r w:rsidR="00D11E4C">
        <w:t xml:space="preserve"> è il punto opposto nella distribuzione dei valori plausibili al quale gli enti hanno solo una sicurezza del 10% di poter uscire dall</w:t>
      </w:r>
      <w:r w:rsidR="000878EC">
        <w:t>'</w:t>
      </w:r>
      <w:r w:rsidR="00D11E4C">
        <w:t>esposizione a tale punto o meglio. L</w:t>
      </w:r>
      <w:r w:rsidR="000878EC">
        <w:t>'</w:t>
      </w:r>
      <w:r w:rsidR="00D11E4C">
        <w:t xml:space="preserve">incertezza </w:t>
      </w:r>
      <w:r w:rsidR="000878EC">
        <w:t>"</w:t>
      </w:r>
      <w:r w:rsidR="00D11E4C">
        <w:t>upside</w:t>
      </w:r>
      <w:r w:rsidR="000878EC">
        <w:t>"</w:t>
      </w:r>
      <w:r w:rsidR="00D11E4C">
        <w:t xml:space="preserve"> è calcolata e aggregata sulla stessa base dell</w:t>
      </w:r>
      <w:r w:rsidR="000878EC">
        <w:t>'</w:t>
      </w:r>
      <w:r w:rsidR="00D11E4C">
        <w:t>AVA totale, ma utilizzando un livello di certezza del 10 % al posto del 90 % impiegato per determinare l</w:t>
      </w:r>
      <w:r w:rsidR="000878EC">
        <w:t>'</w:t>
      </w:r>
      <w:r w:rsidR="00D11E4C">
        <w:t>AVA totale.</w:t>
      </w:r>
    </w:p>
    <w:p w:rsidR="00B93FA1" w:rsidRPr="00661595" w:rsidRDefault="00B93FA1" w:rsidP="00973707">
      <w:pPr>
        <w:pStyle w:val="Instructionsberschrift2"/>
        <w:numPr>
          <w:ilvl w:val="0"/>
          <w:numId w:val="0"/>
        </w:numPr>
        <w:ind w:left="357" w:hanging="357"/>
        <w:rPr>
          <w:rFonts w:ascii="Times New Roman" w:hAnsi="Times New Roman" w:cs="Times New Roman"/>
          <w:sz w:val="24"/>
          <w:u w:val="none"/>
        </w:rPr>
      </w:pPr>
      <w:bookmarkStart w:id="754" w:name="_Toc58915868"/>
      <w:r>
        <w:rPr>
          <w:rFonts w:ascii="Times New Roman" w:hAnsi="Times New Roman"/>
          <w:sz w:val="24"/>
          <w:u w:val="none"/>
        </w:rPr>
        <w:t>6.2.2.</w:t>
      </w:r>
      <w:r w:rsidRPr="003E376A">
        <w:rPr>
          <w:u w:val="none"/>
        </w:rPr>
        <w:tab/>
      </w:r>
      <w:r>
        <w:rPr>
          <w:rFonts w:ascii="Times New Roman" w:hAnsi="Times New Roman"/>
          <w:sz w:val="24"/>
          <w:u w:val="none"/>
        </w:rPr>
        <w:t>Istruzioni relative a posizioni specifiche</w:t>
      </w:r>
      <w:bookmarkEnd w:id="754"/>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973707" w:rsidRPr="00661595" w:rsidTr="00672D2A">
        <w:tc>
          <w:tcPr>
            <w:tcW w:w="9291" w:type="dxa"/>
            <w:gridSpan w:val="2"/>
            <w:shd w:val="clear" w:color="auto" w:fill="CCCCCC"/>
          </w:tcPr>
          <w:p w:rsidR="00973707" w:rsidRPr="00661595" w:rsidRDefault="00973707" w:rsidP="003E376A">
            <w:pPr>
              <w:suppressAutoHyphens/>
              <w:spacing w:beforeLines="60" w:before="144" w:afterLines="60" w:after="144"/>
              <w:rPr>
                <w:rFonts w:ascii="Times New Roman" w:hAnsi="Times New Roman"/>
                <w:b/>
                <w:sz w:val="24"/>
              </w:rPr>
            </w:pPr>
            <w:r>
              <w:rPr>
                <w:rFonts w:ascii="Times New Roman" w:hAnsi="Times New Roman"/>
                <w:b/>
                <w:sz w:val="24"/>
              </w:rPr>
              <w:t>Colonne</w:t>
            </w:r>
          </w:p>
        </w:tc>
      </w:tr>
      <w:tr w:rsidR="00973707" w:rsidRPr="00661595" w:rsidTr="00672D2A">
        <w:tc>
          <w:tcPr>
            <w:tcW w:w="1101" w:type="dxa"/>
          </w:tcPr>
          <w:p w:rsidR="00973707" w:rsidRPr="00661595" w:rsidRDefault="009A7A38" w:rsidP="003E376A">
            <w:pPr>
              <w:suppressAutoHyphens/>
              <w:spacing w:beforeLines="60" w:before="144" w:afterLines="60" w:after="144"/>
              <w:rPr>
                <w:rFonts w:ascii="Times New Roman" w:hAnsi="Times New Roman"/>
                <w:sz w:val="24"/>
              </w:rPr>
            </w:pPr>
            <w:r>
              <w:rPr>
                <w:rFonts w:ascii="Times New Roman" w:hAnsi="Times New Roman"/>
                <w:sz w:val="24"/>
              </w:rPr>
              <w:t>0010 - 0100</w:t>
            </w:r>
          </w:p>
        </w:tc>
        <w:tc>
          <w:tcPr>
            <w:tcW w:w="8190" w:type="dxa"/>
          </w:tcPr>
          <w:p w:rsidR="00973707" w:rsidRPr="00661595" w:rsidRDefault="00973707" w:rsidP="003E376A">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A LIVELLO DI CATEGORIA</w:t>
            </w:r>
          </w:p>
          <w:p w:rsidR="00973707" w:rsidRPr="00661595" w:rsidRDefault="00973707" w:rsidP="003E376A">
            <w:pPr>
              <w:suppressAutoHyphens/>
              <w:spacing w:beforeLines="60" w:before="144" w:afterLines="60" w:after="144"/>
              <w:rPr>
                <w:rFonts w:ascii="Times New Roman" w:hAnsi="Times New Roman"/>
                <w:sz w:val="24"/>
              </w:rPr>
            </w:pPr>
            <w:r>
              <w:rPr>
                <w:rFonts w:ascii="Times New Roman" w:hAnsi="Times New Roman"/>
                <w:sz w:val="24"/>
              </w:rPr>
              <w:t>Gli AVA a livello di categoria per l</w:t>
            </w:r>
            <w:r w:rsidR="000878EC">
              <w:rPr>
                <w:rFonts w:ascii="Times New Roman" w:hAnsi="Times New Roman"/>
                <w:sz w:val="24"/>
              </w:rPr>
              <w:t>'</w:t>
            </w:r>
            <w:r>
              <w:rPr>
                <w:rFonts w:ascii="Times New Roman" w:hAnsi="Times New Roman"/>
                <w:sz w:val="24"/>
              </w:rPr>
              <w:t>incertezza delle quotazioni di mercato, i costi di chiusura, i rischi del modello, le posizioni concentrate, i costi amministrativi futuri, la chiusura anticipata delle posizioni e i rischi operativi sono calcolati rispettivamente a norma degli articoli 9, 10, 11 e da 14 a 17 del regolamento delegato (UE) 2016/101.</w:t>
            </w:r>
          </w:p>
          <w:p w:rsidR="00973707" w:rsidRPr="00661595" w:rsidRDefault="00973707" w:rsidP="003E376A">
            <w:pPr>
              <w:suppressAutoHyphens/>
              <w:spacing w:beforeLines="60" w:before="144" w:afterLines="60" w:after="144"/>
              <w:rPr>
                <w:rFonts w:ascii="Times New Roman" w:hAnsi="Times New Roman"/>
                <w:sz w:val="24"/>
              </w:rPr>
            </w:pPr>
            <w:r>
              <w:rPr>
                <w:rFonts w:ascii="Times New Roman" w:hAnsi="Times New Roman"/>
                <w:sz w:val="24"/>
              </w:rPr>
              <w:t>Per le categorie dell</w:t>
            </w:r>
            <w:r w:rsidR="000878EC">
              <w:rPr>
                <w:rFonts w:ascii="Times New Roman" w:hAnsi="Times New Roman"/>
                <w:sz w:val="24"/>
              </w:rPr>
              <w:t>'</w:t>
            </w:r>
            <w:r>
              <w:rPr>
                <w:rFonts w:ascii="Times New Roman" w:hAnsi="Times New Roman"/>
                <w:sz w:val="24"/>
              </w:rPr>
              <w:t>incertezza delle quotazioni di mercato, dei costi di chiusura e dei rischi del modello, che sono soggette al beneficio della diversificazione rispettivamente a norma dell</w:t>
            </w:r>
            <w:r w:rsidR="000878EC">
              <w:rPr>
                <w:rFonts w:ascii="Times New Roman" w:hAnsi="Times New Roman"/>
                <w:sz w:val="24"/>
              </w:rPr>
              <w:t>'</w:t>
            </w:r>
            <w:r>
              <w:rPr>
                <w:rFonts w:ascii="Times New Roman" w:hAnsi="Times New Roman"/>
                <w:sz w:val="24"/>
              </w:rPr>
              <w:t>articolo 9, paragrafo 6, dell</w:t>
            </w:r>
            <w:r w:rsidR="000878EC">
              <w:rPr>
                <w:rFonts w:ascii="Times New Roman" w:hAnsi="Times New Roman"/>
                <w:sz w:val="24"/>
              </w:rPr>
              <w:t>'</w:t>
            </w:r>
            <w:r>
              <w:rPr>
                <w:rFonts w:ascii="Times New Roman" w:hAnsi="Times New Roman"/>
                <w:sz w:val="24"/>
              </w:rPr>
              <w:t>articolo 10, paragrafo 7, e dell</w:t>
            </w:r>
            <w:r w:rsidR="000878EC">
              <w:rPr>
                <w:rFonts w:ascii="Times New Roman" w:hAnsi="Times New Roman"/>
                <w:sz w:val="24"/>
              </w:rPr>
              <w:t>'</w:t>
            </w:r>
            <w:r>
              <w:rPr>
                <w:rFonts w:ascii="Times New Roman" w:hAnsi="Times New Roman"/>
                <w:sz w:val="24"/>
              </w:rPr>
              <w:t>articolo 11, paragrafo 7, del regolamento delegato (UE) 2016/101, gli AVA a livello di categoria, salvo altrimenti indicato, sono pari alla somma dei singoli AVA prima del beneficio della diversificazione [i benefici della diversificazione calcolati utilizzando il metodo 1 o 2 di cui all</w:t>
            </w:r>
            <w:r w:rsidR="000878EC">
              <w:rPr>
                <w:rFonts w:ascii="Times New Roman" w:hAnsi="Times New Roman"/>
                <w:sz w:val="24"/>
              </w:rPr>
              <w:t>'</w:t>
            </w:r>
            <w:r>
              <w:rPr>
                <w:rFonts w:ascii="Times New Roman" w:hAnsi="Times New Roman"/>
                <w:sz w:val="24"/>
              </w:rPr>
              <w:t xml:space="preserve">allegato del regolamento delegato (UE) 2016/101 sono indicati alle voci 1.1.2, 1.1.2.1 e 1.1.2.2 del modello]. </w:t>
            </w:r>
          </w:p>
          <w:p w:rsidR="00973707" w:rsidRPr="00661595" w:rsidRDefault="00973707" w:rsidP="003E376A">
            <w:pPr>
              <w:suppressAutoHyphens/>
              <w:spacing w:beforeLines="60" w:before="144" w:afterLines="60" w:after="144"/>
              <w:rPr>
                <w:rFonts w:ascii="Times New Roman" w:hAnsi="Times New Roman"/>
                <w:sz w:val="24"/>
              </w:rPr>
            </w:pPr>
            <w:r>
              <w:rPr>
                <w:rFonts w:ascii="Times New Roman" w:hAnsi="Times New Roman"/>
                <w:sz w:val="24"/>
              </w:rPr>
              <w:t>Per le categorie dell</w:t>
            </w:r>
            <w:r w:rsidR="000878EC">
              <w:rPr>
                <w:rFonts w:ascii="Times New Roman" w:hAnsi="Times New Roman"/>
                <w:sz w:val="24"/>
              </w:rPr>
              <w:t>'</w:t>
            </w:r>
            <w:r>
              <w:rPr>
                <w:rFonts w:ascii="Times New Roman" w:hAnsi="Times New Roman"/>
                <w:sz w:val="24"/>
              </w:rPr>
              <w:t>incertezza delle quotazioni di mercato, dei costi di chiusura e dei rischi del modello, gli importi calcolati secondo l</w:t>
            </w:r>
            <w:r w:rsidR="000878EC">
              <w:rPr>
                <w:rFonts w:ascii="Times New Roman" w:hAnsi="Times New Roman"/>
                <w:sz w:val="24"/>
              </w:rPr>
              <w:t>'</w:t>
            </w:r>
            <w:r>
              <w:rPr>
                <w:rFonts w:ascii="Times New Roman" w:hAnsi="Times New Roman"/>
                <w:sz w:val="24"/>
              </w:rPr>
              <w:t>approccio basato su esperti ai sensi dell</w:t>
            </w:r>
            <w:r w:rsidR="000878EC">
              <w:rPr>
                <w:rFonts w:ascii="Times New Roman" w:hAnsi="Times New Roman"/>
                <w:sz w:val="24"/>
              </w:rPr>
              <w:t>'</w:t>
            </w:r>
            <w:r>
              <w:rPr>
                <w:rFonts w:ascii="Times New Roman" w:hAnsi="Times New Roman"/>
                <w:sz w:val="24"/>
              </w:rPr>
              <w:t>articolo 9, paragrafo 5, lettera b), dell</w:t>
            </w:r>
            <w:r w:rsidR="000878EC">
              <w:rPr>
                <w:rFonts w:ascii="Times New Roman" w:hAnsi="Times New Roman"/>
                <w:sz w:val="24"/>
              </w:rPr>
              <w:t>'</w:t>
            </w:r>
            <w:r>
              <w:rPr>
                <w:rFonts w:ascii="Times New Roman" w:hAnsi="Times New Roman"/>
                <w:sz w:val="24"/>
              </w:rPr>
              <w:t>articolo 10, paragrafo 6, lettera b), e dell</w:t>
            </w:r>
            <w:r w:rsidR="000878EC">
              <w:rPr>
                <w:rFonts w:ascii="Times New Roman" w:hAnsi="Times New Roman"/>
                <w:sz w:val="24"/>
              </w:rPr>
              <w:t>'</w:t>
            </w:r>
            <w:r>
              <w:rPr>
                <w:rFonts w:ascii="Times New Roman" w:hAnsi="Times New Roman"/>
                <w:sz w:val="24"/>
              </w:rPr>
              <w:t>articolo 11, paragrafo 4, del regolamento delegato (UE) 2016/101 sono indicati separatamente nelle colonne 0020, 0040 e 0060.</w:t>
            </w:r>
          </w:p>
        </w:tc>
      </w:tr>
      <w:tr w:rsidR="00973707" w:rsidRPr="00661595" w:rsidTr="00672D2A">
        <w:tc>
          <w:tcPr>
            <w:tcW w:w="1101" w:type="dxa"/>
          </w:tcPr>
          <w:p w:rsidR="00973707" w:rsidRPr="00661595" w:rsidRDefault="009A7A38" w:rsidP="003E376A">
            <w:pPr>
              <w:suppressAutoHyphens/>
              <w:spacing w:beforeLines="60" w:before="144" w:afterLines="60" w:after="144"/>
              <w:rPr>
                <w:rFonts w:ascii="Times New Roman" w:hAnsi="Times New Roman"/>
                <w:sz w:val="24"/>
              </w:rPr>
            </w:pPr>
            <w:r>
              <w:rPr>
                <w:rFonts w:ascii="Times New Roman" w:hAnsi="Times New Roman"/>
                <w:sz w:val="24"/>
              </w:rPr>
              <w:t>0010</w:t>
            </w:r>
          </w:p>
        </w:tc>
        <w:tc>
          <w:tcPr>
            <w:tcW w:w="8190" w:type="dxa"/>
          </w:tcPr>
          <w:p w:rsidR="00973707" w:rsidRPr="00661595" w:rsidRDefault="00973707" w:rsidP="003E376A">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INCERTEZZA DELLE QUOTAZIONI DI MERCATO</w:t>
            </w:r>
          </w:p>
          <w:p w:rsidR="00973707" w:rsidRPr="00661595" w:rsidRDefault="00973707" w:rsidP="003E376A">
            <w:pPr>
              <w:suppressAutoHyphens/>
              <w:spacing w:beforeLines="60" w:before="144" w:afterLines="60" w:after="144"/>
              <w:rPr>
                <w:rFonts w:ascii="Times New Roman" w:hAnsi="Times New Roman"/>
                <w:sz w:val="24"/>
              </w:rPr>
            </w:pPr>
            <w:r>
              <w:rPr>
                <w:rFonts w:ascii="Times New Roman" w:hAnsi="Times New Roman"/>
                <w:sz w:val="24"/>
              </w:rPr>
              <w:t xml:space="preserve">Articolo 105, paragrafo 10, del CRR. </w:t>
            </w:r>
          </w:p>
          <w:p w:rsidR="00973707" w:rsidRPr="00661595" w:rsidRDefault="00973707" w:rsidP="003E376A">
            <w:pPr>
              <w:suppressAutoHyphens/>
              <w:spacing w:beforeLines="60" w:before="144" w:afterLines="60" w:after="144"/>
              <w:rPr>
                <w:rStyle w:val="InstructionsTabelleberschrift"/>
                <w:rFonts w:ascii="Times New Roman" w:hAnsi="Times New Roman"/>
                <w:sz w:val="24"/>
              </w:rPr>
            </w:pPr>
            <w:r>
              <w:rPr>
                <w:rFonts w:ascii="Times New Roman" w:hAnsi="Times New Roman"/>
                <w:sz w:val="24"/>
              </w:rPr>
              <w:t>Gli AVA per l</w:t>
            </w:r>
            <w:r w:rsidR="000878EC">
              <w:rPr>
                <w:rFonts w:ascii="Times New Roman" w:hAnsi="Times New Roman"/>
                <w:sz w:val="24"/>
              </w:rPr>
              <w:t>'</w:t>
            </w:r>
            <w:r>
              <w:rPr>
                <w:rFonts w:ascii="Times New Roman" w:hAnsi="Times New Roman"/>
                <w:sz w:val="24"/>
              </w:rPr>
              <w:t xml:space="preserve">incertezza delle quotazioni di mercato </w:t>
            </w:r>
            <w:r w:rsidR="003E376A">
              <w:rPr>
                <w:rFonts w:ascii="Times New Roman" w:hAnsi="Times New Roman"/>
                <w:sz w:val="24"/>
              </w:rPr>
              <w:t>calcolati a norma dell</w:t>
            </w:r>
            <w:r w:rsidR="000878EC">
              <w:rPr>
                <w:rFonts w:ascii="Times New Roman" w:hAnsi="Times New Roman"/>
                <w:sz w:val="24"/>
              </w:rPr>
              <w:t>'</w:t>
            </w:r>
            <w:r w:rsidR="003E376A">
              <w:rPr>
                <w:rFonts w:ascii="Times New Roman" w:hAnsi="Times New Roman"/>
                <w:sz w:val="24"/>
              </w:rPr>
              <w:t>articolo </w:t>
            </w:r>
            <w:r>
              <w:rPr>
                <w:rFonts w:ascii="Times New Roman" w:hAnsi="Times New Roman"/>
                <w:sz w:val="24"/>
              </w:rPr>
              <w:t>9 del regolamento delegato (UE) 2016/101.</w:t>
            </w:r>
          </w:p>
        </w:tc>
      </w:tr>
      <w:tr w:rsidR="00973707" w:rsidRPr="00661595" w:rsidTr="00672D2A">
        <w:tc>
          <w:tcPr>
            <w:tcW w:w="1101" w:type="dxa"/>
          </w:tcPr>
          <w:p w:rsidR="00973707" w:rsidRPr="00661595" w:rsidRDefault="009A7A38" w:rsidP="003E376A">
            <w:pPr>
              <w:suppressAutoHyphens/>
              <w:spacing w:beforeLines="60" w:before="144" w:afterLines="60" w:after="144"/>
              <w:rPr>
                <w:rFonts w:ascii="Times New Roman" w:hAnsi="Times New Roman"/>
                <w:sz w:val="24"/>
              </w:rPr>
            </w:pPr>
            <w:r>
              <w:rPr>
                <w:rFonts w:ascii="Times New Roman" w:hAnsi="Times New Roman"/>
                <w:sz w:val="24"/>
              </w:rPr>
              <w:t>0020</w:t>
            </w:r>
          </w:p>
        </w:tc>
        <w:tc>
          <w:tcPr>
            <w:tcW w:w="8190" w:type="dxa"/>
          </w:tcPr>
          <w:p w:rsidR="00973707" w:rsidRPr="00661595" w:rsidRDefault="00973707" w:rsidP="003E376A">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 CUI: CALCOLATI SECONDO L</w:t>
            </w:r>
            <w:r w:rsidR="000878EC">
              <w:rPr>
                <w:rStyle w:val="InstructionsTabelleberschrift"/>
                <w:rFonts w:ascii="Times New Roman" w:hAnsi="Times New Roman"/>
                <w:sz w:val="24"/>
              </w:rPr>
              <w:t>'</w:t>
            </w:r>
            <w:r>
              <w:rPr>
                <w:rStyle w:val="InstructionsTabelleberschrift"/>
                <w:rFonts w:ascii="Times New Roman" w:hAnsi="Times New Roman"/>
                <w:sz w:val="24"/>
              </w:rPr>
              <w:t>APPROCCIO BASATO SU ESPERTI</w:t>
            </w:r>
          </w:p>
          <w:p w:rsidR="00973707" w:rsidRPr="00661595" w:rsidRDefault="00973707" w:rsidP="003E376A">
            <w:pPr>
              <w:suppressAutoHyphens/>
              <w:spacing w:beforeLines="60" w:before="144" w:afterLines="60" w:after="144"/>
              <w:rPr>
                <w:rStyle w:val="InstructionsTabelleberschrift"/>
                <w:rFonts w:ascii="Times New Roman" w:hAnsi="Times New Roman"/>
                <w:sz w:val="24"/>
              </w:rPr>
            </w:pPr>
            <w:r>
              <w:rPr>
                <w:rFonts w:ascii="Times New Roman" w:hAnsi="Times New Roman"/>
                <w:sz w:val="24"/>
              </w:rPr>
              <w:t>Gli AVA per l</w:t>
            </w:r>
            <w:r w:rsidR="000878EC">
              <w:rPr>
                <w:rFonts w:ascii="Times New Roman" w:hAnsi="Times New Roman"/>
                <w:sz w:val="24"/>
              </w:rPr>
              <w:t>'</w:t>
            </w:r>
            <w:r>
              <w:rPr>
                <w:rFonts w:ascii="Times New Roman" w:hAnsi="Times New Roman"/>
                <w:sz w:val="24"/>
              </w:rPr>
              <w:t xml:space="preserve">incertezza delle quotazioni di mercato </w:t>
            </w:r>
            <w:r w:rsidR="003E376A">
              <w:rPr>
                <w:rFonts w:ascii="Times New Roman" w:hAnsi="Times New Roman"/>
                <w:sz w:val="24"/>
              </w:rPr>
              <w:t>calcolati a norma dell</w:t>
            </w:r>
            <w:r w:rsidR="000878EC">
              <w:rPr>
                <w:rFonts w:ascii="Times New Roman" w:hAnsi="Times New Roman"/>
                <w:sz w:val="24"/>
              </w:rPr>
              <w:t>'</w:t>
            </w:r>
            <w:r w:rsidR="003E376A">
              <w:rPr>
                <w:rFonts w:ascii="Times New Roman" w:hAnsi="Times New Roman"/>
                <w:sz w:val="24"/>
              </w:rPr>
              <w:t>articolo </w:t>
            </w:r>
            <w:r>
              <w:rPr>
                <w:rFonts w:ascii="Times New Roman" w:hAnsi="Times New Roman"/>
                <w:sz w:val="24"/>
              </w:rPr>
              <w:t>9, paragrafo 5, lettera b), del regolamento delegato (UE) 2016/101.</w:t>
            </w:r>
          </w:p>
        </w:tc>
      </w:tr>
      <w:tr w:rsidR="00973707" w:rsidRPr="00661595" w:rsidTr="00672D2A">
        <w:tc>
          <w:tcPr>
            <w:tcW w:w="1101" w:type="dxa"/>
          </w:tcPr>
          <w:p w:rsidR="00973707" w:rsidRPr="00661595" w:rsidRDefault="009A7A38" w:rsidP="003E376A">
            <w:pPr>
              <w:suppressAutoHyphens/>
              <w:spacing w:beforeLines="60" w:before="144" w:afterLines="60" w:after="144"/>
              <w:rPr>
                <w:rFonts w:ascii="Times New Roman" w:hAnsi="Times New Roman"/>
                <w:sz w:val="24"/>
              </w:rPr>
            </w:pPr>
            <w:r>
              <w:rPr>
                <w:rFonts w:ascii="Times New Roman" w:hAnsi="Times New Roman"/>
                <w:sz w:val="24"/>
              </w:rPr>
              <w:t>0030</w:t>
            </w:r>
          </w:p>
        </w:tc>
        <w:tc>
          <w:tcPr>
            <w:tcW w:w="8190" w:type="dxa"/>
          </w:tcPr>
          <w:p w:rsidR="00973707" w:rsidRPr="00661595" w:rsidRDefault="00973707" w:rsidP="003E376A">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COSTI DI CHIUSURA</w:t>
            </w:r>
          </w:p>
          <w:p w:rsidR="00973707" w:rsidRPr="00661595" w:rsidRDefault="00973707" w:rsidP="003E376A">
            <w:pPr>
              <w:suppressAutoHyphens/>
              <w:spacing w:beforeLines="60" w:before="144" w:afterLines="60" w:after="144"/>
              <w:rPr>
                <w:rFonts w:ascii="Times New Roman" w:hAnsi="Times New Roman"/>
                <w:sz w:val="24"/>
              </w:rPr>
            </w:pPr>
            <w:r>
              <w:rPr>
                <w:rFonts w:ascii="Times New Roman" w:hAnsi="Times New Roman"/>
                <w:sz w:val="24"/>
              </w:rPr>
              <w:t xml:space="preserve">Articolo 105, paragrafo 10, del CRR. </w:t>
            </w:r>
          </w:p>
          <w:p w:rsidR="00973707" w:rsidRPr="00661595" w:rsidRDefault="00973707" w:rsidP="003E376A">
            <w:pPr>
              <w:suppressAutoHyphens/>
              <w:spacing w:beforeLines="60" w:before="144" w:afterLines="60" w:after="144"/>
              <w:rPr>
                <w:rStyle w:val="InstructionsTabelleberschrift"/>
                <w:rFonts w:ascii="Times New Roman" w:hAnsi="Times New Roman"/>
                <w:sz w:val="24"/>
              </w:rPr>
            </w:pPr>
            <w:r>
              <w:rPr>
                <w:rFonts w:ascii="Times New Roman" w:hAnsi="Times New Roman"/>
                <w:sz w:val="24"/>
              </w:rPr>
              <w:t>Gli AVA per i costi di chiusura calcolati a norma dell</w:t>
            </w:r>
            <w:r w:rsidR="000878EC">
              <w:rPr>
                <w:rFonts w:ascii="Times New Roman" w:hAnsi="Times New Roman"/>
                <w:sz w:val="24"/>
              </w:rPr>
              <w:t>'</w:t>
            </w:r>
            <w:r>
              <w:rPr>
                <w:rFonts w:ascii="Times New Roman" w:hAnsi="Times New Roman"/>
                <w:sz w:val="24"/>
              </w:rPr>
              <w:t xml:space="preserve">articolo 10 del regolamento delegato (UE) 2016/101. </w:t>
            </w:r>
          </w:p>
        </w:tc>
      </w:tr>
      <w:tr w:rsidR="00973707" w:rsidRPr="00661595" w:rsidTr="00672D2A">
        <w:tc>
          <w:tcPr>
            <w:tcW w:w="1101" w:type="dxa"/>
          </w:tcPr>
          <w:p w:rsidR="00973707" w:rsidRPr="00661595" w:rsidRDefault="009A7A38" w:rsidP="003E376A">
            <w:pPr>
              <w:suppressAutoHyphens/>
              <w:spacing w:beforeLines="60" w:before="144" w:afterLines="60" w:after="144"/>
              <w:rPr>
                <w:rFonts w:ascii="Times New Roman" w:hAnsi="Times New Roman"/>
                <w:sz w:val="24"/>
              </w:rPr>
            </w:pPr>
            <w:r>
              <w:rPr>
                <w:rFonts w:ascii="Times New Roman" w:hAnsi="Times New Roman"/>
                <w:sz w:val="24"/>
              </w:rPr>
              <w:t>0040</w:t>
            </w:r>
          </w:p>
        </w:tc>
        <w:tc>
          <w:tcPr>
            <w:tcW w:w="8190" w:type="dxa"/>
          </w:tcPr>
          <w:p w:rsidR="00973707" w:rsidRPr="00661595" w:rsidRDefault="00973707" w:rsidP="003E376A">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 CUI: CALCOLATI SECONDO L</w:t>
            </w:r>
            <w:r w:rsidR="000878EC">
              <w:rPr>
                <w:rStyle w:val="InstructionsTabelleberschrift"/>
                <w:rFonts w:ascii="Times New Roman" w:hAnsi="Times New Roman"/>
                <w:sz w:val="24"/>
              </w:rPr>
              <w:t>'</w:t>
            </w:r>
            <w:r>
              <w:rPr>
                <w:rStyle w:val="InstructionsTabelleberschrift"/>
                <w:rFonts w:ascii="Times New Roman" w:hAnsi="Times New Roman"/>
                <w:sz w:val="24"/>
              </w:rPr>
              <w:t>APPROCCIO BASATO SU ESPERTI</w:t>
            </w:r>
          </w:p>
          <w:p w:rsidR="00973707" w:rsidRPr="00661595" w:rsidRDefault="00973707" w:rsidP="003E376A">
            <w:pPr>
              <w:suppressAutoHyphens/>
              <w:spacing w:beforeLines="60" w:before="144" w:afterLines="60" w:after="144"/>
              <w:rPr>
                <w:rStyle w:val="InstructionsTabelleberschrift"/>
                <w:rFonts w:ascii="Times New Roman" w:hAnsi="Times New Roman"/>
                <w:sz w:val="24"/>
              </w:rPr>
            </w:pPr>
            <w:r>
              <w:rPr>
                <w:rFonts w:ascii="Times New Roman" w:hAnsi="Times New Roman"/>
                <w:sz w:val="24"/>
              </w:rPr>
              <w:t>Gli AVA per i costi di chiusura calcolati a norma dell</w:t>
            </w:r>
            <w:r w:rsidR="000878EC">
              <w:rPr>
                <w:rFonts w:ascii="Times New Roman" w:hAnsi="Times New Roman"/>
                <w:sz w:val="24"/>
              </w:rPr>
              <w:t>'</w:t>
            </w:r>
            <w:r>
              <w:rPr>
                <w:rFonts w:ascii="Times New Roman" w:hAnsi="Times New Roman"/>
                <w:sz w:val="24"/>
              </w:rPr>
              <w:t>articolo 10, paragrafo 6, lettera b), del regolamento delegato (UE) 2016/101.</w:t>
            </w:r>
          </w:p>
        </w:tc>
      </w:tr>
      <w:tr w:rsidR="00973707" w:rsidRPr="00661595" w:rsidTr="00672D2A">
        <w:tc>
          <w:tcPr>
            <w:tcW w:w="1101" w:type="dxa"/>
          </w:tcPr>
          <w:p w:rsidR="00973707" w:rsidRPr="00661595" w:rsidRDefault="009A7A38" w:rsidP="003E376A">
            <w:pPr>
              <w:keepNext/>
              <w:keepLines/>
              <w:suppressAutoHyphens/>
              <w:spacing w:beforeLines="60" w:before="144" w:afterLines="60" w:after="144"/>
              <w:rPr>
                <w:rFonts w:ascii="Times New Roman" w:hAnsi="Times New Roman"/>
                <w:sz w:val="24"/>
              </w:rPr>
            </w:pPr>
            <w:r>
              <w:rPr>
                <w:rFonts w:ascii="Times New Roman" w:hAnsi="Times New Roman"/>
                <w:sz w:val="24"/>
              </w:rPr>
              <w:t>0050</w:t>
            </w:r>
          </w:p>
        </w:tc>
        <w:tc>
          <w:tcPr>
            <w:tcW w:w="8190" w:type="dxa"/>
          </w:tcPr>
          <w:p w:rsidR="00973707" w:rsidRPr="00661595" w:rsidRDefault="00973707" w:rsidP="003E376A">
            <w:pPr>
              <w:keepNext/>
              <w:keepLines/>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RISCHI DEL MODELLO</w:t>
            </w:r>
          </w:p>
          <w:p w:rsidR="00973707" w:rsidRPr="00661595" w:rsidRDefault="00973707" w:rsidP="003E376A">
            <w:pPr>
              <w:keepNext/>
              <w:keepLines/>
              <w:suppressAutoHyphens/>
              <w:spacing w:beforeLines="60" w:before="144" w:afterLines="60" w:after="144"/>
              <w:rPr>
                <w:rFonts w:ascii="Times New Roman" w:hAnsi="Times New Roman"/>
                <w:sz w:val="24"/>
              </w:rPr>
            </w:pPr>
            <w:r>
              <w:rPr>
                <w:rFonts w:ascii="Times New Roman" w:hAnsi="Times New Roman"/>
                <w:sz w:val="24"/>
              </w:rPr>
              <w:t>Articolo 105, paragrafo 10, del CRR.</w:t>
            </w:r>
          </w:p>
          <w:p w:rsidR="00973707" w:rsidRPr="00661595" w:rsidRDefault="00973707" w:rsidP="003E376A">
            <w:pPr>
              <w:keepNext/>
              <w:keepLines/>
              <w:suppressAutoHyphens/>
              <w:spacing w:beforeLines="60" w:before="144" w:afterLines="60" w:after="144"/>
              <w:rPr>
                <w:rStyle w:val="InstructionsTabelleberschrift"/>
                <w:rFonts w:ascii="Times New Roman" w:hAnsi="Times New Roman"/>
                <w:sz w:val="24"/>
              </w:rPr>
            </w:pPr>
            <w:r>
              <w:rPr>
                <w:rFonts w:ascii="Times New Roman" w:hAnsi="Times New Roman"/>
                <w:sz w:val="24"/>
              </w:rPr>
              <w:t>Gli AVA per i rischi del modello calcolati a norma dell</w:t>
            </w:r>
            <w:r w:rsidR="000878EC">
              <w:rPr>
                <w:rFonts w:ascii="Times New Roman" w:hAnsi="Times New Roman"/>
                <w:sz w:val="24"/>
              </w:rPr>
              <w:t>'</w:t>
            </w:r>
            <w:r>
              <w:rPr>
                <w:rFonts w:ascii="Times New Roman" w:hAnsi="Times New Roman"/>
                <w:sz w:val="24"/>
              </w:rPr>
              <w:t xml:space="preserve">articolo 11 del regolamento delegato (UE) 2016/101. </w:t>
            </w:r>
          </w:p>
        </w:tc>
      </w:tr>
      <w:tr w:rsidR="00973707" w:rsidRPr="00661595" w:rsidTr="00672D2A">
        <w:tc>
          <w:tcPr>
            <w:tcW w:w="1101" w:type="dxa"/>
          </w:tcPr>
          <w:p w:rsidR="00973707" w:rsidRPr="00661595" w:rsidRDefault="009A7A38" w:rsidP="003E376A">
            <w:pPr>
              <w:suppressAutoHyphens/>
              <w:spacing w:beforeLines="60" w:before="144" w:afterLines="60" w:after="144"/>
              <w:rPr>
                <w:rFonts w:ascii="Times New Roman" w:hAnsi="Times New Roman"/>
                <w:sz w:val="24"/>
              </w:rPr>
            </w:pPr>
            <w:r>
              <w:rPr>
                <w:rFonts w:ascii="Times New Roman" w:hAnsi="Times New Roman"/>
                <w:sz w:val="24"/>
              </w:rPr>
              <w:t>0060</w:t>
            </w:r>
          </w:p>
        </w:tc>
        <w:tc>
          <w:tcPr>
            <w:tcW w:w="8190" w:type="dxa"/>
          </w:tcPr>
          <w:p w:rsidR="00973707" w:rsidRPr="00661595" w:rsidRDefault="00973707" w:rsidP="003E376A">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 CUI: CALCOLATI SECONDO L</w:t>
            </w:r>
            <w:r w:rsidR="000878EC">
              <w:rPr>
                <w:rStyle w:val="InstructionsTabelleberschrift"/>
                <w:rFonts w:ascii="Times New Roman" w:hAnsi="Times New Roman"/>
                <w:sz w:val="24"/>
              </w:rPr>
              <w:t>'</w:t>
            </w:r>
            <w:r>
              <w:rPr>
                <w:rStyle w:val="InstructionsTabelleberschrift"/>
                <w:rFonts w:ascii="Times New Roman" w:hAnsi="Times New Roman"/>
                <w:sz w:val="24"/>
              </w:rPr>
              <w:t>APPROCCIO BASATO SU ESPERTI</w:t>
            </w:r>
          </w:p>
          <w:p w:rsidR="00973707" w:rsidRPr="00661595" w:rsidRDefault="00973707" w:rsidP="003E376A">
            <w:pPr>
              <w:suppressAutoHyphens/>
              <w:spacing w:beforeLines="60" w:before="144" w:afterLines="60" w:after="144"/>
              <w:rPr>
                <w:rStyle w:val="InstructionsTabelleberschrift"/>
                <w:rFonts w:ascii="Times New Roman" w:hAnsi="Times New Roman"/>
                <w:sz w:val="24"/>
              </w:rPr>
            </w:pPr>
            <w:r>
              <w:rPr>
                <w:rFonts w:ascii="Times New Roman" w:hAnsi="Times New Roman"/>
                <w:sz w:val="24"/>
              </w:rPr>
              <w:t>Gli AVA per i rischi del modello calcolati a norma dell</w:t>
            </w:r>
            <w:r w:rsidR="000878EC">
              <w:rPr>
                <w:rFonts w:ascii="Times New Roman" w:hAnsi="Times New Roman"/>
                <w:sz w:val="24"/>
              </w:rPr>
              <w:t>'</w:t>
            </w:r>
            <w:r>
              <w:rPr>
                <w:rFonts w:ascii="Times New Roman" w:hAnsi="Times New Roman"/>
                <w:sz w:val="24"/>
              </w:rPr>
              <w:t>articolo 11, paragrafo 4, del regolamento delegato (UE) 2016/101.</w:t>
            </w:r>
          </w:p>
        </w:tc>
      </w:tr>
      <w:tr w:rsidR="00973707" w:rsidRPr="00661595" w:rsidTr="00672D2A">
        <w:tc>
          <w:tcPr>
            <w:tcW w:w="1101" w:type="dxa"/>
          </w:tcPr>
          <w:p w:rsidR="00973707" w:rsidRPr="00661595" w:rsidRDefault="009A7A38" w:rsidP="003E376A">
            <w:pPr>
              <w:suppressAutoHyphens/>
              <w:spacing w:beforeLines="60" w:before="144" w:afterLines="60" w:after="144"/>
              <w:rPr>
                <w:rFonts w:ascii="Times New Roman" w:hAnsi="Times New Roman"/>
                <w:sz w:val="24"/>
              </w:rPr>
            </w:pPr>
            <w:r>
              <w:rPr>
                <w:rFonts w:ascii="Times New Roman" w:hAnsi="Times New Roman"/>
                <w:sz w:val="24"/>
              </w:rPr>
              <w:t>0070</w:t>
            </w:r>
          </w:p>
        </w:tc>
        <w:tc>
          <w:tcPr>
            <w:tcW w:w="8190" w:type="dxa"/>
          </w:tcPr>
          <w:p w:rsidR="00973707" w:rsidRPr="00661595" w:rsidRDefault="00973707" w:rsidP="003E376A">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POSIZIONI CONCENTRATE</w:t>
            </w:r>
          </w:p>
          <w:p w:rsidR="00973707" w:rsidRPr="00661595" w:rsidRDefault="00973707" w:rsidP="003E376A">
            <w:pPr>
              <w:suppressAutoHyphens/>
              <w:spacing w:beforeLines="60" w:before="144" w:afterLines="60" w:after="144"/>
              <w:rPr>
                <w:rFonts w:ascii="Times New Roman" w:hAnsi="Times New Roman"/>
                <w:sz w:val="24"/>
              </w:rPr>
            </w:pPr>
            <w:r>
              <w:rPr>
                <w:rFonts w:ascii="Times New Roman" w:hAnsi="Times New Roman"/>
                <w:sz w:val="24"/>
              </w:rPr>
              <w:t>Articolo 105, paragrafo 11, del CRR.</w:t>
            </w:r>
          </w:p>
          <w:p w:rsidR="00973707" w:rsidRPr="00661595" w:rsidRDefault="00973707" w:rsidP="003E376A">
            <w:pPr>
              <w:suppressAutoHyphens/>
              <w:spacing w:beforeLines="60" w:before="144" w:afterLines="60" w:after="144"/>
              <w:rPr>
                <w:rStyle w:val="InstructionsTabelleberschrift"/>
                <w:rFonts w:ascii="Times New Roman" w:hAnsi="Times New Roman"/>
                <w:sz w:val="24"/>
              </w:rPr>
            </w:pPr>
            <w:r>
              <w:rPr>
                <w:rFonts w:ascii="Times New Roman" w:hAnsi="Times New Roman"/>
                <w:sz w:val="24"/>
              </w:rPr>
              <w:t>Gli AVA per le posizioni concentrate calcolati a norma dell</w:t>
            </w:r>
            <w:r w:rsidR="000878EC">
              <w:rPr>
                <w:rFonts w:ascii="Times New Roman" w:hAnsi="Times New Roman"/>
                <w:sz w:val="24"/>
              </w:rPr>
              <w:t>'</w:t>
            </w:r>
            <w:r>
              <w:rPr>
                <w:rFonts w:ascii="Times New Roman" w:hAnsi="Times New Roman"/>
                <w:sz w:val="24"/>
              </w:rPr>
              <w:t>articolo 14 del regolamento delegato (UE) 2016/101.</w:t>
            </w:r>
          </w:p>
        </w:tc>
      </w:tr>
      <w:tr w:rsidR="00973707" w:rsidRPr="00661595" w:rsidTr="00672D2A">
        <w:tc>
          <w:tcPr>
            <w:tcW w:w="1101" w:type="dxa"/>
          </w:tcPr>
          <w:p w:rsidR="00973707" w:rsidRPr="00661595" w:rsidRDefault="009A7A38" w:rsidP="003E376A">
            <w:pPr>
              <w:suppressAutoHyphens/>
              <w:spacing w:beforeLines="60" w:before="144" w:afterLines="60" w:after="144"/>
              <w:rPr>
                <w:rFonts w:ascii="Times New Roman" w:hAnsi="Times New Roman"/>
                <w:sz w:val="24"/>
              </w:rPr>
            </w:pPr>
            <w:r>
              <w:rPr>
                <w:rFonts w:ascii="Times New Roman" w:hAnsi="Times New Roman"/>
                <w:sz w:val="24"/>
              </w:rPr>
              <w:t>0080</w:t>
            </w:r>
          </w:p>
        </w:tc>
        <w:tc>
          <w:tcPr>
            <w:tcW w:w="8190" w:type="dxa"/>
          </w:tcPr>
          <w:p w:rsidR="00973707" w:rsidRPr="00661595" w:rsidRDefault="00973707" w:rsidP="003E376A">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COSTI AMMINISTRATIVI FUTURI</w:t>
            </w:r>
          </w:p>
          <w:p w:rsidR="00973707" w:rsidRPr="00661595" w:rsidRDefault="00973707" w:rsidP="003E376A">
            <w:pPr>
              <w:suppressAutoHyphens/>
              <w:spacing w:beforeLines="60" w:before="144" w:afterLines="60" w:after="144"/>
              <w:rPr>
                <w:rFonts w:ascii="Times New Roman" w:hAnsi="Times New Roman"/>
                <w:sz w:val="24"/>
              </w:rPr>
            </w:pPr>
            <w:r>
              <w:rPr>
                <w:rFonts w:ascii="Times New Roman" w:hAnsi="Times New Roman"/>
                <w:sz w:val="24"/>
              </w:rPr>
              <w:t>Articolo 105, paragrafo 10, del CRR.</w:t>
            </w:r>
          </w:p>
          <w:p w:rsidR="00973707" w:rsidRPr="00661595" w:rsidRDefault="00973707" w:rsidP="003E376A">
            <w:pPr>
              <w:suppressAutoHyphens/>
              <w:spacing w:beforeLines="60" w:before="144" w:afterLines="60" w:after="144"/>
              <w:rPr>
                <w:rStyle w:val="InstructionsTabelleberschrift"/>
                <w:rFonts w:ascii="Times New Roman" w:hAnsi="Times New Roman"/>
                <w:sz w:val="24"/>
              </w:rPr>
            </w:pPr>
            <w:r>
              <w:rPr>
                <w:rFonts w:ascii="Times New Roman" w:hAnsi="Times New Roman"/>
                <w:sz w:val="24"/>
              </w:rPr>
              <w:t>Gli AVA per i costi amministrativi futuri calcolati a norma dell</w:t>
            </w:r>
            <w:r w:rsidR="000878EC">
              <w:rPr>
                <w:rFonts w:ascii="Times New Roman" w:hAnsi="Times New Roman"/>
                <w:sz w:val="24"/>
              </w:rPr>
              <w:t>'</w:t>
            </w:r>
            <w:r>
              <w:rPr>
                <w:rFonts w:ascii="Times New Roman" w:hAnsi="Times New Roman"/>
                <w:sz w:val="24"/>
              </w:rPr>
              <w:t>articolo 15 del regolamento delegato (UE) 2016/101.</w:t>
            </w:r>
          </w:p>
        </w:tc>
      </w:tr>
      <w:tr w:rsidR="00973707" w:rsidRPr="00661595" w:rsidTr="00672D2A">
        <w:tc>
          <w:tcPr>
            <w:tcW w:w="1101" w:type="dxa"/>
          </w:tcPr>
          <w:p w:rsidR="00973707" w:rsidRPr="00661595" w:rsidRDefault="009A7A38" w:rsidP="003E376A">
            <w:pPr>
              <w:suppressAutoHyphens/>
              <w:spacing w:beforeLines="60" w:before="144" w:afterLines="60" w:after="144"/>
              <w:rPr>
                <w:rFonts w:ascii="Times New Roman" w:hAnsi="Times New Roman"/>
                <w:sz w:val="24"/>
              </w:rPr>
            </w:pPr>
            <w:r>
              <w:rPr>
                <w:rFonts w:ascii="Times New Roman" w:hAnsi="Times New Roman"/>
                <w:sz w:val="24"/>
              </w:rPr>
              <w:t>0090</w:t>
            </w:r>
          </w:p>
        </w:tc>
        <w:tc>
          <w:tcPr>
            <w:tcW w:w="8190" w:type="dxa"/>
          </w:tcPr>
          <w:p w:rsidR="00973707" w:rsidRPr="00661595" w:rsidRDefault="00973707" w:rsidP="003E376A">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CHIUSURE ANTICIPATE DELLE POSIZIONI</w:t>
            </w:r>
          </w:p>
          <w:p w:rsidR="00973707" w:rsidRPr="00661595" w:rsidRDefault="00973707" w:rsidP="003E376A">
            <w:pPr>
              <w:suppressAutoHyphens/>
              <w:spacing w:beforeLines="60" w:before="144" w:afterLines="60" w:after="144"/>
              <w:rPr>
                <w:rFonts w:ascii="Times New Roman" w:hAnsi="Times New Roman"/>
                <w:sz w:val="24"/>
              </w:rPr>
            </w:pPr>
            <w:r>
              <w:rPr>
                <w:rFonts w:ascii="Times New Roman" w:hAnsi="Times New Roman"/>
                <w:sz w:val="24"/>
              </w:rPr>
              <w:t>Articolo 105, paragrafo 10, del CRR.</w:t>
            </w:r>
          </w:p>
          <w:p w:rsidR="00973707" w:rsidRPr="00661595" w:rsidRDefault="00973707" w:rsidP="003E376A">
            <w:pPr>
              <w:suppressAutoHyphens/>
              <w:spacing w:beforeLines="60" w:before="144" w:afterLines="60" w:after="144"/>
              <w:rPr>
                <w:rStyle w:val="InstructionsTabelleberschrift"/>
                <w:rFonts w:ascii="Times New Roman" w:hAnsi="Times New Roman"/>
                <w:sz w:val="24"/>
              </w:rPr>
            </w:pPr>
            <w:r>
              <w:rPr>
                <w:rFonts w:ascii="Times New Roman" w:hAnsi="Times New Roman"/>
                <w:sz w:val="24"/>
              </w:rPr>
              <w:t>Gli AVA per le chiusure anticipate delle posizioni calcolati a norma dell</w:t>
            </w:r>
            <w:r w:rsidR="000878EC">
              <w:rPr>
                <w:rFonts w:ascii="Times New Roman" w:hAnsi="Times New Roman"/>
                <w:sz w:val="24"/>
              </w:rPr>
              <w:t>'</w:t>
            </w:r>
            <w:r>
              <w:rPr>
                <w:rFonts w:ascii="Times New Roman" w:hAnsi="Times New Roman"/>
                <w:sz w:val="24"/>
              </w:rPr>
              <w:t xml:space="preserve">articolo 16 del regolamento delegato (UE) 2016/101. </w:t>
            </w:r>
          </w:p>
        </w:tc>
      </w:tr>
      <w:tr w:rsidR="00973707" w:rsidRPr="00661595" w:rsidTr="00672D2A">
        <w:tc>
          <w:tcPr>
            <w:tcW w:w="1101" w:type="dxa"/>
          </w:tcPr>
          <w:p w:rsidR="00973707" w:rsidRPr="00661595" w:rsidRDefault="009A7A38" w:rsidP="003E376A">
            <w:pPr>
              <w:suppressAutoHyphens/>
              <w:spacing w:beforeLines="60" w:before="144" w:afterLines="60" w:after="144"/>
              <w:rPr>
                <w:rFonts w:ascii="Times New Roman" w:hAnsi="Times New Roman"/>
                <w:sz w:val="24"/>
              </w:rPr>
            </w:pPr>
            <w:r>
              <w:rPr>
                <w:rFonts w:ascii="Times New Roman" w:hAnsi="Times New Roman"/>
                <w:sz w:val="24"/>
              </w:rPr>
              <w:t>0100</w:t>
            </w:r>
          </w:p>
        </w:tc>
        <w:tc>
          <w:tcPr>
            <w:tcW w:w="8190" w:type="dxa"/>
          </w:tcPr>
          <w:p w:rsidR="00973707" w:rsidRPr="00661595" w:rsidRDefault="00973707" w:rsidP="003E376A">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RISCHIO OPERATIVO</w:t>
            </w:r>
          </w:p>
          <w:p w:rsidR="00973707" w:rsidRPr="00661595" w:rsidRDefault="00973707" w:rsidP="003E376A">
            <w:pPr>
              <w:suppressAutoHyphens/>
              <w:spacing w:beforeLines="60" w:before="144" w:afterLines="60" w:after="144"/>
              <w:rPr>
                <w:rFonts w:ascii="Times New Roman" w:hAnsi="Times New Roman"/>
                <w:sz w:val="24"/>
              </w:rPr>
            </w:pPr>
            <w:r>
              <w:rPr>
                <w:rFonts w:ascii="Times New Roman" w:hAnsi="Times New Roman"/>
                <w:sz w:val="24"/>
              </w:rPr>
              <w:t>Articolo 105, paragrafo 10, del CRR.</w:t>
            </w:r>
          </w:p>
          <w:p w:rsidR="00973707" w:rsidRPr="00661595" w:rsidRDefault="00973707" w:rsidP="003E376A">
            <w:pPr>
              <w:suppressAutoHyphens/>
              <w:spacing w:beforeLines="60" w:before="144" w:afterLines="60" w:after="144"/>
              <w:rPr>
                <w:rStyle w:val="InstructionsTabelleberschrift"/>
                <w:rFonts w:ascii="Times New Roman" w:hAnsi="Times New Roman"/>
                <w:sz w:val="24"/>
              </w:rPr>
            </w:pPr>
            <w:r>
              <w:rPr>
                <w:rFonts w:ascii="Times New Roman" w:hAnsi="Times New Roman"/>
                <w:sz w:val="24"/>
              </w:rPr>
              <w:t>Gli AVA per i rischi operativi calcolati a norma dell</w:t>
            </w:r>
            <w:r w:rsidR="000878EC">
              <w:rPr>
                <w:rFonts w:ascii="Times New Roman" w:hAnsi="Times New Roman"/>
                <w:sz w:val="24"/>
              </w:rPr>
              <w:t>'</w:t>
            </w:r>
            <w:r>
              <w:rPr>
                <w:rFonts w:ascii="Times New Roman" w:hAnsi="Times New Roman"/>
                <w:sz w:val="24"/>
              </w:rPr>
              <w:t>articolo 17 del regolamento delegato (UE) 2016/101.</w:t>
            </w:r>
          </w:p>
        </w:tc>
      </w:tr>
      <w:tr w:rsidR="00973707" w:rsidRPr="00661595" w:rsidTr="00672D2A">
        <w:tc>
          <w:tcPr>
            <w:tcW w:w="1101" w:type="dxa"/>
            <w:tcBorders>
              <w:bottom w:val="single" w:sz="4" w:space="0" w:color="auto"/>
            </w:tcBorders>
          </w:tcPr>
          <w:p w:rsidR="00973707" w:rsidRPr="00661595" w:rsidRDefault="009A7A38" w:rsidP="003E376A">
            <w:pPr>
              <w:suppressAutoHyphens/>
              <w:spacing w:beforeLines="60" w:before="144" w:afterLines="60" w:after="144"/>
              <w:rPr>
                <w:rFonts w:ascii="Times New Roman" w:hAnsi="Times New Roman"/>
                <w:sz w:val="24"/>
              </w:rPr>
            </w:pPr>
            <w:r>
              <w:rPr>
                <w:rFonts w:ascii="Times New Roman" w:hAnsi="Times New Roman"/>
                <w:sz w:val="24"/>
              </w:rPr>
              <w:t>0110</w:t>
            </w:r>
          </w:p>
        </w:tc>
        <w:tc>
          <w:tcPr>
            <w:tcW w:w="8190" w:type="dxa"/>
            <w:tcBorders>
              <w:bottom w:val="single" w:sz="4" w:space="0" w:color="auto"/>
            </w:tcBorders>
          </w:tcPr>
          <w:p w:rsidR="00973707" w:rsidRPr="00661595" w:rsidRDefault="00973707" w:rsidP="003E376A">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AVA TOTALE </w:t>
            </w:r>
          </w:p>
          <w:p w:rsidR="00973707" w:rsidRPr="00661595" w:rsidRDefault="00973707" w:rsidP="003E376A">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Riga 0010: AVA totale da dedurre dai fondi propri a norma degli articoli 34 e 105 del CRR e indicato conseguentemente alla riga 0290 di C 01.00. 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AVA totale è la somma delle righe 0030 e 0180. </w:t>
            </w:r>
          </w:p>
          <w:p w:rsidR="00973707" w:rsidRPr="00661595" w:rsidRDefault="00973707" w:rsidP="003E376A">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Riga 0020: Quota dell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AVA totale indicata nella riga 0010 derivante da posizioni del portafoglio di negoziazione (valore assoluto). </w:t>
            </w:r>
          </w:p>
          <w:p w:rsidR="00973707" w:rsidRPr="00661595" w:rsidRDefault="00973707" w:rsidP="003E376A">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Righe da 0030 a 0160: Somma delle colonne 0010, 0030, 0050 e da 0070 a 0100. </w:t>
            </w:r>
          </w:p>
          <w:p w:rsidR="00973707" w:rsidRPr="00661595" w:rsidRDefault="00973707" w:rsidP="003E376A">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Righe da 0180 a 0210: AVA totale derivante dai portafogli secondo 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approccio alternativo. </w:t>
            </w:r>
          </w:p>
        </w:tc>
      </w:tr>
      <w:tr w:rsidR="00973707" w:rsidRPr="00661595" w:rsidTr="00672D2A">
        <w:tc>
          <w:tcPr>
            <w:tcW w:w="1101" w:type="dxa"/>
            <w:tcBorders>
              <w:bottom w:val="single" w:sz="4" w:space="0" w:color="auto"/>
            </w:tcBorders>
          </w:tcPr>
          <w:p w:rsidR="00973707" w:rsidRPr="00661595" w:rsidRDefault="009A7A38" w:rsidP="003E376A">
            <w:pPr>
              <w:keepNext/>
              <w:keepLines/>
              <w:suppressAutoHyphens/>
              <w:spacing w:beforeLines="60" w:before="144" w:afterLines="60" w:after="144"/>
              <w:rPr>
                <w:rFonts w:ascii="Times New Roman" w:hAnsi="Times New Roman"/>
                <w:sz w:val="24"/>
              </w:rPr>
            </w:pPr>
            <w:r>
              <w:rPr>
                <w:rFonts w:ascii="Times New Roman" w:hAnsi="Times New Roman"/>
                <w:sz w:val="24"/>
              </w:rPr>
              <w:t>0120</w:t>
            </w:r>
          </w:p>
        </w:tc>
        <w:tc>
          <w:tcPr>
            <w:tcW w:w="8190" w:type="dxa"/>
            <w:tcBorders>
              <w:bottom w:val="single" w:sz="4" w:space="0" w:color="auto"/>
            </w:tcBorders>
          </w:tcPr>
          <w:p w:rsidR="00973707" w:rsidRPr="00661595" w:rsidRDefault="00973707" w:rsidP="003E376A">
            <w:pPr>
              <w:keepNext/>
              <w:keepLines/>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 xml:space="preserve">INCERTEZZA </w:t>
            </w:r>
            <w:r w:rsidR="000878EC">
              <w:rPr>
                <w:rStyle w:val="InstructionsTabelleberschrift"/>
                <w:rFonts w:ascii="Times New Roman" w:hAnsi="Times New Roman"/>
                <w:sz w:val="24"/>
              </w:rPr>
              <w:t>"</w:t>
            </w:r>
            <w:r>
              <w:rPr>
                <w:rStyle w:val="InstructionsTabelleberschrift"/>
                <w:rFonts w:ascii="Times New Roman" w:hAnsi="Times New Roman"/>
                <w:sz w:val="24"/>
              </w:rPr>
              <w:t>UPSIDE</w:t>
            </w:r>
            <w:r w:rsidR="000878EC">
              <w:rPr>
                <w:rStyle w:val="InstructionsTabelleberschrift"/>
                <w:rFonts w:ascii="Times New Roman" w:hAnsi="Times New Roman"/>
                <w:sz w:val="24"/>
              </w:rPr>
              <w:t>"</w:t>
            </w:r>
          </w:p>
          <w:p w:rsidR="00973707" w:rsidRPr="00661595" w:rsidRDefault="00973707" w:rsidP="003E376A">
            <w:pPr>
              <w:keepNext/>
              <w:keepLines/>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8, paragrafo 2, del</w:t>
            </w:r>
            <w:r>
              <w:rPr>
                <w:rFonts w:ascii="Times New Roman" w:hAnsi="Times New Roman"/>
                <w:sz w:val="24"/>
              </w:rPr>
              <w:t xml:space="preserve"> regolamento delegato (UE) 2016/101.</w:t>
            </w:r>
          </w:p>
          <w:p w:rsidR="00973707" w:rsidRPr="00661595" w:rsidRDefault="00973707" w:rsidP="003E376A">
            <w:pPr>
              <w:keepNext/>
              <w:keepLines/>
              <w:suppressAutoHyphens/>
              <w:spacing w:beforeLines="60" w:before="144" w:afterLines="60" w:after="144"/>
              <w:rPr>
                <w:rFonts w:ascii="Times New Roman" w:hAnsi="Times New Roman"/>
                <w:sz w:val="24"/>
              </w:rPr>
            </w:pPr>
            <w:r>
              <w:rPr>
                <w:rFonts w:ascii="Times New Roman" w:hAnsi="Times New Roman"/>
                <w:sz w:val="24"/>
              </w:rPr>
              <w:t>L</w:t>
            </w:r>
            <w:r w:rsidR="000878EC">
              <w:rPr>
                <w:rFonts w:ascii="Times New Roman" w:hAnsi="Times New Roman"/>
                <w:sz w:val="24"/>
              </w:rPr>
              <w:t>'</w:t>
            </w:r>
            <w:r>
              <w:rPr>
                <w:rFonts w:ascii="Times New Roman" w:hAnsi="Times New Roman"/>
                <w:sz w:val="24"/>
              </w:rPr>
              <w:t xml:space="preserve">incertezza </w:t>
            </w:r>
            <w:r w:rsidR="000878EC">
              <w:rPr>
                <w:rFonts w:ascii="Times New Roman" w:hAnsi="Times New Roman"/>
                <w:sz w:val="24"/>
              </w:rPr>
              <w:t>"</w:t>
            </w:r>
            <w:r>
              <w:rPr>
                <w:rFonts w:ascii="Times New Roman" w:hAnsi="Times New Roman"/>
                <w:sz w:val="24"/>
              </w:rPr>
              <w:t>upside</w:t>
            </w:r>
            <w:r w:rsidR="000878EC">
              <w:rPr>
                <w:rFonts w:ascii="Times New Roman" w:hAnsi="Times New Roman"/>
                <w:sz w:val="24"/>
              </w:rPr>
              <w:t>"</w:t>
            </w:r>
            <w:r>
              <w:rPr>
                <w:rFonts w:ascii="Times New Roman" w:hAnsi="Times New Roman"/>
                <w:sz w:val="24"/>
              </w:rPr>
              <w:t xml:space="preserve"> è calcolata e aggregata sulla stessa base dell</w:t>
            </w:r>
            <w:r w:rsidR="000878EC">
              <w:rPr>
                <w:rFonts w:ascii="Times New Roman" w:hAnsi="Times New Roman"/>
                <w:sz w:val="24"/>
              </w:rPr>
              <w:t>'</w:t>
            </w:r>
            <w:r>
              <w:rPr>
                <w:rFonts w:ascii="Times New Roman" w:hAnsi="Times New Roman"/>
                <w:sz w:val="24"/>
              </w:rPr>
              <w:t>AVA totale di cui alla colonna 0110, ma utilizzando un livello di certezza del 10 % al posto del 90 % impiegato per determinare l</w:t>
            </w:r>
            <w:r w:rsidR="000878EC">
              <w:rPr>
                <w:rFonts w:ascii="Times New Roman" w:hAnsi="Times New Roman"/>
                <w:sz w:val="24"/>
              </w:rPr>
              <w:t>'</w:t>
            </w:r>
            <w:r>
              <w:rPr>
                <w:rFonts w:ascii="Times New Roman" w:hAnsi="Times New Roman"/>
                <w:sz w:val="24"/>
              </w:rPr>
              <w:t>AVA totale.</w:t>
            </w:r>
          </w:p>
        </w:tc>
      </w:tr>
      <w:tr w:rsidR="00973707" w:rsidRPr="00661595" w:rsidTr="00672D2A">
        <w:tc>
          <w:tcPr>
            <w:tcW w:w="1101" w:type="dxa"/>
          </w:tcPr>
          <w:p w:rsidR="00973707" w:rsidRPr="00661595" w:rsidRDefault="009A7A38" w:rsidP="003E376A">
            <w:pPr>
              <w:suppressAutoHyphens/>
              <w:spacing w:beforeLines="60" w:before="144" w:afterLines="60" w:after="144"/>
              <w:rPr>
                <w:rFonts w:ascii="Times New Roman" w:hAnsi="Times New Roman"/>
                <w:sz w:val="24"/>
              </w:rPr>
            </w:pPr>
            <w:r>
              <w:rPr>
                <w:rFonts w:ascii="Times New Roman" w:hAnsi="Times New Roman"/>
                <w:sz w:val="24"/>
              </w:rPr>
              <w:t>0130 -0140</w:t>
            </w:r>
          </w:p>
        </w:tc>
        <w:tc>
          <w:tcPr>
            <w:tcW w:w="8190" w:type="dxa"/>
          </w:tcPr>
          <w:p w:rsidR="00973707" w:rsidRPr="00661595" w:rsidRDefault="00973707" w:rsidP="003E376A">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ATTIVITÀ E PASSIVITÀ VALUTATE AL FAIR VALUE (VALORE EQUO)</w:t>
            </w:r>
          </w:p>
          <w:p w:rsidR="00973707" w:rsidRPr="00661595" w:rsidRDefault="00973707" w:rsidP="003E376A">
            <w:pPr>
              <w:suppressAutoHyphens/>
              <w:spacing w:beforeLines="60" w:before="144" w:afterLines="60" w:after="144"/>
              <w:rPr>
                <w:rFonts w:ascii="Times New Roman" w:hAnsi="Times New Roman"/>
                <w:sz w:val="24"/>
              </w:rPr>
            </w:pPr>
            <w:r>
              <w:rPr>
                <w:rFonts w:ascii="Times New Roman" w:hAnsi="Times New Roman"/>
                <w:sz w:val="24"/>
              </w:rPr>
              <w:t xml:space="preserve">Il valore assoluto delle attività e delle passività valutate al fair value (valore equo) corrispondenti agli importi degli AVA indicati nelle righe da 0010 a 0130 e nella riga 0180. Per alcune righe, in particolare le righe da 0090 a 0130, tali importi potrebbero dover essere approssimati o assegnati sulla base della valutazione di esperti. </w:t>
            </w:r>
          </w:p>
          <w:p w:rsidR="001771A4" w:rsidRPr="00661595" w:rsidRDefault="00973707" w:rsidP="003E376A">
            <w:pPr>
              <w:suppressAutoHyphens/>
              <w:spacing w:beforeLines="60" w:before="144" w:afterLines="60" w:after="144"/>
              <w:jc w:val="left"/>
              <w:rPr>
                <w:rFonts w:ascii="Times New Roman" w:hAnsi="Times New Roman"/>
                <w:sz w:val="24"/>
              </w:rPr>
            </w:pPr>
            <w:r>
              <w:rPr>
                <w:rFonts w:ascii="Times New Roman" w:hAnsi="Times New Roman"/>
                <w:sz w:val="24"/>
              </w:rPr>
              <w:t>Riga 0010: il valore assoluto totale delle attività e delle passività valutate al fair value (valore equo) incluse ai fini del computo della soglia a norma dell</w:t>
            </w:r>
            <w:r w:rsidR="000878EC">
              <w:rPr>
                <w:rFonts w:ascii="Times New Roman" w:hAnsi="Times New Roman"/>
                <w:sz w:val="24"/>
              </w:rPr>
              <w:t>'</w:t>
            </w:r>
            <w:r>
              <w:rPr>
                <w:rFonts w:ascii="Times New Roman" w:hAnsi="Times New Roman"/>
                <w:sz w:val="24"/>
              </w:rPr>
              <w:t>articolo 4, paragrafo 1, del regolamento delegato (UE) 2016/101. Esso include il valore assoluto delle attività e delle passività valutate al fair value (valore equo) per le quali gli AVA hanno valore zero a norma dell</w:t>
            </w:r>
            <w:r w:rsidR="000878EC">
              <w:rPr>
                <w:rFonts w:ascii="Times New Roman" w:hAnsi="Times New Roman"/>
                <w:sz w:val="24"/>
              </w:rPr>
              <w:t>'</w:t>
            </w:r>
            <w:r>
              <w:rPr>
                <w:rFonts w:ascii="Times New Roman" w:hAnsi="Times New Roman"/>
                <w:sz w:val="24"/>
              </w:rPr>
              <w:t>articolo 9, paragrafo 2, o dell</w:t>
            </w:r>
            <w:r w:rsidR="000878EC">
              <w:rPr>
                <w:rFonts w:ascii="Times New Roman" w:hAnsi="Times New Roman"/>
                <w:sz w:val="24"/>
              </w:rPr>
              <w:t>'</w:t>
            </w:r>
            <w:r>
              <w:rPr>
                <w:rFonts w:ascii="Times New Roman" w:hAnsi="Times New Roman"/>
                <w:sz w:val="24"/>
              </w:rPr>
              <w:t xml:space="preserve">articolo 10, paragrafo 2 o 3, del regolamento delegato (UE) 2016/101, che sono altresì indicate separatamente nelle righe 0070 e 0080. </w:t>
            </w:r>
          </w:p>
          <w:p w:rsidR="00973707" w:rsidRPr="00661595" w:rsidRDefault="00973707" w:rsidP="003E376A">
            <w:pPr>
              <w:suppressAutoHyphens/>
              <w:spacing w:beforeLines="60" w:before="144" w:afterLines="60" w:after="144"/>
              <w:jc w:val="left"/>
              <w:rPr>
                <w:rFonts w:ascii="Times New Roman" w:hAnsi="Times New Roman"/>
                <w:sz w:val="24"/>
              </w:rPr>
            </w:pPr>
            <w:r>
              <w:rPr>
                <w:rFonts w:ascii="Times New Roman" w:hAnsi="Times New Roman"/>
                <w:sz w:val="24"/>
              </w:rPr>
              <w:t xml:space="preserve">La riga 0010 è la somma delle righe 0030 e 0180. </w:t>
            </w:r>
          </w:p>
          <w:p w:rsidR="00973707" w:rsidRPr="00661595" w:rsidRDefault="00973707" w:rsidP="003E376A">
            <w:pPr>
              <w:suppressAutoHyphens/>
              <w:spacing w:beforeLines="60" w:before="144" w:afterLines="60" w:after="144"/>
              <w:rPr>
                <w:rFonts w:ascii="Times New Roman" w:hAnsi="Times New Roman"/>
                <w:sz w:val="24"/>
              </w:rPr>
            </w:pPr>
            <w:r>
              <w:rPr>
                <w:rFonts w:ascii="Times New Roman" w:hAnsi="Times New Roman"/>
                <w:sz w:val="24"/>
              </w:rPr>
              <w:t xml:space="preserve">Riga 0020: quota del valore assoluto totale delle attività e delle passività valutate al fair value (valore equo) indicate nella riga 0010 derivante da posizioni del portafoglio di negoziazione (valore assoluto). </w:t>
            </w:r>
          </w:p>
          <w:p w:rsidR="00973707" w:rsidRPr="00661595" w:rsidRDefault="00973707" w:rsidP="003E376A">
            <w:pPr>
              <w:suppressAutoHyphens/>
              <w:spacing w:beforeLines="60" w:before="144" w:afterLines="60" w:after="144"/>
              <w:rPr>
                <w:rFonts w:ascii="Times New Roman" w:hAnsi="Times New Roman"/>
                <w:sz w:val="24"/>
              </w:rPr>
            </w:pPr>
            <w:r>
              <w:rPr>
                <w:rFonts w:ascii="Times New Roman" w:hAnsi="Times New Roman"/>
                <w:sz w:val="24"/>
              </w:rPr>
              <w:t>Riga 0030: il valore assoluto delle attività e delle passività valutate al fair value (valore equo) corrispondenti ai portafogli a norma degli articoli da 9 a 17 del regolamento delegato (UE) 2016/101. Esso include il valore assoluto delle attività e delle passività valutate al fair value (valore equo) per le quali gli AVA hanno valore zero a norma dell</w:t>
            </w:r>
            <w:r w:rsidR="000878EC">
              <w:rPr>
                <w:rFonts w:ascii="Times New Roman" w:hAnsi="Times New Roman"/>
                <w:sz w:val="24"/>
              </w:rPr>
              <w:t>'</w:t>
            </w:r>
            <w:r>
              <w:rPr>
                <w:rFonts w:ascii="Times New Roman" w:hAnsi="Times New Roman"/>
                <w:sz w:val="24"/>
              </w:rPr>
              <w:t>articolo 9, paragrafo 2, o dell</w:t>
            </w:r>
            <w:r w:rsidR="000878EC">
              <w:rPr>
                <w:rFonts w:ascii="Times New Roman" w:hAnsi="Times New Roman"/>
                <w:sz w:val="24"/>
              </w:rPr>
              <w:t>'</w:t>
            </w:r>
            <w:r>
              <w:rPr>
                <w:rFonts w:ascii="Times New Roman" w:hAnsi="Times New Roman"/>
                <w:sz w:val="24"/>
              </w:rPr>
              <w:t>articolo 10, paragrafo 2 o 3, del regolamento delegato (UE) 2016/101, che sono altresì indicate separatamente nelle righe 0070 e 0080. La riga 0030 è la somma delle righe da 0090 a 0130.</w:t>
            </w:r>
          </w:p>
          <w:p w:rsidR="00973707" w:rsidRPr="00661595" w:rsidRDefault="00973707" w:rsidP="003E376A">
            <w:pPr>
              <w:suppressAutoHyphens/>
              <w:spacing w:beforeLines="60" w:before="144" w:afterLines="60" w:after="144"/>
              <w:rPr>
                <w:rFonts w:ascii="Times New Roman" w:hAnsi="Times New Roman"/>
                <w:sz w:val="24"/>
              </w:rPr>
            </w:pPr>
            <w:r>
              <w:rPr>
                <w:rFonts w:ascii="Times New Roman" w:hAnsi="Times New Roman"/>
                <w:sz w:val="24"/>
              </w:rPr>
              <w:t>Riga 0050: il valore assoluto delle attività e delle passività valutate al fair value (valore equo) incluse ai fini del computo dell</w:t>
            </w:r>
            <w:r w:rsidR="000878EC">
              <w:rPr>
                <w:rFonts w:ascii="Times New Roman" w:hAnsi="Times New Roman"/>
                <w:sz w:val="24"/>
              </w:rPr>
              <w:t>'</w:t>
            </w:r>
            <w:r>
              <w:rPr>
                <w:rFonts w:ascii="Times New Roman" w:hAnsi="Times New Roman"/>
                <w:sz w:val="24"/>
              </w:rPr>
              <w:t>AVA per i differenziali creditizi non realizzati. Ai fini del computo di questo AVA, le attività e le passività valutate al fair value (valore equo) di segno opposto perfettamente corrispondenti, escluse dal computo della soglia a norma dell</w:t>
            </w:r>
            <w:r w:rsidR="000878EC">
              <w:rPr>
                <w:rFonts w:ascii="Times New Roman" w:hAnsi="Times New Roman"/>
                <w:sz w:val="24"/>
              </w:rPr>
              <w:t>'</w:t>
            </w:r>
            <w:r>
              <w:rPr>
                <w:rFonts w:ascii="Times New Roman" w:hAnsi="Times New Roman"/>
                <w:sz w:val="24"/>
              </w:rPr>
              <w:t xml:space="preserve">articolo 4, paragrafo 2, del regolamento delegato (UE) 2016/101, non possono più essere considerate di segno opposto perfettamente corrispondenti. </w:t>
            </w:r>
          </w:p>
          <w:p w:rsidR="00973707" w:rsidRPr="00661595" w:rsidRDefault="00973707" w:rsidP="003E376A">
            <w:pPr>
              <w:suppressAutoHyphens/>
              <w:spacing w:beforeLines="60" w:before="144" w:afterLines="60" w:after="144"/>
              <w:rPr>
                <w:rFonts w:ascii="Times New Roman" w:hAnsi="Times New Roman"/>
                <w:sz w:val="24"/>
              </w:rPr>
            </w:pPr>
            <w:r>
              <w:rPr>
                <w:rFonts w:ascii="Times New Roman" w:hAnsi="Times New Roman"/>
                <w:sz w:val="24"/>
              </w:rPr>
              <w:t>Riga 0060: il valore assoluto delle attività e delle passività valutate al fair value (valore equo) incluse ai fini del computo dell</w:t>
            </w:r>
            <w:r w:rsidR="000878EC">
              <w:rPr>
                <w:rFonts w:ascii="Times New Roman" w:hAnsi="Times New Roman"/>
                <w:sz w:val="24"/>
              </w:rPr>
              <w:t>'</w:t>
            </w:r>
            <w:r>
              <w:rPr>
                <w:rFonts w:ascii="Times New Roman" w:hAnsi="Times New Roman"/>
                <w:sz w:val="24"/>
              </w:rPr>
              <w:t>AVA per i costi di investimento e di finanziamento (funding). Ai fini del computo di questo AVA, le attività e le passività valutate al fair value (valore equo) di segno opposto perfettamente corrispondenti, escluse dal computo della soglia a norma dell</w:t>
            </w:r>
            <w:r w:rsidR="000878EC">
              <w:rPr>
                <w:rFonts w:ascii="Times New Roman" w:hAnsi="Times New Roman"/>
                <w:sz w:val="24"/>
              </w:rPr>
              <w:t>'</w:t>
            </w:r>
            <w:r>
              <w:rPr>
                <w:rFonts w:ascii="Times New Roman" w:hAnsi="Times New Roman"/>
                <w:sz w:val="24"/>
              </w:rPr>
              <w:t>articolo 4, paragrafo</w:t>
            </w:r>
            <w:r w:rsidR="003E376A">
              <w:rPr>
                <w:rFonts w:ascii="Times New Roman" w:hAnsi="Times New Roman"/>
                <w:sz w:val="24"/>
              </w:rPr>
              <w:t> </w:t>
            </w:r>
            <w:r>
              <w:rPr>
                <w:rFonts w:ascii="Times New Roman" w:hAnsi="Times New Roman"/>
                <w:sz w:val="24"/>
              </w:rPr>
              <w:t xml:space="preserve">2, del regolamento delegato (UE) 2016/101, non possono più essere considerate di segno opposto perfettamente corrispondenti. </w:t>
            </w:r>
          </w:p>
          <w:p w:rsidR="00973707" w:rsidRPr="00661595" w:rsidRDefault="00973707" w:rsidP="003E376A">
            <w:pPr>
              <w:suppressAutoHyphens/>
              <w:spacing w:beforeLines="60" w:before="144" w:afterLines="60" w:after="144"/>
              <w:rPr>
                <w:rFonts w:ascii="Times New Roman" w:hAnsi="Times New Roman"/>
                <w:sz w:val="24"/>
              </w:rPr>
            </w:pPr>
            <w:r>
              <w:rPr>
                <w:rFonts w:ascii="Times New Roman" w:hAnsi="Times New Roman"/>
                <w:sz w:val="24"/>
              </w:rPr>
              <w:t>Riga 0070: il valore assoluto delle attività e delle passività valutate al fair value (valore equo) corrispondenti alle esposizioni oggetto di valutazione per le quali l</w:t>
            </w:r>
            <w:r w:rsidR="000878EC">
              <w:rPr>
                <w:rFonts w:ascii="Times New Roman" w:hAnsi="Times New Roman"/>
                <w:sz w:val="24"/>
              </w:rPr>
              <w:t>'</w:t>
            </w:r>
            <w:r>
              <w:rPr>
                <w:rFonts w:ascii="Times New Roman" w:hAnsi="Times New Roman"/>
                <w:sz w:val="24"/>
              </w:rPr>
              <w:t>AVA ha valore zero a norma dell</w:t>
            </w:r>
            <w:r w:rsidR="000878EC">
              <w:rPr>
                <w:rFonts w:ascii="Times New Roman" w:hAnsi="Times New Roman"/>
                <w:sz w:val="24"/>
              </w:rPr>
              <w:t>'</w:t>
            </w:r>
            <w:r>
              <w:rPr>
                <w:rFonts w:ascii="Times New Roman" w:hAnsi="Times New Roman"/>
                <w:sz w:val="24"/>
              </w:rPr>
              <w:t xml:space="preserve">articolo 9, paragrafo 2, del regolamento delegato (UE) 2016/101. </w:t>
            </w:r>
          </w:p>
          <w:p w:rsidR="00973707" w:rsidRPr="00661595" w:rsidRDefault="00973707" w:rsidP="003E376A">
            <w:pPr>
              <w:suppressAutoHyphens/>
              <w:spacing w:beforeLines="60" w:before="144" w:afterLines="60" w:after="144"/>
              <w:rPr>
                <w:rFonts w:ascii="Times New Roman" w:hAnsi="Times New Roman"/>
                <w:sz w:val="24"/>
              </w:rPr>
            </w:pPr>
            <w:r>
              <w:rPr>
                <w:rFonts w:ascii="Times New Roman" w:hAnsi="Times New Roman"/>
                <w:sz w:val="24"/>
              </w:rPr>
              <w:t>Riga 0080: il valore assoluto delle attività e delle passività valutate al fair value (valore equo) corrispondenti alle esposizioni oggetto di valutazione per le quali l</w:t>
            </w:r>
            <w:r w:rsidR="000878EC">
              <w:rPr>
                <w:rFonts w:ascii="Times New Roman" w:hAnsi="Times New Roman"/>
                <w:sz w:val="24"/>
              </w:rPr>
              <w:t>'</w:t>
            </w:r>
            <w:r>
              <w:rPr>
                <w:rFonts w:ascii="Times New Roman" w:hAnsi="Times New Roman"/>
                <w:sz w:val="24"/>
              </w:rPr>
              <w:t>AVA ha valore zero a norma dell</w:t>
            </w:r>
            <w:r w:rsidR="000878EC">
              <w:rPr>
                <w:rFonts w:ascii="Times New Roman" w:hAnsi="Times New Roman"/>
                <w:sz w:val="24"/>
              </w:rPr>
              <w:t>'</w:t>
            </w:r>
            <w:r>
              <w:rPr>
                <w:rFonts w:ascii="Times New Roman" w:hAnsi="Times New Roman"/>
                <w:sz w:val="24"/>
              </w:rPr>
              <w:t xml:space="preserve">articolo 10, paragrafi 2 e 3, del regolamento delegato (UE) 2016/101. </w:t>
            </w:r>
          </w:p>
          <w:p w:rsidR="00973707" w:rsidRPr="00661595" w:rsidRDefault="00973707" w:rsidP="003E376A">
            <w:pPr>
              <w:suppressAutoHyphens/>
              <w:spacing w:beforeLines="60" w:before="144" w:afterLines="60" w:after="144"/>
              <w:rPr>
                <w:rFonts w:ascii="Times New Roman" w:hAnsi="Times New Roman"/>
                <w:sz w:val="24"/>
              </w:rPr>
            </w:pPr>
            <w:r>
              <w:rPr>
                <w:rFonts w:ascii="Times New Roman" w:hAnsi="Times New Roman"/>
                <w:sz w:val="24"/>
              </w:rPr>
              <w:t>Righe da 0090 a 0130: il valore assoluto delle attività e delle passività valutate al fair value (valore equo) assegnato come indicato sotto (cfr. le istruzioni delle righe corrispondenti) in base alle seguenti categorie di rischio: tassi di interesse, cambio, credito, strumenti di capitale e merci. Esso include il valore assoluto delle attività e delle passività valutate al fair value (valore equo) per le quali gli AVA hanno valore zero a norma dell</w:t>
            </w:r>
            <w:r w:rsidR="000878EC">
              <w:rPr>
                <w:rFonts w:ascii="Times New Roman" w:hAnsi="Times New Roman"/>
                <w:sz w:val="24"/>
              </w:rPr>
              <w:t>'</w:t>
            </w:r>
            <w:r>
              <w:rPr>
                <w:rFonts w:ascii="Times New Roman" w:hAnsi="Times New Roman"/>
                <w:sz w:val="24"/>
              </w:rPr>
              <w:t>articolo 9, paragrafo 2, o dell</w:t>
            </w:r>
            <w:r w:rsidR="000878EC">
              <w:rPr>
                <w:rFonts w:ascii="Times New Roman" w:hAnsi="Times New Roman"/>
                <w:sz w:val="24"/>
              </w:rPr>
              <w:t>'</w:t>
            </w:r>
            <w:r>
              <w:rPr>
                <w:rFonts w:ascii="Times New Roman" w:hAnsi="Times New Roman"/>
                <w:sz w:val="24"/>
              </w:rPr>
              <w:t>articolo 10, paragrafo 2 o 3, del regolamento delegato (UE) 2016/101, che sono altresì indicate separatamente nelle righe 0070 e 0080.</w:t>
            </w:r>
          </w:p>
          <w:p w:rsidR="00973707" w:rsidRPr="00661595" w:rsidRDefault="00973707" w:rsidP="003E376A">
            <w:pPr>
              <w:suppressAutoHyphens/>
              <w:spacing w:beforeLines="60" w:before="144" w:afterLines="60" w:after="144"/>
              <w:rPr>
                <w:rFonts w:ascii="Times New Roman" w:hAnsi="Times New Roman"/>
                <w:sz w:val="24"/>
              </w:rPr>
            </w:pPr>
            <w:r>
              <w:rPr>
                <w:rFonts w:ascii="Times New Roman" w:hAnsi="Times New Roman"/>
                <w:sz w:val="24"/>
              </w:rPr>
              <w:t>Riga 0180: il valore assoluto delle attività e delle passività valutate al fair value (valore equo) corrispondenti ai portafogli secondo l</w:t>
            </w:r>
            <w:r w:rsidR="000878EC">
              <w:rPr>
                <w:rFonts w:ascii="Times New Roman" w:hAnsi="Times New Roman"/>
                <w:sz w:val="24"/>
              </w:rPr>
              <w:t>'</w:t>
            </w:r>
            <w:r>
              <w:rPr>
                <w:rFonts w:ascii="Times New Roman" w:hAnsi="Times New Roman"/>
                <w:sz w:val="24"/>
              </w:rPr>
              <w:t xml:space="preserve">approccio alternativo </w:t>
            </w:r>
          </w:p>
        </w:tc>
      </w:tr>
      <w:tr w:rsidR="00973707" w:rsidRPr="00661595" w:rsidTr="00672D2A">
        <w:tc>
          <w:tcPr>
            <w:tcW w:w="1101" w:type="dxa"/>
          </w:tcPr>
          <w:p w:rsidR="00973707" w:rsidRPr="00661595" w:rsidRDefault="009A7A38" w:rsidP="003E376A">
            <w:pPr>
              <w:suppressAutoHyphens/>
              <w:spacing w:beforeLines="60" w:before="144" w:afterLines="60" w:after="144"/>
              <w:rPr>
                <w:rFonts w:ascii="Times New Roman" w:hAnsi="Times New Roman"/>
                <w:sz w:val="24"/>
              </w:rPr>
            </w:pPr>
            <w:r>
              <w:rPr>
                <w:rFonts w:ascii="Times New Roman" w:hAnsi="Times New Roman"/>
                <w:sz w:val="24"/>
              </w:rPr>
              <w:t>0130</w:t>
            </w:r>
          </w:p>
        </w:tc>
        <w:tc>
          <w:tcPr>
            <w:tcW w:w="8190" w:type="dxa"/>
          </w:tcPr>
          <w:p w:rsidR="00973707" w:rsidRPr="00661595" w:rsidRDefault="00973707" w:rsidP="003E376A">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ATTIVITÀ VALUTATE AL FAIR VALUE (VALORE EQUO)</w:t>
            </w:r>
          </w:p>
          <w:p w:rsidR="00973707" w:rsidRPr="00661595" w:rsidRDefault="00973707" w:rsidP="003E376A">
            <w:pPr>
              <w:suppressAutoHyphens/>
              <w:spacing w:beforeLines="60" w:before="144" w:afterLines="60" w:after="144"/>
              <w:rPr>
                <w:rStyle w:val="InstructionsTabelleberschrift"/>
                <w:rFonts w:ascii="Times New Roman" w:hAnsi="Times New Roman"/>
                <w:sz w:val="24"/>
                <w:u w:val="none"/>
              </w:rPr>
            </w:pPr>
            <w:r>
              <w:rPr>
                <w:rFonts w:ascii="Times New Roman" w:hAnsi="Times New Roman"/>
                <w:sz w:val="24"/>
              </w:rPr>
              <w:t>Il valore assoluto delle attività valutate al fair value (valore equo) corrispondenti alle diverse righe come spiegato nelle istruzioni relative alle colonne da 0130 a 0140 di cui sopra.</w:t>
            </w:r>
          </w:p>
        </w:tc>
      </w:tr>
      <w:tr w:rsidR="00973707" w:rsidRPr="00661595" w:rsidTr="00672D2A">
        <w:tc>
          <w:tcPr>
            <w:tcW w:w="1101" w:type="dxa"/>
          </w:tcPr>
          <w:p w:rsidR="00973707" w:rsidRPr="00661595" w:rsidRDefault="009A7A38" w:rsidP="003E376A">
            <w:pPr>
              <w:suppressAutoHyphens/>
              <w:spacing w:beforeLines="60" w:before="144" w:afterLines="60" w:after="144"/>
              <w:rPr>
                <w:rFonts w:ascii="Times New Roman" w:hAnsi="Times New Roman"/>
                <w:sz w:val="24"/>
              </w:rPr>
            </w:pPr>
            <w:r>
              <w:rPr>
                <w:rFonts w:ascii="Times New Roman" w:hAnsi="Times New Roman"/>
                <w:sz w:val="24"/>
              </w:rPr>
              <w:t>0140</w:t>
            </w:r>
          </w:p>
        </w:tc>
        <w:tc>
          <w:tcPr>
            <w:tcW w:w="8190" w:type="dxa"/>
          </w:tcPr>
          <w:p w:rsidR="00973707" w:rsidRPr="00661595" w:rsidRDefault="00973707" w:rsidP="003E376A">
            <w:pPr>
              <w:tabs>
                <w:tab w:val="center" w:pos="3894"/>
              </w:tabs>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PASSIVITÀ VALUTATE AL FAIR VALUE (VALORE EQUO)</w:t>
            </w:r>
          </w:p>
          <w:p w:rsidR="00973707" w:rsidRPr="00661595" w:rsidRDefault="00973707" w:rsidP="003E376A">
            <w:pPr>
              <w:suppressAutoHyphens/>
              <w:spacing w:beforeLines="60" w:before="144" w:afterLines="60" w:after="144"/>
              <w:rPr>
                <w:rStyle w:val="InstructionsTabelleberschrift"/>
                <w:rFonts w:ascii="Times New Roman" w:hAnsi="Times New Roman"/>
                <w:sz w:val="24"/>
              </w:rPr>
            </w:pPr>
            <w:r>
              <w:rPr>
                <w:rFonts w:ascii="Times New Roman" w:hAnsi="Times New Roman"/>
                <w:sz w:val="24"/>
              </w:rPr>
              <w:t>Il valore assoluto delle passività valutate al fair value (valore equo) corrispondenti alle diverse righe come spiegato nelle istruzioni relative alle colonne da 0130 a 0140 di cui sopra.</w:t>
            </w:r>
          </w:p>
        </w:tc>
      </w:tr>
      <w:tr w:rsidR="00973707" w:rsidRPr="00661595" w:rsidTr="00672D2A">
        <w:tc>
          <w:tcPr>
            <w:tcW w:w="1101" w:type="dxa"/>
          </w:tcPr>
          <w:p w:rsidR="00973707" w:rsidRPr="00661595" w:rsidRDefault="009A7A38" w:rsidP="003E376A">
            <w:pPr>
              <w:suppressAutoHyphens/>
              <w:spacing w:beforeLines="60" w:before="144" w:afterLines="60" w:after="144"/>
              <w:rPr>
                <w:rFonts w:ascii="Times New Roman" w:hAnsi="Times New Roman"/>
                <w:sz w:val="24"/>
              </w:rPr>
            </w:pPr>
            <w:r>
              <w:rPr>
                <w:rFonts w:ascii="Times New Roman" w:hAnsi="Times New Roman"/>
                <w:sz w:val="24"/>
              </w:rPr>
              <w:t>0150</w:t>
            </w:r>
          </w:p>
        </w:tc>
        <w:tc>
          <w:tcPr>
            <w:tcW w:w="8190" w:type="dxa"/>
          </w:tcPr>
          <w:p w:rsidR="00973707" w:rsidRPr="00661595" w:rsidRDefault="00973707" w:rsidP="003E376A">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RICAVI QTD</w:t>
            </w:r>
          </w:p>
          <w:p w:rsidR="00973707" w:rsidRPr="00661595" w:rsidRDefault="00973707" w:rsidP="003E376A">
            <w:pPr>
              <w:suppressAutoHyphens/>
              <w:spacing w:beforeLines="60" w:before="144" w:afterLines="60" w:after="144"/>
              <w:rPr>
                <w:rFonts w:ascii="Times New Roman" w:hAnsi="Times New Roman"/>
                <w:sz w:val="24"/>
              </w:rPr>
            </w:pPr>
            <w:r>
              <w:rPr>
                <w:rFonts w:ascii="Times New Roman" w:hAnsi="Times New Roman"/>
                <w:sz w:val="24"/>
              </w:rPr>
              <w:t>I ricavi quarter-to-date (ricavi QTD) dall</w:t>
            </w:r>
            <w:r w:rsidR="000878EC">
              <w:rPr>
                <w:rFonts w:ascii="Times New Roman" w:hAnsi="Times New Roman"/>
                <w:sz w:val="24"/>
              </w:rPr>
              <w:t>'</w:t>
            </w:r>
            <w:r>
              <w:rPr>
                <w:rFonts w:ascii="Times New Roman" w:hAnsi="Times New Roman"/>
                <w:sz w:val="24"/>
              </w:rPr>
              <w:t>ultima data di riferimento per le segnalazioni attribuiti alle attività e alle passività valutate al fair value (valore equo) corrispondenti alle diverse righe come spiegato nelle istruzioni relative alle colonne da 0130 a 0140 di cui sopra, ove pertinente assegnati o approssimati sulla base della valutazione di esperti.</w:t>
            </w:r>
          </w:p>
        </w:tc>
      </w:tr>
      <w:tr w:rsidR="00973707" w:rsidRPr="00661595" w:rsidTr="00672D2A">
        <w:tc>
          <w:tcPr>
            <w:tcW w:w="1101" w:type="dxa"/>
          </w:tcPr>
          <w:p w:rsidR="00973707" w:rsidRPr="00661595" w:rsidRDefault="009A7A38" w:rsidP="003E376A">
            <w:pPr>
              <w:suppressAutoHyphens/>
              <w:spacing w:beforeLines="60" w:before="144" w:afterLines="60" w:after="144"/>
              <w:rPr>
                <w:rFonts w:ascii="Times New Roman" w:hAnsi="Times New Roman"/>
                <w:sz w:val="24"/>
              </w:rPr>
            </w:pPr>
            <w:r>
              <w:rPr>
                <w:rFonts w:ascii="Times New Roman" w:hAnsi="Times New Roman"/>
                <w:sz w:val="24"/>
              </w:rPr>
              <w:t>0160</w:t>
            </w:r>
          </w:p>
        </w:tc>
        <w:tc>
          <w:tcPr>
            <w:tcW w:w="8190" w:type="dxa"/>
          </w:tcPr>
          <w:p w:rsidR="00973707" w:rsidRPr="00661595" w:rsidRDefault="00973707" w:rsidP="003E376A">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DIFFERENZA IPV</w:t>
            </w:r>
          </w:p>
          <w:p w:rsidR="00973707" w:rsidRPr="00661595" w:rsidRDefault="00973707" w:rsidP="003E376A">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 somma per tutte le posizioni e i fattori di rischio dei differenziali non aggiustati (</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differenza IPV) calcolati alla fine del mese più vicina alla data di riferimento per le segnalazioni nel quadro del processo di verifica indipendente dei prezzi di cui all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articolo 105, paragrafo 8, del CRR, utilizzando i migliori dati indipendenti disponibili per la posizione o il fattore di rischio pertinente. </w:t>
            </w:r>
          </w:p>
          <w:p w:rsidR="00973707" w:rsidRPr="00661595" w:rsidRDefault="00973707" w:rsidP="003E376A">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Per differenziali non aggiustati si intendono le differenze non aggiustate tra le valutazioni generate dal sistema di negoziazione e le valutazioni prodotte dal processo IPV mensile </w:t>
            </w:r>
          </w:p>
          <w:p w:rsidR="00973707" w:rsidRPr="00661595" w:rsidRDefault="004D2753" w:rsidP="003E376A">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 differenziali aggiustati nei libri e nella contabilità dell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per la data di fine mese pertinente non sono inclusi ai fini del calcolo della differenza IPV.</w:t>
            </w:r>
          </w:p>
        </w:tc>
      </w:tr>
      <w:tr w:rsidR="00973707" w:rsidRPr="00661595" w:rsidTr="00672D2A">
        <w:tc>
          <w:tcPr>
            <w:tcW w:w="1101" w:type="dxa"/>
          </w:tcPr>
          <w:p w:rsidR="00973707" w:rsidRPr="00661595" w:rsidRDefault="009A7A38" w:rsidP="003E376A">
            <w:pPr>
              <w:suppressAutoHyphens/>
              <w:spacing w:beforeLines="60" w:before="144" w:afterLines="60" w:after="144"/>
              <w:rPr>
                <w:rFonts w:ascii="Times New Roman" w:hAnsi="Times New Roman"/>
                <w:sz w:val="24"/>
              </w:rPr>
            </w:pPr>
            <w:r>
              <w:rPr>
                <w:rFonts w:ascii="Times New Roman" w:hAnsi="Times New Roman"/>
                <w:sz w:val="24"/>
              </w:rPr>
              <w:t>0170 - 0250</w:t>
            </w:r>
          </w:p>
        </w:tc>
        <w:tc>
          <w:tcPr>
            <w:tcW w:w="8190" w:type="dxa"/>
          </w:tcPr>
          <w:p w:rsidR="00973707" w:rsidRPr="00661595" w:rsidRDefault="00973707" w:rsidP="003E376A">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RETTIFICHE DEL FAIR VALUE (VALORE EQUO)</w:t>
            </w:r>
          </w:p>
          <w:p w:rsidR="001B1531" w:rsidRPr="00661595" w:rsidRDefault="00973707" w:rsidP="003E376A">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Le rettifiche, talora definite </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riserve</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applicate potenzialmente al fair value (valore equo) contabile dell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che esulano dal modello di valutazione utilizzato per generare i valori contabili (escluso il differimento dell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utile o perdita del giorno 1) e che possono essere considerate volte a far fronte alla stessa fonte di incertezza dell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AVA pertinente. Potrebbero riflettere fattori di rischio sfuggenti alla tecnica di valutazione che sono in forma di premio di rischio o costo di uscita e rientrano nella definizione di fair value (valore equo). Sono comunque considerate dai partecipanti al mercato in sede di determinazione del prezzo. (IFRS 13.9 e IFRS13.88).</w:t>
            </w:r>
          </w:p>
        </w:tc>
      </w:tr>
      <w:tr w:rsidR="00973707" w:rsidRPr="00661595" w:rsidTr="00672D2A">
        <w:tc>
          <w:tcPr>
            <w:tcW w:w="1101" w:type="dxa"/>
          </w:tcPr>
          <w:p w:rsidR="00973707" w:rsidRPr="00661595" w:rsidRDefault="009A7A38" w:rsidP="003E376A">
            <w:pPr>
              <w:suppressAutoHyphens/>
              <w:spacing w:beforeLines="60" w:before="144" w:afterLines="60" w:after="144"/>
              <w:rPr>
                <w:rFonts w:ascii="Times New Roman" w:hAnsi="Times New Roman"/>
                <w:sz w:val="24"/>
              </w:rPr>
            </w:pPr>
            <w:r>
              <w:rPr>
                <w:rFonts w:ascii="Times New Roman" w:hAnsi="Times New Roman"/>
                <w:sz w:val="24"/>
              </w:rPr>
              <w:t>0170</w:t>
            </w:r>
          </w:p>
        </w:tc>
        <w:tc>
          <w:tcPr>
            <w:tcW w:w="8190" w:type="dxa"/>
          </w:tcPr>
          <w:p w:rsidR="00973707" w:rsidRPr="00661595" w:rsidRDefault="00973707" w:rsidP="003E376A">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sz w:val="24"/>
              </w:rPr>
              <w:t>INCERTEZZA DELLE QUOTAZIONI DI MERCATO</w:t>
            </w:r>
          </w:p>
          <w:p w:rsidR="00973707" w:rsidRPr="00661595" w:rsidRDefault="00973707" w:rsidP="003E376A">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Rettifica applicata al fair value (valore equo) dell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per riflettere il premio di rischio derivante dall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esistenza di un range di prezzi osservati per strumenti equivalenti o, con riferimento ad un input di un modello di valutazione costituito da un parametro di mercato, gli strumenti dai quali 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input è stato calibrato, e che pertanto può essere considerata volta a far fronte alla stessa fonte di incertezza dell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AVA per 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incertezza delle quotazioni di mercato. </w:t>
            </w:r>
          </w:p>
        </w:tc>
      </w:tr>
      <w:tr w:rsidR="00973707" w:rsidRPr="00661595" w:rsidTr="00672D2A">
        <w:tc>
          <w:tcPr>
            <w:tcW w:w="1101" w:type="dxa"/>
          </w:tcPr>
          <w:p w:rsidR="00973707" w:rsidRPr="00661595" w:rsidRDefault="009A7A38" w:rsidP="003E376A">
            <w:pPr>
              <w:suppressAutoHyphens/>
              <w:spacing w:beforeLines="60" w:before="144" w:afterLines="60" w:after="144"/>
              <w:rPr>
                <w:rFonts w:ascii="Times New Roman" w:hAnsi="Times New Roman"/>
                <w:sz w:val="24"/>
              </w:rPr>
            </w:pPr>
            <w:r>
              <w:rPr>
                <w:rFonts w:ascii="Times New Roman" w:hAnsi="Times New Roman"/>
                <w:sz w:val="24"/>
              </w:rPr>
              <w:t>0180</w:t>
            </w:r>
          </w:p>
        </w:tc>
        <w:tc>
          <w:tcPr>
            <w:tcW w:w="8190" w:type="dxa"/>
          </w:tcPr>
          <w:p w:rsidR="00973707" w:rsidRPr="00661595" w:rsidRDefault="00973707" w:rsidP="003E376A">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COSTI DI CHIUSURA</w:t>
            </w:r>
          </w:p>
          <w:p w:rsidR="00973707" w:rsidRPr="00661595" w:rsidRDefault="00973707" w:rsidP="003E376A">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Rettifica applicata al fair value (valore equo) dell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per tenere conto del fatto che le valutazioni a livello di posizione non riflettono un prezzo di uscita per la posizione o il portafoglio, in particolare se tali valutazioni sono calibrate su un prezzo di mid-market, e che pertanto può essere considerata volta a far fronte alla stessa fonte di incertezza dell</w:t>
            </w:r>
            <w:r w:rsidR="000878EC">
              <w:rPr>
                <w:rStyle w:val="InstructionsTabelleberschrift"/>
                <w:rFonts w:ascii="Times New Roman" w:hAnsi="Times New Roman"/>
                <w:b w:val="0"/>
                <w:sz w:val="24"/>
                <w:u w:val="none"/>
              </w:rPr>
              <w:t>'</w:t>
            </w:r>
            <w:r>
              <w:rPr>
                <w:rFonts w:ascii="Times New Roman" w:hAnsi="Times New Roman"/>
                <w:sz w:val="24"/>
              </w:rPr>
              <w:t>AVA per i costi di chiusura</w:t>
            </w:r>
            <w:r>
              <w:rPr>
                <w:rStyle w:val="InstructionsTabelleberschrift"/>
                <w:rFonts w:ascii="Times New Roman" w:hAnsi="Times New Roman"/>
                <w:b w:val="0"/>
                <w:sz w:val="24"/>
                <w:u w:val="none"/>
              </w:rPr>
              <w:t>.</w:t>
            </w:r>
          </w:p>
        </w:tc>
      </w:tr>
      <w:tr w:rsidR="00973707" w:rsidRPr="00661595" w:rsidTr="00672D2A">
        <w:tc>
          <w:tcPr>
            <w:tcW w:w="1101" w:type="dxa"/>
          </w:tcPr>
          <w:p w:rsidR="00973707" w:rsidRPr="00661595" w:rsidRDefault="009A7A38" w:rsidP="003E376A">
            <w:pPr>
              <w:suppressAutoHyphens/>
              <w:spacing w:beforeLines="60" w:before="144" w:afterLines="60" w:after="144"/>
              <w:rPr>
                <w:rFonts w:ascii="Times New Roman" w:hAnsi="Times New Roman"/>
                <w:sz w:val="24"/>
              </w:rPr>
            </w:pPr>
            <w:r>
              <w:rPr>
                <w:rFonts w:ascii="Times New Roman" w:hAnsi="Times New Roman"/>
                <w:sz w:val="24"/>
              </w:rPr>
              <w:t>0190</w:t>
            </w:r>
          </w:p>
        </w:tc>
        <w:tc>
          <w:tcPr>
            <w:tcW w:w="8190" w:type="dxa"/>
          </w:tcPr>
          <w:p w:rsidR="00973707" w:rsidRPr="00661595" w:rsidRDefault="00973707" w:rsidP="003E376A">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RISCHI DEL MODELLO</w:t>
            </w:r>
          </w:p>
          <w:p w:rsidR="00973707" w:rsidRPr="00661595" w:rsidRDefault="00973707" w:rsidP="003E376A">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Rettifica applicata al fair value (valore equo) dell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per riflettere i fattori di mercato o prodotto che sfuggono al modello utilizzato per calcolare i valori e i rischi quotidiani delle posizioni (</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modello di valutazione</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o per riflettere un livello appropriato di prudenza data 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incertezza derivante dall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esistenza di un range di modelli validi alternativi e di calibrazioni di modello, e che pertanto può essere considerata volta a far fronte alla stessa fonte di incertezza dell</w:t>
            </w:r>
            <w:r w:rsidR="000878EC">
              <w:rPr>
                <w:rStyle w:val="InstructionsTabelleberschrift"/>
                <w:rFonts w:ascii="Times New Roman" w:hAnsi="Times New Roman"/>
                <w:b w:val="0"/>
                <w:sz w:val="24"/>
                <w:u w:val="none"/>
              </w:rPr>
              <w:t>'</w:t>
            </w:r>
            <w:r>
              <w:rPr>
                <w:rFonts w:ascii="Times New Roman" w:hAnsi="Times New Roman"/>
                <w:sz w:val="24"/>
              </w:rPr>
              <w:t>AVA per i rischi del modello</w:t>
            </w:r>
            <w:r>
              <w:rPr>
                <w:rStyle w:val="InstructionsTabelleberschrift"/>
                <w:rFonts w:ascii="Times New Roman" w:hAnsi="Times New Roman"/>
                <w:b w:val="0"/>
                <w:sz w:val="24"/>
                <w:u w:val="none"/>
              </w:rPr>
              <w:t>.</w:t>
            </w:r>
          </w:p>
        </w:tc>
      </w:tr>
      <w:tr w:rsidR="00973707" w:rsidRPr="00661595" w:rsidTr="00672D2A">
        <w:tc>
          <w:tcPr>
            <w:tcW w:w="1101" w:type="dxa"/>
          </w:tcPr>
          <w:p w:rsidR="00973707" w:rsidRPr="00661595" w:rsidRDefault="009A7A38" w:rsidP="003E376A">
            <w:pPr>
              <w:suppressAutoHyphens/>
              <w:spacing w:beforeLines="60" w:before="144" w:afterLines="60" w:after="144"/>
              <w:rPr>
                <w:rFonts w:ascii="Times New Roman" w:hAnsi="Times New Roman"/>
                <w:sz w:val="24"/>
              </w:rPr>
            </w:pPr>
            <w:r>
              <w:rPr>
                <w:rFonts w:ascii="Times New Roman" w:hAnsi="Times New Roman"/>
                <w:sz w:val="24"/>
              </w:rPr>
              <w:t>0200</w:t>
            </w:r>
          </w:p>
        </w:tc>
        <w:tc>
          <w:tcPr>
            <w:tcW w:w="8190" w:type="dxa"/>
          </w:tcPr>
          <w:p w:rsidR="00973707" w:rsidRPr="00661595" w:rsidRDefault="00973707" w:rsidP="003E376A">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POSIZIONI CONCENTRATE</w:t>
            </w:r>
          </w:p>
          <w:p w:rsidR="00973707" w:rsidRPr="00661595" w:rsidRDefault="00973707" w:rsidP="003E376A">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Rettifica applicata al fair value (valore equo) dell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per riflettere il fatto che la posizione aggregata detenuta dall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è superiore al volume di negoziazione normale o alle dimensioni delle posizioni su cui si basano le quotazioni o negoziazioni osservabili utilizzate per calibrare il prezzo o gli input immessi nel modello di valutazione, e che pertanto può essere considerata volta a far fronte alla stessa fonte di incertezza dell</w:t>
            </w:r>
            <w:r w:rsidR="000878EC">
              <w:rPr>
                <w:rStyle w:val="InstructionsTabelleberschrift"/>
                <w:rFonts w:ascii="Times New Roman" w:hAnsi="Times New Roman"/>
                <w:b w:val="0"/>
                <w:sz w:val="24"/>
                <w:u w:val="none"/>
              </w:rPr>
              <w:t>'</w:t>
            </w:r>
            <w:r>
              <w:rPr>
                <w:rFonts w:ascii="Times New Roman" w:hAnsi="Times New Roman"/>
                <w:sz w:val="24"/>
              </w:rPr>
              <w:t>AVA per le posizioni concentrate</w:t>
            </w:r>
            <w:r>
              <w:rPr>
                <w:rStyle w:val="InstructionsTabelleberschrift"/>
                <w:rFonts w:ascii="Times New Roman" w:hAnsi="Times New Roman"/>
                <w:b w:val="0"/>
                <w:sz w:val="24"/>
                <w:u w:val="none"/>
              </w:rPr>
              <w:t xml:space="preserve">. </w:t>
            </w:r>
          </w:p>
        </w:tc>
      </w:tr>
      <w:tr w:rsidR="00973707" w:rsidRPr="00661595" w:rsidTr="00672D2A">
        <w:tc>
          <w:tcPr>
            <w:tcW w:w="1101" w:type="dxa"/>
          </w:tcPr>
          <w:p w:rsidR="00973707" w:rsidRPr="00661595" w:rsidRDefault="009A7A38" w:rsidP="003E376A">
            <w:pPr>
              <w:suppressAutoHyphens/>
              <w:spacing w:beforeLines="60" w:before="144" w:afterLines="60" w:after="144"/>
              <w:rPr>
                <w:rFonts w:ascii="Times New Roman" w:hAnsi="Times New Roman"/>
                <w:sz w:val="24"/>
              </w:rPr>
            </w:pPr>
            <w:r>
              <w:rPr>
                <w:rFonts w:ascii="Times New Roman" w:hAnsi="Times New Roman"/>
                <w:sz w:val="24"/>
              </w:rPr>
              <w:t>0210</w:t>
            </w:r>
          </w:p>
        </w:tc>
        <w:tc>
          <w:tcPr>
            <w:tcW w:w="8190" w:type="dxa"/>
          </w:tcPr>
          <w:p w:rsidR="00973707" w:rsidRPr="00661595" w:rsidRDefault="00973707" w:rsidP="003E376A">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DIFFERENZIALI CREDITIZI NON REALIZZATI</w:t>
            </w:r>
          </w:p>
          <w:p w:rsidR="00973707" w:rsidRPr="00661595" w:rsidRDefault="00973707" w:rsidP="003E376A">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Rettifica applicata al fair value (valore equo) dell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per coprire le perdite attese dovute al default della controparte su posizioni derivate (ovvero 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aggiustamento della valutazione del credito - CVA- totale dell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w:t>
            </w:r>
          </w:p>
        </w:tc>
      </w:tr>
      <w:tr w:rsidR="00973707" w:rsidRPr="00661595" w:rsidTr="00672D2A">
        <w:tc>
          <w:tcPr>
            <w:tcW w:w="1101" w:type="dxa"/>
          </w:tcPr>
          <w:p w:rsidR="00973707" w:rsidRPr="00661595" w:rsidRDefault="009A7A38" w:rsidP="003E376A">
            <w:pPr>
              <w:suppressAutoHyphens/>
              <w:spacing w:beforeLines="60" w:before="144" w:afterLines="60" w:after="144"/>
              <w:rPr>
                <w:rFonts w:ascii="Times New Roman" w:hAnsi="Times New Roman"/>
                <w:sz w:val="24"/>
              </w:rPr>
            </w:pPr>
            <w:r>
              <w:rPr>
                <w:rFonts w:ascii="Times New Roman" w:hAnsi="Times New Roman"/>
                <w:sz w:val="24"/>
              </w:rPr>
              <w:t>0220</w:t>
            </w:r>
          </w:p>
        </w:tc>
        <w:tc>
          <w:tcPr>
            <w:tcW w:w="8190" w:type="dxa"/>
          </w:tcPr>
          <w:p w:rsidR="00973707" w:rsidRPr="00661595" w:rsidRDefault="00973707" w:rsidP="003E376A">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COSTI DI INVESTIMENTO E DI FINANZIAMENTO (FUNDING)</w:t>
            </w:r>
          </w:p>
          <w:p w:rsidR="00973707" w:rsidRPr="00661595" w:rsidRDefault="00973707" w:rsidP="003E376A">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Rettifica applicata al fair value (valore equo) dell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qualora i modelli di valutazione non riflettano pienamente il costo di finanziamento (funding) che i partecipanti al mercato ingloberebbero nel prezzo di uscita per una posizione o un portafoglio (ovvero la rettifica totale della valutazione per finanziamento (funding) a livello di ente quando un ente computa tale rettifica o, in alternativa, una rettifica equivalente).</w:t>
            </w:r>
          </w:p>
        </w:tc>
      </w:tr>
      <w:tr w:rsidR="00973707" w:rsidRPr="00661595" w:rsidTr="00672D2A">
        <w:tc>
          <w:tcPr>
            <w:tcW w:w="1101" w:type="dxa"/>
          </w:tcPr>
          <w:p w:rsidR="00973707" w:rsidRPr="00661595" w:rsidRDefault="009A7A38" w:rsidP="003E376A">
            <w:pPr>
              <w:suppressAutoHyphens/>
              <w:spacing w:beforeLines="60" w:before="144" w:afterLines="60" w:after="144"/>
              <w:rPr>
                <w:rFonts w:ascii="Times New Roman" w:hAnsi="Times New Roman"/>
                <w:sz w:val="24"/>
              </w:rPr>
            </w:pPr>
            <w:r>
              <w:rPr>
                <w:rFonts w:ascii="Times New Roman" w:hAnsi="Times New Roman"/>
                <w:sz w:val="24"/>
              </w:rPr>
              <w:t>0230</w:t>
            </w:r>
          </w:p>
        </w:tc>
        <w:tc>
          <w:tcPr>
            <w:tcW w:w="8190" w:type="dxa"/>
          </w:tcPr>
          <w:p w:rsidR="00973707" w:rsidRPr="00661595" w:rsidRDefault="00973707" w:rsidP="003E376A">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COSTI AMMINISTRATIVI FUTURI</w:t>
            </w:r>
          </w:p>
          <w:p w:rsidR="00973707" w:rsidRPr="00661595" w:rsidRDefault="00973707" w:rsidP="003E376A">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Rettifica applicata al fair value (valore equo) dell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per riflettere i costi amministrativi sostenuti dal portafoglio o dalla posizione ma non inclusi nel modello di valutazione o nei prezzi utilizzati per calibrare gli input di tale modello, e che pertanto può essere considerata volta a far fronte alla stessa fonte di incertezza dell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AVA per costi amministrativi futuri.</w:t>
            </w:r>
          </w:p>
        </w:tc>
      </w:tr>
      <w:tr w:rsidR="00973707" w:rsidRPr="00661595" w:rsidTr="00672D2A">
        <w:tc>
          <w:tcPr>
            <w:tcW w:w="1101" w:type="dxa"/>
          </w:tcPr>
          <w:p w:rsidR="00973707" w:rsidRPr="00661595" w:rsidRDefault="009A7A38" w:rsidP="003E376A">
            <w:pPr>
              <w:suppressAutoHyphens/>
              <w:spacing w:beforeLines="60" w:before="144" w:afterLines="60" w:after="144"/>
              <w:rPr>
                <w:rFonts w:ascii="Times New Roman" w:hAnsi="Times New Roman"/>
                <w:sz w:val="24"/>
              </w:rPr>
            </w:pPr>
            <w:r>
              <w:rPr>
                <w:rFonts w:ascii="Times New Roman" w:hAnsi="Times New Roman"/>
                <w:sz w:val="24"/>
              </w:rPr>
              <w:t>0240</w:t>
            </w:r>
          </w:p>
        </w:tc>
        <w:tc>
          <w:tcPr>
            <w:tcW w:w="8190" w:type="dxa"/>
          </w:tcPr>
          <w:p w:rsidR="00973707" w:rsidRPr="00661595" w:rsidRDefault="00973707" w:rsidP="003E376A">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CHIUSURE ANTICIPATE DELLE POSIZIONI</w:t>
            </w:r>
          </w:p>
          <w:p w:rsidR="00973707" w:rsidRPr="00661595" w:rsidRDefault="00973707" w:rsidP="003E376A">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Rettifiche applicate al fair value (valore equo) dell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per riflettere le aspettative di chiusura anticipata contrattuale o non contrattuale che sfuggono al modello di valutazione, e che pertanto possono essere considerate volte a far fronte alla stessa fonte di incertezza dell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AVA per chiusure anticipate delle posizioni.</w:t>
            </w:r>
          </w:p>
        </w:tc>
      </w:tr>
      <w:tr w:rsidR="00973707" w:rsidRPr="00661595" w:rsidTr="00672D2A">
        <w:tc>
          <w:tcPr>
            <w:tcW w:w="1101" w:type="dxa"/>
          </w:tcPr>
          <w:p w:rsidR="00973707" w:rsidRPr="00661595" w:rsidRDefault="009A7A38" w:rsidP="003E376A">
            <w:pPr>
              <w:suppressAutoHyphens/>
              <w:spacing w:beforeLines="60" w:before="144" w:afterLines="60" w:after="144"/>
              <w:rPr>
                <w:rFonts w:ascii="Times New Roman" w:hAnsi="Times New Roman"/>
                <w:sz w:val="24"/>
              </w:rPr>
            </w:pPr>
            <w:r>
              <w:rPr>
                <w:rFonts w:ascii="Times New Roman" w:hAnsi="Times New Roman"/>
                <w:sz w:val="24"/>
              </w:rPr>
              <w:t>0250</w:t>
            </w:r>
          </w:p>
        </w:tc>
        <w:tc>
          <w:tcPr>
            <w:tcW w:w="8190" w:type="dxa"/>
          </w:tcPr>
          <w:p w:rsidR="00973707" w:rsidRPr="00661595" w:rsidRDefault="00973707" w:rsidP="003E376A">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RISCHIO OPERATIVO</w:t>
            </w:r>
          </w:p>
          <w:p w:rsidR="00973707" w:rsidRPr="00661595" w:rsidRDefault="00973707" w:rsidP="003E376A">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Rettifiche applicate al fair value (valore equo) dell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per riflettere il premio di rischio che i partecipanti al mercato esigerebbero per i rischi operativi derivanti da copertura, amministrazione e regolamento di contratti del portafoglio, e che pertanto possono essere considerate volte a far fronte alla stessa fonte di incertezza dell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AVA per i rischi operativi.</w:t>
            </w:r>
          </w:p>
        </w:tc>
      </w:tr>
      <w:tr w:rsidR="00973707" w:rsidRPr="00661595" w:rsidTr="00672D2A">
        <w:tc>
          <w:tcPr>
            <w:tcW w:w="1101" w:type="dxa"/>
          </w:tcPr>
          <w:p w:rsidR="00973707" w:rsidRPr="00661595" w:rsidRDefault="009A7A38" w:rsidP="003E376A">
            <w:pPr>
              <w:suppressAutoHyphens/>
              <w:spacing w:beforeLines="60" w:before="144" w:afterLines="60" w:after="144"/>
              <w:rPr>
                <w:rFonts w:ascii="Times New Roman" w:hAnsi="Times New Roman"/>
                <w:sz w:val="24"/>
              </w:rPr>
            </w:pPr>
            <w:r>
              <w:rPr>
                <w:rFonts w:ascii="Times New Roman" w:hAnsi="Times New Roman"/>
                <w:sz w:val="24"/>
              </w:rPr>
              <w:t>0260</w:t>
            </w:r>
          </w:p>
        </w:tc>
        <w:tc>
          <w:tcPr>
            <w:tcW w:w="8190" w:type="dxa"/>
          </w:tcPr>
          <w:p w:rsidR="00973707" w:rsidRPr="00661595" w:rsidRDefault="00973707" w:rsidP="003E376A">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P&amp;L DEL GIORNO 1</w:t>
            </w:r>
          </w:p>
          <w:p w:rsidR="001B1531" w:rsidRPr="00661595" w:rsidRDefault="00973707" w:rsidP="003E376A">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Rettifiche per riflettere i casi in cui il modello di valutazione più tutte le altre rettifiche pertinenti del fair value (valore equo) applicabili ad una posizione o ad un portafoglio non riflettevano il prezzo pagato o ricevuto il primo giorno della rilevazione, ovvero il differimento dell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utile o della perdita del giorno 1 (IFRS 9.B5.1.2.A).</w:t>
            </w:r>
          </w:p>
        </w:tc>
      </w:tr>
      <w:tr w:rsidR="00973707" w:rsidRPr="00661595" w:rsidTr="00672D2A">
        <w:tc>
          <w:tcPr>
            <w:tcW w:w="1101" w:type="dxa"/>
          </w:tcPr>
          <w:p w:rsidR="00973707" w:rsidRPr="00661595" w:rsidRDefault="009A7A38" w:rsidP="003E376A">
            <w:pPr>
              <w:keepNext/>
              <w:keepLines/>
              <w:suppressAutoHyphens/>
              <w:spacing w:beforeLines="60" w:before="144" w:afterLines="60" w:after="144"/>
              <w:rPr>
                <w:rFonts w:ascii="Times New Roman" w:hAnsi="Times New Roman"/>
                <w:sz w:val="24"/>
              </w:rPr>
            </w:pPr>
            <w:r>
              <w:rPr>
                <w:rFonts w:ascii="Times New Roman" w:hAnsi="Times New Roman"/>
                <w:sz w:val="24"/>
              </w:rPr>
              <w:t>0270</w:t>
            </w:r>
          </w:p>
        </w:tc>
        <w:tc>
          <w:tcPr>
            <w:tcW w:w="8190" w:type="dxa"/>
          </w:tcPr>
          <w:p w:rsidR="00973707" w:rsidRPr="00661595" w:rsidRDefault="00973707" w:rsidP="003E376A">
            <w:pPr>
              <w:keepNext/>
              <w:keepLines/>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SPIEGAZIONE E DESCRIZIONE</w:t>
            </w:r>
          </w:p>
          <w:p w:rsidR="00973707" w:rsidRPr="00661595" w:rsidRDefault="00973707" w:rsidP="003E376A">
            <w:pPr>
              <w:keepNext/>
              <w:keepLines/>
              <w:suppressAutoHyphens/>
              <w:spacing w:beforeLines="60" w:before="144" w:afterLines="60" w:after="144"/>
              <w:rPr>
                <w:rStyle w:val="InstructionsTabelleberschrift"/>
                <w:rFonts w:ascii="Times New Roman" w:hAnsi="Times New Roman"/>
                <w:b w:val="0"/>
                <w:sz w:val="24"/>
                <w:u w:val="none"/>
              </w:rPr>
            </w:pPr>
            <w:r>
              <w:rPr>
                <w:rFonts w:ascii="Times New Roman" w:hAnsi="Times New Roman"/>
                <w:sz w:val="24"/>
              </w:rPr>
              <w:t>Descrizione delle posizioni trattate conformemente all</w:t>
            </w:r>
            <w:r w:rsidR="000878EC">
              <w:rPr>
                <w:rFonts w:ascii="Times New Roman" w:hAnsi="Times New Roman"/>
                <w:sz w:val="24"/>
              </w:rPr>
              <w:t>'</w:t>
            </w:r>
            <w:r>
              <w:rPr>
                <w:rFonts w:ascii="Times New Roman" w:hAnsi="Times New Roman"/>
                <w:sz w:val="24"/>
              </w:rPr>
              <w:t>articolo 7, paragrafo 2, lettera b), del regolamento delegato (UE) 2016/101 e delle ragioni per cui non è stato possibile applicare gli articoli da 9 a 17.</w:t>
            </w:r>
          </w:p>
        </w:tc>
      </w:tr>
    </w:tbl>
    <w:p w:rsidR="00B93FA1" w:rsidRPr="00661595" w:rsidRDefault="00B93FA1" w:rsidP="00C61FF5">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6"/>
        <w:gridCol w:w="7976"/>
      </w:tblGrid>
      <w:tr w:rsidR="00973707" w:rsidRPr="00661595" w:rsidTr="00672D2A">
        <w:tc>
          <w:tcPr>
            <w:tcW w:w="9288" w:type="dxa"/>
            <w:gridSpan w:val="2"/>
            <w:shd w:val="clear" w:color="auto" w:fill="CCCCCC"/>
          </w:tcPr>
          <w:p w:rsidR="00973707" w:rsidRPr="00661595" w:rsidRDefault="00973707" w:rsidP="003E376A">
            <w:pPr>
              <w:suppressAutoHyphens/>
              <w:spacing w:beforeLines="60" w:before="144" w:afterLines="60" w:after="144"/>
              <w:rPr>
                <w:rFonts w:ascii="Times New Roman" w:hAnsi="Times New Roman"/>
                <w:b/>
                <w:sz w:val="24"/>
              </w:rPr>
            </w:pPr>
            <w:r>
              <w:rPr>
                <w:rFonts w:ascii="Times New Roman" w:hAnsi="Times New Roman"/>
                <w:b/>
                <w:sz w:val="24"/>
              </w:rPr>
              <w:t>Righe</w:t>
            </w:r>
          </w:p>
        </w:tc>
      </w:tr>
      <w:tr w:rsidR="00973707" w:rsidRPr="00661595" w:rsidTr="00672D2A">
        <w:tc>
          <w:tcPr>
            <w:tcW w:w="1101" w:type="dxa"/>
          </w:tcPr>
          <w:p w:rsidR="00973707" w:rsidRPr="00661595" w:rsidRDefault="009A7A38" w:rsidP="003E376A">
            <w:pPr>
              <w:suppressAutoHyphens/>
              <w:spacing w:beforeLines="60" w:before="144" w:afterLines="60" w:after="144"/>
              <w:rPr>
                <w:rFonts w:ascii="Times New Roman" w:hAnsi="Times New Roman"/>
                <w:sz w:val="24"/>
              </w:rPr>
            </w:pPr>
            <w:r>
              <w:rPr>
                <w:rFonts w:ascii="Times New Roman" w:hAnsi="Times New Roman"/>
                <w:sz w:val="24"/>
              </w:rPr>
              <w:t>0010</w:t>
            </w:r>
          </w:p>
        </w:tc>
        <w:tc>
          <w:tcPr>
            <w:tcW w:w="8187" w:type="dxa"/>
          </w:tcPr>
          <w:p w:rsidR="00973707" w:rsidRPr="00661595" w:rsidRDefault="00973707" w:rsidP="003E376A">
            <w:pPr>
              <w:suppressAutoHyphens/>
              <w:spacing w:beforeLines="60" w:before="144" w:afterLines="60" w:after="144"/>
              <w:rPr>
                <w:rFonts w:ascii="Times New Roman" w:hAnsi="Times New Roman"/>
                <w:b/>
                <w:sz w:val="24"/>
                <w:u w:val="single"/>
              </w:rPr>
            </w:pPr>
            <w:r>
              <w:rPr>
                <w:rFonts w:ascii="Times New Roman" w:hAnsi="Times New Roman"/>
                <w:b/>
                <w:sz w:val="24"/>
                <w:u w:val="single"/>
              </w:rPr>
              <w:t xml:space="preserve">1. METODO DI BASE TOTALE </w:t>
            </w:r>
          </w:p>
          <w:p w:rsidR="00973707" w:rsidRPr="00661595" w:rsidRDefault="00973707" w:rsidP="003E376A">
            <w:pPr>
              <w:suppressAutoHyphens/>
              <w:spacing w:beforeLines="60" w:before="144" w:afterLines="60" w:after="144"/>
              <w:rPr>
                <w:rFonts w:ascii="Times New Roman" w:hAnsi="Times New Roman"/>
                <w:sz w:val="24"/>
              </w:rPr>
            </w:pPr>
            <w:r>
              <w:rPr>
                <w:rFonts w:ascii="Times New Roman" w:hAnsi="Times New Roman"/>
                <w:sz w:val="24"/>
              </w:rPr>
              <w:t>Articolo 7, paragrafo 2, del regolamento delegato (UE) 2016/101.</w:t>
            </w:r>
          </w:p>
          <w:p w:rsidR="00973707" w:rsidRPr="00661595" w:rsidRDefault="00973707" w:rsidP="003E376A">
            <w:pPr>
              <w:suppressAutoHyphens/>
              <w:spacing w:beforeLines="60" w:before="144" w:afterLines="60" w:after="144"/>
              <w:rPr>
                <w:rFonts w:ascii="Times New Roman" w:hAnsi="Times New Roman"/>
                <w:sz w:val="24"/>
              </w:rPr>
            </w:pPr>
            <w:r>
              <w:rPr>
                <w:rFonts w:ascii="Times New Roman" w:hAnsi="Times New Roman"/>
                <w:sz w:val="24"/>
              </w:rPr>
              <w:t>Per ciascuna categoria pertinente di AVA di cui alle colonne da 0010 a 0110, gli AVA totali computati secondo il metodo di base come previsto al capo 3 del regolamento delegato (UE) 2016/101 per le attività e le passività valutate al fair value (valore equo) incluse ai fini del computo del</w:t>
            </w:r>
            <w:r w:rsidR="003E376A">
              <w:rPr>
                <w:rFonts w:ascii="Times New Roman" w:hAnsi="Times New Roman"/>
                <w:sz w:val="24"/>
              </w:rPr>
              <w:t>la soglia a norma dell</w:t>
            </w:r>
            <w:r w:rsidR="000878EC">
              <w:rPr>
                <w:rFonts w:ascii="Times New Roman" w:hAnsi="Times New Roman"/>
                <w:sz w:val="24"/>
              </w:rPr>
              <w:t>'</w:t>
            </w:r>
            <w:r w:rsidR="003E376A">
              <w:rPr>
                <w:rFonts w:ascii="Times New Roman" w:hAnsi="Times New Roman"/>
                <w:sz w:val="24"/>
              </w:rPr>
              <w:t>articolo </w:t>
            </w:r>
            <w:r>
              <w:rPr>
                <w:rFonts w:ascii="Times New Roman" w:hAnsi="Times New Roman"/>
                <w:sz w:val="24"/>
              </w:rPr>
              <w:t>4, paragrafo 1, del medesimo regolamento. Sono inclusi i benefici della diversificazione indicati nella riga 0140 a norma dell</w:t>
            </w:r>
            <w:r w:rsidR="000878EC">
              <w:rPr>
                <w:rFonts w:ascii="Times New Roman" w:hAnsi="Times New Roman"/>
                <w:sz w:val="24"/>
              </w:rPr>
              <w:t>'</w:t>
            </w:r>
            <w:r>
              <w:rPr>
                <w:rFonts w:ascii="Times New Roman" w:hAnsi="Times New Roman"/>
                <w:sz w:val="24"/>
              </w:rPr>
              <w:t>articolo 9, paragrafo 6, dell</w:t>
            </w:r>
            <w:r w:rsidR="000878EC">
              <w:rPr>
                <w:rFonts w:ascii="Times New Roman" w:hAnsi="Times New Roman"/>
                <w:sz w:val="24"/>
              </w:rPr>
              <w:t>'</w:t>
            </w:r>
            <w:r>
              <w:rPr>
                <w:rFonts w:ascii="Times New Roman" w:hAnsi="Times New Roman"/>
                <w:sz w:val="24"/>
              </w:rPr>
              <w:t>articolo 10, paragrafo 7, e dell</w:t>
            </w:r>
            <w:r w:rsidR="000878EC">
              <w:rPr>
                <w:rFonts w:ascii="Times New Roman" w:hAnsi="Times New Roman"/>
                <w:sz w:val="24"/>
              </w:rPr>
              <w:t>'</w:t>
            </w:r>
            <w:r>
              <w:rPr>
                <w:rFonts w:ascii="Times New Roman" w:hAnsi="Times New Roman"/>
                <w:sz w:val="24"/>
              </w:rPr>
              <w:t xml:space="preserve">articolo 11, paragrafo 7, del regolamento delegato (UE) 2016/101. </w:t>
            </w:r>
          </w:p>
        </w:tc>
      </w:tr>
      <w:tr w:rsidR="00973707" w:rsidRPr="00661595" w:rsidTr="00672D2A">
        <w:tc>
          <w:tcPr>
            <w:tcW w:w="1101" w:type="dxa"/>
          </w:tcPr>
          <w:p w:rsidR="00973707" w:rsidRPr="00661595" w:rsidRDefault="009A7A38" w:rsidP="003E376A">
            <w:pPr>
              <w:suppressAutoHyphens/>
              <w:spacing w:beforeLines="60" w:before="144" w:afterLines="60" w:after="144"/>
              <w:rPr>
                <w:rFonts w:ascii="Times New Roman" w:hAnsi="Times New Roman"/>
                <w:sz w:val="24"/>
              </w:rPr>
            </w:pPr>
            <w:r>
              <w:rPr>
                <w:rFonts w:ascii="Times New Roman" w:hAnsi="Times New Roman"/>
                <w:sz w:val="24"/>
              </w:rPr>
              <w:t>0020</w:t>
            </w:r>
          </w:p>
        </w:tc>
        <w:tc>
          <w:tcPr>
            <w:tcW w:w="8187" w:type="dxa"/>
          </w:tcPr>
          <w:p w:rsidR="00973707" w:rsidRPr="00661595" w:rsidRDefault="00973707" w:rsidP="003E376A">
            <w:pPr>
              <w:suppressAutoHyphens/>
              <w:spacing w:beforeLines="60" w:before="144" w:afterLines="60" w:after="144"/>
              <w:rPr>
                <w:rFonts w:ascii="Times New Roman" w:hAnsi="Times New Roman"/>
                <w:b/>
                <w:sz w:val="24"/>
                <w:u w:val="single"/>
              </w:rPr>
            </w:pPr>
            <w:r>
              <w:rPr>
                <w:rFonts w:ascii="Times New Roman" w:hAnsi="Times New Roman"/>
                <w:b/>
                <w:sz w:val="24"/>
                <w:u w:val="single"/>
              </w:rPr>
              <w:t xml:space="preserve">DI CUI: PORTAFOGLIO DI NEGOZIAZIONE </w:t>
            </w:r>
          </w:p>
          <w:p w:rsidR="00973707" w:rsidRPr="00661595" w:rsidRDefault="00973707" w:rsidP="003E376A">
            <w:pPr>
              <w:suppressAutoHyphens/>
              <w:spacing w:beforeLines="60" w:before="144" w:afterLines="60" w:after="144"/>
              <w:rPr>
                <w:rFonts w:ascii="Times New Roman" w:hAnsi="Times New Roman"/>
                <w:sz w:val="24"/>
              </w:rPr>
            </w:pPr>
            <w:r>
              <w:rPr>
                <w:rFonts w:ascii="Times New Roman" w:hAnsi="Times New Roman"/>
                <w:sz w:val="24"/>
              </w:rPr>
              <w:t>Articolo 7, paragrafo 2, del regolamento delegato (UE) 2016/101.</w:t>
            </w:r>
          </w:p>
          <w:p w:rsidR="00973707" w:rsidRPr="00661595" w:rsidRDefault="00973707" w:rsidP="003E376A">
            <w:pPr>
              <w:suppressAutoHyphens/>
              <w:spacing w:beforeLines="60" w:before="144" w:afterLines="60" w:after="144"/>
              <w:rPr>
                <w:rFonts w:ascii="Times New Roman" w:hAnsi="Times New Roman"/>
                <w:b/>
                <w:sz w:val="24"/>
                <w:u w:val="single"/>
              </w:rPr>
            </w:pPr>
            <w:r>
              <w:rPr>
                <w:rFonts w:ascii="Times New Roman" w:hAnsi="Times New Roman"/>
                <w:sz w:val="24"/>
              </w:rPr>
              <w:t>Per ciascuna categoria pertinente di AVA di cui alle colonne da 0010 a 0110, la quota degli AVA totali indicati nella riga 0010 derivante da posizioni del portafoglio di negoziazione (valore assoluto).</w:t>
            </w:r>
          </w:p>
        </w:tc>
      </w:tr>
      <w:tr w:rsidR="00973707" w:rsidRPr="00661595" w:rsidTr="00672D2A">
        <w:tc>
          <w:tcPr>
            <w:tcW w:w="1101" w:type="dxa"/>
          </w:tcPr>
          <w:p w:rsidR="00973707" w:rsidRPr="00661595" w:rsidRDefault="009A7A38" w:rsidP="003E376A">
            <w:pPr>
              <w:suppressAutoHyphens/>
              <w:spacing w:beforeLines="60" w:before="144" w:afterLines="60" w:after="144"/>
              <w:rPr>
                <w:rFonts w:ascii="Times New Roman" w:hAnsi="Times New Roman"/>
                <w:sz w:val="24"/>
              </w:rPr>
            </w:pPr>
            <w:r>
              <w:rPr>
                <w:rFonts w:ascii="Times New Roman" w:hAnsi="Times New Roman"/>
                <w:sz w:val="24"/>
              </w:rPr>
              <w:t>0030</w:t>
            </w:r>
          </w:p>
        </w:tc>
        <w:tc>
          <w:tcPr>
            <w:tcW w:w="8187" w:type="dxa"/>
          </w:tcPr>
          <w:p w:rsidR="00973707" w:rsidRPr="00661595" w:rsidRDefault="00973707" w:rsidP="003E376A">
            <w:pPr>
              <w:suppressAutoHyphens/>
              <w:spacing w:beforeLines="60" w:before="144" w:afterLines="60" w:after="144"/>
              <w:rPr>
                <w:rFonts w:ascii="Times New Roman" w:hAnsi="Times New Roman"/>
                <w:b/>
                <w:sz w:val="24"/>
                <w:u w:val="single"/>
              </w:rPr>
            </w:pPr>
            <w:r>
              <w:rPr>
                <w:rFonts w:ascii="Times New Roman" w:hAnsi="Times New Roman"/>
                <w:b/>
                <w:sz w:val="24"/>
                <w:u w:val="single"/>
              </w:rPr>
              <w:t>1.1 PORTAFOGLI DI CUI AGLI ARTICOLI DA 9 A 17</w:t>
            </w:r>
            <w:r>
              <w:t xml:space="preserve"> </w:t>
            </w:r>
            <w:r>
              <w:rPr>
                <w:rFonts w:ascii="Times New Roman" w:hAnsi="Times New Roman"/>
                <w:b/>
                <w:sz w:val="24"/>
                <w:u w:val="single"/>
              </w:rPr>
              <w:t xml:space="preserve">DEL REGOLAMENTO DELEGATO (UE) 2016/101 DELLA COMMISSIONE - TOTALE A LIVELLO DI CATEGORIA POST-DIVERSIFICAZIONE </w:t>
            </w:r>
          </w:p>
          <w:p w:rsidR="00973707" w:rsidRPr="00661595" w:rsidRDefault="002B004B" w:rsidP="003E376A">
            <w:pPr>
              <w:suppressAutoHyphens/>
              <w:spacing w:beforeLines="60" w:before="144" w:afterLines="60" w:after="144"/>
              <w:rPr>
                <w:rFonts w:ascii="Times New Roman" w:hAnsi="Times New Roman"/>
                <w:sz w:val="24"/>
              </w:rPr>
            </w:pPr>
            <w:r>
              <w:rPr>
                <w:rFonts w:ascii="Times New Roman" w:hAnsi="Times New Roman"/>
                <w:sz w:val="24"/>
              </w:rPr>
              <w:t>Articolo 7, paragrafo 2, lettera a), del regolamento delegato (UE) 2016/101.</w:t>
            </w:r>
          </w:p>
          <w:p w:rsidR="00973707" w:rsidRPr="00661595" w:rsidRDefault="00973707" w:rsidP="003E376A">
            <w:pPr>
              <w:suppressAutoHyphens/>
              <w:spacing w:beforeLines="60" w:before="144" w:afterLines="60" w:after="144"/>
              <w:rPr>
                <w:rFonts w:ascii="Times New Roman" w:hAnsi="Times New Roman"/>
                <w:sz w:val="24"/>
              </w:rPr>
            </w:pPr>
            <w:r>
              <w:rPr>
                <w:rFonts w:ascii="Times New Roman" w:hAnsi="Times New Roman"/>
                <w:sz w:val="24"/>
              </w:rPr>
              <w:t>Per ciascuna categoria pertinente di AVA di cui alle colonne da 0010 a 0110, gli AVA totali computati a norma degli articoli da 9 a 17 del regolamento delegato (UE) 2016/101 per le attività e le passività valutate al fair value (valore equo) incluse ai fini del computo della soglia a norma dell</w:t>
            </w:r>
            <w:r w:rsidR="000878EC">
              <w:rPr>
                <w:rFonts w:ascii="Times New Roman" w:hAnsi="Times New Roman"/>
                <w:sz w:val="24"/>
              </w:rPr>
              <w:t>'</w:t>
            </w:r>
            <w:r>
              <w:rPr>
                <w:rFonts w:ascii="Times New Roman" w:hAnsi="Times New Roman"/>
                <w:sz w:val="24"/>
              </w:rPr>
              <w:t>articolo 4, paragrafo 1, del medesimo regolamento, ad eccezione delle attività e delle passività valutate al fair value (valore equo) soggette al trattamento descritto all</w:t>
            </w:r>
            <w:r w:rsidR="000878EC">
              <w:rPr>
                <w:rFonts w:ascii="Times New Roman" w:hAnsi="Times New Roman"/>
                <w:sz w:val="24"/>
              </w:rPr>
              <w:t>'</w:t>
            </w:r>
            <w:r>
              <w:rPr>
                <w:rFonts w:ascii="Times New Roman" w:hAnsi="Times New Roman"/>
                <w:sz w:val="24"/>
              </w:rPr>
              <w:t xml:space="preserve">articolo 7, paragrafo 2, lettera b), del regolamento delegato (UE) 2016/101. </w:t>
            </w:r>
          </w:p>
          <w:p w:rsidR="00973707" w:rsidRPr="00661595" w:rsidRDefault="00973707" w:rsidP="003E376A">
            <w:pPr>
              <w:suppressAutoHyphens/>
              <w:spacing w:beforeLines="60" w:before="144" w:afterLines="60" w:after="144"/>
              <w:rPr>
                <w:rFonts w:ascii="Times New Roman" w:hAnsi="Times New Roman"/>
                <w:sz w:val="24"/>
              </w:rPr>
            </w:pPr>
            <w:r>
              <w:rPr>
                <w:rFonts w:ascii="Times New Roman" w:hAnsi="Times New Roman"/>
                <w:sz w:val="24"/>
              </w:rPr>
              <w:t>Sono compresi gli AVA computati a norma degli articoli 12 e 13 del regolamento delegato (UE) 2016/101 che sono indicati nelle righe 0050 e 0060 e sono inclusi negli AVA per l</w:t>
            </w:r>
            <w:r w:rsidR="000878EC">
              <w:rPr>
                <w:rFonts w:ascii="Times New Roman" w:hAnsi="Times New Roman"/>
                <w:sz w:val="24"/>
              </w:rPr>
              <w:t>'</w:t>
            </w:r>
            <w:r>
              <w:rPr>
                <w:rFonts w:ascii="Times New Roman" w:hAnsi="Times New Roman"/>
                <w:sz w:val="24"/>
              </w:rPr>
              <w:t>incertezza delle quotazioni di mercato, negli AVA per i costi di chiusura e negli AVA per i rischi del modello come previsto all</w:t>
            </w:r>
            <w:r w:rsidR="000878EC">
              <w:rPr>
                <w:rFonts w:ascii="Times New Roman" w:hAnsi="Times New Roman"/>
                <w:sz w:val="24"/>
              </w:rPr>
              <w:t>'</w:t>
            </w:r>
            <w:r>
              <w:rPr>
                <w:rFonts w:ascii="Times New Roman" w:hAnsi="Times New Roman"/>
                <w:sz w:val="24"/>
              </w:rPr>
              <w:t>articolo 12, paragrafo 2, e all</w:t>
            </w:r>
            <w:r w:rsidR="000878EC">
              <w:rPr>
                <w:rFonts w:ascii="Times New Roman" w:hAnsi="Times New Roman"/>
                <w:sz w:val="24"/>
              </w:rPr>
              <w:t>'</w:t>
            </w:r>
            <w:r>
              <w:rPr>
                <w:rFonts w:ascii="Times New Roman" w:hAnsi="Times New Roman"/>
                <w:sz w:val="24"/>
              </w:rPr>
              <w:t xml:space="preserve">articolo 13, paragrafo 2, del medesimo regolamento. </w:t>
            </w:r>
          </w:p>
          <w:p w:rsidR="00973707" w:rsidRPr="00661595" w:rsidRDefault="00973707" w:rsidP="003E376A">
            <w:pPr>
              <w:suppressAutoHyphens/>
              <w:spacing w:beforeLines="60" w:before="144" w:afterLines="60" w:after="144"/>
              <w:rPr>
                <w:rFonts w:ascii="Times New Roman" w:hAnsi="Times New Roman"/>
                <w:sz w:val="24"/>
              </w:rPr>
            </w:pPr>
            <w:r>
              <w:rPr>
                <w:rFonts w:ascii="Times New Roman" w:hAnsi="Times New Roman"/>
                <w:sz w:val="24"/>
              </w:rPr>
              <w:t>Sono inclusi i benefici della diversificazione indicati nella riga 0140 a norma dell</w:t>
            </w:r>
            <w:r w:rsidR="000878EC">
              <w:rPr>
                <w:rFonts w:ascii="Times New Roman" w:hAnsi="Times New Roman"/>
                <w:sz w:val="24"/>
              </w:rPr>
              <w:t>'</w:t>
            </w:r>
            <w:r>
              <w:rPr>
                <w:rFonts w:ascii="Times New Roman" w:hAnsi="Times New Roman"/>
                <w:sz w:val="24"/>
              </w:rPr>
              <w:t>articolo 9, paragrafo 6, dell</w:t>
            </w:r>
            <w:r w:rsidR="000878EC">
              <w:rPr>
                <w:rFonts w:ascii="Times New Roman" w:hAnsi="Times New Roman"/>
                <w:sz w:val="24"/>
              </w:rPr>
              <w:t>'</w:t>
            </w:r>
            <w:r>
              <w:rPr>
                <w:rFonts w:ascii="Times New Roman" w:hAnsi="Times New Roman"/>
                <w:sz w:val="24"/>
              </w:rPr>
              <w:t>articolo 10, paragrafo 7, e dell</w:t>
            </w:r>
            <w:r w:rsidR="000878EC">
              <w:rPr>
                <w:rFonts w:ascii="Times New Roman" w:hAnsi="Times New Roman"/>
                <w:sz w:val="24"/>
              </w:rPr>
              <w:t>'</w:t>
            </w:r>
            <w:r>
              <w:rPr>
                <w:rFonts w:ascii="Times New Roman" w:hAnsi="Times New Roman"/>
                <w:sz w:val="24"/>
              </w:rPr>
              <w:t xml:space="preserve">articolo 11, paragrafo 7, del regolamento delegato (UE) 2016/101. </w:t>
            </w:r>
          </w:p>
          <w:p w:rsidR="00973707" w:rsidRPr="00661595" w:rsidRDefault="00973707" w:rsidP="003E376A">
            <w:pPr>
              <w:suppressAutoHyphens/>
              <w:spacing w:beforeLines="60" w:before="144" w:afterLines="60" w:after="144"/>
              <w:rPr>
                <w:rFonts w:ascii="Times New Roman" w:hAnsi="Times New Roman"/>
                <w:sz w:val="24"/>
              </w:rPr>
            </w:pPr>
            <w:r>
              <w:rPr>
                <w:rFonts w:ascii="Times New Roman" w:hAnsi="Times New Roman"/>
                <w:sz w:val="24"/>
              </w:rPr>
              <w:t xml:space="preserve">La riga 0030 è la differenza tra le righe 0040 e 0140. </w:t>
            </w:r>
          </w:p>
        </w:tc>
      </w:tr>
      <w:tr w:rsidR="00973707" w:rsidRPr="00661595" w:rsidTr="00672D2A">
        <w:tc>
          <w:tcPr>
            <w:tcW w:w="1101" w:type="dxa"/>
          </w:tcPr>
          <w:p w:rsidR="00973707" w:rsidRPr="00661595" w:rsidRDefault="009A7A38" w:rsidP="003E376A">
            <w:pPr>
              <w:suppressAutoHyphens/>
              <w:spacing w:beforeLines="60" w:before="144" w:afterLines="60" w:after="144"/>
              <w:rPr>
                <w:rFonts w:ascii="Times New Roman" w:hAnsi="Times New Roman"/>
                <w:sz w:val="24"/>
              </w:rPr>
            </w:pPr>
            <w:r>
              <w:rPr>
                <w:rFonts w:ascii="Times New Roman" w:hAnsi="Times New Roman"/>
                <w:sz w:val="24"/>
              </w:rPr>
              <w:t>0040 - 0130</w:t>
            </w:r>
          </w:p>
        </w:tc>
        <w:tc>
          <w:tcPr>
            <w:tcW w:w="8187" w:type="dxa"/>
          </w:tcPr>
          <w:p w:rsidR="00973707" w:rsidRPr="00661595" w:rsidRDefault="00973707" w:rsidP="003E376A">
            <w:pPr>
              <w:suppressAutoHyphens/>
              <w:spacing w:beforeLines="60" w:before="144" w:afterLines="60" w:after="144"/>
              <w:rPr>
                <w:rFonts w:ascii="Times New Roman" w:hAnsi="Times New Roman"/>
                <w:b/>
                <w:sz w:val="24"/>
                <w:u w:val="single"/>
              </w:rPr>
            </w:pPr>
            <w:r>
              <w:rPr>
                <w:rFonts w:ascii="Times New Roman" w:hAnsi="Times New Roman"/>
                <w:b/>
                <w:sz w:val="24"/>
                <w:u w:val="single"/>
              </w:rPr>
              <w:t>1.1.1 TOTALE A LIVELLO DI CATEGORIA PRE-DIVERSIFICAZIONE</w:t>
            </w:r>
          </w:p>
          <w:p w:rsidR="00973707" w:rsidRPr="00661595" w:rsidRDefault="00973707" w:rsidP="003E376A">
            <w:pPr>
              <w:suppressAutoHyphens/>
              <w:spacing w:beforeLines="60" w:before="144" w:afterLines="60" w:after="144"/>
              <w:rPr>
                <w:rFonts w:ascii="Times New Roman" w:hAnsi="Times New Roman"/>
                <w:sz w:val="24"/>
              </w:rPr>
            </w:pPr>
            <w:r>
              <w:rPr>
                <w:rFonts w:ascii="Times New Roman" w:hAnsi="Times New Roman"/>
                <w:sz w:val="24"/>
              </w:rPr>
              <w:t>Per le righe da 0090 a 0130 gli enti classificano le loro attività e passività valutate al fair value (valore equo) incluse ai fini del computo della soglia a norma dell</w:t>
            </w:r>
            <w:r w:rsidR="000878EC">
              <w:rPr>
                <w:rFonts w:ascii="Times New Roman" w:hAnsi="Times New Roman"/>
                <w:sz w:val="24"/>
              </w:rPr>
              <w:t>'</w:t>
            </w:r>
            <w:r>
              <w:rPr>
                <w:rFonts w:ascii="Times New Roman" w:hAnsi="Times New Roman"/>
                <w:sz w:val="24"/>
              </w:rPr>
              <w:t>articolo 4, paragrafo 1, del regolamento delegato (UE) 2016/101 (all</w:t>
            </w:r>
            <w:r w:rsidR="000878EC">
              <w:rPr>
                <w:rFonts w:ascii="Times New Roman" w:hAnsi="Times New Roman"/>
                <w:sz w:val="24"/>
              </w:rPr>
              <w:t>'</w:t>
            </w:r>
            <w:r>
              <w:rPr>
                <w:rFonts w:ascii="Times New Roman" w:hAnsi="Times New Roman"/>
                <w:sz w:val="24"/>
              </w:rPr>
              <w:t>interno e all</w:t>
            </w:r>
            <w:r w:rsidR="000878EC">
              <w:rPr>
                <w:rFonts w:ascii="Times New Roman" w:hAnsi="Times New Roman"/>
                <w:sz w:val="24"/>
              </w:rPr>
              <w:t>'</w:t>
            </w:r>
            <w:r>
              <w:rPr>
                <w:rFonts w:ascii="Times New Roman" w:hAnsi="Times New Roman"/>
                <w:sz w:val="24"/>
              </w:rPr>
              <w:t xml:space="preserve">esterno del portafoglio di negoziazione) in base alle categorie di rischio seguenti: tassi di interesse, cambio, credito, strumenti di capitale e merci. </w:t>
            </w:r>
          </w:p>
          <w:p w:rsidR="00973707" w:rsidRPr="00661595" w:rsidRDefault="00973707" w:rsidP="003E376A">
            <w:pPr>
              <w:suppressAutoHyphens/>
              <w:spacing w:beforeLines="60" w:before="144" w:afterLines="60" w:after="144"/>
              <w:rPr>
                <w:rFonts w:ascii="Times New Roman" w:hAnsi="Times New Roman"/>
                <w:sz w:val="24"/>
              </w:rPr>
            </w:pPr>
            <w:r>
              <w:rPr>
                <w:rFonts w:ascii="Times New Roman" w:hAnsi="Times New Roman"/>
                <w:sz w:val="24"/>
              </w:rPr>
              <w:t>A tal fine gli enti si affidano alla loro struttura interna di gestione del rischio e, secondo una mappatura elaborata in base alla valutazione di esperti, assegnano le loro linee di business o unità di negoziazione alla categoria di rischio più appropriata. Gli AVA, le rettifiche del fair value (valore equo) ed altre informazioni richieste corrispondenti alle linee di business o alle unità di negoziazione assegnate sono allocati alla stessa categoria di rischio pertinente, per fornire a livello di riga per ciascuna categoria di rischio un quadro coerente degli aggiustamenti apportati sia a fini prudenziali che a fini contabili ed un</w:t>
            </w:r>
            <w:r w:rsidR="000878EC">
              <w:rPr>
                <w:rFonts w:ascii="Times New Roman" w:hAnsi="Times New Roman"/>
                <w:sz w:val="24"/>
              </w:rPr>
              <w:t>'</w:t>
            </w:r>
            <w:r>
              <w:rPr>
                <w:rFonts w:ascii="Times New Roman" w:hAnsi="Times New Roman"/>
                <w:sz w:val="24"/>
              </w:rPr>
              <w:t xml:space="preserve">indicazione della dimensione delle posizioni interessate (in termini di attività e passività valutate al fair value (valore equo)). Quando gli AVA o altri aggiustamenti sono computati ad un livello di aggregazione diverso, in particolare a livello di impresa, gli enti elaborano una metodologia di assegnazione degli AVA agli insiemi pertinenti di posizioni. La metodologia di allocazione fa sì che la riga 0040 sia la somma delle righe da 0050 a 0130 per le colonne da 0010 a 0100. </w:t>
            </w:r>
          </w:p>
          <w:p w:rsidR="00973707" w:rsidRPr="00661595" w:rsidRDefault="00973707" w:rsidP="003E376A">
            <w:pPr>
              <w:suppressAutoHyphens/>
              <w:spacing w:beforeLines="60" w:before="144" w:afterLines="60" w:after="144"/>
              <w:rPr>
                <w:rFonts w:ascii="Times New Roman" w:hAnsi="Times New Roman"/>
                <w:sz w:val="24"/>
              </w:rPr>
            </w:pPr>
            <w:r>
              <w:rPr>
                <w:rFonts w:ascii="Times New Roman" w:hAnsi="Times New Roman"/>
                <w:sz w:val="24"/>
              </w:rPr>
              <w:t xml:space="preserve">Indipendentemente dal metodo applicato, le informazioni fornite sono per quanto possibile coerenti a livello di riga poiché saranno comparate a tale livello (importi AVA, incertezza </w:t>
            </w:r>
            <w:r w:rsidR="000878EC">
              <w:rPr>
                <w:rFonts w:ascii="Times New Roman" w:hAnsi="Times New Roman"/>
                <w:sz w:val="24"/>
              </w:rPr>
              <w:t>"</w:t>
            </w:r>
            <w:r>
              <w:rPr>
                <w:rFonts w:ascii="Times New Roman" w:hAnsi="Times New Roman"/>
                <w:sz w:val="24"/>
              </w:rPr>
              <w:t>upside</w:t>
            </w:r>
            <w:r w:rsidR="000878EC">
              <w:rPr>
                <w:rFonts w:ascii="Times New Roman" w:hAnsi="Times New Roman"/>
                <w:sz w:val="24"/>
              </w:rPr>
              <w:t>"</w:t>
            </w:r>
            <w:r>
              <w:rPr>
                <w:rFonts w:ascii="Times New Roman" w:hAnsi="Times New Roman"/>
                <w:sz w:val="24"/>
              </w:rPr>
              <w:t xml:space="preserve">, importi del fair value (valore equo) e potenziali rettifiche del fair value (valore equo)). </w:t>
            </w:r>
          </w:p>
          <w:p w:rsidR="00973707" w:rsidRPr="00661595" w:rsidRDefault="00973707" w:rsidP="003E376A">
            <w:pPr>
              <w:suppressAutoHyphens/>
              <w:spacing w:beforeLines="60" w:before="144" w:afterLines="60" w:after="144"/>
              <w:rPr>
                <w:rFonts w:ascii="Times New Roman" w:hAnsi="Times New Roman"/>
                <w:sz w:val="24"/>
              </w:rPr>
            </w:pPr>
            <w:r>
              <w:rPr>
                <w:rFonts w:ascii="Times New Roman" w:hAnsi="Times New Roman"/>
                <w:sz w:val="24"/>
              </w:rPr>
              <w:t>La ripartizione nelle righe da 0090 a 0130 esclude gli AVA computati a norma degli articoli 12 e 13 del regolamento delegato (UE) 2016/101 che sono indicati nelle righe 0050 e 0060 e sono inclusi negli AVA per l</w:t>
            </w:r>
            <w:r w:rsidR="000878EC">
              <w:rPr>
                <w:rFonts w:ascii="Times New Roman" w:hAnsi="Times New Roman"/>
                <w:sz w:val="24"/>
              </w:rPr>
              <w:t>'</w:t>
            </w:r>
            <w:r>
              <w:rPr>
                <w:rFonts w:ascii="Times New Roman" w:hAnsi="Times New Roman"/>
                <w:sz w:val="24"/>
              </w:rPr>
              <w:t>incertezza delle quotazioni di mercato, negli AVA per i costi di chiusura e negli AVA per i rischi del modello come previsto all</w:t>
            </w:r>
            <w:r w:rsidR="000878EC">
              <w:rPr>
                <w:rFonts w:ascii="Times New Roman" w:hAnsi="Times New Roman"/>
                <w:sz w:val="24"/>
              </w:rPr>
              <w:t>'</w:t>
            </w:r>
            <w:r>
              <w:rPr>
                <w:rFonts w:ascii="Times New Roman" w:hAnsi="Times New Roman"/>
                <w:sz w:val="24"/>
              </w:rPr>
              <w:t>articolo 12, paragrafo 2, e all</w:t>
            </w:r>
            <w:r w:rsidR="000878EC">
              <w:rPr>
                <w:rFonts w:ascii="Times New Roman" w:hAnsi="Times New Roman"/>
                <w:sz w:val="24"/>
              </w:rPr>
              <w:t>'</w:t>
            </w:r>
            <w:r>
              <w:rPr>
                <w:rFonts w:ascii="Times New Roman" w:hAnsi="Times New Roman"/>
                <w:sz w:val="24"/>
              </w:rPr>
              <w:t>articolo 13, paragrafo 2, del medesimo regolamento.</w:t>
            </w:r>
          </w:p>
          <w:p w:rsidR="00973707" w:rsidRPr="00661595" w:rsidRDefault="00973707" w:rsidP="003E376A">
            <w:pPr>
              <w:suppressAutoHyphens/>
              <w:spacing w:beforeLines="60" w:before="144" w:afterLines="60" w:after="144"/>
              <w:rPr>
                <w:rFonts w:ascii="Times New Roman" w:hAnsi="Times New Roman"/>
                <w:sz w:val="24"/>
              </w:rPr>
            </w:pPr>
            <w:r>
              <w:rPr>
                <w:rFonts w:ascii="Times New Roman" w:hAnsi="Times New Roman"/>
                <w:sz w:val="24"/>
              </w:rPr>
              <w:t xml:space="preserve">I benefici della diversificazione sono indicati nella </w:t>
            </w:r>
            <w:r w:rsidR="003E376A">
              <w:rPr>
                <w:rFonts w:ascii="Times New Roman" w:hAnsi="Times New Roman"/>
                <w:sz w:val="24"/>
              </w:rPr>
              <w:t>riga 0140 a norma dell</w:t>
            </w:r>
            <w:r w:rsidR="000878EC">
              <w:rPr>
                <w:rFonts w:ascii="Times New Roman" w:hAnsi="Times New Roman"/>
                <w:sz w:val="24"/>
              </w:rPr>
              <w:t>'</w:t>
            </w:r>
            <w:r w:rsidR="003E376A">
              <w:rPr>
                <w:rFonts w:ascii="Times New Roman" w:hAnsi="Times New Roman"/>
                <w:sz w:val="24"/>
              </w:rPr>
              <w:t>articolo </w:t>
            </w:r>
            <w:r>
              <w:rPr>
                <w:rFonts w:ascii="Times New Roman" w:hAnsi="Times New Roman"/>
                <w:sz w:val="24"/>
              </w:rPr>
              <w:t>9, paragrafo 6, dell</w:t>
            </w:r>
            <w:r w:rsidR="000878EC">
              <w:rPr>
                <w:rFonts w:ascii="Times New Roman" w:hAnsi="Times New Roman"/>
                <w:sz w:val="24"/>
              </w:rPr>
              <w:t>'</w:t>
            </w:r>
            <w:r>
              <w:rPr>
                <w:rFonts w:ascii="Times New Roman" w:hAnsi="Times New Roman"/>
                <w:sz w:val="24"/>
              </w:rPr>
              <w:t>articolo 10, paragrafo 7, e dell</w:t>
            </w:r>
            <w:r w:rsidR="000878EC">
              <w:rPr>
                <w:rFonts w:ascii="Times New Roman" w:hAnsi="Times New Roman"/>
                <w:sz w:val="24"/>
              </w:rPr>
              <w:t>'</w:t>
            </w:r>
            <w:r>
              <w:rPr>
                <w:rFonts w:ascii="Times New Roman" w:hAnsi="Times New Roman"/>
                <w:sz w:val="24"/>
              </w:rPr>
              <w:t xml:space="preserve">articolo 11, paragrafo 7, del regolamento delegato (UE) 2016/101 e sono pertanto esclusi dalle righe da 0040 a 0130. </w:t>
            </w:r>
          </w:p>
        </w:tc>
      </w:tr>
      <w:tr w:rsidR="00973707" w:rsidRPr="00661595" w:rsidTr="00672D2A">
        <w:tc>
          <w:tcPr>
            <w:tcW w:w="1101" w:type="dxa"/>
          </w:tcPr>
          <w:p w:rsidR="00973707" w:rsidRPr="00661595" w:rsidRDefault="009A7A38" w:rsidP="003E376A">
            <w:pPr>
              <w:keepNext/>
              <w:keepLines/>
              <w:suppressAutoHyphens/>
              <w:spacing w:beforeLines="60" w:before="144" w:afterLines="60" w:after="144"/>
              <w:rPr>
                <w:rFonts w:ascii="Times New Roman" w:hAnsi="Times New Roman"/>
                <w:sz w:val="24"/>
              </w:rPr>
            </w:pPr>
            <w:r>
              <w:rPr>
                <w:rFonts w:ascii="Times New Roman" w:hAnsi="Times New Roman"/>
                <w:sz w:val="24"/>
              </w:rPr>
              <w:t>0050</w:t>
            </w:r>
          </w:p>
        </w:tc>
        <w:tc>
          <w:tcPr>
            <w:tcW w:w="8187" w:type="dxa"/>
            <w:shd w:val="clear" w:color="auto" w:fill="auto"/>
          </w:tcPr>
          <w:p w:rsidR="00973707" w:rsidRPr="00661595" w:rsidRDefault="00973707" w:rsidP="003E376A">
            <w:pPr>
              <w:keepNext/>
              <w:keepLines/>
              <w:suppressAutoHyphens/>
              <w:spacing w:beforeLines="60" w:before="144" w:afterLines="60" w:after="144"/>
              <w:rPr>
                <w:rFonts w:ascii="Times New Roman" w:hAnsi="Times New Roman"/>
                <w:b/>
                <w:sz w:val="24"/>
                <w:u w:val="single"/>
              </w:rPr>
            </w:pPr>
            <w:r>
              <w:rPr>
                <w:rFonts w:ascii="Times New Roman" w:hAnsi="Times New Roman"/>
                <w:b/>
                <w:sz w:val="24"/>
                <w:u w:val="single"/>
              </w:rPr>
              <w:t>DI CUI: AVA PER DIFFERENZIALI CREDITIZI NON REALIZZATI</w:t>
            </w:r>
          </w:p>
          <w:p w:rsidR="00973707" w:rsidRPr="00661595" w:rsidRDefault="00973707" w:rsidP="003E376A">
            <w:pPr>
              <w:keepNext/>
              <w:keepLines/>
              <w:suppressAutoHyphens/>
              <w:spacing w:beforeLines="60" w:before="144" w:afterLines="60" w:after="144"/>
              <w:rPr>
                <w:rFonts w:ascii="Times New Roman" w:hAnsi="Times New Roman"/>
                <w:sz w:val="24"/>
              </w:rPr>
            </w:pPr>
            <w:r>
              <w:rPr>
                <w:rFonts w:ascii="Times New Roman" w:hAnsi="Times New Roman"/>
                <w:sz w:val="24"/>
              </w:rPr>
              <w:t>Articolo 105, paragrafo 10, del CRR, articolo 12 del regolamento delegato (UE) 2016/101.</w:t>
            </w:r>
          </w:p>
          <w:p w:rsidR="00973707" w:rsidRPr="00661595" w:rsidRDefault="00973707" w:rsidP="003E376A">
            <w:pPr>
              <w:keepNext/>
              <w:keepLines/>
              <w:suppressAutoHyphens/>
              <w:spacing w:beforeLines="60" w:before="144" w:afterLines="60" w:after="144"/>
              <w:rPr>
                <w:rFonts w:ascii="Times New Roman" w:hAnsi="Times New Roman"/>
                <w:sz w:val="24"/>
              </w:rPr>
            </w:pPr>
            <w:r>
              <w:rPr>
                <w:rFonts w:ascii="Times New Roman" w:hAnsi="Times New Roman"/>
                <w:sz w:val="24"/>
              </w:rPr>
              <w:t>L</w:t>
            </w:r>
            <w:r w:rsidR="000878EC">
              <w:rPr>
                <w:rFonts w:ascii="Times New Roman" w:hAnsi="Times New Roman"/>
                <w:sz w:val="24"/>
              </w:rPr>
              <w:t>'</w:t>
            </w:r>
            <w:r>
              <w:rPr>
                <w:rFonts w:ascii="Times New Roman" w:hAnsi="Times New Roman"/>
                <w:sz w:val="24"/>
              </w:rPr>
              <w:t>AVA totale calcolato per i differenziali creditizi non realizzati (</w:t>
            </w:r>
            <w:r w:rsidR="000878EC">
              <w:rPr>
                <w:rFonts w:ascii="Times New Roman" w:hAnsi="Times New Roman"/>
                <w:sz w:val="24"/>
              </w:rPr>
              <w:t>"</w:t>
            </w:r>
            <w:r>
              <w:rPr>
                <w:rFonts w:ascii="Times New Roman" w:hAnsi="Times New Roman"/>
                <w:sz w:val="24"/>
              </w:rPr>
              <w:t>AVA su CVA</w:t>
            </w:r>
            <w:r w:rsidR="000878EC">
              <w:rPr>
                <w:rFonts w:ascii="Times New Roman" w:hAnsi="Times New Roman"/>
                <w:sz w:val="24"/>
              </w:rPr>
              <w:t>"</w:t>
            </w:r>
            <w:r>
              <w:rPr>
                <w:rFonts w:ascii="Times New Roman" w:hAnsi="Times New Roman"/>
                <w:sz w:val="24"/>
              </w:rPr>
              <w:t>) e la sua attribuzione agli AVA per l</w:t>
            </w:r>
            <w:r w:rsidR="000878EC">
              <w:rPr>
                <w:rFonts w:ascii="Times New Roman" w:hAnsi="Times New Roman"/>
                <w:sz w:val="24"/>
              </w:rPr>
              <w:t>'</w:t>
            </w:r>
            <w:r>
              <w:rPr>
                <w:rFonts w:ascii="Times New Roman" w:hAnsi="Times New Roman"/>
                <w:sz w:val="24"/>
              </w:rPr>
              <w:t>incertezza delle quotazioni di mercato, agli AVA per i costi di chiusura o agli AVA per i rischi del modello a norma dell</w:t>
            </w:r>
            <w:r w:rsidR="000878EC">
              <w:rPr>
                <w:rFonts w:ascii="Times New Roman" w:hAnsi="Times New Roman"/>
                <w:sz w:val="24"/>
              </w:rPr>
              <w:t>'</w:t>
            </w:r>
            <w:r>
              <w:rPr>
                <w:rFonts w:ascii="Times New Roman" w:hAnsi="Times New Roman"/>
                <w:sz w:val="24"/>
              </w:rPr>
              <w:t xml:space="preserve">articolo 12 del regolamento delegato (UE) 2016/101. </w:t>
            </w:r>
          </w:p>
          <w:p w:rsidR="00973707" w:rsidRPr="00661595" w:rsidRDefault="00973707" w:rsidP="003E376A">
            <w:pPr>
              <w:keepNext/>
              <w:keepLines/>
              <w:suppressAutoHyphens/>
              <w:spacing w:beforeLines="60" w:before="144" w:afterLines="60" w:after="144"/>
              <w:rPr>
                <w:rFonts w:ascii="Times New Roman" w:hAnsi="Times New Roman"/>
                <w:sz w:val="24"/>
              </w:rPr>
            </w:pPr>
            <w:r>
              <w:rPr>
                <w:rFonts w:ascii="Times New Roman" w:hAnsi="Times New Roman"/>
                <w:sz w:val="24"/>
              </w:rPr>
              <w:t>Colonna 0110: l</w:t>
            </w:r>
            <w:r w:rsidR="000878EC">
              <w:rPr>
                <w:rFonts w:ascii="Times New Roman" w:hAnsi="Times New Roman"/>
                <w:sz w:val="24"/>
              </w:rPr>
              <w:t>'</w:t>
            </w:r>
            <w:r>
              <w:rPr>
                <w:rFonts w:ascii="Times New Roman" w:hAnsi="Times New Roman"/>
                <w:sz w:val="24"/>
              </w:rPr>
              <w:t>AVA totale è fornito solo per informazione in quanto la sua attribuzione agli AVA per l</w:t>
            </w:r>
            <w:r w:rsidR="000878EC">
              <w:rPr>
                <w:rFonts w:ascii="Times New Roman" w:hAnsi="Times New Roman"/>
                <w:sz w:val="24"/>
              </w:rPr>
              <w:t>'</w:t>
            </w:r>
            <w:r>
              <w:rPr>
                <w:rFonts w:ascii="Times New Roman" w:hAnsi="Times New Roman"/>
                <w:sz w:val="24"/>
              </w:rPr>
              <w:t xml:space="preserve">incertezza delle quotazioni di mercato, agli AVA per i costi di chiusura o agli AVA per i rischi del modello porta alla sua inclusione, dopo aver tenuto conto dei benefici della diversificazione, nei corrispondenti AVA a livello di categoria. </w:t>
            </w:r>
          </w:p>
          <w:p w:rsidR="00973707" w:rsidRPr="00661595" w:rsidRDefault="00973707" w:rsidP="003E376A">
            <w:pPr>
              <w:keepNext/>
              <w:keepLines/>
              <w:suppressAutoHyphens/>
              <w:spacing w:beforeLines="60" w:before="144" w:afterLines="60" w:after="144"/>
              <w:rPr>
                <w:rFonts w:ascii="Times New Roman" w:hAnsi="Times New Roman"/>
                <w:sz w:val="24"/>
              </w:rPr>
            </w:pPr>
            <w:r>
              <w:rPr>
                <w:rFonts w:ascii="Times New Roman" w:hAnsi="Times New Roman"/>
                <w:sz w:val="24"/>
              </w:rPr>
              <w:t>Colonne 0130 e 0140: il valore assoluto delle attività e delle passività valutate al fair value (valore equo) incluse ai fini del computo degli AVA per i differenziali creditizi non realizzati. Ai fini del computo di questo AVA, le attività e le passività valutate al fair value (valore equo) di segno opposto perfettamente corrispondenti, escluse dal computo della soglia a n</w:t>
            </w:r>
            <w:r w:rsidR="003E376A">
              <w:rPr>
                <w:rFonts w:ascii="Times New Roman" w:hAnsi="Times New Roman"/>
                <w:sz w:val="24"/>
              </w:rPr>
              <w:t>orma dell</w:t>
            </w:r>
            <w:r w:rsidR="000878EC">
              <w:rPr>
                <w:rFonts w:ascii="Times New Roman" w:hAnsi="Times New Roman"/>
                <w:sz w:val="24"/>
              </w:rPr>
              <w:t>'</w:t>
            </w:r>
            <w:r w:rsidR="003E376A">
              <w:rPr>
                <w:rFonts w:ascii="Times New Roman" w:hAnsi="Times New Roman"/>
                <w:sz w:val="24"/>
              </w:rPr>
              <w:t>articolo 4, paragrafo </w:t>
            </w:r>
            <w:r>
              <w:rPr>
                <w:rFonts w:ascii="Times New Roman" w:hAnsi="Times New Roman"/>
                <w:sz w:val="24"/>
              </w:rPr>
              <w:t>2, del regolamento delegato (UE) 2016/101, non sono più considerate di segno opposto perfettamente corrispondenti.</w:t>
            </w:r>
          </w:p>
        </w:tc>
      </w:tr>
      <w:tr w:rsidR="00973707" w:rsidRPr="00661595" w:rsidTr="00672D2A">
        <w:tc>
          <w:tcPr>
            <w:tcW w:w="1101" w:type="dxa"/>
          </w:tcPr>
          <w:p w:rsidR="00973707" w:rsidRPr="00661595" w:rsidRDefault="009A7A38" w:rsidP="003E376A">
            <w:pPr>
              <w:suppressAutoHyphens/>
              <w:spacing w:beforeLines="60" w:before="144" w:afterLines="60" w:after="144"/>
              <w:rPr>
                <w:rFonts w:ascii="Times New Roman" w:hAnsi="Times New Roman"/>
                <w:sz w:val="24"/>
              </w:rPr>
            </w:pPr>
            <w:r>
              <w:rPr>
                <w:rFonts w:ascii="Times New Roman" w:hAnsi="Times New Roman"/>
                <w:sz w:val="24"/>
              </w:rPr>
              <w:t>0060</w:t>
            </w:r>
          </w:p>
        </w:tc>
        <w:tc>
          <w:tcPr>
            <w:tcW w:w="8187" w:type="dxa"/>
            <w:shd w:val="clear" w:color="auto" w:fill="auto"/>
          </w:tcPr>
          <w:p w:rsidR="00973707" w:rsidRPr="00661595" w:rsidRDefault="00973707" w:rsidP="003E376A">
            <w:pPr>
              <w:suppressAutoHyphens/>
              <w:spacing w:beforeLines="60" w:before="144" w:afterLines="60" w:after="144"/>
              <w:rPr>
                <w:rFonts w:ascii="Times New Roman" w:hAnsi="Times New Roman"/>
                <w:b/>
                <w:sz w:val="24"/>
                <w:u w:val="single"/>
              </w:rPr>
            </w:pPr>
            <w:r>
              <w:rPr>
                <w:rFonts w:ascii="Times New Roman" w:hAnsi="Times New Roman"/>
                <w:b/>
                <w:sz w:val="24"/>
                <w:u w:val="single"/>
              </w:rPr>
              <w:t xml:space="preserve">DI CUI: AVA PER COSTI DI INVESTIMENTO E DI FINANZIAMENTO (FUNDING) </w:t>
            </w:r>
          </w:p>
          <w:p w:rsidR="00973707" w:rsidRPr="00661595" w:rsidRDefault="00973707" w:rsidP="003E376A">
            <w:pPr>
              <w:suppressAutoHyphens/>
              <w:spacing w:beforeLines="60" w:before="144" w:afterLines="60" w:after="144"/>
              <w:rPr>
                <w:rFonts w:ascii="Times New Roman" w:hAnsi="Times New Roman"/>
                <w:caps/>
                <w:sz w:val="24"/>
                <w:u w:val="single"/>
              </w:rPr>
            </w:pPr>
            <w:r>
              <w:rPr>
                <w:rFonts w:ascii="Times New Roman" w:hAnsi="Times New Roman"/>
                <w:sz w:val="24"/>
              </w:rPr>
              <w:t>Articolo 105, paragrafo 10, del CRR, articolo 17 del regolamento delegato (UE) 2016/101.</w:t>
            </w:r>
          </w:p>
          <w:p w:rsidR="00973707" w:rsidRPr="00661595" w:rsidRDefault="00973707" w:rsidP="003E376A">
            <w:pPr>
              <w:suppressAutoHyphens/>
              <w:spacing w:beforeLines="60" w:before="144" w:afterLines="60" w:after="144"/>
              <w:rPr>
                <w:rFonts w:ascii="Times New Roman" w:hAnsi="Times New Roman"/>
                <w:sz w:val="24"/>
              </w:rPr>
            </w:pPr>
            <w:r>
              <w:rPr>
                <w:rFonts w:ascii="Times New Roman" w:hAnsi="Times New Roman"/>
                <w:sz w:val="24"/>
              </w:rPr>
              <w:t>L</w:t>
            </w:r>
            <w:r w:rsidR="000878EC">
              <w:rPr>
                <w:rFonts w:ascii="Times New Roman" w:hAnsi="Times New Roman"/>
                <w:sz w:val="24"/>
              </w:rPr>
              <w:t>'</w:t>
            </w:r>
            <w:r>
              <w:rPr>
                <w:rFonts w:ascii="Times New Roman" w:hAnsi="Times New Roman"/>
                <w:sz w:val="24"/>
              </w:rPr>
              <w:t>AVA totale calcolato per i costi di investimento e di finanziamento (funding) e la sua attribuzione agli AVA per l</w:t>
            </w:r>
            <w:r w:rsidR="000878EC">
              <w:rPr>
                <w:rFonts w:ascii="Times New Roman" w:hAnsi="Times New Roman"/>
                <w:sz w:val="24"/>
              </w:rPr>
              <w:t>'</w:t>
            </w:r>
            <w:r>
              <w:rPr>
                <w:rFonts w:ascii="Times New Roman" w:hAnsi="Times New Roman"/>
                <w:sz w:val="24"/>
              </w:rPr>
              <w:t>incertezza delle quotazioni di mercato, agli AVA per i costi di chiusura o agli AVA per i rischi del modello a norma dell</w:t>
            </w:r>
            <w:r w:rsidR="000878EC">
              <w:rPr>
                <w:rFonts w:ascii="Times New Roman" w:hAnsi="Times New Roman"/>
                <w:sz w:val="24"/>
              </w:rPr>
              <w:t>'</w:t>
            </w:r>
            <w:r>
              <w:rPr>
                <w:rFonts w:ascii="Times New Roman" w:hAnsi="Times New Roman"/>
                <w:sz w:val="24"/>
              </w:rPr>
              <w:t xml:space="preserve">articolo 13 del regolamento delegato (UE) 2016/101. </w:t>
            </w:r>
          </w:p>
          <w:p w:rsidR="00973707" w:rsidRPr="00661595" w:rsidRDefault="00973707" w:rsidP="003E376A">
            <w:pPr>
              <w:suppressAutoHyphens/>
              <w:spacing w:beforeLines="60" w:before="144" w:afterLines="60" w:after="144"/>
              <w:rPr>
                <w:rFonts w:ascii="Times New Roman" w:hAnsi="Times New Roman"/>
                <w:sz w:val="24"/>
              </w:rPr>
            </w:pPr>
            <w:r>
              <w:rPr>
                <w:rFonts w:ascii="Times New Roman" w:hAnsi="Times New Roman"/>
                <w:sz w:val="24"/>
              </w:rPr>
              <w:t>Colonna 0110: l</w:t>
            </w:r>
            <w:r w:rsidR="000878EC">
              <w:rPr>
                <w:rFonts w:ascii="Times New Roman" w:hAnsi="Times New Roman"/>
                <w:sz w:val="24"/>
              </w:rPr>
              <w:t>'</w:t>
            </w:r>
            <w:r>
              <w:rPr>
                <w:rFonts w:ascii="Times New Roman" w:hAnsi="Times New Roman"/>
                <w:sz w:val="24"/>
              </w:rPr>
              <w:t>AVA totale è fornito solo per informazione in quanto la sua attribuzione agli AVA per l</w:t>
            </w:r>
            <w:r w:rsidR="000878EC">
              <w:rPr>
                <w:rFonts w:ascii="Times New Roman" w:hAnsi="Times New Roman"/>
                <w:sz w:val="24"/>
              </w:rPr>
              <w:t>'</w:t>
            </w:r>
            <w:r>
              <w:rPr>
                <w:rFonts w:ascii="Times New Roman" w:hAnsi="Times New Roman"/>
                <w:sz w:val="24"/>
              </w:rPr>
              <w:t xml:space="preserve">incertezza delle quotazioni di mercato, agli AVA per i costi di chiusura o agli AVA per i rischi del modello porta alla sua inclusione, dopo aver tenuto conto dei benefici della diversificazione, nei corrispondenti AVA a livello di categoria. </w:t>
            </w:r>
          </w:p>
          <w:p w:rsidR="00973707" w:rsidRPr="00661595" w:rsidRDefault="00973707" w:rsidP="003E376A">
            <w:pPr>
              <w:suppressAutoHyphens/>
              <w:spacing w:beforeLines="60" w:before="144" w:afterLines="60" w:after="144"/>
              <w:rPr>
                <w:rFonts w:ascii="Times New Roman" w:hAnsi="Times New Roman"/>
                <w:sz w:val="24"/>
              </w:rPr>
            </w:pPr>
            <w:r>
              <w:rPr>
                <w:rFonts w:ascii="Times New Roman" w:hAnsi="Times New Roman"/>
                <w:sz w:val="24"/>
              </w:rPr>
              <w:t>Colonne 0130 e 0140: il valore assoluto delle attività e delle passività valutate al fair value (valore equo) incluse ai fini del computo dell</w:t>
            </w:r>
            <w:r w:rsidR="000878EC">
              <w:rPr>
                <w:rFonts w:ascii="Times New Roman" w:hAnsi="Times New Roman"/>
                <w:sz w:val="24"/>
              </w:rPr>
              <w:t>'</w:t>
            </w:r>
            <w:r>
              <w:rPr>
                <w:rFonts w:ascii="Times New Roman" w:hAnsi="Times New Roman"/>
                <w:sz w:val="24"/>
              </w:rPr>
              <w:t>AVA per i costi di investimento e di finanziamento (funding). Ai fini del computo di questo AVA, le attività e le passività valutate al fair value (valore equo) di segno opposto perfettamente corrispondenti, escluse dal computo della soglia a norma dell</w:t>
            </w:r>
            <w:r w:rsidR="000878EC">
              <w:rPr>
                <w:rFonts w:ascii="Times New Roman" w:hAnsi="Times New Roman"/>
                <w:sz w:val="24"/>
              </w:rPr>
              <w:t>'</w:t>
            </w:r>
            <w:r>
              <w:rPr>
                <w:rFonts w:ascii="Times New Roman" w:hAnsi="Times New Roman"/>
                <w:sz w:val="24"/>
              </w:rPr>
              <w:t>articolo 4, paragrafo 2, del regolamento delegato (UE) 2016/101, non sono più considerate di segno opposto perfettamente corrispondenti.</w:t>
            </w:r>
          </w:p>
        </w:tc>
      </w:tr>
      <w:tr w:rsidR="00973707" w:rsidRPr="00661595" w:rsidTr="00672D2A">
        <w:tc>
          <w:tcPr>
            <w:tcW w:w="1101" w:type="dxa"/>
          </w:tcPr>
          <w:p w:rsidR="00973707" w:rsidRPr="00661595" w:rsidRDefault="009A7A38" w:rsidP="003E376A">
            <w:pPr>
              <w:keepNext/>
              <w:keepLines/>
              <w:suppressAutoHyphens/>
              <w:spacing w:beforeLines="60" w:before="144" w:afterLines="60" w:after="144"/>
              <w:rPr>
                <w:rFonts w:ascii="Times New Roman" w:hAnsi="Times New Roman"/>
                <w:sz w:val="24"/>
              </w:rPr>
            </w:pPr>
            <w:r>
              <w:rPr>
                <w:rFonts w:ascii="Times New Roman" w:hAnsi="Times New Roman"/>
                <w:sz w:val="24"/>
              </w:rPr>
              <w:t>0070</w:t>
            </w:r>
          </w:p>
        </w:tc>
        <w:tc>
          <w:tcPr>
            <w:tcW w:w="8187" w:type="dxa"/>
          </w:tcPr>
          <w:p w:rsidR="00973707" w:rsidRPr="00661595" w:rsidRDefault="00973707" w:rsidP="003E376A">
            <w:pPr>
              <w:keepNext/>
              <w:keepLines/>
              <w:suppressAutoHyphens/>
              <w:spacing w:beforeLines="60" w:before="144" w:afterLines="60" w:after="144"/>
              <w:rPr>
                <w:rFonts w:ascii="Times New Roman" w:hAnsi="Times New Roman"/>
                <w:b/>
                <w:sz w:val="24"/>
                <w:u w:val="single"/>
              </w:rPr>
            </w:pPr>
            <w:r>
              <w:rPr>
                <w:rFonts w:ascii="Times New Roman" w:hAnsi="Times New Roman"/>
                <w:b/>
                <w:sz w:val="24"/>
                <w:u w:val="single"/>
              </w:rPr>
              <w:t>DI CUI: AVA CUI È ATTRIBUITO VALORE ZERO A NORMA DELL</w:t>
            </w:r>
            <w:r w:rsidR="000878EC">
              <w:rPr>
                <w:rFonts w:ascii="Times New Roman" w:hAnsi="Times New Roman"/>
                <w:b/>
                <w:sz w:val="24"/>
                <w:u w:val="single"/>
              </w:rPr>
              <w:t>'</w:t>
            </w:r>
            <w:r>
              <w:rPr>
                <w:rFonts w:ascii="Times New Roman" w:hAnsi="Times New Roman"/>
                <w:b/>
                <w:sz w:val="24"/>
                <w:u w:val="single"/>
              </w:rPr>
              <w:t>ARTICOLO 9, PARAGRAFO 2, DEL</w:t>
            </w:r>
            <w:r>
              <w:rPr>
                <w:rFonts w:ascii="Times New Roman" w:hAnsi="Times New Roman"/>
                <w:sz w:val="24"/>
              </w:rPr>
              <w:t xml:space="preserve"> </w:t>
            </w:r>
            <w:r>
              <w:rPr>
                <w:rFonts w:ascii="Times New Roman" w:hAnsi="Times New Roman"/>
                <w:b/>
                <w:caps/>
                <w:sz w:val="24"/>
              </w:rPr>
              <w:t>regolamento delegato (UE) 2016/101</w:t>
            </w:r>
          </w:p>
          <w:p w:rsidR="00973707" w:rsidRPr="00661595" w:rsidRDefault="00973707" w:rsidP="003E376A">
            <w:pPr>
              <w:keepNext/>
              <w:keepLines/>
              <w:suppressAutoHyphens/>
              <w:spacing w:beforeLines="60" w:before="144" w:afterLines="60" w:after="144"/>
              <w:rPr>
                <w:rFonts w:ascii="Times New Roman" w:hAnsi="Times New Roman"/>
                <w:sz w:val="24"/>
              </w:rPr>
            </w:pPr>
            <w:r>
              <w:rPr>
                <w:rFonts w:ascii="Times New Roman" w:hAnsi="Times New Roman"/>
                <w:sz w:val="24"/>
              </w:rPr>
              <w:t>Il valore assoluto delle attività e delle passività valutate al fair value (valore equo) corrispondenti alle esposizioni oggetto di valutazione per le quali l</w:t>
            </w:r>
            <w:r w:rsidR="000878EC">
              <w:rPr>
                <w:rFonts w:ascii="Times New Roman" w:hAnsi="Times New Roman"/>
                <w:sz w:val="24"/>
              </w:rPr>
              <w:t>'</w:t>
            </w:r>
            <w:r>
              <w:rPr>
                <w:rFonts w:ascii="Times New Roman" w:hAnsi="Times New Roman"/>
                <w:sz w:val="24"/>
              </w:rPr>
              <w:t>AVA ha valore zero a norma dell</w:t>
            </w:r>
            <w:r w:rsidR="000878EC">
              <w:rPr>
                <w:rFonts w:ascii="Times New Roman" w:hAnsi="Times New Roman"/>
                <w:sz w:val="24"/>
              </w:rPr>
              <w:t>'</w:t>
            </w:r>
            <w:r>
              <w:rPr>
                <w:rFonts w:ascii="Times New Roman" w:hAnsi="Times New Roman"/>
                <w:sz w:val="24"/>
              </w:rPr>
              <w:t xml:space="preserve">articolo 9, paragrafo 2, del regolamento delegato (UE) 2016/101. </w:t>
            </w:r>
          </w:p>
        </w:tc>
      </w:tr>
      <w:tr w:rsidR="00973707" w:rsidRPr="00661595" w:rsidTr="00672D2A">
        <w:tc>
          <w:tcPr>
            <w:tcW w:w="1101" w:type="dxa"/>
          </w:tcPr>
          <w:p w:rsidR="00973707" w:rsidRPr="00661595" w:rsidRDefault="009A7A38" w:rsidP="003E376A">
            <w:pPr>
              <w:suppressAutoHyphens/>
              <w:spacing w:beforeLines="60" w:before="144" w:afterLines="60" w:after="144"/>
              <w:rPr>
                <w:rFonts w:ascii="Times New Roman" w:hAnsi="Times New Roman"/>
                <w:sz w:val="24"/>
              </w:rPr>
            </w:pPr>
            <w:r>
              <w:rPr>
                <w:rFonts w:ascii="Times New Roman" w:hAnsi="Times New Roman"/>
                <w:sz w:val="24"/>
              </w:rPr>
              <w:t>0080</w:t>
            </w:r>
          </w:p>
        </w:tc>
        <w:tc>
          <w:tcPr>
            <w:tcW w:w="8187" w:type="dxa"/>
          </w:tcPr>
          <w:p w:rsidR="00973707" w:rsidRPr="00661595" w:rsidRDefault="00973707" w:rsidP="003E376A">
            <w:pPr>
              <w:suppressAutoHyphens/>
              <w:spacing w:beforeLines="60" w:before="144" w:afterLines="60" w:after="144"/>
              <w:rPr>
                <w:rFonts w:ascii="Times New Roman" w:hAnsi="Times New Roman"/>
                <w:b/>
                <w:sz w:val="24"/>
                <w:u w:val="single"/>
              </w:rPr>
            </w:pPr>
            <w:r>
              <w:rPr>
                <w:rFonts w:ascii="Times New Roman" w:hAnsi="Times New Roman"/>
                <w:b/>
                <w:sz w:val="24"/>
                <w:u w:val="single"/>
              </w:rPr>
              <w:t>DI CUI: AVA CUI È ATTRIBUITO VALORE ZERO A NORMA DELL</w:t>
            </w:r>
            <w:r w:rsidR="000878EC">
              <w:rPr>
                <w:rFonts w:ascii="Times New Roman" w:hAnsi="Times New Roman"/>
                <w:b/>
                <w:sz w:val="24"/>
                <w:u w:val="single"/>
              </w:rPr>
              <w:t>'</w:t>
            </w:r>
            <w:r>
              <w:rPr>
                <w:rFonts w:ascii="Times New Roman" w:hAnsi="Times New Roman"/>
                <w:b/>
                <w:sz w:val="24"/>
                <w:u w:val="single"/>
              </w:rPr>
              <w:t>ARTICOLO 10, PARAGRAFI 2 E 3, DEL</w:t>
            </w:r>
            <w:r>
              <w:rPr>
                <w:rFonts w:ascii="Times New Roman" w:hAnsi="Times New Roman"/>
                <w:sz w:val="24"/>
              </w:rPr>
              <w:t xml:space="preserve"> </w:t>
            </w:r>
            <w:r>
              <w:rPr>
                <w:rFonts w:ascii="Times New Roman" w:hAnsi="Times New Roman"/>
                <w:b/>
                <w:caps/>
                <w:sz w:val="24"/>
              </w:rPr>
              <w:t>regolamento delegato (UE) 2016/101</w:t>
            </w:r>
          </w:p>
          <w:p w:rsidR="00973707" w:rsidRPr="00661595" w:rsidRDefault="00973707" w:rsidP="003E376A">
            <w:pPr>
              <w:suppressAutoHyphens/>
              <w:spacing w:beforeLines="60" w:before="144" w:afterLines="60" w:after="144"/>
              <w:rPr>
                <w:rFonts w:ascii="Times New Roman" w:hAnsi="Times New Roman"/>
                <w:sz w:val="24"/>
              </w:rPr>
            </w:pPr>
            <w:r>
              <w:rPr>
                <w:rFonts w:ascii="Times New Roman" w:hAnsi="Times New Roman"/>
                <w:sz w:val="24"/>
              </w:rPr>
              <w:t>Il valore assoluto delle attività e delle passività valutate al fair value (valore equo) corrispondenti alle esposizioni oggetto di valutazione per le quali l</w:t>
            </w:r>
            <w:r w:rsidR="000878EC">
              <w:rPr>
                <w:rFonts w:ascii="Times New Roman" w:hAnsi="Times New Roman"/>
                <w:sz w:val="24"/>
              </w:rPr>
              <w:t>'</w:t>
            </w:r>
            <w:r>
              <w:rPr>
                <w:rFonts w:ascii="Times New Roman" w:hAnsi="Times New Roman"/>
                <w:sz w:val="24"/>
              </w:rPr>
              <w:t>AVA ha valore zero a norma dell</w:t>
            </w:r>
            <w:r w:rsidR="000878EC">
              <w:rPr>
                <w:rFonts w:ascii="Times New Roman" w:hAnsi="Times New Roman"/>
                <w:sz w:val="24"/>
              </w:rPr>
              <w:t>'</w:t>
            </w:r>
            <w:r>
              <w:rPr>
                <w:rFonts w:ascii="Times New Roman" w:hAnsi="Times New Roman"/>
                <w:sz w:val="24"/>
              </w:rPr>
              <w:t>articolo 10, paragrafo 2 o 3, del regolamento delegato (UE) 2016/101.</w:t>
            </w:r>
          </w:p>
        </w:tc>
      </w:tr>
      <w:tr w:rsidR="00973707" w:rsidRPr="00661595" w:rsidTr="00672D2A">
        <w:tc>
          <w:tcPr>
            <w:tcW w:w="1101" w:type="dxa"/>
          </w:tcPr>
          <w:p w:rsidR="00973707" w:rsidRPr="00661595" w:rsidRDefault="009A7A38" w:rsidP="003E376A">
            <w:pPr>
              <w:suppressAutoHyphens/>
              <w:spacing w:beforeLines="60" w:before="144" w:afterLines="60" w:after="144"/>
              <w:rPr>
                <w:rFonts w:ascii="Times New Roman" w:hAnsi="Times New Roman"/>
                <w:sz w:val="24"/>
              </w:rPr>
            </w:pPr>
            <w:r>
              <w:rPr>
                <w:rFonts w:ascii="Times New Roman" w:hAnsi="Times New Roman"/>
                <w:sz w:val="24"/>
              </w:rPr>
              <w:t>0090</w:t>
            </w:r>
          </w:p>
        </w:tc>
        <w:tc>
          <w:tcPr>
            <w:tcW w:w="8187" w:type="dxa"/>
          </w:tcPr>
          <w:p w:rsidR="00973707" w:rsidRPr="00661595" w:rsidRDefault="00973707" w:rsidP="003E376A">
            <w:pPr>
              <w:suppressAutoHyphens/>
              <w:spacing w:beforeLines="60" w:before="144" w:afterLines="60" w:after="144"/>
              <w:rPr>
                <w:rFonts w:ascii="Times New Roman" w:hAnsi="Times New Roman"/>
                <w:b/>
                <w:sz w:val="24"/>
                <w:u w:val="single"/>
              </w:rPr>
            </w:pPr>
            <w:r>
              <w:rPr>
                <w:rFonts w:ascii="Times New Roman" w:hAnsi="Times New Roman"/>
                <w:b/>
                <w:sz w:val="24"/>
                <w:u w:val="single"/>
              </w:rPr>
              <w:t>1.1.1.1 TASSI DI INTERESSE</w:t>
            </w:r>
          </w:p>
        </w:tc>
      </w:tr>
      <w:tr w:rsidR="00AF3D7A" w:rsidRPr="00661595" w:rsidTr="00672D2A">
        <w:tc>
          <w:tcPr>
            <w:tcW w:w="1101" w:type="dxa"/>
          </w:tcPr>
          <w:p w:rsidR="00AF3D7A" w:rsidRPr="00661595" w:rsidRDefault="009A7A38" w:rsidP="003E376A">
            <w:pPr>
              <w:suppressAutoHyphens/>
              <w:spacing w:beforeLines="60" w:before="144" w:afterLines="60" w:after="144"/>
              <w:rPr>
                <w:rFonts w:ascii="Times New Roman" w:hAnsi="Times New Roman"/>
                <w:sz w:val="24"/>
              </w:rPr>
            </w:pPr>
            <w:r>
              <w:rPr>
                <w:rFonts w:ascii="Times New Roman" w:hAnsi="Times New Roman"/>
                <w:sz w:val="24"/>
              </w:rPr>
              <w:t>0100</w:t>
            </w:r>
          </w:p>
        </w:tc>
        <w:tc>
          <w:tcPr>
            <w:tcW w:w="8187" w:type="dxa"/>
          </w:tcPr>
          <w:p w:rsidR="00AF3D7A" w:rsidRPr="00661595" w:rsidRDefault="00AF3D7A" w:rsidP="003E376A">
            <w:pPr>
              <w:suppressAutoHyphens/>
              <w:spacing w:beforeLines="60" w:before="144" w:afterLines="60" w:after="144"/>
              <w:rPr>
                <w:rFonts w:ascii="Times New Roman" w:hAnsi="Times New Roman"/>
                <w:b/>
                <w:sz w:val="24"/>
                <w:u w:val="single"/>
              </w:rPr>
            </w:pPr>
            <w:r>
              <w:rPr>
                <w:rFonts w:ascii="Times New Roman" w:hAnsi="Times New Roman"/>
                <w:b/>
                <w:sz w:val="24"/>
                <w:u w:val="single"/>
              </w:rPr>
              <w:t>1.1.1.2 CAMBIO</w:t>
            </w:r>
          </w:p>
        </w:tc>
      </w:tr>
      <w:tr w:rsidR="00AF3D7A" w:rsidRPr="00661595" w:rsidTr="00672D2A">
        <w:tc>
          <w:tcPr>
            <w:tcW w:w="1101" w:type="dxa"/>
          </w:tcPr>
          <w:p w:rsidR="00AF3D7A" w:rsidRPr="00661595" w:rsidRDefault="009A7A38" w:rsidP="003E376A">
            <w:pPr>
              <w:suppressAutoHyphens/>
              <w:spacing w:beforeLines="60" w:before="144" w:afterLines="60" w:after="144"/>
              <w:rPr>
                <w:rFonts w:ascii="Times New Roman" w:hAnsi="Times New Roman"/>
                <w:sz w:val="24"/>
              </w:rPr>
            </w:pPr>
            <w:r>
              <w:rPr>
                <w:rFonts w:ascii="Times New Roman" w:hAnsi="Times New Roman"/>
                <w:sz w:val="24"/>
              </w:rPr>
              <w:t>0110</w:t>
            </w:r>
          </w:p>
        </w:tc>
        <w:tc>
          <w:tcPr>
            <w:tcW w:w="8187" w:type="dxa"/>
          </w:tcPr>
          <w:p w:rsidR="00AF3D7A" w:rsidRPr="00661595" w:rsidRDefault="00AF3D7A" w:rsidP="003E376A">
            <w:pPr>
              <w:suppressAutoHyphens/>
              <w:spacing w:beforeLines="60" w:before="144" w:afterLines="60" w:after="144"/>
              <w:rPr>
                <w:rFonts w:ascii="Times New Roman" w:hAnsi="Times New Roman"/>
                <w:b/>
                <w:sz w:val="24"/>
                <w:u w:val="single"/>
              </w:rPr>
            </w:pPr>
            <w:r>
              <w:rPr>
                <w:rFonts w:ascii="Times New Roman" w:hAnsi="Times New Roman"/>
                <w:b/>
                <w:sz w:val="24"/>
                <w:u w:val="single"/>
              </w:rPr>
              <w:t>1.1.1.3 CREDITO</w:t>
            </w:r>
          </w:p>
        </w:tc>
      </w:tr>
      <w:tr w:rsidR="00AF3D7A" w:rsidRPr="00661595" w:rsidTr="00672D2A">
        <w:tc>
          <w:tcPr>
            <w:tcW w:w="1101" w:type="dxa"/>
          </w:tcPr>
          <w:p w:rsidR="00AF3D7A" w:rsidRPr="00661595" w:rsidRDefault="009A7A38" w:rsidP="003E376A">
            <w:pPr>
              <w:suppressAutoHyphens/>
              <w:spacing w:beforeLines="60" w:before="144" w:afterLines="60" w:after="144"/>
              <w:rPr>
                <w:rFonts w:ascii="Times New Roman" w:hAnsi="Times New Roman"/>
                <w:sz w:val="24"/>
              </w:rPr>
            </w:pPr>
            <w:r>
              <w:rPr>
                <w:rFonts w:ascii="Times New Roman" w:hAnsi="Times New Roman"/>
                <w:sz w:val="24"/>
              </w:rPr>
              <w:t>0120</w:t>
            </w:r>
          </w:p>
        </w:tc>
        <w:tc>
          <w:tcPr>
            <w:tcW w:w="8187" w:type="dxa"/>
          </w:tcPr>
          <w:p w:rsidR="00AF3D7A" w:rsidRPr="00661595" w:rsidRDefault="00AF3D7A" w:rsidP="003E376A">
            <w:pPr>
              <w:suppressAutoHyphens/>
              <w:spacing w:beforeLines="60" w:before="144" w:afterLines="60" w:after="144"/>
              <w:rPr>
                <w:rFonts w:ascii="Times New Roman" w:hAnsi="Times New Roman"/>
                <w:b/>
                <w:sz w:val="24"/>
                <w:u w:val="single"/>
              </w:rPr>
            </w:pPr>
            <w:r>
              <w:rPr>
                <w:rFonts w:ascii="Times New Roman" w:hAnsi="Times New Roman"/>
                <w:b/>
                <w:sz w:val="24"/>
                <w:u w:val="single"/>
              </w:rPr>
              <w:t>1.1.1.4 STRUMENTI DI CAPITALE</w:t>
            </w:r>
          </w:p>
        </w:tc>
      </w:tr>
      <w:tr w:rsidR="00973707" w:rsidRPr="00661595" w:rsidTr="00672D2A">
        <w:tc>
          <w:tcPr>
            <w:tcW w:w="1101" w:type="dxa"/>
          </w:tcPr>
          <w:p w:rsidR="00973707" w:rsidRPr="00661595" w:rsidRDefault="009A7A38" w:rsidP="003E376A">
            <w:pPr>
              <w:suppressAutoHyphens/>
              <w:spacing w:beforeLines="60" w:before="144" w:afterLines="60" w:after="144"/>
              <w:rPr>
                <w:rFonts w:ascii="Times New Roman" w:hAnsi="Times New Roman"/>
                <w:sz w:val="24"/>
              </w:rPr>
            </w:pPr>
            <w:r>
              <w:rPr>
                <w:rFonts w:ascii="Times New Roman" w:hAnsi="Times New Roman"/>
                <w:sz w:val="24"/>
              </w:rPr>
              <w:t>0130</w:t>
            </w:r>
          </w:p>
        </w:tc>
        <w:tc>
          <w:tcPr>
            <w:tcW w:w="8187" w:type="dxa"/>
          </w:tcPr>
          <w:p w:rsidR="00973707" w:rsidRPr="00661595" w:rsidRDefault="00973707" w:rsidP="003E376A">
            <w:pPr>
              <w:suppressAutoHyphens/>
              <w:spacing w:beforeLines="60" w:before="144" w:afterLines="60" w:after="144"/>
              <w:rPr>
                <w:rFonts w:ascii="Times New Roman" w:hAnsi="Times New Roman"/>
                <w:b/>
                <w:sz w:val="24"/>
                <w:u w:val="single"/>
              </w:rPr>
            </w:pPr>
            <w:r>
              <w:rPr>
                <w:rFonts w:ascii="Times New Roman" w:hAnsi="Times New Roman"/>
                <w:b/>
                <w:sz w:val="24"/>
                <w:u w:val="single"/>
              </w:rPr>
              <w:t>1.1.1.5 MERCI</w:t>
            </w:r>
          </w:p>
        </w:tc>
      </w:tr>
      <w:tr w:rsidR="00973707" w:rsidRPr="00661595" w:rsidTr="00672D2A">
        <w:tc>
          <w:tcPr>
            <w:tcW w:w="1101" w:type="dxa"/>
          </w:tcPr>
          <w:p w:rsidR="00973707" w:rsidRPr="00661595" w:rsidRDefault="009A7A38" w:rsidP="003E376A">
            <w:pPr>
              <w:suppressAutoHyphens/>
              <w:spacing w:beforeLines="60" w:before="144" w:afterLines="60" w:after="144"/>
              <w:rPr>
                <w:rFonts w:ascii="Times New Roman" w:hAnsi="Times New Roman"/>
                <w:sz w:val="24"/>
              </w:rPr>
            </w:pPr>
            <w:r>
              <w:rPr>
                <w:rFonts w:ascii="Times New Roman" w:hAnsi="Times New Roman"/>
                <w:sz w:val="24"/>
              </w:rPr>
              <w:t>0140</w:t>
            </w:r>
          </w:p>
        </w:tc>
        <w:tc>
          <w:tcPr>
            <w:tcW w:w="8187" w:type="dxa"/>
          </w:tcPr>
          <w:p w:rsidR="00973707" w:rsidRPr="00661595" w:rsidRDefault="00973707" w:rsidP="003E376A">
            <w:pPr>
              <w:suppressAutoHyphens/>
              <w:spacing w:beforeLines="60" w:before="144" w:afterLines="60" w:after="144"/>
              <w:rPr>
                <w:rFonts w:ascii="Times New Roman" w:hAnsi="Times New Roman"/>
                <w:b/>
                <w:caps/>
                <w:sz w:val="24"/>
                <w:u w:val="single"/>
              </w:rPr>
            </w:pPr>
            <w:r>
              <w:rPr>
                <w:rFonts w:ascii="Times New Roman" w:hAnsi="Times New Roman"/>
                <w:b/>
                <w:caps/>
                <w:sz w:val="24"/>
                <w:u w:val="single"/>
              </w:rPr>
              <w:t>1.1.2 (-) Benefici della diversificazione</w:t>
            </w:r>
          </w:p>
          <w:p w:rsidR="00973707" w:rsidRPr="00661595" w:rsidRDefault="00973707" w:rsidP="003E376A">
            <w:pPr>
              <w:suppressAutoHyphens/>
              <w:spacing w:beforeLines="60" w:before="144" w:afterLines="60" w:after="144"/>
              <w:rPr>
                <w:rFonts w:ascii="Times New Roman" w:hAnsi="Times New Roman"/>
                <w:sz w:val="24"/>
              </w:rPr>
            </w:pPr>
            <w:r>
              <w:rPr>
                <w:rFonts w:ascii="Times New Roman" w:hAnsi="Times New Roman"/>
                <w:sz w:val="24"/>
              </w:rPr>
              <w:t>Beneficio totale della diversificazione. Somma delle righe 0150 e 0160.</w:t>
            </w:r>
          </w:p>
        </w:tc>
      </w:tr>
      <w:tr w:rsidR="00973707" w:rsidRPr="00661595" w:rsidTr="00672D2A">
        <w:tc>
          <w:tcPr>
            <w:tcW w:w="1101" w:type="dxa"/>
          </w:tcPr>
          <w:p w:rsidR="00973707" w:rsidRPr="00661595" w:rsidRDefault="009A7A38" w:rsidP="003E376A">
            <w:pPr>
              <w:suppressAutoHyphens/>
              <w:spacing w:beforeLines="60" w:before="144" w:afterLines="60" w:after="144"/>
              <w:rPr>
                <w:rFonts w:ascii="Times New Roman" w:hAnsi="Times New Roman"/>
                <w:sz w:val="24"/>
              </w:rPr>
            </w:pPr>
            <w:r>
              <w:rPr>
                <w:rFonts w:ascii="Times New Roman" w:hAnsi="Times New Roman"/>
                <w:sz w:val="24"/>
              </w:rPr>
              <w:t>0150</w:t>
            </w:r>
          </w:p>
        </w:tc>
        <w:tc>
          <w:tcPr>
            <w:tcW w:w="8187" w:type="dxa"/>
          </w:tcPr>
          <w:p w:rsidR="00973707" w:rsidRPr="00661595" w:rsidRDefault="00973707" w:rsidP="003E376A">
            <w:pPr>
              <w:suppressAutoHyphens/>
              <w:spacing w:beforeLines="60" w:before="144" w:afterLines="60" w:after="144"/>
              <w:rPr>
                <w:rFonts w:ascii="Times New Roman" w:hAnsi="Times New Roman"/>
                <w:b/>
                <w:caps/>
                <w:sz w:val="24"/>
                <w:u w:val="single"/>
              </w:rPr>
            </w:pPr>
            <w:r>
              <w:rPr>
                <w:rFonts w:ascii="Times New Roman" w:hAnsi="Times New Roman"/>
                <w:b/>
                <w:caps/>
                <w:sz w:val="24"/>
                <w:u w:val="single"/>
              </w:rPr>
              <w:t>1.1.2.1 (-) Beneficio della diversificazione calcolato utilizzando il metodo 1</w:t>
            </w:r>
          </w:p>
          <w:p w:rsidR="00973707" w:rsidRPr="00661595" w:rsidRDefault="00973707" w:rsidP="003E376A">
            <w:pPr>
              <w:suppressAutoHyphens/>
              <w:spacing w:beforeLines="60" w:before="144" w:afterLines="60" w:after="144"/>
              <w:rPr>
                <w:rFonts w:ascii="Times New Roman" w:hAnsi="Times New Roman"/>
                <w:sz w:val="24"/>
              </w:rPr>
            </w:pPr>
            <w:r>
              <w:rPr>
                <w:rFonts w:ascii="Times New Roman" w:hAnsi="Times New Roman"/>
                <w:sz w:val="24"/>
              </w:rPr>
              <w:t>Per le categorie di AVA aggregate utilizzando il</w:t>
            </w:r>
            <w:r w:rsidR="001C7E7E">
              <w:rPr>
                <w:rFonts w:ascii="Times New Roman" w:hAnsi="Times New Roman"/>
                <w:sz w:val="24"/>
              </w:rPr>
              <w:t xml:space="preserve"> metodo 1 a norma dell</w:t>
            </w:r>
            <w:r w:rsidR="000878EC">
              <w:rPr>
                <w:rFonts w:ascii="Times New Roman" w:hAnsi="Times New Roman"/>
                <w:sz w:val="24"/>
              </w:rPr>
              <w:t>'</w:t>
            </w:r>
            <w:r w:rsidR="001C7E7E">
              <w:rPr>
                <w:rFonts w:ascii="Times New Roman" w:hAnsi="Times New Roman"/>
                <w:sz w:val="24"/>
              </w:rPr>
              <w:t>articolo </w:t>
            </w:r>
            <w:r>
              <w:rPr>
                <w:rFonts w:ascii="Times New Roman" w:hAnsi="Times New Roman"/>
                <w:sz w:val="24"/>
              </w:rPr>
              <w:t>9, paragrafo 6, dell</w:t>
            </w:r>
            <w:r w:rsidR="000878EC">
              <w:rPr>
                <w:rFonts w:ascii="Times New Roman" w:hAnsi="Times New Roman"/>
                <w:sz w:val="24"/>
              </w:rPr>
              <w:t>'</w:t>
            </w:r>
            <w:r>
              <w:rPr>
                <w:rFonts w:ascii="Times New Roman" w:hAnsi="Times New Roman"/>
                <w:sz w:val="24"/>
              </w:rPr>
              <w:t>articolo 10, paragrafo 7, e dell</w:t>
            </w:r>
            <w:r w:rsidR="000878EC">
              <w:rPr>
                <w:rFonts w:ascii="Times New Roman" w:hAnsi="Times New Roman"/>
                <w:sz w:val="24"/>
              </w:rPr>
              <w:t>'</w:t>
            </w:r>
            <w:r>
              <w:rPr>
                <w:rFonts w:ascii="Times New Roman" w:hAnsi="Times New Roman"/>
                <w:sz w:val="24"/>
              </w:rPr>
              <w:t>articolo 11, paragrafo 6, del regolamento delegato (UE) 2016/101, la differenza tra la somma dei singoli AVA e l</w:t>
            </w:r>
            <w:r w:rsidR="000878EC">
              <w:rPr>
                <w:rFonts w:ascii="Times New Roman" w:hAnsi="Times New Roman"/>
                <w:sz w:val="24"/>
              </w:rPr>
              <w:t>'</w:t>
            </w:r>
            <w:r>
              <w:rPr>
                <w:rFonts w:ascii="Times New Roman" w:hAnsi="Times New Roman"/>
                <w:sz w:val="24"/>
              </w:rPr>
              <w:t>AVA totale a livello di categoria dopo l</w:t>
            </w:r>
            <w:r w:rsidR="000878EC">
              <w:rPr>
                <w:rFonts w:ascii="Times New Roman" w:hAnsi="Times New Roman"/>
                <w:sz w:val="24"/>
              </w:rPr>
              <w:t>'</w:t>
            </w:r>
            <w:r>
              <w:rPr>
                <w:rFonts w:ascii="Times New Roman" w:hAnsi="Times New Roman"/>
                <w:sz w:val="24"/>
              </w:rPr>
              <w:t>aggiustamento per aggregazione.</w:t>
            </w:r>
          </w:p>
        </w:tc>
      </w:tr>
      <w:tr w:rsidR="00973707" w:rsidRPr="00661595" w:rsidTr="00672D2A">
        <w:tc>
          <w:tcPr>
            <w:tcW w:w="1101" w:type="dxa"/>
          </w:tcPr>
          <w:p w:rsidR="00973707" w:rsidRPr="00661595" w:rsidRDefault="009A7A38" w:rsidP="003E376A">
            <w:pPr>
              <w:suppressAutoHyphens/>
              <w:spacing w:beforeLines="60" w:before="144" w:afterLines="60" w:after="144"/>
              <w:rPr>
                <w:rFonts w:ascii="Times New Roman" w:hAnsi="Times New Roman"/>
                <w:sz w:val="24"/>
              </w:rPr>
            </w:pPr>
            <w:r>
              <w:rPr>
                <w:rFonts w:ascii="Times New Roman" w:hAnsi="Times New Roman"/>
                <w:sz w:val="24"/>
              </w:rPr>
              <w:t>0160</w:t>
            </w:r>
          </w:p>
        </w:tc>
        <w:tc>
          <w:tcPr>
            <w:tcW w:w="8187" w:type="dxa"/>
          </w:tcPr>
          <w:p w:rsidR="00973707" w:rsidRPr="00661595" w:rsidRDefault="00973707" w:rsidP="003E376A">
            <w:pPr>
              <w:suppressAutoHyphens/>
              <w:spacing w:beforeLines="60" w:before="144" w:afterLines="60" w:after="144"/>
              <w:rPr>
                <w:rFonts w:ascii="Times New Roman" w:hAnsi="Times New Roman"/>
                <w:b/>
                <w:caps/>
                <w:sz w:val="24"/>
                <w:u w:val="single"/>
              </w:rPr>
            </w:pPr>
            <w:r>
              <w:rPr>
                <w:rFonts w:ascii="Times New Roman" w:hAnsi="Times New Roman"/>
                <w:b/>
                <w:caps/>
                <w:sz w:val="24"/>
                <w:u w:val="single"/>
              </w:rPr>
              <w:t>1.1.2.2 (-) Beneficio della diversificazione calcolato utilizzando il metodo 2</w:t>
            </w:r>
          </w:p>
          <w:p w:rsidR="00973707" w:rsidRPr="00661595" w:rsidRDefault="00973707" w:rsidP="003E376A">
            <w:pPr>
              <w:suppressAutoHyphens/>
              <w:spacing w:beforeLines="60" w:before="144" w:afterLines="60" w:after="144"/>
              <w:rPr>
                <w:rFonts w:ascii="Times New Roman" w:hAnsi="Times New Roman"/>
                <w:sz w:val="24"/>
              </w:rPr>
            </w:pPr>
            <w:r>
              <w:rPr>
                <w:rFonts w:ascii="Times New Roman" w:hAnsi="Times New Roman"/>
                <w:sz w:val="24"/>
              </w:rPr>
              <w:t>Per le categorie di AVA aggregate utilizzando il</w:t>
            </w:r>
            <w:r w:rsidR="001C7E7E">
              <w:rPr>
                <w:rFonts w:ascii="Times New Roman" w:hAnsi="Times New Roman"/>
                <w:sz w:val="24"/>
              </w:rPr>
              <w:t xml:space="preserve"> metodo 2 a norma dell</w:t>
            </w:r>
            <w:r w:rsidR="000878EC">
              <w:rPr>
                <w:rFonts w:ascii="Times New Roman" w:hAnsi="Times New Roman"/>
                <w:sz w:val="24"/>
              </w:rPr>
              <w:t>'</w:t>
            </w:r>
            <w:r w:rsidR="001C7E7E">
              <w:rPr>
                <w:rFonts w:ascii="Times New Roman" w:hAnsi="Times New Roman"/>
                <w:sz w:val="24"/>
              </w:rPr>
              <w:t>articolo </w:t>
            </w:r>
            <w:r>
              <w:rPr>
                <w:rFonts w:ascii="Times New Roman" w:hAnsi="Times New Roman"/>
                <w:sz w:val="24"/>
              </w:rPr>
              <w:t>9, paragrafo 6, dell</w:t>
            </w:r>
            <w:r w:rsidR="000878EC">
              <w:rPr>
                <w:rFonts w:ascii="Times New Roman" w:hAnsi="Times New Roman"/>
                <w:sz w:val="24"/>
              </w:rPr>
              <w:t>'</w:t>
            </w:r>
            <w:r>
              <w:rPr>
                <w:rFonts w:ascii="Times New Roman" w:hAnsi="Times New Roman"/>
                <w:sz w:val="24"/>
              </w:rPr>
              <w:t>articolo 10, paragrafo 7, e dell</w:t>
            </w:r>
            <w:r w:rsidR="000878EC">
              <w:rPr>
                <w:rFonts w:ascii="Times New Roman" w:hAnsi="Times New Roman"/>
                <w:sz w:val="24"/>
              </w:rPr>
              <w:t>'</w:t>
            </w:r>
            <w:r>
              <w:rPr>
                <w:rFonts w:ascii="Times New Roman" w:hAnsi="Times New Roman"/>
                <w:sz w:val="24"/>
              </w:rPr>
              <w:t>articolo 11, paragrafo 6, del regolamento delegato (UE) 2016/101, la differenza tra la somma dei singoli AVA e l</w:t>
            </w:r>
            <w:r w:rsidR="000878EC">
              <w:rPr>
                <w:rFonts w:ascii="Times New Roman" w:hAnsi="Times New Roman"/>
                <w:sz w:val="24"/>
              </w:rPr>
              <w:t>'</w:t>
            </w:r>
            <w:r>
              <w:rPr>
                <w:rFonts w:ascii="Times New Roman" w:hAnsi="Times New Roman"/>
                <w:sz w:val="24"/>
              </w:rPr>
              <w:t>AVA totale a livello di categoria dopo l</w:t>
            </w:r>
            <w:r w:rsidR="000878EC">
              <w:rPr>
                <w:rFonts w:ascii="Times New Roman" w:hAnsi="Times New Roman"/>
                <w:sz w:val="24"/>
              </w:rPr>
              <w:t>'</w:t>
            </w:r>
            <w:r>
              <w:rPr>
                <w:rFonts w:ascii="Times New Roman" w:hAnsi="Times New Roman"/>
                <w:sz w:val="24"/>
              </w:rPr>
              <w:t>aggiustamento per aggregazione.</w:t>
            </w:r>
          </w:p>
        </w:tc>
      </w:tr>
      <w:tr w:rsidR="00973707" w:rsidRPr="00661595" w:rsidTr="00672D2A">
        <w:tc>
          <w:tcPr>
            <w:tcW w:w="1101" w:type="dxa"/>
          </w:tcPr>
          <w:p w:rsidR="00973707" w:rsidRPr="00661595" w:rsidRDefault="009A7A38" w:rsidP="001C7E7E">
            <w:pPr>
              <w:keepNext/>
              <w:keepLines/>
              <w:suppressAutoHyphens/>
              <w:spacing w:beforeLines="60" w:before="144" w:afterLines="60" w:after="144"/>
              <w:rPr>
                <w:rFonts w:ascii="Times New Roman" w:hAnsi="Times New Roman"/>
                <w:sz w:val="24"/>
              </w:rPr>
            </w:pPr>
            <w:r>
              <w:rPr>
                <w:rFonts w:ascii="Times New Roman" w:hAnsi="Times New Roman"/>
                <w:sz w:val="24"/>
              </w:rPr>
              <w:t>0170</w:t>
            </w:r>
          </w:p>
        </w:tc>
        <w:tc>
          <w:tcPr>
            <w:tcW w:w="8187" w:type="dxa"/>
          </w:tcPr>
          <w:p w:rsidR="00973707" w:rsidRPr="00661595" w:rsidRDefault="00973707" w:rsidP="001C7E7E">
            <w:pPr>
              <w:keepNext/>
              <w:keepLines/>
              <w:suppressAutoHyphens/>
              <w:spacing w:beforeLines="60" w:before="144" w:afterLines="60" w:after="144"/>
              <w:rPr>
                <w:rFonts w:ascii="Times New Roman" w:hAnsi="Times New Roman"/>
                <w:b/>
                <w:caps/>
                <w:sz w:val="24"/>
                <w:u w:val="single"/>
              </w:rPr>
            </w:pPr>
            <w:r>
              <w:rPr>
                <w:rFonts w:ascii="Times New Roman" w:hAnsi="Times New Roman"/>
                <w:b/>
                <w:caps/>
                <w:sz w:val="24"/>
                <w:u w:val="single"/>
              </w:rPr>
              <w:t>1.1.2.2* Voce per memoria: AVA pre-diversificazione ridotti di oltre il 90 % dalla diversificazione utilizzando il metodo 2</w:t>
            </w:r>
          </w:p>
          <w:p w:rsidR="00973707" w:rsidRPr="00661595" w:rsidRDefault="00973707" w:rsidP="001C7E7E">
            <w:pPr>
              <w:keepNext/>
              <w:keepLines/>
              <w:suppressAutoHyphens/>
              <w:spacing w:beforeLines="60" w:before="144" w:afterLines="60" w:after="144"/>
              <w:rPr>
                <w:rFonts w:ascii="Times New Roman" w:hAnsi="Times New Roman"/>
                <w:sz w:val="24"/>
              </w:rPr>
            </w:pPr>
            <w:r>
              <w:rPr>
                <w:rFonts w:ascii="Times New Roman" w:hAnsi="Times New Roman"/>
                <w:sz w:val="24"/>
              </w:rPr>
              <w:t>Nella terminologia del metodo 2, la somma di FV – PV per tutte le esposizioni oggetto di valutazione per le quali APVA &lt; 10 % (FV – PV).</w:t>
            </w:r>
          </w:p>
        </w:tc>
      </w:tr>
      <w:tr w:rsidR="00973707" w:rsidRPr="00661595" w:rsidTr="00672D2A">
        <w:tc>
          <w:tcPr>
            <w:tcW w:w="1101" w:type="dxa"/>
          </w:tcPr>
          <w:p w:rsidR="00973707" w:rsidRPr="00661595" w:rsidRDefault="009A7A38" w:rsidP="003E376A">
            <w:pPr>
              <w:suppressAutoHyphens/>
              <w:spacing w:beforeLines="60" w:before="144" w:afterLines="60" w:after="144"/>
              <w:rPr>
                <w:rFonts w:ascii="Times New Roman" w:hAnsi="Times New Roman"/>
                <w:sz w:val="24"/>
              </w:rPr>
            </w:pPr>
            <w:r>
              <w:rPr>
                <w:rFonts w:ascii="Times New Roman" w:hAnsi="Times New Roman"/>
                <w:sz w:val="24"/>
              </w:rPr>
              <w:t>0180</w:t>
            </w:r>
          </w:p>
        </w:tc>
        <w:tc>
          <w:tcPr>
            <w:tcW w:w="8187" w:type="dxa"/>
          </w:tcPr>
          <w:p w:rsidR="00973707" w:rsidRPr="00661595" w:rsidRDefault="00973707" w:rsidP="003E376A">
            <w:pPr>
              <w:suppressAutoHyphens/>
              <w:spacing w:beforeLines="60" w:before="144" w:afterLines="60" w:after="144"/>
              <w:rPr>
                <w:rFonts w:ascii="Times New Roman" w:hAnsi="Times New Roman"/>
                <w:b/>
                <w:caps/>
                <w:sz w:val="24"/>
                <w:u w:val="single"/>
              </w:rPr>
            </w:pPr>
            <w:r>
              <w:rPr>
                <w:rFonts w:ascii="Times New Roman" w:hAnsi="Times New Roman"/>
                <w:b/>
                <w:caps/>
                <w:sz w:val="24"/>
                <w:u w:val="single"/>
              </w:rPr>
              <w:t>1.2 Portafogli calcolati secondo l</w:t>
            </w:r>
            <w:r w:rsidR="000878EC">
              <w:rPr>
                <w:rFonts w:ascii="Times New Roman" w:hAnsi="Times New Roman"/>
                <w:b/>
                <w:caps/>
                <w:sz w:val="24"/>
                <w:u w:val="single"/>
              </w:rPr>
              <w:t>'</w:t>
            </w:r>
            <w:r>
              <w:rPr>
                <w:rFonts w:ascii="Times New Roman" w:hAnsi="Times New Roman"/>
                <w:b/>
                <w:caps/>
                <w:sz w:val="24"/>
                <w:u w:val="single"/>
              </w:rPr>
              <w:t>approccio alternativo</w:t>
            </w:r>
          </w:p>
          <w:p w:rsidR="00973707" w:rsidRPr="00661595" w:rsidRDefault="002F78EA" w:rsidP="003E376A">
            <w:pPr>
              <w:suppressAutoHyphens/>
              <w:spacing w:beforeLines="60" w:before="144" w:afterLines="60" w:after="144"/>
              <w:rPr>
                <w:rFonts w:ascii="Times New Roman" w:hAnsi="Times New Roman"/>
                <w:sz w:val="24"/>
              </w:rPr>
            </w:pPr>
            <w:r>
              <w:rPr>
                <w:rFonts w:ascii="Times New Roman" w:hAnsi="Times New Roman"/>
                <w:sz w:val="24"/>
              </w:rPr>
              <w:t>Articolo 7, paragrafo 2, lettera b), del regolamento delegato (UE) 2016/101.</w:t>
            </w:r>
          </w:p>
          <w:p w:rsidR="00973707" w:rsidRPr="00661595" w:rsidRDefault="00973707" w:rsidP="003E376A">
            <w:pPr>
              <w:suppressAutoHyphens/>
              <w:spacing w:beforeLines="60" w:before="144" w:afterLines="60" w:after="144"/>
              <w:rPr>
                <w:rFonts w:ascii="Times New Roman" w:hAnsi="Times New Roman"/>
                <w:sz w:val="24"/>
              </w:rPr>
            </w:pPr>
            <w:r>
              <w:rPr>
                <w:rFonts w:ascii="Times New Roman" w:hAnsi="Times New Roman"/>
                <w:sz w:val="24"/>
              </w:rPr>
              <w:t>Per i portafogli soggetti all</w:t>
            </w:r>
            <w:r w:rsidR="000878EC">
              <w:rPr>
                <w:rFonts w:ascii="Times New Roman" w:hAnsi="Times New Roman"/>
                <w:sz w:val="24"/>
              </w:rPr>
              <w:t>'</w:t>
            </w:r>
            <w:r>
              <w:rPr>
                <w:rFonts w:ascii="Times New Roman" w:hAnsi="Times New Roman"/>
                <w:sz w:val="24"/>
              </w:rPr>
              <w:t>approccio alternativo a norma dell</w:t>
            </w:r>
            <w:r w:rsidR="000878EC">
              <w:rPr>
                <w:rFonts w:ascii="Times New Roman" w:hAnsi="Times New Roman"/>
                <w:sz w:val="24"/>
              </w:rPr>
              <w:t>'</w:t>
            </w:r>
            <w:r>
              <w:rPr>
                <w:rFonts w:ascii="Times New Roman" w:hAnsi="Times New Roman"/>
                <w:sz w:val="24"/>
              </w:rPr>
              <w:t>articolo 7,</w:t>
            </w:r>
            <w:r w:rsidR="001C7E7E">
              <w:rPr>
                <w:rFonts w:ascii="Times New Roman" w:hAnsi="Times New Roman"/>
                <w:sz w:val="24"/>
              </w:rPr>
              <w:t xml:space="preserve"> paragrafo </w:t>
            </w:r>
            <w:r>
              <w:rPr>
                <w:rFonts w:ascii="Times New Roman" w:hAnsi="Times New Roman"/>
                <w:sz w:val="24"/>
              </w:rPr>
              <w:t>2, lettera b), del regolamento delegato (UE) 2016/101, l</w:t>
            </w:r>
            <w:r w:rsidR="000878EC">
              <w:rPr>
                <w:rFonts w:ascii="Times New Roman" w:hAnsi="Times New Roman"/>
                <w:sz w:val="24"/>
              </w:rPr>
              <w:t>'</w:t>
            </w:r>
            <w:r>
              <w:rPr>
                <w:rFonts w:ascii="Times New Roman" w:hAnsi="Times New Roman"/>
                <w:sz w:val="24"/>
              </w:rPr>
              <w:t xml:space="preserve">AVA totale è pari alla somma delle righe 0190, 0200 e 0210. </w:t>
            </w:r>
          </w:p>
          <w:p w:rsidR="00973707" w:rsidRPr="00661595" w:rsidRDefault="00973707" w:rsidP="003E376A">
            <w:pPr>
              <w:suppressAutoHyphens/>
              <w:spacing w:beforeLines="60" w:before="144" w:afterLines="60" w:after="144"/>
              <w:rPr>
                <w:rFonts w:ascii="Times New Roman" w:hAnsi="Times New Roman"/>
                <w:sz w:val="24"/>
              </w:rPr>
            </w:pPr>
            <w:r>
              <w:rPr>
                <w:rFonts w:ascii="Times New Roman" w:hAnsi="Times New Roman"/>
                <w:sz w:val="24"/>
              </w:rPr>
              <w:t xml:space="preserve">Le informazioni di bilancio pertinenti ed altre informazioni contestuali sono fornite nelle colonne da 0130 a 0260. La descrizione delle posizioni e le ragioni per cui non è stato possibile applicare gli articoli da 9 a 17 del regolamento delegato (UE) 2016/101 sono fornite nella colonna 0270. </w:t>
            </w:r>
          </w:p>
        </w:tc>
      </w:tr>
      <w:tr w:rsidR="00973707" w:rsidRPr="00661595" w:rsidTr="00672D2A">
        <w:tc>
          <w:tcPr>
            <w:tcW w:w="1101" w:type="dxa"/>
          </w:tcPr>
          <w:p w:rsidR="00973707" w:rsidRPr="00661595" w:rsidRDefault="009A7A38" w:rsidP="003E376A">
            <w:pPr>
              <w:suppressAutoHyphens/>
              <w:spacing w:beforeLines="60" w:before="144" w:afterLines="60" w:after="144"/>
              <w:rPr>
                <w:rFonts w:ascii="Times New Roman" w:hAnsi="Times New Roman"/>
                <w:sz w:val="24"/>
              </w:rPr>
            </w:pPr>
            <w:r>
              <w:rPr>
                <w:rFonts w:ascii="Times New Roman" w:hAnsi="Times New Roman"/>
                <w:sz w:val="24"/>
              </w:rPr>
              <w:t>0190</w:t>
            </w:r>
          </w:p>
        </w:tc>
        <w:tc>
          <w:tcPr>
            <w:tcW w:w="8187" w:type="dxa"/>
          </w:tcPr>
          <w:p w:rsidR="00973707" w:rsidRPr="00661595" w:rsidRDefault="00973707" w:rsidP="003E376A">
            <w:pPr>
              <w:suppressAutoHyphens/>
              <w:spacing w:beforeLines="60" w:before="144" w:afterLines="60" w:after="144"/>
              <w:rPr>
                <w:rFonts w:ascii="Times New Roman" w:hAnsi="Times New Roman"/>
                <w:b/>
                <w:caps/>
                <w:sz w:val="24"/>
                <w:u w:val="single"/>
              </w:rPr>
            </w:pPr>
            <w:r>
              <w:rPr>
                <w:rFonts w:ascii="Times New Roman" w:hAnsi="Times New Roman"/>
                <w:b/>
                <w:caps/>
                <w:sz w:val="24"/>
                <w:u w:val="single"/>
              </w:rPr>
              <w:t>1.2.1 Approccio alternativo; 100 % del profitto non realizzato</w:t>
            </w:r>
          </w:p>
          <w:p w:rsidR="00973707" w:rsidRPr="00661595" w:rsidRDefault="002F78EA" w:rsidP="003E376A">
            <w:pPr>
              <w:suppressAutoHyphens/>
              <w:spacing w:beforeLines="60" w:before="144" w:afterLines="60" w:after="144"/>
              <w:rPr>
                <w:rFonts w:ascii="Times New Roman" w:hAnsi="Times New Roman"/>
                <w:sz w:val="24"/>
              </w:rPr>
            </w:pPr>
            <w:r>
              <w:rPr>
                <w:rFonts w:ascii="Times New Roman" w:hAnsi="Times New Roman"/>
                <w:sz w:val="24"/>
              </w:rPr>
              <w:t>Articolo 7, paragrafo 2, lettera b), punto i), del regolamento delegato (UE) 2016/101.</w:t>
            </w:r>
          </w:p>
        </w:tc>
      </w:tr>
      <w:tr w:rsidR="00973707" w:rsidRPr="00661595" w:rsidTr="00672D2A">
        <w:tc>
          <w:tcPr>
            <w:tcW w:w="1101" w:type="dxa"/>
          </w:tcPr>
          <w:p w:rsidR="00973707" w:rsidRPr="00661595" w:rsidRDefault="009A7A38" w:rsidP="003E376A">
            <w:pPr>
              <w:suppressAutoHyphens/>
              <w:spacing w:beforeLines="60" w:before="144" w:afterLines="60" w:after="144"/>
              <w:rPr>
                <w:rFonts w:ascii="Times New Roman" w:hAnsi="Times New Roman"/>
                <w:sz w:val="24"/>
              </w:rPr>
            </w:pPr>
            <w:r>
              <w:rPr>
                <w:rFonts w:ascii="Times New Roman" w:hAnsi="Times New Roman"/>
                <w:sz w:val="24"/>
              </w:rPr>
              <w:t>0200</w:t>
            </w:r>
          </w:p>
        </w:tc>
        <w:tc>
          <w:tcPr>
            <w:tcW w:w="8187" w:type="dxa"/>
          </w:tcPr>
          <w:p w:rsidR="00973707" w:rsidRPr="00661595" w:rsidRDefault="00973707" w:rsidP="003E376A">
            <w:pPr>
              <w:suppressAutoHyphens/>
              <w:spacing w:beforeLines="60" w:before="144" w:afterLines="60" w:after="144"/>
              <w:rPr>
                <w:rFonts w:ascii="Times New Roman" w:hAnsi="Times New Roman"/>
                <w:b/>
                <w:caps/>
                <w:sz w:val="24"/>
                <w:u w:val="single"/>
              </w:rPr>
            </w:pPr>
            <w:r>
              <w:rPr>
                <w:rFonts w:ascii="Times New Roman" w:hAnsi="Times New Roman"/>
                <w:b/>
                <w:caps/>
                <w:sz w:val="24"/>
                <w:u w:val="single"/>
              </w:rPr>
              <w:t>1.2.2 Approccio alternativo; 10 % del valore nozionale</w:t>
            </w:r>
          </w:p>
          <w:p w:rsidR="00973707" w:rsidRPr="00661595" w:rsidRDefault="002F78EA" w:rsidP="003E376A">
            <w:pPr>
              <w:suppressAutoHyphens/>
              <w:spacing w:beforeLines="60" w:before="144" w:afterLines="60" w:after="144"/>
              <w:rPr>
                <w:rFonts w:ascii="Times New Roman" w:hAnsi="Times New Roman"/>
                <w:sz w:val="24"/>
              </w:rPr>
            </w:pPr>
            <w:r>
              <w:rPr>
                <w:rFonts w:ascii="Times New Roman" w:hAnsi="Times New Roman"/>
                <w:sz w:val="24"/>
              </w:rPr>
              <w:t>Articolo 7, paragrafo 2, lettera b), punto ii), del regolamento delegato (UE) 2016/101.</w:t>
            </w:r>
          </w:p>
        </w:tc>
      </w:tr>
      <w:tr w:rsidR="00973707" w:rsidRPr="00661595" w:rsidTr="00672D2A">
        <w:tc>
          <w:tcPr>
            <w:tcW w:w="1101" w:type="dxa"/>
          </w:tcPr>
          <w:p w:rsidR="00973707" w:rsidRPr="00661595" w:rsidRDefault="009A7A38" w:rsidP="003E376A">
            <w:pPr>
              <w:suppressAutoHyphens/>
              <w:spacing w:beforeLines="60" w:before="144" w:afterLines="60" w:after="144"/>
              <w:rPr>
                <w:rFonts w:ascii="Times New Roman" w:hAnsi="Times New Roman"/>
                <w:sz w:val="24"/>
              </w:rPr>
            </w:pPr>
            <w:r>
              <w:rPr>
                <w:rFonts w:ascii="Times New Roman" w:hAnsi="Times New Roman"/>
                <w:sz w:val="24"/>
              </w:rPr>
              <w:t>0210</w:t>
            </w:r>
          </w:p>
        </w:tc>
        <w:tc>
          <w:tcPr>
            <w:tcW w:w="8187" w:type="dxa"/>
          </w:tcPr>
          <w:p w:rsidR="00973707" w:rsidRPr="00661595" w:rsidRDefault="00973707" w:rsidP="003E376A">
            <w:pPr>
              <w:suppressAutoHyphens/>
              <w:spacing w:beforeLines="60" w:before="144" w:afterLines="60" w:after="144"/>
              <w:rPr>
                <w:rFonts w:ascii="Times New Roman" w:hAnsi="Times New Roman"/>
                <w:b/>
                <w:caps/>
                <w:sz w:val="24"/>
                <w:u w:val="single"/>
              </w:rPr>
            </w:pPr>
            <w:r>
              <w:rPr>
                <w:rFonts w:ascii="Times New Roman" w:hAnsi="Times New Roman"/>
                <w:b/>
                <w:caps/>
                <w:sz w:val="24"/>
                <w:u w:val="single"/>
              </w:rPr>
              <w:t>1.2.3 Approccio alternativo; 25 % del valore iniziale</w:t>
            </w:r>
          </w:p>
          <w:p w:rsidR="00973707" w:rsidRPr="00661595" w:rsidRDefault="002F78EA" w:rsidP="003E376A">
            <w:pPr>
              <w:suppressAutoHyphens/>
              <w:spacing w:beforeLines="60" w:before="144" w:afterLines="60" w:after="144"/>
              <w:rPr>
                <w:rFonts w:ascii="Times New Roman" w:hAnsi="Times New Roman"/>
                <w:sz w:val="24"/>
              </w:rPr>
            </w:pPr>
            <w:r>
              <w:rPr>
                <w:rFonts w:ascii="Times New Roman" w:hAnsi="Times New Roman"/>
                <w:sz w:val="24"/>
              </w:rPr>
              <w:t>Articolo 7, paragrafo 2, lettera b), punto iii), del regolamento delegato (UE) 2016/101.</w:t>
            </w:r>
          </w:p>
        </w:tc>
      </w:tr>
    </w:tbl>
    <w:p w:rsidR="00973707" w:rsidRPr="00661595" w:rsidRDefault="00973707" w:rsidP="00C61FF5">
      <w:pPr>
        <w:rPr>
          <w:rStyle w:val="InstructionsTabelleText"/>
          <w:rFonts w:ascii="Times New Roman" w:hAnsi="Times New Roman"/>
          <w:sz w:val="24"/>
        </w:rPr>
      </w:pPr>
    </w:p>
    <w:p w:rsidR="00B93FA1" w:rsidRPr="00661595" w:rsidRDefault="00AF3D7A" w:rsidP="00B93FA1">
      <w:pPr>
        <w:pStyle w:val="Instructionsberschrift2"/>
        <w:numPr>
          <w:ilvl w:val="0"/>
          <w:numId w:val="0"/>
        </w:numPr>
        <w:ind w:left="357" w:hanging="357"/>
        <w:rPr>
          <w:rFonts w:ascii="Times New Roman" w:hAnsi="Times New Roman"/>
          <w:sz w:val="24"/>
          <w:u w:val="none"/>
        </w:rPr>
      </w:pPr>
      <w:bookmarkStart w:id="755" w:name="_Toc58915869"/>
      <w:r>
        <w:rPr>
          <w:rFonts w:ascii="Times New Roman" w:hAnsi="Times New Roman"/>
          <w:sz w:val="24"/>
          <w:u w:val="none"/>
        </w:rPr>
        <w:t xml:space="preserve">6.3. </w:t>
      </w:r>
      <w:r>
        <w:rPr>
          <w:rFonts w:ascii="Times New Roman" w:hAnsi="Times New Roman"/>
          <w:sz w:val="24"/>
        </w:rPr>
        <w:t>C 32.03 - Valutazione prudente: AVA per i rischi del modello (PruVal 3)</w:t>
      </w:r>
      <w:bookmarkEnd w:id="755"/>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56" w:name="_Toc58915870"/>
      <w:r>
        <w:rPr>
          <w:rFonts w:ascii="Times New Roman" w:hAnsi="Times New Roman"/>
          <w:sz w:val="24"/>
          <w:u w:val="none"/>
        </w:rPr>
        <w:t>6.3.1.</w:t>
      </w:r>
      <w:r w:rsidRPr="001C7E7E">
        <w:rPr>
          <w:u w:val="none"/>
        </w:rPr>
        <w:tab/>
      </w:r>
      <w:r>
        <w:rPr>
          <w:rFonts w:ascii="Times New Roman" w:hAnsi="Times New Roman"/>
          <w:sz w:val="24"/>
        </w:rPr>
        <w:t>Osservazioni di carattere generale</w:t>
      </w:r>
      <w:bookmarkEnd w:id="756"/>
      <w:r>
        <w:rPr>
          <w:rFonts w:ascii="Times New Roman" w:hAnsi="Times New Roman"/>
          <w:sz w:val="24"/>
          <w:u w:val="none"/>
        </w:rPr>
        <w:t xml:space="preserve"> </w:t>
      </w:r>
    </w:p>
    <w:p w:rsidR="00AF3D7A" w:rsidRPr="00661595" w:rsidRDefault="00A971CA" w:rsidP="001C7E7E">
      <w:pPr>
        <w:pStyle w:val="InstructionsText2"/>
        <w:numPr>
          <w:ilvl w:val="0"/>
          <w:numId w:val="0"/>
        </w:numPr>
        <w:ind w:left="1680" w:hanging="480"/>
      </w:pPr>
      <w:r>
        <w:fldChar w:fldCharType="begin"/>
      </w:r>
      <w:r>
        <w:instrText xml:space="preserve"> seq paragraphs </w:instrText>
      </w:r>
      <w:r>
        <w:fldChar w:fldCharType="separate"/>
      </w:r>
      <w:r w:rsidR="00D11E4C">
        <w:rPr>
          <w:noProof/>
        </w:rPr>
        <w:t>181</w:t>
      </w:r>
      <w:r>
        <w:rPr>
          <w:noProof/>
        </w:rPr>
        <w:fldChar w:fldCharType="end"/>
      </w:r>
      <w:r w:rsidR="00D11E4C">
        <w:t>.</w:t>
      </w:r>
      <w:r w:rsidR="001C7E7E">
        <w:tab/>
      </w:r>
      <w:r w:rsidR="00D11E4C">
        <w:t>Questo modello è compilato solo dagli enti che superano la soglia di cui all</w:t>
      </w:r>
      <w:r w:rsidR="000878EC">
        <w:t>'</w:t>
      </w:r>
      <w:r w:rsidR="00D11E4C">
        <w:t>articolo 4, paragrafo 1, del regolamento delegato (UE) 2016/101 al loro livello. Gli enti appartenenti ad un gruppo che supera la soglia su base consolidata sono tenuti a compilare questo modello solo quando superano la soglia anche al loro livello.</w:t>
      </w:r>
    </w:p>
    <w:p w:rsidR="00AF3D7A" w:rsidRPr="00661595" w:rsidRDefault="00A971CA" w:rsidP="001C7E7E">
      <w:pPr>
        <w:pStyle w:val="InstructionsText2"/>
        <w:numPr>
          <w:ilvl w:val="0"/>
          <w:numId w:val="0"/>
        </w:numPr>
        <w:ind w:left="1680" w:hanging="480"/>
      </w:pPr>
      <w:r>
        <w:fldChar w:fldCharType="begin"/>
      </w:r>
      <w:r>
        <w:instrText xml:space="preserve"> seq paragraphs </w:instrText>
      </w:r>
      <w:r>
        <w:fldChar w:fldCharType="separate"/>
      </w:r>
      <w:r w:rsidR="00D11E4C">
        <w:rPr>
          <w:noProof/>
        </w:rPr>
        <w:t>182</w:t>
      </w:r>
      <w:r>
        <w:rPr>
          <w:noProof/>
        </w:rPr>
        <w:fldChar w:fldCharType="end"/>
      </w:r>
      <w:r w:rsidR="001C7E7E">
        <w:t>.</w:t>
      </w:r>
      <w:r w:rsidR="001C7E7E">
        <w:tab/>
      </w:r>
      <w:r w:rsidR="00D11E4C">
        <w:t>Questo modello è utilizzato per fornire i dettagli dei 20 principali singoli AVA per i rischi del modello in termini di importo dell</w:t>
      </w:r>
      <w:r w:rsidR="000878EC">
        <w:t>'</w:t>
      </w:r>
      <w:r w:rsidR="00D11E4C">
        <w:t>AVA che contribuiscono all</w:t>
      </w:r>
      <w:r w:rsidR="000878EC">
        <w:t>'</w:t>
      </w:r>
      <w:r w:rsidR="00D11E4C">
        <w:t>AVA totale a livello di categoria per i rischi del modello computato a norma dell</w:t>
      </w:r>
      <w:r w:rsidR="000878EC">
        <w:t>'</w:t>
      </w:r>
      <w:r w:rsidR="00D11E4C">
        <w:t>articolo 11 del regolamento delegato (UE) 2016/101. Queste informazioni corrispondono a quelle riportate nella colonna 0050 del modello C 32.02.</w:t>
      </w:r>
    </w:p>
    <w:p w:rsidR="00AF3D7A" w:rsidRPr="00661595" w:rsidRDefault="00A971CA" w:rsidP="001C7E7E">
      <w:pPr>
        <w:pStyle w:val="InstructionsText2"/>
        <w:numPr>
          <w:ilvl w:val="0"/>
          <w:numId w:val="0"/>
        </w:numPr>
        <w:ind w:left="1680" w:hanging="480"/>
      </w:pPr>
      <w:r>
        <w:fldChar w:fldCharType="begin"/>
      </w:r>
      <w:r>
        <w:instrText xml:space="preserve"> seq paragraphs </w:instrText>
      </w:r>
      <w:r>
        <w:fldChar w:fldCharType="separate"/>
      </w:r>
      <w:r w:rsidR="00D11E4C">
        <w:rPr>
          <w:noProof/>
        </w:rPr>
        <w:t>183</w:t>
      </w:r>
      <w:r>
        <w:rPr>
          <w:noProof/>
        </w:rPr>
        <w:fldChar w:fldCharType="end"/>
      </w:r>
      <w:r w:rsidR="001C7E7E">
        <w:t>.</w:t>
      </w:r>
      <w:r w:rsidR="001C7E7E">
        <w:tab/>
      </w:r>
      <w:r w:rsidR="00D11E4C">
        <w:t xml:space="preserve">I 20 principali singoli AVA per i rischi del modello, e le corrispondenti informazioni sul prodotto, sono indicati in ordine discendente partendo dal maggiore. </w:t>
      </w:r>
    </w:p>
    <w:p w:rsidR="00AF3D7A" w:rsidRPr="00661595" w:rsidRDefault="00A971CA" w:rsidP="001C7E7E">
      <w:pPr>
        <w:pStyle w:val="InstructionsText2"/>
        <w:numPr>
          <w:ilvl w:val="0"/>
          <w:numId w:val="0"/>
        </w:numPr>
        <w:ind w:left="1680" w:hanging="480"/>
      </w:pPr>
      <w:r>
        <w:fldChar w:fldCharType="begin"/>
      </w:r>
      <w:r>
        <w:instrText xml:space="preserve"> seq paragraphs </w:instrText>
      </w:r>
      <w:r>
        <w:fldChar w:fldCharType="separate"/>
      </w:r>
      <w:r w:rsidR="00D11E4C">
        <w:rPr>
          <w:noProof/>
        </w:rPr>
        <w:t>184</w:t>
      </w:r>
      <w:r>
        <w:rPr>
          <w:noProof/>
        </w:rPr>
        <w:fldChar w:fldCharType="end"/>
      </w:r>
      <w:r w:rsidR="001C7E7E">
        <w:t>.</w:t>
      </w:r>
      <w:r w:rsidR="001C7E7E">
        <w:tab/>
      </w:r>
      <w:r w:rsidR="00D11E4C">
        <w:t>I prodotti corrispondenti a questi principali singoli AVA per i rischi del modello sono indicati utilizzando l</w:t>
      </w:r>
      <w:r w:rsidR="000878EC">
        <w:t>'</w:t>
      </w:r>
      <w:r w:rsidR="00D11E4C">
        <w:t>inventario dei</w:t>
      </w:r>
      <w:r w:rsidR="001C7E7E">
        <w:t xml:space="preserve"> prodotti previsto all</w:t>
      </w:r>
      <w:r w:rsidR="000878EC">
        <w:t>'</w:t>
      </w:r>
      <w:r w:rsidR="001C7E7E">
        <w:t>articolo </w:t>
      </w:r>
      <w:r w:rsidR="00D11E4C">
        <w:t xml:space="preserve">19, paragrafo 3, lettera a), del regolamento delegato (UE) 2016/101. </w:t>
      </w:r>
    </w:p>
    <w:p w:rsidR="00AF3D7A" w:rsidRPr="00661595" w:rsidRDefault="00A971CA" w:rsidP="001C7E7E">
      <w:pPr>
        <w:pStyle w:val="InstructionsText2"/>
        <w:numPr>
          <w:ilvl w:val="0"/>
          <w:numId w:val="0"/>
        </w:numPr>
        <w:ind w:left="1680" w:hanging="480"/>
      </w:pPr>
      <w:r>
        <w:fldChar w:fldCharType="begin"/>
      </w:r>
      <w:r>
        <w:instrText xml:space="preserve"> seq paragraphs </w:instrText>
      </w:r>
      <w:r>
        <w:fldChar w:fldCharType="separate"/>
      </w:r>
      <w:r w:rsidR="00D11E4C">
        <w:rPr>
          <w:noProof/>
        </w:rPr>
        <w:t>185</w:t>
      </w:r>
      <w:r>
        <w:rPr>
          <w:noProof/>
        </w:rPr>
        <w:fldChar w:fldCharType="end"/>
      </w:r>
      <w:r w:rsidR="001C7E7E">
        <w:t>.</w:t>
      </w:r>
      <w:r w:rsidR="001C7E7E">
        <w:tab/>
      </w:r>
      <w:r w:rsidR="00D11E4C">
        <w:t>I prodotti che sono sufficientemente omogenei rispetto al modello di valutazione e all</w:t>
      </w:r>
      <w:r w:rsidR="000878EC">
        <w:t>'</w:t>
      </w:r>
      <w:r w:rsidR="00D11E4C">
        <w:t>AVA per i rischi del modello sono riuniti e indicati su una linea per massimizzare la copertura rispetto all</w:t>
      </w:r>
      <w:r w:rsidR="000878EC">
        <w:t>'</w:t>
      </w:r>
      <w:r w:rsidR="00D11E4C">
        <w:t>AVA totale a livello di categoria per i rischi del modello dell</w:t>
      </w:r>
      <w:r w:rsidR="000878EC">
        <w:t>'</w:t>
      </w:r>
      <w:r w:rsidR="00D11E4C">
        <w:t>ente.</w:t>
      </w:r>
    </w:p>
    <w:p w:rsidR="00B93FA1" w:rsidRPr="00661595" w:rsidRDefault="00B93FA1" w:rsidP="00B93FA1">
      <w:pPr>
        <w:pStyle w:val="Instructionsberschrift2"/>
        <w:numPr>
          <w:ilvl w:val="0"/>
          <w:numId w:val="0"/>
        </w:numPr>
        <w:ind w:left="357" w:hanging="357"/>
        <w:rPr>
          <w:rFonts w:ascii="Times New Roman" w:hAnsi="Times New Roman" w:cs="Times New Roman"/>
          <w:sz w:val="24"/>
        </w:rPr>
      </w:pPr>
      <w:bookmarkStart w:id="757" w:name="_Toc58915871"/>
      <w:r>
        <w:rPr>
          <w:rFonts w:ascii="Times New Roman" w:hAnsi="Times New Roman"/>
          <w:sz w:val="24"/>
          <w:u w:val="none"/>
        </w:rPr>
        <w:t>6.3.2.</w:t>
      </w:r>
      <w:r w:rsidRPr="001C7E7E">
        <w:rPr>
          <w:u w:val="none"/>
        </w:rPr>
        <w:tab/>
      </w:r>
      <w:r>
        <w:rPr>
          <w:rFonts w:ascii="Times New Roman" w:hAnsi="Times New Roman"/>
          <w:sz w:val="24"/>
        </w:rPr>
        <w:t>Istruzioni relative a posizioni specifiche</w:t>
      </w:r>
      <w:bookmarkEnd w:id="757"/>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13E45" w:rsidRPr="00661595" w:rsidTr="00672D2A">
        <w:tc>
          <w:tcPr>
            <w:tcW w:w="9322" w:type="dxa"/>
            <w:gridSpan w:val="2"/>
            <w:shd w:val="clear" w:color="auto" w:fill="CCCCCC"/>
          </w:tcPr>
          <w:p w:rsidR="00113E45" w:rsidRPr="00661595" w:rsidRDefault="00113E45" w:rsidP="001C7E7E">
            <w:pPr>
              <w:suppressAutoHyphens/>
              <w:spacing w:beforeLines="60" w:before="144" w:afterLines="60" w:after="144"/>
              <w:rPr>
                <w:rFonts w:ascii="Times New Roman" w:hAnsi="Times New Roman"/>
                <w:b/>
                <w:sz w:val="24"/>
              </w:rPr>
            </w:pPr>
            <w:r>
              <w:rPr>
                <w:rFonts w:ascii="Times New Roman" w:hAnsi="Times New Roman"/>
                <w:b/>
                <w:sz w:val="24"/>
              </w:rPr>
              <w:t>Colonne</w:t>
            </w:r>
          </w:p>
        </w:tc>
      </w:tr>
      <w:tr w:rsidR="00113E45" w:rsidRPr="00661595" w:rsidTr="00672D2A">
        <w:tc>
          <w:tcPr>
            <w:tcW w:w="1101" w:type="dxa"/>
          </w:tcPr>
          <w:p w:rsidR="00113E45" w:rsidRPr="00661595" w:rsidRDefault="008136B4" w:rsidP="001C7E7E">
            <w:pPr>
              <w:suppressAutoHyphens/>
              <w:spacing w:beforeLines="60" w:before="144" w:afterLines="60" w:after="144"/>
              <w:rPr>
                <w:rFonts w:ascii="Times New Roman" w:hAnsi="Times New Roman"/>
                <w:sz w:val="24"/>
              </w:rPr>
            </w:pPr>
            <w:r>
              <w:rPr>
                <w:rFonts w:ascii="Times New Roman" w:hAnsi="Times New Roman"/>
                <w:sz w:val="24"/>
              </w:rPr>
              <w:t>0005</w:t>
            </w:r>
          </w:p>
        </w:tc>
        <w:tc>
          <w:tcPr>
            <w:tcW w:w="8221" w:type="dxa"/>
          </w:tcPr>
          <w:p w:rsidR="00113E45" w:rsidRPr="00661595" w:rsidRDefault="00113E45" w:rsidP="001C7E7E">
            <w:pPr>
              <w:suppressAutoHyphens/>
              <w:spacing w:beforeLines="60" w:before="144" w:afterLines="60" w:after="144"/>
              <w:rPr>
                <w:rFonts w:ascii="Times New Roman" w:hAnsi="Times New Roman"/>
                <w:b/>
                <w:sz w:val="24"/>
                <w:u w:val="single"/>
              </w:rPr>
            </w:pPr>
            <w:r>
              <w:rPr>
                <w:rFonts w:ascii="Times New Roman" w:hAnsi="Times New Roman"/>
                <w:b/>
                <w:sz w:val="24"/>
                <w:u w:val="single"/>
              </w:rPr>
              <w:t>RANK</w:t>
            </w:r>
          </w:p>
          <w:p w:rsidR="00113E45" w:rsidRPr="00661595" w:rsidRDefault="00113E45" w:rsidP="001C7E7E">
            <w:pPr>
              <w:suppressAutoHyphens/>
              <w:spacing w:beforeLines="60" w:before="144" w:afterLines="60" w:after="144"/>
              <w:rPr>
                <w:rFonts w:ascii="Times New Roman" w:hAnsi="Times New Roman"/>
                <w:b/>
                <w:sz w:val="24"/>
                <w:u w:val="single"/>
              </w:rPr>
            </w:pPr>
            <w:r>
              <w:rPr>
                <w:rFonts w:ascii="Times New Roman" w:hAnsi="Times New Roman"/>
                <w:sz w:val="24"/>
              </w:rPr>
              <w:t>Il rank è un identificatore di riga ed è unico per ciascuna riga del modello. Segue l</w:t>
            </w:r>
            <w:r w:rsidR="000878EC">
              <w:rPr>
                <w:rFonts w:ascii="Times New Roman" w:hAnsi="Times New Roman"/>
                <w:sz w:val="24"/>
              </w:rPr>
              <w:t>'</w:t>
            </w:r>
            <w:r>
              <w:rPr>
                <w:rFonts w:ascii="Times New Roman" w:hAnsi="Times New Roman"/>
                <w:sz w:val="24"/>
              </w:rPr>
              <w:t>ordine numerico 1, 2, 3, ecc.; 1 è assegnato al maggiore singolo AVA per i rischi del modello, 2 al secondo maggiore, ecc.</w:t>
            </w:r>
          </w:p>
        </w:tc>
      </w:tr>
      <w:tr w:rsidR="00113E45" w:rsidRPr="00661595" w:rsidTr="00672D2A">
        <w:tc>
          <w:tcPr>
            <w:tcW w:w="1101" w:type="dxa"/>
          </w:tcPr>
          <w:p w:rsidR="00113E45" w:rsidRPr="00661595" w:rsidRDefault="008136B4" w:rsidP="001C7E7E">
            <w:pPr>
              <w:suppressAutoHyphens/>
              <w:spacing w:beforeLines="60" w:before="144" w:afterLines="60" w:after="144"/>
              <w:rPr>
                <w:rFonts w:ascii="Times New Roman" w:hAnsi="Times New Roman"/>
                <w:sz w:val="24"/>
              </w:rPr>
            </w:pPr>
            <w:r>
              <w:rPr>
                <w:rFonts w:ascii="Times New Roman" w:hAnsi="Times New Roman"/>
                <w:sz w:val="24"/>
              </w:rPr>
              <w:t>0010</w:t>
            </w:r>
          </w:p>
        </w:tc>
        <w:tc>
          <w:tcPr>
            <w:tcW w:w="8221" w:type="dxa"/>
          </w:tcPr>
          <w:p w:rsidR="00113E45" w:rsidRPr="00661595" w:rsidRDefault="00113E45" w:rsidP="001C7E7E">
            <w:pPr>
              <w:suppressAutoHyphens/>
              <w:spacing w:beforeLines="60" w:before="144" w:afterLines="60" w:after="144"/>
              <w:rPr>
                <w:rFonts w:ascii="Times New Roman" w:hAnsi="Times New Roman"/>
                <w:b/>
                <w:sz w:val="24"/>
                <w:u w:val="single"/>
              </w:rPr>
            </w:pPr>
            <w:r>
              <w:rPr>
                <w:rFonts w:ascii="Times New Roman" w:hAnsi="Times New Roman"/>
                <w:b/>
                <w:sz w:val="24"/>
                <w:u w:val="single"/>
              </w:rPr>
              <w:t>MODELLO</w:t>
            </w:r>
          </w:p>
          <w:p w:rsidR="00113E45" w:rsidRPr="00661595" w:rsidRDefault="00113E45" w:rsidP="001C7E7E">
            <w:pPr>
              <w:suppressAutoHyphens/>
              <w:spacing w:beforeLines="60" w:before="144" w:afterLines="60" w:after="144"/>
              <w:rPr>
                <w:rFonts w:ascii="Times New Roman" w:hAnsi="Times New Roman"/>
                <w:b/>
                <w:sz w:val="24"/>
                <w:u w:val="single"/>
              </w:rPr>
            </w:pPr>
            <w:r>
              <w:rPr>
                <w:rFonts w:ascii="Times New Roman" w:hAnsi="Times New Roman"/>
                <w:sz w:val="24"/>
              </w:rPr>
              <w:t>Il nome interno (alfanumerico) utilizzato dall</w:t>
            </w:r>
            <w:r w:rsidR="000878EC">
              <w:rPr>
                <w:rFonts w:ascii="Times New Roman" w:hAnsi="Times New Roman"/>
                <w:sz w:val="24"/>
              </w:rPr>
              <w:t>'</w:t>
            </w:r>
            <w:r>
              <w:rPr>
                <w:rFonts w:ascii="Times New Roman" w:hAnsi="Times New Roman"/>
                <w:sz w:val="24"/>
              </w:rPr>
              <w:t>ente per identificare il modello.</w:t>
            </w:r>
          </w:p>
        </w:tc>
      </w:tr>
      <w:tr w:rsidR="00113E45" w:rsidRPr="00661595" w:rsidTr="00672D2A">
        <w:tc>
          <w:tcPr>
            <w:tcW w:w="1101" w:type="dxa"/>
          </w:tcPr>
          <w:p w:rsidR="00113E45" w:rsidRPr="00661595" w:rsidRDefault="008136B4" w:rsidP="001C7E7E">
            <w:pPr>
              <w:suppressAutoHyphens/>
              <w:spacing w:beforeLines="60" w:before="144" w:afterLines="60" w:after="144"/>
              <w:rPr>
                <w:rFonts w:ascii="Times New Roman" w:hAnsi="Times New Roman"/>
                <w:sz w:val="24"/>
              </w:rPr>
            </w:pPr>
            <w:r>
              <w:rPr>
                <w:rFonts w:ascii="Times New Roman" w:hAnsi="Times New Roman"/>
                <w:sz w:val="24"/>
              </w:rPr>
              <w:t>0020</w:t>
            </w:r>
          </w:p>
        </w:tc>
        <w:tc>
          <w:tcPr>
            <w:tcW w:w="8221" w:type="dxa"/>
          </w:tcPr>
          <w:p w:rsidR="00113E45" w:rsidRPr="00661595" w:rsidRDefault="00113E45" w:rsidP="001C7E7E">
            <w:pPr>
              <w:suppressAutoHyphens/>
              <w:spacing w:beforeLines="60" w:before="144" w:afterLines="60" w:after="144"/>
              <w:rPr>
                <w:rFonts w:ascii="Times New Roman" w:hAnsi="Times New Roman"/>
                <w:b/>
                <w:sz w:val="24"/>
                <w:u w:val="single"/>
              </w:rPr>
            </w:pPr>
            <w:r>
              <w:rPr>
                <w:rFonts w:ascii="Times New Roman" w:hAnsi="Times New Roman"/>
                <w:b/>
                <w:sz w:val="24"/>
                <w:u w:val="single"/>
              </w:rPr>
              <w:t>CATEGORIA DI RISCHIO</w:t>
            </w:r>
          </w:p>
          <w:p w:rsidR="00113E45" w:rsidRPr="00661595" w:rsidRDefault="00113E45" w:rsidP="001C7E7E">
            <w:pPr>
              <w:suppressAutoHyphens/>
              <w:spacing w:beforeLines="60" w:before="144" w:afterLines="60" w:after="144"/>
              <w:rPr>
                <w:rFonts w:ascii="Times New Roman" w:hAnsi="Times New Roman"/>
                <w:sz w:val="24"/>
              </w:rPr>
            </w:pPr>
            <w:r>
              <w:rPr>
                <w:rFonts w:ascii="Times New Roman" w:hAnsi="Times New Roman"/>
                <w:sz w:val="24"/>
              </w:rPr>
              <w:t>La categoria di rischio (tassi di interesse, FX, credito, strumenti di capitale, merci) che caratterizza più adeguatamente il prodotto o il gruppo di prodotti che danno origine all</w:t>
            </w:r>
            <w:r w:rsidR="000878EC">
              <w:rPr>
                <w:rFonts w:ascii="Times New Roman" w:hAnsi="Times New Roman"/>
                <w:sz w:val="24"/>
              </w:rPr>
              <w:t>'</w:t>
            </w:r>
            <w:r>
              <w:rPr>
                <w:rFonts w:ascii="Times New Roman" w:hAnsi="Times New Roman"/>
                <w:sz w:val="24"/>
              </w:rPr>
              <w:t>aggiustamento di valutazione per i rischi del modello.</w:t>
            </w:r>
          </w:p>
          <w:p w:rsidR="00113E45" w:rsidRPr="00661595" w:rsidRDefault="00113E45" w:rsidP="001C7E7E">
            <w:pPr>
              <w:suppressAutoHyphens/>
              <w:spacing w:beforeLines="60" w:before="144" w:afterLines="60" w:after="144"/>
              <w:rPr>
                <w:rFonts w:ascii="Times New Roman" w:hAnsi="Times New Roman"/>
                <w:sz w:val="24"/>
              </w:rPr>
            </w:pPr>
            <w:r>
              <w:rPr>
                <w:rFonts w:ascii="Times New Roman" w:hAnsi="Times New Roman"/>
                <w:sz w:val="24"/>
              </w:rPr>
              <w:t>Gli enti utilizzano i seguenti codici:</w:t>
            </w:r>
          </w:p>
          <w:p w:rsidR="00113E45" w:rsidRPr="00661595" w:rsidRDefault="00113E45" w:rsidP="001C7E7E">
            <w:pPr>
              <w:suppressAutoHyphens/>
              <w:spacing w:beforeLines="60" w:before="144" w:afterLines="60" w:after="144"/>
              <w:rPr>
                <w:rFonts w:ascii="Times New Roman" w:hAnsi="Times New Roman"/>
                <w:sz w:val="24"/>
              </w:rPr>
            </w:pPr>
            <w:r>
              <w:rPr>
                <w:rFonts w:ascii="Times New Roman" w:hAnsi="Times New Roman"/>
                <w:sz w:val="24"/>
              </w:rPr>
              <w:t>IR – tassi di interesse (interest rates)</w:t>
            </w:r>
          </w:p>
          <w:p w:rsidR="00A74B40" w:rsidRPr="00661595" w:rsidRDefault="00A74B40" w:rsidP="001C7E7E">
            <w:pPr>
              <w:suppressAutoHyphens/>
              <w:spacing w:beforeLines="60" w:before="144" w:afterLines="60" w:after="144"/>
              <w:rPr>
                <w:rFonts w:ascii="Times New Roman" w:hAnsi="Times New Roman"/>
                <w:sz w:val="24"/>
              </w:rPr>
            </w:pPr>
            <w:r>
              <w:rPr>
                <w:rFonts w:ascii="Times New Roman" w:hAnsi="Times New Roman"/>
                <w:sz w:val="24"/>
              </w:rPr>
              <w:t>FX – cambio (foreign exchange)</w:t>
            </w:r>
          </w:p>
          <w:p w:rsidR="00113E45" w:rsidRPr="00661595" w:rsidRDefault="00113E45" w:rsidP="001C7E7E">
            <w:pPr>
              <w:suppressAutoHyphens/>
              <w:spacing w:beforeLines="60" w:before="144" w:afterLines="60" w:after="144"/>
              <w:rPr>
                <w:rFonts w:ascii="Times New Roman" w:hAnsi="Times New Roman"/>
                <w:sz w:val="24"/>
              </w:rPr>
            </w:pPr>
            <w:r>
              <w:rPr>
                <w:rFonts w:ascii="Times New Roman" w:hAnsi="Times New Roman"/>
                <w:sz w:val="24"/>
              </w:rPr>
              <w:t>CR – credito (credit)</w:t>
            </w:r>
          </w:p>
          <w:p w:rsidR="00113E45" w:rsidRPr="00661595" w:rsidRDefault="00113E45" w:rsidP="001C7E7E">
            <w:pPr>
              <w:suppressAutoHyphens/>
              <w:spacing w:beforeLines="60" w:before="144" w:afterLines="60" w:after="144"/>
              <w:rPr>
                <w:rFonts w:ascii="Times New Roman" w:hAnsi="Times New Roman"/>
                <w:sz w:val="24"/>
              </w:rPr>
            </w:pPr>
            <w:r>
              <w:rPr>
                <w:rFonts w:ascii="Times New Roman" w:hAnsi="Times New Roman"/>
                <w:sz w:val="24"/>
              </w:rPr>
              <w:t>EQ – strumenti di capitale (equities)</w:t>
            </w:r>
          </w:p>
          <w:p w:rsidR="00113E45" w:rsidRPr="00661595" w:rsidRDefault="00113E45" w:rsidP="001C7E7E">
            <w:pPr>
              <w:suppressAutoHyphens/>
              <w:spacing w:beforeLines="60" w:before="144" w:afterLines="60" w:after="144"/>
              <w:rPr>
                <w:rFonts w:ascii="Times New Roman" w:hAnsi="Times New Roman"/>
                <w:sz w:val="24"/>
              </w:rPr>
            </w:pPr>
            <w:r>
              <w:rPr>
                <w:rFonts w:ascii="Times New Roman" w:hAnsi="Times New Roman"/>
                <w:sz w:val="24"/>
              </w:rPr>
              <w:t>CO – merci (commodities)</w:t>
            </w:r>
          </w:p>
        </w:tc>
      </w:tr>
      <w:tr w:rsidR="00113E45" w:rsidRPr="00661595" w:rsidTr="00672D2A">
        <w:tc>
          <w:tcPr>
            <w:tcW w:w="1101" w:type="dxa"/>
          </w:tcPr>
          <w:p w:rsidR="00113E45" w:rsidRPr="00661595" w:rsidRDefault="008136B4" w:rsidP="001C7E7E">
            <w:pPr>
              <w:suppressAutoHyphens/>
              <w:spacing w:beforeLines="60" w:before="144" w:afterLines="60" w:after="144"/>
              <w:rPr>
                <w:rFonts w:ascii="Times New Roman" w:hAnsi="Times New Roman"/>
                <w:sz w:val="24"/>
              </w:rPr>
            </w:pPr>
            <w:r>
              <w:rPr>
                <w:rFonts w:ascii="Times New Roman" w:hAnsi="Times New Roman"/>
                <w:sz w:val="24"/>
              </w:rPr>
              <w:t>0030</w:t>
            </w:r>
          </w:p>
        </w:tc>
        <w:tc>
          <w:tcPr>
            <w:tcW w:w="8221" w:type="dxa"/>
          </w:tcPr>
          <w:p w:rsidR="00113E45" w:rsidRPr="00661595" w:rsidRDefault="00113E45" w:rsidP="001C7E7E">
            <w:pPr>
              <w:suppressAutoHyphens/>
              <w:spacing w:beforeLines="60" w:before="144" w:afterLines="60" w:after="144"/>
              <w:rPr>
                <w:rFonts w:ascii="Times New Roman" w:hAnsi="Times New Roman"/>
                <w:b/>
                <w:sz w:val="24"/>
                <w:u w:val="single"/>
              </w:rPr>
            </w:pPr>
            <w:r>
              <w:rPr>
                <w:rFonts w:ascii="Times New Roman" w:hAnsi="Times New Roman"/>
                <w:b/>
                <w:sz w:val="24"/>
                <w:u w:val="single"/>
              </w:rPr>
              <w:t>PRODOTTO</w:t>
            </w:r>
          </w:p>
          <w:p w:rsidR="00113E45" w:rsidRPr="00661595" w:rsidRDefault="00113E45" w:rsidP="001C7E7E">
            <w:pPr>
              <w:suppressAutoHyphens/>
              <w:spacing w:beforeLines="60" w:before="144" w:afterLines="60" w:after="144"/>
              <w:rPr>
                <w:rFonts w:ascii="Times New Roman" w:hAnsi="Times New Roman"/>
                <w:sz w:val="24"/>
              </w:rPr>
            </w:pPr>
            <w:r>
              <w:rPr>
                <w:rFonts w:ascii="Times New Roman" w:hAnsi="Times New Roman"/>
                <w:sz w:val="24"/>
              </w:rPr>
              <w:t>Il nome interno (alfanumerico) per il prodotto o il gruppo di prodotti, in linea con l</w:t>
            </w:r>
            <w:r w:rsidR="000878EC">
              <w:rPr>
                <w:rFonts w:ascii="Times New Roman" w:hAnsi="Times New Roman"/>
                <w:sz w:val="24"/>
              </w:rPr>
              <w:t>'</w:t>
            </w:r>
            <w:r>
              <w:rPr>
                <w:rFonts w:ascii="Times New Roman" w:hAnsi="Times New Roman"/>
                <w:sz w:val="24"/>
              </w:rPr>
              <w:t>inventario dei prodotti previsto all</w:t>
            </w:r>
            <w:r w:rsidR="000878EC">
              <w:rPr>
                <w:rFonts w:ascii="Times New Roman" w:hAnsi="Times New Roman"/>
                <w:sz w:val="24"/>
              </w:rPr>
              <w:t>'</w:t>
            </w:r>
            <w:r>
              <w:rPr>
                <w:rFonts w:ascii="Times New Roman" w:hAnsi="Times New Roman"/>
                <w:sz w:val="24"/>
              </w:rPr>
              <w:t>articolo 19, paragrafo 3, lettera a), del regolamento delegato (UE) 2016/101, che è valutato utilizzando il modello.</w:t>
            </w:r>
          </w:p>
        </w:tc>
      </w:tr>
      <w:tr w:rsidR="00113E45" w:rsidRPr="00661595" w:rsidTr="00672D2A">
        <w:tc>
          <w:tcPr>
            <w:tcW w:w="1101" w:type="dxa"/>
          </w:tcPr>
          <w:p w:rsidR="00113E45" w:rsidRPr="00661595" w:rsidRDefault="008136B4" w:rsidP="001C7E7E">
            <w:pPr>
              <w:suppressAutoHyphens/>
              <w:spacing w:beforeLines="60" w:before="144" w:afterLines="60" w:after="144"/>
              <w:rPr>
                <w:rFonts w:ascii="Times New Roman" w:hAnsi="Times New Roman"/>
                <w:sz w:val="24"/>
              </w:rPr>
            </w:pPr>
            <w:r>
              <w:rPr>
                <w:rFonts w:ascii="Times New Roman" w:hAnsi="Times New Roman"/>
                <w:sz w:val="24"/>
              </w:rPr>
              <w:t>0040</w:t>
            </w:r>
          </w:p>
        </w:tc>
        <w:tc>
          <w:tcPr>
            <w:tcW w:w="8221" w:type="dxa"/>
          </w:tcPr>
          <w:p w:rsidR="00113E45" w:rsidRPr="00661595" w:rsidRDefault="00113E45" w:rsidP="001C7E7E">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RILEVABILITÀ</w:t>
            </w:r>
          </w:p>
          <w:p w:rsidR="00113E45" w:rsidRPr="00661595" w:rsidRDefault="00113E45" w:rsidP="001C7E7E">
            <w:pPr>
              <w:pStyle w:val="CommentText"/>
              <w:suppressAutoHyphens/>
              <w:spacing w:before="60" w:after="60"/>
              <w:rPr>
                <w:rFonts w:ascii="Times New Roman" w:hAnsi="Times New Roman"/>
                <w:sz w:val="24"/>
                <w:szCs w:val="24"/>
              </w:rPr>
            </w:pPr>
            <w:r>
              <w:rPr>
                <w:rFonts w:ascii="Times New Roman" w:hAnsi="Times New Roman"/>
                <w:sz w:val="24"/>
                <w:szCs w:val="24"/>
              </w:rPr>
              <w:t>Numero di rilevazioni di prezzo per il prodotto o il gruppo di prodotti negli ultimi dodici mesi che soddisfano uno dei criteri seguenti:</w:t>
            </w:r>
          </w:p>
          <w:p w:rsidR="00113E45" w:rsidRPr="00661595" w:rsidRDefault="00113E45" w:rsidP="001C7E7E">
            <w:pPr>
              <w:pStyle w:val="CommentText"/>
              <w:numPr>
                <w:ilvl w:val="0"/>
                <w:numId w:val="31"/>
              </w:numPr>
              <w:suppressAutoHyphens/>
              <w:spacing w:before="60" w:after="60"/>
              <w:rPr>
                <w:rFonts w:ascii="Times New Roman" w:hAnsi="Times New Roman"/>
                <w:sz w:val="24"/>
                <w:szCs w:val="24"/>
              </w:rPr>
            </w:pPr>
            <w:r>
              <w:rPr>
                <w:rFonts w:ascii="Times New Roman" w:hAnsi="Times New Roman"/>
                <w:sz w:val="24"/>
                <w:szCs w:val="24"/>
              </w:rPr>
              <w:t>la rilevazione riguarda un prezzo al quale l</w:t>
            </w:r>
            <w:r w:rsidR="000878EC">
              <w:rPr>
                <w:rFonts w:ascii="Times New Roman" w:hAnsi="Times New Roman"/>
                <w:sz w:val="24"/>
                <w:szCs w:val="24"/>
              </w:rPr>
              <w:t>'</w:t>
            </w:r>
            <w:r>
              <w:rPr>
                <w:rFonts w:ascii="Times New Roman" w:hAnsi="Times New Roman"/>
                <w:sz w:val="24"/>
                <w:szCs w:val="24"/>
              </w:rPr>
              <w:t>ente ha effettuato un</w:t>
            </w:r>
            <w:r w:rsidR="000878EC">
              <w:rPr>
                <w:rFonts w:ascii="Times New Roman" w:hAnsi="Times New Roman"/>
                <w:sz w:val="24"/>
                <w:szCs w:val="24"/>
              </w:rPr>
              <w:t>'</w:t>
            </w:r>
            <w:r>
              <w:rPr>
                <w:rFonts w:ascii="Times New Roman" w:hAnsi="Times New Roman"/>
                <w:sz w:val="24"/>
                <w:szCs w:val="24"/>
              </w:rPr>
              <w:t>operazione;</w:t>
            </w:r>
          </w:p>
          <w:p w:rsidR="00113E45" w:rsidRPr="00661595" w:rsidRDefault="00113E45" w:rsidP="001C7E7E">
            <w:pPr>
              <w:pStyle w:val="CommentText"/>
              <w:numPr>
                <w:ilvl w:val="0"/>
                <w:numId w:val="31"/>
              </w:numPr>
              <w:suppressAutoHyphens/>
              <w:spacing w:before="60" w:after="60"/>
              <w:rPr>
                <w:rFonts w:ascii="Times New Roman" w:hAnsi="Times New Roman"/>
                <w:sz w:val="24"/>
                <w:szCs w:val="24"/>
              </w:rPr>
            </w:pPr>
            <w:r>
              <w:rPr>
                <w:rFonts w:ascii="Times New Roman" w:hAnsi="Times New Roman"/>
                <w:sz w:val="24"/>
                <w:szCs w:val="24"/>
              </w:rPr>
              <w:t>la rilevazione riguarda un prezzo verificabile per un</w:t>
            </w:r>
            <w:r w:rsidR="000878EC">
              <w:rPr>
                <w:rFonts w:ascii="Times New Roman" w:hAnsi="Times New Roman"/>
                <w:sz w:val="24"/>
                <w:szCs w:val="24"/>
              </w:rPr>
              <w:t>'</w:t>
            </w:r>
            <w:r>
              <w:rPr>
                <w:rFonts w:ascii="Times New Roman" w:hAnsi="Times New Roman"/>
                <w:sz w:val="24"/>
                <w:szCs w:val="24"/>
              </w:rPr>
              <w:t>effettiva operazione intercorsa tra terzi;</w:t>
            </w:r>
          </w:p>
          <w:p w:rsidR="00113E45" w:rsidRPr="00661595" w:rsidRDefault="00113E45" w:rsidP="001C7E7E">
            <w:pPr>
              <w:pStyle w:val="CommentText"/>
              <w:numPr>
                <w:ilvl w:val="0"/>
                <w:numId w:val="31"/>
              </w:numPr>
              <w:suppressAutoHyphens/>
              <w:spacing w:before="60" w:after="60"/>
              <w:rPr>
                <w:rFonts w:ascii="Times New Roman" w:hAnsi="Times New Roman"/>
                <w:sz w:val="24"/>
                <w:szCs w:val="24"/>
              </w:rPr>
            </w:pPr>
            <w:r>
              <w:rPr>
                <w:rFonts w:ascii="Times New Roman" w:hAnsi="Times New Roman"/>
                <w:sz w:val="24"/>
                <w:szCs w:val="24"/>
              </w:rPr>
              <w:t>la rilevazione riguarda un prezzo ottenuto da una quotazione irrevocabile.</w:t>
            </w:r>
          </w:p>
          <w:p w:rsidR="00113E45" w:rsidRPr="00661595" w:rsidRDefault="00113E45" w:rsidP="001C7E7E">
            <w:pPr>
              <w:pStyle w:val="CommentText"/>
              <w:suppressAutoHyphens/>
              <w:spacing w:before="60" w:after="60"/>
              <w:rPr>
                <w:rStyle w:val="InstructionsTabelleberschrift"/>
                <w:rFonts w:ascii="Times New Roman" w:hAnsi="Times New Roman"/>
                <w:b w:val="0"/>
                <w:sz w:val="24"/>
                <w:szCs w:val="24"/>
                <w:u w:val="none"/>
              </w:rPr>
            </w:pPr>
            <w:r>
              <w:rPr>
                <w:rFonts w:ascii="Times New Roman" w:hAnsi="Times New Roman"/>
                <w:sz w:val="24"/>
                <w:szCs w:val="24"/>
              </w:rPr>
              <w:t xml:space="preserve">Gli enti utilizzano uno dei seguenti valori: </w:t>
            </w:r>
            <w:r w:rsidR="000878EC">
              <w:rPr>
                <w:rFonts w:ascii="Times New Roman" w:hAnsi="Times New Roman"/>
                <w:sz w:val="24"/>
                <w:szCs w:val="24"/>
              </w:rPr>
              <w:t>"</w:t>
            </w:r>
            <w:r>
              <w:rPr>
                <w:rFonts w:ascii="Times New Roman" w:hAnsi="Times New Roman"/>
                <w:sz w:val="24"/>
                <w:szCs w:val="24"/>
              </w:rPr>
              <w:t>nessuna</w:t>
            </w:r>
            <w:r w:rsidR="000878EC">
              <w:rPr>
                <w:rFonts w:ascii="Times New Roman" w:hAnsi="Times New Roman"/>
                <w:sz w:val="24"/>
                <w:szCs w:val="24"/>
              </w:rPr>
              <w:t>"</w:t>
            </w:r>
            <w:r>
              <w:rPr>
                <w:rFonts w:ascii="Times New Roman" w:hAnsi="Times New Roman"/>
                <w:sz w:val="24"/>
                <w:szCs w:val="24"/>
              </w:rPr>
              <w:t xml:space="preserve">, </w:t>
            </w:r>
            <w:r w:rsidR="000878EC">
              <w:rPr>
                <w:rFonts w:ascii="Times New Roman" w:hAnsi="Times New Roman"/>
                <w:sz w:val="24"/>
                <w:szCs w:val="24"/>
              </w:rPr>
              <w:t>"</w:t>
            </w:r>
            <w:r>
              <w:rPr>
                <w:rFonts w:ascii="Times New Roman" w:hAnsi="Times New Roman"/>
                <w:sz w:val="24"/>
                <w:szCs w:val="24"/>
              </w:rPr>
              <w:t>1-6</w:t>
            </w:r>
            <w:r w:rsidR="000878EC">
              <w:rPr>
                <w:rFonts w:ascii="Times New Roman" w:hAnsi="Times New Roman"/>
                <w:sz w:val="24"/>
                <w:szCs w:val="24"/>
              </w:rPr>
              <w:t>"</w:t>
            </w:r>
            <w:r>
              <w:rPr>
                <w:rFonts w:ascii="Times New Roman" w:hAnsi="Times New Roman"/>
                <w:sz w:val="24"/>
                <w:szCs w:val="24"/>
              </w:rPr>
              <w:t xml:space="preserve">, </w:t>
            </w:r>
            <w:r w:rsidR="000878EC">
              <w:rPr>
                <w:rFonts w:ascii="Times New Roman" w:hAnsi="Times New Roman"/>
                <w:sz w:val="24"/>
                <w:szCs w:val="24"/>
              </w:rPr>
              <w:t>"</w:t>
            </w:r>
            <w:r>
              <w:rPr>
                <w:rFonts w:ascii="Times New Roman" w:hAnsi="Times New Roman"/>
                <w:sz w:val="24"/>
                <w:szCs w:val="24"/>
              </w:rPr>
              <w:t>6-24</w:t>
            </w:r>
            <w:r w:rsidR="000878EC">
              <w:rPr>
                <w:rFonts w:ascii="Times New Roman" w:hAnsi="Times New Roman"/>
                <w:sz w:val="24"/>
                <w:szCs w:val="24"/>
              </w:rPr>
              <w:t>"</w:t>
            </w:r>
            <w:r>
              <w:rPr>
                <w:rFonts w:ascii="Times New Roman" w:hAnsi="Times New Roman"/>
                <w:sz w:val="24"/>
                <w:szCs w:val="24"/>
              </w:rPr>
              <w:t xml:space="preserve">, </w:t>
            </w:r>
            <w:r w:rsidR="000878EC">
              <w:rPr>
                <w:rFonts w:ascii="Times New Roman" w:hAnsi="Times New Roman"/>
                <w:sz w:val="24"/>
                <w:szCs w:val="24"/>
              </w:rPr>
              <w:t>"</w:t>
            </w:r>
            <w:r>
              <w:rPr>
                <w:rFonts w:ascii="Times New Roman" w:hAnsi="Times New Roman"/>
                <w:sz w:val="24"/>
                <w:szCs w:val="24"/>
              </w:rPr>
              <w:t>24-100</w:t>
            </w:r>
            <w:r w:rsidR="000878EC">
              <w:rPr>
                <w:rFonts w:ascii="Times New Roman" w:hAnsi="Times New Roman"/>
                <w:sz w:val="24"/>
                <w:szCs w:val="24"/>
              </w:rPr>
              <w:t>"</w:t>
            </w:r>
            <w:r>
              <w:rPr>
                <w:rFonts w:ascii="Times New Roman" w:hAnsi="Times New Roman"/>
                <w:sz w:val="24"/>
                <w:szCs w:val="24"/>
              </w:rPr>
              <w:t xml:space="preserve">, </w:t>
            </w:r>
            <w:r w:rsidR="000878EC">
              <w:rPr>
                <w:rFonts w:ascii="Times New Roman" w:hAnsi="Times New Roman"/>
                <w:sz w:val="24"/>
                <w:szCs w:val="24"/>
              </w:rPr>
              <w:t>"</w:t>
            </w:r>
            <w:r>
              <w:rPr>
                <w:rFonts w:ascii="Times New Roman" w:hAnsi="Times New Roman"/>
                <w:sz w:val="24"/>
                <w:szCs w:val="24"/>
              </w:rPr>
              <w:t>100+</w:t>
            </w:r>
            <w:r w:rsidR="000878EC">
              <w:rPr>
                <w:rFonts w:ascii="Times New Roman" w:hAnsi="Times New Roman"/>
                <w:sz w:val="24"/>
                <w:szCs w:val="24"/>
              </w:rPr>
              <w:t>"</w:t>
            </w:r>
            <w:r>
              <w:rPr>
                <w:rFonts w:ascii="Times New Roman" w:hAnsi="Times New Roman"/>
                <w:sz w:val="24"/>
                <w:szCs w:val="24"/>
              </w:rPr>
              <w:t>.</w:t>
            </w:r>
          </w:p>
        </w:tc>
      </w:tr>
      <w:tr w:rsidR="00113E45" w:rsidRPr="00661595" w:rsidTr="00672D2A">
        <w:tc>
          <w:tcPr>
            <w:tcW w:w="1101" w:type="dxa"/>
          </w:tcPr>
          <w:p w:rsidR="00113E45" w:rsidRPr="00661595" w:rsidRDefault="008136B4" w:rsidP="001C7E7E">
            <w:pPr>
              <w:suppressAutoHyphens/>
              <w:spacing w:beforeLines="60" w:before="144" w:afterLines="60" w:after="144"/>
              <w:rPr>
                <w:rFonts w:ascii="Times New Roman" w:hAnsi="Times New Roman"/>
                <w:sz w:val="24"/>
              </w:rPr>
            </w:pPr>
            <w:r>
              <w:rPr>
                <w:rFonts w:ascii="Times New Roman" w:hAnsi="Times New Roman"/>
                <w:sz w:val="24"/>
              </w:rPr>
              <w:t>0050</w:t>
            </w:r>
          </w:p>
        </w:tc>
        <w:tc>
          <w:tcPr>
            <w:tcW w:w="8221" w:type="dxa"/>
          </w:tcPr>
          <w:p w:rsidR="00113E45" w:rsidRPr="00661595" w:rsidRDefault="00113E45" w:rsidP="001C7E7E">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PER I RISCHI DEL MODELLO</w:t>
            </w:r>
          </w:p>
          <w:p w:rsidR="00113E45" w:rsidRPr="00661595" w:rsidRDefault="00113E45" w:rsidP="001C7E7E">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Articolo 11, paragrafo 1, del</w:t>
            </w:r>
            <w:r>
              <w:rPr>
                <w:rFonts w:ascii="Times New Roman" w:hAnsi="Times New Roman"/>
                <w:sz w:val="24"/>
              </w:rPr>
              <w:t xml:space="preserve"> regolamento delegato (UE) 2016/101.</w:t>
            </w:r>
          </w:p>
          <w:p w:rsidR="00113E45" w:rsidRPr="00661595" w:rsidRDefault="00113E45" w:rsidP="001C7E7E">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Singolo AVA per i rischi del modello prima del beneficio della diversificazione ma dopo il netting del portafoglio, ove applicabile.</w:t>
            </w:r>
          </w:p>
        </w:tc>
      </w:tr>
      <w:tr w:rsidR="00113E45" w:rsidRPr="00661595" w:rsidTr="00672D2A">
        <w:tc>
          <w:tcPr>
            <w:tcW w:w="1101" w:type="dxa"/>
          </w:tcPr>
          <w:p w:rsidR="00113E45" w:rsidRPr="00661595" w:rsidRDefault="008136B4" w:rsidP="001C7E7E">
            <w:pPr>
              <w:suppressAutoHyphens/>
              <w:spacing w:beforeLines="60" w:before="144" w:afterLines="60" w:after="144"/>
              <w:rPr>
                <w:rFonts w:ascii="Times New Roman" w:hAnsi="Times New Roman"/>
                <w:sz w:val="24"/>
              </w:rPr>
            </w:pPr>
            <w:r>
              <w:rPr>
                <w:rFonts w:ascii="Times New Roman" w:hAnsi="Times New Roman"/>
                <w:sz w:val="24"/>
              </w:rPr>
              <w:t>0060</w:t>
            </w:r>
          </w:p>
        </w:tc>
        <w:tc>
          <w:tcPr>
            <w:tcW w:w="8221" w:type="dxa"/>
          </w:tcPr>
          <w:p w:rsidR="00113E45" w:rsidRPr="00661595" w:rsidRDefault="00113E45" w:rsidP="001C7E7E">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 CUI: CALCOLATO SECONDO L</w:t>
            </w:r>
            <w:r w:rsidR="000878EC">
              <w:rPr>
                <w:rStyle w:val="InstructionsTabelleberschrift"/>
                <w:rFonts w:ascii="Times New Roman" w:hAnsi="Times New Roman"/>
                <w:sz w:val="24"/>
              </w:rPr>
              <w:t>'</w:t>
            </w:r>
            <w:r>
              <w:rPr>
                <w:rStyle w:val="InstructionsTabelleberschrift"/>
                <w:rFonts w:ascii="Times New Roman" w:hAnsi="Times New Roman"/>
                <w:sz w:val="24"/>
              </w:rPr>
              <w:t>APPROCCIO BASATO SU ESPERTI</w:t>
            </w:r>
          </w:p>
          <w:p w:rsidR="00113E45" w:rsidRPr="00661595" w:rsidRDefault="00113E45" w:rsidP="001C7E7E">
            <w:pPr>
              <w:suppressAutoHyphens/>
              <w:spacing w:beforeLines="60" w:before="144" w:afterLines="60" w:after="144"/>
              <w:rPr>
                <w:rStyle w:val="InstructionsTabelleberschrift"/>
                <w:rFonts w:ascii="Times New Roman" w:hAnsi="Times New Roman"/>
                <w:sz w:val="24"/>
                <w:u w:val="none"/>
              </w:rPr>
            </w:pPr>
            <w:r>
              <w:rPr>
                <w:rFonts w:ascii="Times New Roman" w:hAnsi="Times New Roman"/>
                <w:sz w:val="24"/>
              </w:rPr>
              <w:t>Gli importi nella colonna 0050 che sono stati calcolati secondo l</w:t>
            </w:r>
            <w:r w:rsidR="000878EC">
              <w:rPr>
                <w:rFonts w:ascii="Times New Roman" w:hAnsi="Times New Roman"/>
                <w:sz w:val="24"/>
              </w:rPr>
              <w:t>'</w:t>
            </w:r>
            <w:r>
              <w:rPr>
                <w:rFonts w:ascii="Times New Roman" w:hAnsi="Times New Roman"/>
                <w:sz w:val="24"/>
              </w:rPr>
              <w:t>approccio basato su esperti di cui all</w:t>
            </w:r>
            <w:r w:rsidR="000878EC">
              <w:rPr>
                <w:rFonts w:ascii="Times New Roman" w:hAnsi="Times New Roman"/>
                <w:sz w:val="24"/>
              </w:rPr>
              <w:t>'</w:t>
            </w:r>
            <w:r>
              <w:rPr>
                <w:rFonts w:ascii="Times New Roman" w:hAnsi="Times New Roman"/>
                <w:sz w:val="24"/>
              </w:rPr>
              <w:t>articolo 11, paragrafo 4, del regolamento delegato (UE) 2016/101.</w:t>
            </w:r>
          </w:p>
        </w:tc>
      </w:tr>
      <w:tr w:rsidR="00113E45" w:rsidRPr="00661595" w:rsidTr="00672D2A">
        <w:tc>
          <w:tcPr>
            <w:tcW w:w="1101" w:type="dxa"/>
          </w:tcPr>
          <w:p w:rsidR="00113E45" w:rsidRPr="00661595" w:rsidRDefault="008136B4" w:rsidP="001C7E7E">
            <w:pPr>
              <w:suppressAutoHyphens/>
              <w:spacing w:beforeLines="60" w:before="144" w:afterLines="60" w:after="144"/>
              <w:rPr>
                <w:rFonts w:ascii="Times New Roman" w:hAnsi="Times New Roman"/>
                <w:sz w:val="24"/>
              </w:rPr>
            </w:pPr>
            <w:r>
              <w:rPr>
                <w:rFonts w:ascii="Times New Roman" w:hAnsi="Times New Roman"/>
                <w:sz w:val="24"/>
              </w:rPr>
              <w:t>0070</w:t>
            </w:r>
          </w:p>
        </w:tc>
        <w:tc>
          <w:tcPr>
            <w:tcW w:w="8221" w:type="dxa"/>
          </w:tcPr>
          <w:p w:rsidR="00113E45" w:rsidRPr="00661595" w:rsidRDefault="00113E45" w:rsidP="001C7E7E">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 CUI: AGGREGATO UTILIZZANDO IL METODO 2</w:t>
            </w:r>
          </w:p>
          <w:p w:rsidR="00113E45" w:rsidRPr="00661595" w:rsidRDefault="00113E45" w:rsidP="001C7E7E">
            <w:pPr>
              <w:suppressAutoHyphens/>
              <w:spacing w:beforeLines="60" w:before="144" w:afterLines="60" w:after="144"/>
              <w:rPr>
                <w:rStyle w:val="InstructionsTabelleberschrift"/>
                <w:rFonts w:ascii="Times New Roman" w:hAnsi="Times New Roman"/>
                <w:sz w:val="24"/>
              </w:rPr>
            </w:pPr>
            <w:r>
              <w:rPr>
                <w:rFonts w:ascii="Times New Roman" w:hAnsi="Times New Roman"/>
                <w:sz w:val="24"/>
              </w:rPr>
              <w:t>Gli importi nella colonna 0050 che sono stati aggregati utilizzando il metodo 2 dell</w:t>
            </w:r>
            <w:r w:rsidR="000878EC">
              <w:rPr>
                <w:rFonts w:ascii="Times New Roman" w:hAnsi="Times New Roman"/>
                <w:sz w:val="24"/>
              </w:rPr>
              <w:t>'</w:t>
            </w:r>
            <w:r>
              <w:rPr>
                <w:rFonts w:ascii="Times New Roman" w:hAnsi="Times New Roman"/>
                <w:sz w:val="24"/>
              </w:rPr>
              <w:t xml:space="preserve">allegato del regolamento delegato (UE) 2016/101. Questi importi corrispondono a FV – PV nella terminologia di tale allegato. </w:t>
            </w:r>
          </w:p>
        </w:tc>
      </w:tr>
      <w:tr w:rsidR="00113E45" w:rsidRPr="00661595" w:rsidTr="00672D2A">
        <w:tc>
          <w:tcPr>
            <w:tcW w:w="1101" w:type="dxa"/>
          </w:tcPr>
          <w:p w:rsidR="00113E45" w:rsidRPr="00661595" w:rsidRDefault="008136B4" w:rsidP="001C7E7E">
            <w:pPr>
              <w:suppressAutoHyphens/>
              <w:spacing w:beforeLines="60" w:before="144" w:afterLines="60" w:after="144"/>
              <w:rPr>
                <w:rFonts w:ascii="Times New Roman" w:hAnsi="Times New Roman"/>
                <w:sz w:val="24"/>
              </w:rPr>
            </w:pPr>
            <w:r>
              <w:rPr>
                <w:rFonts w:ascii="Times New Roman" w:hAnsi="Times New Roman"/>
                <w:sz w:val="24"/>
              </w:rPr>
              <w:t>0080</w:t>
            </w:r>
          </w:p>
        </w:tc>
        <w:tc>
          <w:tcPr>
            <w:tcW w:w="8221" w:type="dxa"/>
          </w:tcPr>
          <w:p w:rsidR="00113E45" w:rsidRPr="00661595" w:rsidRDefault="00113E45" w:rsidP="001C7E7E">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AGGREGATO CALCOLATO UTILIZZANDO IL METODO 2</w:t>
            </w:r>
          </w:p>
          <w:p w:rsidR="00113E45" w:rsidRPr="00661595" w:rsidRDefault="00113E45" w:rsidP="001C7E7E">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Il contributo all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AVA totale a livello di categoria per i rischi del modello, calcolato a norma dell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articolo 11, paragrafo 7, del regolamento delegato (UE) 2016/101, dei singoli AVA per i rischi del modello che sono aggregati utilizzando il metodo 2 dell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allegato del medesimo regolamento. </w:t>
            </w:r>
            <w:r>
              <w:rPr>
                <w:rFonts w:ascii="Times New Roman" w:hAnsi="Times New Roman"/>
                <w:sz w:val="24"/>
              </w:rPr>
              <w:t>Questo importo corrisponde a APVA nella terminologia dell</w:t>
            </w:r>
            <w:r w:rsidR="000878EC">
              <w:rPr>
                <w:rFonts w:ascii="Times New Roman" w:hAnsi="Times New Roman"/>
                <w:sz w:val="24"/>
              </w:rPr>
              <w:t>'</w:t>
            </w:r>
            <w:r>
              <w:rPr>
                <w:rFonts w:ascii="Times New Roman" w:hAnsi="Times New Roman"/>
                <w:sz w:val="24"/>
              </w:rPr>
              <w:t>allegato.</w:t>
            </w:r>
          </w:p>
        </w:tc>
      </w:tr>
      <w:tr w:rsidR="00113E45" w:rsidRPr="00661595" w:rsidTr="00672D2A">
        <w:tc>
          <w:tcPr>
            <w:tcW w:w="1101" w:type="dxa"/>
          </w:tcPr>
          <w:p w:rsidR="00113E45" w:rsidRPr="00661595" w:rsidRDefault="008136B4" w:rsidP="001C7E7E">
            <w:pPr>
              <w:suppressAutoHyphens/>
              <w:spacing w:beforeLines="60" w:before="144" w:afterLines="60" w:after="144"/>
              <w:rPr>
                <w:rFonts w:ascii="Times New Roman" w:hAnsi="Times New Roman"/>
                <w:sz w:val="24"/>
              </w:rPr>
            </w:pPr>
            <w:r>
              <w:rPr>
                <w:rFonts w:ascii="Times New Roman" w:hAnsi="Times New Roman"/>
                <w:sz w:val="24"/>
              </w:rPr>
              <w:t>0090 -0100</w:t>
            </w:r>
          </w:p>
        </w:tc>
        <w:tc>
          <w:tcPr>
            <w:tcW w:w="8221" w:type="dxa"/>
          </w:tcPr>
          <w:p w:rsidR="00113E45" w:rsidRPr="00661595" w:rsidRDefault="00113E45" w:rsidP="001C7E7E">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ATTIVITÀ E PASSIVITÀ VALUTATE AL FAIR VALUE (VALORE EQUO)</w:t>
            </w:r>
          </w:p>
          <w:p w:rsidR="00113E45" w:rsidRPr="00661595" w:rsidRDefault="00113E45" w:rsidP="001C7E7E">
            <w:pPr>
              <w:suppressAutoHyphens/>
              <w:spacing w:beforeLines="60" w:before="144" w:afterLines="60" w:after="144"/>
              <w:rPr>
                <w:rStyle w:val="InstructionsTabelleberschrift"/>
                <w:rFonts w:ascii="Times New Roman" w:hAnsi="Times New Roman"/>
                <w:sz w:val="24"/>
              </w:rPr>
            </w:pPr>
            <w:r>
              <w:rPr>
                <w:rFonts w:ascii="Times New Roman" w:hAnsi="Times New Roman"/>
                <w:sz w:val="24"/>
              </w:rPr>
              <w:t xml:space="preserve">Il valore assoluto delle attività e delle passività valutate al fair value (valore equo) utilizzando il modello di cui alla colonna 0010 rilevato a bilancio ai sensi della disciplina contabile applicabile. </w:t>
            </w:r>
          </w:p>
        </w:tc>
      </w:tr>
      <w:tr w:rsidR="00113E45" w:rsidRPr="00661595" w:rsidTr="00672D2A">
        <w:tc>
          <w:tcPr>
            <w:tcW w:w="1101" w:type="dxa"/>
          </w:tcPr>
          <w:p w:rsidR="00113E45" w:rsidRPr="00661595" w:rsidRDefault="008136B4" w:rsidP="001C7E7E">
            <w:pPr>
              <w:suppressAutoHyphens/>
              <w:spacing w:beforeLines="60" w:before="144" w:afterLines="60" w:after="144"/>
              <w:rPr>
                <w:rFonts w:ascii="Times New Roman" w:hAnsi="Times New Roman"/>
                <w:sz w:val="24"/>
              </w:rPr>
            </w:pPr>
            <w:r>
              <w:rPr>
                <w:rFonts w:ascii="Times New Roman" w:hAnsi="Times New Roman"/>
                <w:sz w:val="24"/>
              </w:rPr>
              <w:t>0090</w:t>
            </w:r>
          </w:p>
        </w:tc>
        <w:tc>
          <w:tcPr>
            <w:tcW w:w="8221" w:type="dxa"/>
          </w:tcPr>
          <w:p w:rsidR="00113E45" w:rsidRPr="00661595" w:rsidRDefault="00113E45" w:rsidP="001C7E7E">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ATTIVITÀ VALUTATE AL FAIR VALUE (VALORE EQUO)</w:t>
            </w:r>
          </w:p>
          <w:p w:rsidR="00113E45" w:rsidRPr="00661595" w:rsidRDefault="00113E45" w:rsidP="001C7E7E">
            <w:pPr>
              <w:suppressAutoHyphens/>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Il valore assoluto delle attività valutate al fair value (valore equo) utilizzando il modello di cui alla colonna 0010 rilevato a bilancio ai sensi della disciplina contabile applicabile.</w:t>
            </w:r>
          </w:p>
        </w:tc>
      </w:tr>
      <w:tr w:rsidR="00113E45" w:rsidRPr="00661595" w:rsidTr="00672D2A">
        <w:tc>
          <w:tcPr>
            <w:tcW w:w="1101" w:type="dxa"/>
          </w:tcPr>
          <w:p w:rsidR="00113E45" w:rsidRPr="00661595" w:rsidRDefault="008136B4" w:rsidP="0018236F">
            <w:pPr>
              <w:keepNext/>
              <w:keepLines/>
              <w:suppressAutoHyphens/>
              <w:spacing w:beforeLines="60" w:before="144" w:afterLines="60" w:after="144"/>
              <w:rPr>
                <w:rFonts w:ascii="Times New Roman" w:hAnsi="Times New Roman"/>
                <w:sz w:val="24"/>
              </w:rPr>
            </w:pPr>
            <w:r>
              <w:rPr>
                <w:rFonts w:ascii="Times New Roman" w:hAnsi="Times New Roman"/>
                <w:sz w:val="24"/>
              </w:rPr>
              <w:t>0100</w:t>
            </w:r>
          </w:p>
        </w:tc>
        <w:tc>
          <w:tcPr>
            <w:tcW w:w="8221" w:type="dxa"/>
          </w:tcPr>
          <w:p w:rsidR="00113E45" w:rsidRPr="00661595" w:rsidRDefault="00113E45" w:rsidP="0018236F">
            <w:pPr>
              <w:keepNext/>
              <w:keepLines/>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PASSIVITÀ VALUTATE AL FAIR VALUE (VALORE EQUO)</w:t>
            </w:r>
          </w:p>
          <w:p w:rsidR="00113E45" w:rsidRPr="00661595" w:rsidRDefault="00113E45" w:rsidP="0018236F">
            <w:pPr>
              <w:keepNext/>
              <w:keepLines/>
              <w:suppressAutoHyphens/>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 xml:space="preserve">Il valore assoluto delle passività valutate al fair value (valore equo) utilizzando il modello di cui alla colonna 0010 rilevato a bilancio ai sensi della disciplina contabile applicabile. </w:t>
            </w:r>
          </w:p>
        </w:tc>
      </w:tr>
      <w:tr w:rsidR="00113E45" w:rsidRPr="00661595" w:rsidTr="00672D2A">
        <w:tc>
          <w:tcPr>
            <w:tcW w:w="1101" w:type="dxa"/>
          </w:tcPr>
          <w:p w:rsidR="00113E45" w:rsidRPr="00661595" w:rsidRDefault="008136B4" w:rsidP="001C7E7E">
            <w:pPr>
              <w:suppressAutoHyphens/>
              <w:spacing w:beforeLines="60" w:before="144" w:afterLines="60" w:after="144"/>
              <w:rPr>
                <w:rFonts w:ascii="Times New Roman" w:hAnsi="Times New Roman"/>
                <w:sz w:val="24"/>
              </w:rPr>
            </w:pPr>
            <w:r>
              <w:rPr>
                <w:rFonts w:ascii="Times New Roman" w:hAnsi="Times New Roman"/>
                <w:sz w:val="24"/>
              </w:rPr>
              <w:t>0110</w:t>
            </w:r>
          </w:p>
        </w:tc>
        <w:tc>
          <w:tcPr>
            <w:tcW w:w="8221" w:type="dxa"/>
          </w:tcPr>
          <w:p w:rsidR="00113E45" w:rsidRPr="00661595" w:rsidRDefault="00113E45" w:rsidP="001C7E7E">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DIFFERENZA IPV (TEST DELL</w:t>
            </w:r>
            <w:r w:rsidR="000878EC">
              <w:rPr>
                <w:rStyle w:val="InstructionsTabelleberschrift"/>
                <w:rFonts w:ascii="Times New Roman" w:hAnsi="Times New Roman"/>
                <w:sz w:val="24"/>
              </w:rPr>
              <w:t>'</w:t>
            </w:r>
            <w:r>
              <w:rPr>
                <w:rStyle w:val="InstructionsTabelleberschrift"/>
                <w:rFonts w:ascii="Times New Roman" w:hAnsi="Times New Roman"/>
                <w:sz w:val="24"/>
              </w:rPr>
              <w:t>OUTPUT)</w:t>
            </w:r>
          </w:p>
          <w:p w:rsidR="00113E45" w:rsidRPr="00661595" w:rsidRDefault="00113E45" w:rsidP="001C7E7E">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 somma dei differenziali non aggiustati (</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differenza IPV</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calcolati alla fine del mese più vicina alla data di riferimento per le segnalazioni nel quadro del processo di verifica indipendente dei prezzi di cui all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articolo 105, paragrafo 8, del CRR, utilizzando i migliori dati indipendenti disponibili per il corrispondente prodotto o gruppo di prodotti. </w:t>
            </w:r>
          </w:p>
          <w:p w:rsidR="00113E45" w:rsidRPr="00661595" w:rsidRDefault="00113E45" w:rsidP="001C7E7E">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Per differenziali non aggiustati si intendono le differenze non aggiustate tra le valutazioni generate dal sistema di negoziazione e le valutazioni prodotte dal processo IPV mensile</w:t>
            </w:r>
          </w:p>
          <w:p w:rsidR="00113E45" w:rsidRPr="00661595" w:rsidRDefault="004D2753" w:rsidP="001C7E7E">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 differenziali aggiustati nei libri e nella contabilità dell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per la data di fine mese pertinente non sono inclusi ai fini del calcolo della differenza IPV.</w:t>
            </w:r>
          </w:p>
          <w:p w:rsidR="00113E45" w:rsidRPr="00661595" w:rsidRDefault="00113E45" w:rsidP="001C7E7E">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Sono inclusi qui solo i risultati che sono stati calibrati dai prezzi degli strumenti che sarebbero attribuiti allo stesso prodotto (test dell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output). Non sono inclusi i risultati dei test degli input dei dati di mercato che sono testati a fronte dei livelli che sono stati calibrati da diversi prodotti.</w:t>
            </w:r>
          </w:p>
        </w:tc>
      </w:tr>
      <w:tr w:rsidR="00113E45" w:rsidRPr="00661595" w:rsidTr="00672D2A">
        <w:tc>
          <w:tcPr>
            <w:tcW w:w="1101" w:type="dxa"/>
          </w:tcPr>
          <w:p w:rsidR="00113E45" w:rsidRPr="00661595" w:rsidRDefault="008136B4" w:rsidP="001C7E7E">
            <w:pPr>
              <w:suppressAutoHyphens/>
              <w:spacing w:beforeLines="60" w:before="144" w:afterLines="60" w:after="144"/>
              <w:rPr>
                <w:rFonts w:ascii="Times New Roman" w:hAnsi="Times New Roman"/>
                <w:sz w:val="24"/>
              </w:rPr>
            </w:pPr>
            <w:r>
              <w:rPr>
                <w:rFonts w:ascii="Times New Roman" w:hAnsi="Times New Roman"/>
                <w:sz w:val="24"/>
              </w:rPr>
              <w:t>0120</w:t>
            </w:r>
          </w:p>
        </w:tc>
        <w:tc>
          <w:tcPr>
            <w:tcW w:w="8221" w:type="dxa"/>
          </w:tcPr>
          <w:p w:rsidR="00113E45" w:rsidRPr="00661595" w:rsidRDefault="00113E45" w:rsidP="001C7E7E">
            <w:pPr>
              <w:suppressAutoHyphens/>
              <w:spacing w:beforeLines="60" w:before="144" w:afterLines="60" w:after="144"/>
              <w:jc w:val="left"/>
              <w:rPr>
                <w:rStyle w:val="InstructionsTabelleberschrift"/>
                <w:rFonts w:ascii="Times New Roman" w:hAnsi="Times New Roman"/>
                <w:sz w:val="24"/>
              </w:rPr>
            </w:pPr>
            <w:r>
              <w:rPr>
                <w:rStyle w:val="InstructionsTabelleberschrift"/>
                <w:rFonts w:ascii="Times New Roman" w:hAnsi="Times New Roman"/>
                <w:sz w:val="24"/>
              </w:rPr>
              <w:t>COPERTURA IPV (TEST DELL</w:t>
            </w:r>
            <w:r w:rsidR="000878EC">
              <w:rPr>
                <w:rStyle w:val="InstructionsTabelleberschrift"/>
                <w:rFonts w:ascii="Times New Roman" w:hAnsi="Times New Roman"/>
                <w:sz w:val="24"/>
              </w:rPr>
              <w:t>'</w:t>
            </w:r>
            <w:r>
              <w:rPr>
                <w:rStyle w:val="InstructionsTabelleberschrift"/>
                <w:rFonts w:ascii="Times New Roman" w:hAnsi="Times New Roman"/>
                <w:sz w:val="24"/>
              </w:rPr>
              <w:t>OUTPUT)</w:t>
            </w:r>
          </w:p>
          <w:p w:rsidR="00113E45" w:rsidRPr="00661595" w:rsidRDefault="00113E45" w:rsidP="001C7E7E">
            <w:pPr>
              <w:suppressAutoHyphens/>
              <w:spacing w:beforeLines="60" w:before="144" w:afterLines="60" w:after="144"/>
              <w:jc w:val="left"/>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 percentuale delle posizioni assegnate al modello ponderate per 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AVA per i rischi del modello che è coperta dai risultati dei test dell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output IPV indicati nella colonna 0110.</w:t>
            </w:r>
          </w:p>
        </w:tc>
      </w:tr>
      <w:tr w:rsidR="00113E45" w:rsidRPr="00661595" w:rsidTr="00672D2A">
        <w:tc>
          <w:tcPr>
            <w:tcW w:w="1101" w:type="dxa"/>
          </w:tcPr>
          <w:p w:rsidR="00113E45" w:rsidRPr="00661595" w:rsidRDefault="008136B4" w:rsidP="001C7E7E">
            <w:pPr>
              <w:suppressAutoHyphens/>
              <w:spacing w:beforeLines="60" w:before="144" w:afterLines="60" w:after="144"/>
              <w:rPr>
                <w:rFonts w:ascii="Times New Roman" w:hAnsi="Times New Roman"/>
                <w:sz w:val="24"/>
              </w:rPr>
            </w:pPr>
            <w:r>
              <w:rPr>
                <w:rFonts w:ascii="Times New Roman" w:hAnsi="Times New Roman"/>
                <w:sz w:val="24"/>
              </w:rPr>
              <w:t>0130 – 0140</w:t>
            </w:r>
          </w:p>
        </w:tc>
        <w:tc>
          <w:tcPr>
            <w:tcW w:w="8221" w:type="dxa"/>
          </w:tcPr>
          <w:p w:rsidR="00113E45" w:rsidRPr="00661595" w:rsidRDefault="00113E45" w:rsidP="001C7E7E">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RETTIFICHE DEL FAIR VALUE (VALORE EQUO)</w:t>
            </w:r>
          </w:p>
          <w:p w:rsidR="00113E45" w:rsidRPr="00661595" w:rsidRDefault="00113E45" w:rsidP="001C7E7E">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Le rettifiche del fair value (valore equo) di cui alle colonne 0190 e 0240 del modello C 32.02 che sono state applicate alle posizioni assegnate al</w:t>
            </w:r>
            <w:r>
              <w:rPr>
                <w:rFonts w:ascii="Times New Roman" w:hAnsi="Times New Roman"/>
                <w:sz w:val="24"/>
              </w:rPr>
              <w:t xml:space="preserve"> modello nella colonna 0010</w:t>
            </w:r>
            <w:r>
              <w:rPr>
                <w:rStyle w:val="InstructionsTabelleberschrift"/>
                <w:rFonts w:ascii="Times New Roman" w:hAnsi="Times New Roman"/>
                <w:b w:val="0"/>
                <w:sz w:val="24"/>
                <w:u w:val="none"/>
              </w:rPr>
              <w:t>.</w:t>
            </w:r>
          </w:p>
        </w:tc>
      </w:tr>
      <w:tr w:rsidR="00113E45" w:rsidRPr="00661595" w:rsidTr="00672D2A">
        <w:tc>
          <w:tcPr>
            <w:tcW w:w="1101" w:type="dxa"/>
          </w:tcPr>
          <w:p w:rsidR="00113E45" w:rsidRPr="00661595" w:rsidRDefault="008136B4" w:rsidP="001C7E7E">
            <w:pPr>
              <w:suppressAutoHyphens/>
              <w:spacing w:beforeLines="60" w:before="144" w:afterLines="60" w:after="144"/>
              <w:rPr>
                <w:rFonts w:ascii="Times New Roman" w:hAnsi="Times New Roman"/>
                <w:sz w:val="24"/>
              </w:rPr>
            </w:pPr>
            <w:r>
              <w:rPr>
                <w:rFonts w:ascii="Times New Roman" w:hAnsi="Times New Roman"/>
                <w:sz w:val="24"/>
              </w:rPr>
              <w:t>0150</w:t>
            </w:r>
          </w:p>
        </w:tc>
        <w:tc>
          <w:tcPr>
            <w:tcW w:w="8221" w:type="dxa"/>
          </w:tcPr>
          <w:p w:rsidR="00113E45" w:rsidRPr="00661595" w:rsidRDefault="00113E45" w:rsidP="001C7E7E">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P&amp;L DEL GIORNO 1</w:t>
            </w:r>
          </w:p>
          <w:p w:rsidR="00113E45" w:rsidRPr="00661595" w:rsidRDefault="00113E45" w:rsidP="001C7E7E">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b w:val="0"/>
                <w:sz w:val="24"/>
                <w:u w:val="none"/>
              </w:rPr>
              <w:t>Gli aggiustamenti quali definiti nella colonna 0260 del modello C 32.02 che sono stati applicati alle posizioni assegnate al</w:t>
            </w:r>
            <w:r>
              <w:rPr>
                <w:rFonts w:ascii="Times New Roman" w:hAnsi="Times New Roman"/>
                <w:sz w:val="24"/>
              </w:rPr>
              <w:t xml:space="preserve"> modello nella colonna 0010</w:t>
            </w:r>
            <w:r>
              <w:rPr>
                <w:rStyle w:val="InstructionsTabelleberschrift"/>
                <w:rFonts w:ascii="Times New Roman" w:hAnsi="Times New Roman"/>
                <w:b w:val="0"/>
                <w:sz w:val="24"/>
                <w:u w:val="none"/>
              </w:rPr>
              <w:t>.</w:t>
            </w:r>
          </w:p>
        </w:tc>
      </w:tr>
    </w:tbl>
    <w:p w:rsidR="00995A7F" w:rsidRPr="00661595" w:rsidRDefault="00995A7F" w:rsidP="00C61FF5">
      <w:pPr>
        <w:rPr>
          <w:rStyle w:val="InstructionsTabelleText"/>
          <w:rFonts w:ascii="Times New Roman" w:hAnsi="Times New Roman"/>
          <w:sz w:val="24"/>
        </w:rPr>
      </w:pPr>
    </w:p>
    <w:p w:rsidR="00B93FA1" w:rsidRPr="00661595" w:rsidRDefault="00113E45" w:rsidP="00B93FA1">
      <w:pPr>
        <w:pStyle w:val="Instructionsberschrift2"/>
        <w:numPr>
          <w:ilvl w:val="0"/>
          <w:numId w:val="0"/>
        </w:numPr>
        <w:ind w:left="357" w:hanging="357"/>
        <w:rPr>
          <w:rFonts w:ascii="Times New Roman" w:hAnsi="Times New Roman"/>
          <w:sz w:val="24"/>
          <w:u w:val="none"/>
        </w:rPr>
      </w:pPr>
      <w:bookmarkStart w:id="758" w:name="_Toc58915872"/>
      <w:r>
        <w:rPr>
          <w:rFonts w:ascii="Times New Roman" w:hAnsi="Times New Roman"/>
          <w:sz w:val="24"/>
          <w:u w:val="none"/>
        </w:rPr>
        <w:t>6.4 C</w:t>
      </w:r>
      <w:r>
        <w:rPr>
          <w:rFonts w:ascii="Times New Roman" w:hAnsi="Times New Roman"/>
          <w:sz w:val="24"/>
        </w:rPr>
        <w:t xml:space="preserve"> 32.04 - Valutazione prudente: AVA per le posizioni concentrate (PruVal 4)</w:t>
      </w:r>
      <w:bookmarkEnd w:id="758"/>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59" w:name="_Toc58915873"/>
      <w:r>
        <w:rPr>
          <w:rFonts w:ascii="Times New Roman" w:hAnsi="Times New Roman"/>
          <w:sz w:val="24"/>
          <w:u w:val="none"/>
        </w:rPr>
        <w:t>6.4.1.</w:t>
      </w:r>
      <w:r w:rsidRPr="0018236F">
        <w:rPr>
          <w:u w:val="none"/>
        </w:rPr>
        <w:tab/>
      </w:r>
      <w:r>
        <w:rPr>
          <w:rFonts w:ascii="Times New Roman" w:hAnsi="Times New Roman"/>
          <w:sz w:val="24"/>
        </w:rPr>
        <w:t>Osservazioni di carattere generale</w:t>
      </w:r>
      <w:bookmarkEnd w:id="759"/>
      <w:r>
        <w:rPr>
          <w:rFonts w:ascii="Times New Roman" w:hAnsi="Times New Roman"/>
          <w:sz w:val="24"/>
          <w:u w:val="none"/>
        </w:rPr>
        <w:t xml:space="preserve"> </w:t>
      </w:r>
    </w:p>
    <w:p w:rsidR="00113E45" w:rsidRPr="00661595" w:rsidRDefault="00A971CA" w:rsidP="0018236F">
      <w:pPr>
        <w:pStyle w:val="InstructionsText2"/>
        <w:numPr>
          <w:ilvl w:val="0"/>
          <w:numId w:val="0"/>
        </w:numPr>
        <w:ind w:left="1680" w:hanging="480"/>
      </w:pPr>
      <w:r>
        <w:fldChar w:fldCharType="begin"/>
      </w:r>
      <w:r>
        <w:instrText xml:space="preserve"> seq paragraphs </w:instrText>
      </w:r>
      <w:r>
        <w:fldChar w:fldCharType="separate"/>
      </w:r>
      <w:r w:rsidR="00D11E4C">
        <w:rPr>
          <w:noProof/>
        </w:rPr>
        <w:t>186</w:t>
      </w:r>
      <w:r>
        <w:rPr>
          <w:noProof/>
        </w:rPr>
        <w:fldChar w:fldCharType="end"/>
      </w:r>
      <w:r w:rsidR="0018236F">
        <w:t>.</w:t>
      </w:r>
      <w:r w:rsidR="0018236F">
        <w:tab/>
      </w:r>
      <w:r w:rsidR="00D11E4C">
        <w:t>Questo modello è compilato solo dagli enti che superano la soglia di cui all</w:t>
      </w:r>
      <w:r w:rsidR="000878EC">
        <w:t>'</w:t>
      </w:r>
      <w:r w:rsidR="00D11E4C">
        <w:t>articolo 4, paragrafo 1, del regolamento delegato (UE) 2016/101. Gli enti appartenenti ad un gruppo che supera la soglia su base consolidata compilano questo modello solo quando superano la soglia anche al loro livello.</w:t>
      </w:r>
    </w:p>
    <w:p w:rsidR="00113E45" w:rsidRPr="00661595" w:rsidRDefault="00A971CA" w:rsidP="0018236F">
      <w:pPr>
        <w:pStyle w:val="InstructionsText2"/>
        <w:numPr>
          <w:ilvl w:val="0"/>
          <w:numId w:val="0"/>
        </w:numPr>
        <w:ind w:left="1680" w:hanging="480"/>
      </w:pPr>
      <w:r>
        <w:fldChar w:fldCharType="begin"/>
      </w:r>
      <w:r>
        <w:instrText xml:space="preserve"> seq paragraphs </w:instrText>
      </w:r>
      <w:r>
        <w:fldChar w:fldCharType="separate"/>
      </w:r>
      <w:r w:rsidR="00D11E4C">
        <w:rPr>
          <w:noProof/>
        </w:rPr>
        <w:t>187</w:t>
      </w:r>
      <w:r>
        <w:rPr>
          <w:noProof/>
        </w:rPr>
        <w:fldChar w:fldCharType="end"/>
      </w:r>
      <w:r w:rsidR="0018236F">
        <w:t>.</w:t>
      </w:r>
      <w:r w:rsidR="0018236F">
        <w:tab/>
      </w:r>
      <w:r w:rsidR="00D11E4C">
        <w:t>Questo modello è utilizzato per fornire i dettagli dei 20 principali singoli AVA per le posizioni concentrate in termini di importo dell</w:t>
      </w:r>
      <w:r w:rsidR="000878EC">
        <w:t>'</w:t>
      </w:r>
      <w:r w:rsidR="00D11E4C">
        <w:t>AVA che contribuiscono all</w:t>
      </w:r>
      <w:r w:rsidR="000878EC">
        <w:t>'</w:t>
      </w:r>
      <w:r w:rsidR="00D11E4C">
        <w:t>AVA totale a livello di categoria per le posizioni concentrate computato a norma dell</w:t>
      </w:r>
      <w:r w:rsidR="000878EC">
        <w:t>'</w:t>
      </w:r>
      <w:r w:rsidR="00D11E4C">
        <w:t xml:space="preserve">articolo 14 del regolamento delegato (UE) 2016/101. Queste informazioni corrispondono a quelle riportate nella colonna 0070 del modello C 32.02. </w:t>
      </w:r>
    </w:p>
    <w:p w:rsidR="00113E45" w:rsidRPr="00661595" w:rsidRDefault="00A971CA" w:rsidP="0018236F">
      <w:pPr>
        <w:pStyle w:val="InstructionsText2"/>
        <w:numPr>
          <w:ilvl w:val="0"/>
          <w:numId w:val="0"/>
        </w:numPr>
        <w:ind w:left="1680" w:hanging="480"/>
      </w:pPr>
      <w:r>
        <w:fldChar w:fldCharType="begin"/>
      </w:r>
      <w:r>
        <w:instrText xml:space="preserve"> seq paragraphs </w:instrText>
      </w:r>
      <w:r>
        <w:fldChar w:fldCharType="separate"/>
      </w:r>
      <w:r w:rsidR="00D11E4C">
        <w:rPr>
          <w:noProof/>
        </w:rPr>
        <w:t>188</w:t>
      </w:r>
      <w:r>
        <w:rPr>
          <w:noProof/>
        </w:rPr>
        <w:fldChar w:fldCharType="end"/>
      </w:r>
      <w:r w:rsidR="0018236F">
        <w:t>.</w:t>
      </w:r>
      <w:r w:rsidR="0018236F">
        <w:tab/>
      </w:r>
      <w:r w:rsidR="00D11E4C">
        <w:t>I 20 principali AVA per le posizioni concentrate, e le corrispondenti informazioni sul prodotto, sono indicati in ordine discendente partendo dal maggiore.</w:t>
      </w:r>
    </w:p>
    <w:p w:rsidR="00113E45" w:rsidRPr="00661595" w:rsidRDefault="00A971CA" w:rsidP="0018236F">
      <w:pPr>
        <w:pStyle w:val="InstructionsText2"/>
        <w:numPr>
          <w:ilvl w:val="0"/>
          <w:numId w:val="0"/>
        </w:numPr>
        <w:ind w:left="1680" w:hanging="480"/>
      </w:pPr>
      <w:r>
        <w:fldChar w:fldCharType="begin"/>
      </w:r>
      <w:r>
        <w:instrText xml:space="preserve"> seq paragraphs </w:instrText>
      </w:r>
      <w:r>
        <w:fldChar w:fldCharType="separate"/>
      </w:r>
      <w:r w:rsidR="00D11E4C">
        <w:rPr>
          <w:noProof/>
        </w:rPr>
        <w:t>189</w:t>
      </w:r>
      <w:r>
        <w:rPr>
          <w:noProof/>
        </w:rPr>
        <w:fldChar w:fldCharType="end"/>
      </w:r>
      <w:r w:rsidR="0018236F">
        <w:t>.</w:t>
      </w:r>
      <w:r w:rsidR="0018236F">
        <w:tab/>
      </w:r>
      <w:r w:rsidR="00D11E4C">
        <w:t>I prodotti corrispondenti a questi principali singoli AVA per le posizioni concentrate sono indicati utilizzando l</w:t>
      </w:r>
      <w:r w:rsidR="000878EC">
        <w:t>'</w:t>
      </w:r>
      <w:r w:rsidR="00D11E4C">
        <w:t>inventario dei prodotti previsto all</w:t>
      </w:r>
      <w:r w:rsidR="000878EC">
        <w:t>'</w:t>
      </w:r>
      <w:r w:rsidR="00D11E4C">
        <w:t>articolo 19, paragrafo 3, lettera a), del regolamento delegato (UE) 2016/101.</w:t>
      </w:r>
    </w:p>
    <w:p w:rsidR="00113E45" w:rsidRPr="00661595" w:rsidRDefault="00A971CA" w:rsidP="0018236F">
      <w:pPr>
        <w:pStyle w:val="InstructionsText2"/>
        <w:numPr>
          <w:ilvl w:val="0"/>
          <w:numId w:val="0"/>
        </w:numPr>
        <w:ind w:left="1680" w:hanging="480"/>
      </w:pPr>
      <w:r>
        <w:fldChar w:fldCharType="begin"/>
      </w:r>
      <w:r>
        <w:instrText xml:space="preserve"> seq paragraphs </w:instrText>
      </w:r>
      <w:r>
        <w:fldChar w:fldCharType="separate"/>
      </w:r>
      <w:r w:rsidR="00D11E4C">
        <w:rPr>
          <w:noProof/>
        </w:rPr>
        <w:t>190</w:t>
      </w:r>
      <w:r>
        <w:rPr>
          <w:noProof/>
        </w:rPr>
        <w:fldChar w:fldCharType="end"/>
      </w:r>
      <w:r w:rsidR="0018236F">
        <w:t>.</w:t>
      </w:r>
      <w:r w:rsidR="0018236F">
        <w:tab/>
      </w:r>
      <w:r w:rsidR="00D11E4C">
        <w:t>Per massimizzare la copertura del modello, le posizioni che sono omogenee in termini di metodologia di calcolo degli AVA sono aggregate.</w:t>
      </w:r>
    </w:p>
    <w:p w:rsidR="00B93FA1" w:rsidRPr="00661595" w:rsidRDefault="00B93FA1" w:rsidP="00B93FA1">
      <w:pPr>
        <w:pStyle w:val="Instructionsberschrift2"/>
        <w:numPr>
          <w:ilvl w:val="0"/>
          <w:numId w:val="0"/>
        </w:numPr>
        <w:ind w:left="357" w:hanging="357"/>
        <w:rPr>
          <w:rFonts w:ascii="Times New Roman" w:hAnsi="Times New Roman" w:cs="Times New Roman"/>
          <w:sz w:val="24"/>
          <w:u w:val="none"/>
        </w:rPr>
      </w:pPr>
      <w:bookmarkStart w:id="760" w:name="_Toc58915874"/>
      <w:r>
        <w:rPr>
          <w:rFonts w:ascii="Times New Roman" w:hAnsi="Times New Roman"/>
          <w:sz w:val="24"/>
          <w:u w:val="none"/>
        </w:rPr>
        <w:t>6.4.2.</w:t>
      </w:r>
      <w:r w:rsidRPr="0018236F">
        <w:rPr>
          <w:u w:val="none"/>
        </w:rPr>
        <w:tab/>
      </w:r>
      <w:r>
        <w:rPr>
          <w:rFonts w:ascii="Times New Roman" w:hAnsi="Times New Roman"/>
          <w:sz w:val="24"/>
        </w:rPr>
        <w:t>Istruzioni relative a posizioni specifiche</w:t>
      </w:r>
      <w:bookmarkEnd w:id="7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13E45" w:rsidRPr="00661595" w:rsidTr="00672D2A">
        <w:tc>
          <w:tcPr>
            <w:tcW w:w="8856" w:type="dxa"/>
            <w:gridSpan w:val="2"/>
            <w:shd w:val="clear" w:color="auto" w:fill="CCCCCC"/>
          </w:tcPr>
          <w:p w:rsidR="00113E45" w:rsidRPr="00661595" w:rsidRDefault="00113E45" w:rsidP="0018236F">
            <w:pPr>
              <w:suppressAutoHyphens/>
              <w:spacing w:beforeLines="60" w:before="144" w:afterLines="60" w:after="144"/>
              <w:rPr>
                <w:rFonts w:ascii="Times New Roman" w:hAnsi="Times New Roman"/>
                <w:b/>
                <w:sz w:val="24"/>
              </w:rPr>
            </w:pPr>
            <w:r>
              <w:rPr>
                <w:rFonts w:ascii="Times New Roman" w:hAnsi="Times New Roman"/>
                <w:b/>
                <w:sz w:val="24"/>
              </w:rPr>
              <w:t>Colonne</w:t>
            </w:r>
          </w:p>
        </w:tc>
      </w:tr>
      <w:tr w:rsidR="00113E45" w:rsidRPr="00661595" w:rsidTr="00672D2A">
        <w:tc>
          <w:tcPr>
            <w:tcW w:w="852" w:type="dxa"/>
          </w:tcPr>
          <w:p w:rsidR="00113E45" w:rsidRPr="00661595" w:rsidRDefault="0022597E" w:rsidP="0018236F">
            <w:pPr>
              <w:suppressAutoHyphens/>
              <w:spacing w:beforeLines="60" w:before="144" w:afterLines="60" w:after="144"/>
              <w:rPr>
                <w:rFonts w:ascii="Times New Roman" w:hAnsi="Times New Roman"/>
                <w:sz w:val="24"/>
              </w:rPr>
            </w:pPr>
            <w:r>
              <w:rPr>
                <w:rFonts w:ascii="Times New Roman" w:hAnsi="Times New Roman"/>
                <w:sz w:val="24"/>
              </w:rPr>
              <w:t>0005</w:t>
            </w:r>
          </w:p>
        </w:tc>
        <w:tc>
          <w:tcPr>
            <w:tcW w:w="8004" w:type="dxa"/>
          </w:tcPr>
          <w:p w:rsidR="00113E45" w:rsidRPr="00661595" w:rsidRDefault="00113E45" w:rsidP="0018236F">
            <w:pPr>
              <w:suppressAutoHyphens/>
              <w:spacing w:beforeLines="60" w:before="144" w:afterLines="60" w:after="144"/>
              <w:rPr>
                <w:rFonts w:ascii="Times New Roman" w:hAnsi="Times New Roman"/>
                <w:b/>
                <w:sz w:val="24"/>
                <w:u w:val="single"/>
              </w:rPr>
            </w:pPr>
            <w:r>
              <w:rPr>
                <w:rFonts w:ascii="Times New Roman" w:hAnsi="Times New Roman"/>
                <w:b/>
                <w:sz w:val="24"/>
                <w:u w:val="single"/>
              </w:rPr>
              <w:t>RANK</w:t>
            </w:r>
          </w:p>
          <w:p w:rsidR="00113E45" w:rsidRPr="00661595" w:rsidDel="003016B5" w:rsidRDefault="00113E45" w:rsidP="0018236F">
            <w:pPr>
              <w:suppressAutoHyphens/>
              <w:spacing w:beforeLines="60" w:before="144" w:afterLines="60" w:after="144"/>
              <w:rPr>
                <w:rFonts w:ascii="Times New Roman" w:hAnsi="Times New Roman"/>
                <w:b/>
                <w:sz w:val="24"/>
                <w:u w:val="single"/>
              </w:rPr>
            </w:pPr>
            <w:r>
              <w:rPr>
                <w:rFonts w:ascii="Times New Roman" w:hAnsi="Times New Roman"/>
                <w:sz w:val="24"/>
              </w:rPr>
              <w:t>Il rank è un identificatore di riga ed è unico per ciascuna riga del modello. Segue l</w:t>
            </w:r>
            <w:r w:rsidR="000878EC">
              <w:rPr>
                <w:rFonts w:ascii="Times New Roman" w:hAnsi="Times New Roman"/>
                <w:sz w:val="24"/>
              </w:rPr>
              <w:t>'</w:t>
            </w:r>
            <w:r>
              <w:rPr>
                <w:rFonts w:ascii="Times New Roman" w:hAnsi="Times New Roman"/>
                <w:sz w:val="24"/>
              </w:rPr>
              <w:t>ordine numerico 1, 2, 3, ecc.; 1 è assegnato al maggiore AVA per le posizioni concentrate, 2 al secondo maggiore, ecc.</w:t>
            </w:r>
          </w:p>
        </w:tc>
      </w:tr>
      <w:tr w:rsidR="00113E45" w:rsidRPr="00661595" w:rsidTr="00672D2A">
        <w:tc>
          <w:tcPr>
            <w:tcW w:w="852" w:type="dxa"/>
          </w:tcPr>
          <w:p w:rsidR="00113E45" w:rsidRPr="00661595" w:rsidRDefault="0022597E" w:rsidP="0018236F">
            <w:pPr>
              <w:suppressAutoHyphens/>
              <w:spacing w:beforeLines="60" w:before="144" w:afterLines="60" w:after="144"/>
              <w:rPr>
                <w:rFonts w:ascii="Times New Roman" w:hAnsi="Times New Roman"/>
                <w:sz w:val="24"/>
              </w:rPr>
            </w:pPr>
            <w:r>
              <w:rPr>
                <w:rFonts w:ascii="Times New Roman" w:hAnsi="Times New Roman"/>
                <w:sz w:val="24"/>
              </w:rPr>
              <w:t>0010</w:t>
            </w:r>
          </w:p>
        </w:tc>
        <w:tc>
          <w:tcPr>
            <w:tcW w:w="8004" w:type="dxa"/>
          </w:tcPr>
          <w:p w:rsidR="00113E45" w:rsidRPr="00661595" w:rsidRDefault="00113E45" w:rsidP="0018236F">
            <w:pPr>
              <w:suppressAutoHyphens/>
              <w:spacing w:beforeLines="60" w:before="144" w:afterLines="60" w:after="144"/>
              <w:rPr>
                <w:rFonts w:ascii="Times New Roman" w:hAnsi="Times New Roman"/>
                <w:b/>
                <w:sz w:val="24"/>
                <w:u w:val="single"/>
              </w:rPr>
            </w:pPr>
            <w:r>
              <w:rPr>
                <w:rFonts w:ascii="Times New Roman" w:hAnsi="Times New Roman"/>
                <w:b/>
                <w:sz w:val="24"/>
                <w:u w:val="single"/>
              </w:rPr>
              <w:t>CATEGORIA DI RISCHIO</w:t>
            </w:r>
          </w:p>
          <w:p w:rsidR="00113E45" w:rsidRPr="00661595" w:rsidRDefault="00113E45" w:rsidP="0018236F">
            <w:pPr>
              <w:suppressAutoHyphens/>
              <w:spacing w:beforeLines="60" w:before="144" w:afterLines="60" w:after="144"/>
              <w:rPr>
                <w:rFonts w:ascii="Times New Roman" w:hAnsi="Times New Roman"/>
                <w:sz w:val="24"/>
              </w:rPr>
            </w:pPr>
            <w:r>
              <w:rPr>
                <w:rFonts w:ascii="Times New Roman" w:hAnsi="Times New Roman"/>
                <w:sz w:val="24"/>
              </w:rPr>
              <w:t>La categoria di rischio (tassi di interesse, FX, credito, strumenti di capitale, merci) che caratterizza più adeguatamente la posizione.</w:t>
            </w:r>
          </w:p>
          <w:p w:rsidR="00113E45" w:rsidRPr="00661595" w:rsidRDefault="00113E45" w:rsidP="0018236F">
            <w:pPr>
              <w:suppressAutoHyphens/>
              <w:spacing w:beforeLines="60" w:before="144" w:afterLines="60" w:after="144"/>
              <w:rPr>
                <w:rFonts w:ascii="Times New Roman" w:hAnsi="Times New Roman"/>
                <w:sz w:val="24"/>
              </w:rPr>
            </w:pPr>
            <w:r>
              <w:rPr>
                <w:rFonts w:ascii="Times New Roman" w:hAnsi="Times New Roman"/>
                <w:sz w:val="24"/>
              </w:rPr>
              <w:t>Gli enti utilizzano i seguenti codici:</w:t>
            </w:r>
          </w:p>
          <w:p w:rsidR="00113E45" w:rsidRPr="00661595" w:rsidRDefault="00113E45" w:rsidP="0018236F">
            <w:pPr>
              <w:suppressAutoHyphens/>
              <w:spacing w:beforeLines="60" w:before="144" w:afterLines="60" w:after="144"/>
              <w:rPr>
                <w:rFonts w:ascii="Times New Roman" w:hAnsi="Times New Roman"/>
                <w:sz w:val="24"/>
              </w:rPr>
            </w:pPr>
            <w:r>
              <w:rPr>
                <w:rFonts w:ascii="Times New Roman" w:hAnsi="Times New Roman"/>
                <w:sz w:val="24"/>
              </w:rPr>
              <w:t>IR – tassi di interesse (interest rates)</w:t>
            </w:r>
          </w:p>
          <w:p w:rsidR="0022597E" w:rsidRPr="00661595" w:rsidRDefault="0022597E" w:rsidP="0018236F">
            <w:pPr>
              <w:suppressAutoHyphens/>
              <w:spacing w:beforeLines="60" w:before="144" w:afterLines="60" w:after="144"/>
              <w:rPr>
                <w:rFonts w:ascii="Times New Roman" w:hAnsi="Times New Roman"/>
                <w:sz w:val="24"/>
              </w:rPr>
            </w:pPr>
            <w:r>
              <w:rPr>
                <w:rFonts w:ascii="Times New Roman" w:hAnsi="Times New Roman"/>
                <w:sz w:val="24"/>
              </w:rPr>
              <w:t>FX – cambio (foreign exchange)</w:t>
            </w:r>
          </w:p>
          <w:p w:rsidR="00113E45" w:rsidRPr="00661595" w:rsidRDefault="00113E45" w:rsidP="0018236F">
            <w:pPr>
              <w:suppressAutoHyphens/>
              <w:spacing w:beforeLines="60" w:before="144" w:afterLines="60" w:after="144"/>
              <w:rPr>
                <w:rFonts w:ascii="Times New Roman" w:hAnsi="Times New Roman"/>
                <w:sz w:val="24"/>
              </w:rPr>
            </w:pPr>
            <w:r>
              <w:rPr>
                <w:rFonts w:ascii="Times New Roman" w:hAnsi="Times New Roman"/>
                <w:sz w:val="24"/>
              </w:rPr>
              <w:t>CR – credito (credit)</w:t>
            </w:r>
          </w:p>
          <w:p w:rsidR="00113E45" w:rsidRPr="00661595" w:rsidRDefault="00113E45" w:rsidP="0018236F">
            <w:pPr>
              <w:suppressAutoHyphens/>
              <w:spacing w:beforeLines="60" w:before="144" w:afterLines="60" w:after="144"/>
              <w:rPr>
                <w:rFonts w:ascii="Times New Roman" w:hAnsi="Times New Roman"/>
                <w:sz w:val="24"/>
              </w:rPr>
            </w:pPr>
            <w:r>
              <w:rPr>
                <w:rFonts w:ascii="Times New Roman" w:hAnsi="Times New Roman"/>
                <w:sz w:val="24"/>
              </w:rPr>
              <w:t>EQ – strumenti di capitale (equities)</w:t>
            </w:r>
          </w:p>
          <w:p w:rsidR="00113E45" w:rsidRPr="00661595" w:rsidRDefault="00113E45" w:rsidP="0018236F">
            <w:pPr>
              <w:suppressAutoHyphens/>
              <w:spacing w:beforeLines="60" w:before="144" w:afterLines="60" w:after="144"/>
              <w:rPr>
                <w:rFonts w:ascii="Times New Roman" w:hAnsi="Times New Roman"/>
                <w:sz w:val="24"/>
              </w:rPr>
            </w:pPr>
            <w:r>
              <w:rPr>
                <w:rFonts w:ascii="Times New Roman" w:hAnsi="Times New Roman"/>
                <w:sz w:val="24"/>
              </w:rPr>
              <w:t>CO – merci (commodities)</w:t>
            </w:r>
          </w:p>
        </w:tc>
      </w:tr>
      <w:tr w:rsidR="00113E45" w:rsidRPr="00661595" w:rsidTr="00672D2A">
        <w:tc>
          <w:tcPr>
            <w:tcW w:w="852" w:type="dxa"/>
          </w:tcPr>
          <w:p w:rsidR="00113E45" w:rsidRPr="00661595" w:rsidRDefault="0022597E" w:rsidP="0018236F">
            <w:pPr>
              <w:suppressAutoHyphens/>
              <w:spacing w:beforeLines="60" w:before="144" w:afterLines="60" w:after="144"/>
              <w:rPr>
                <w:rFonts w:ascii="Times New Roman" w:hAnsi="Times New Roman"/>
                <w:sz w:val="24"/>
              </w:rPr>
            </w:pPr>
            <w:r>
              <w:rPr>
                <w:rFonts w:ascii="Times New Roman" w:hAnsi="Times New Roman"/>
                <w:sz w:val="24"/>
              </w:rPr>
              <w:t>0020</w:t>
            </w:r>
          </w:p>
        </w:tc>
        <w:tc>
          <w:tcPr>
            <w:tcW w:w="8004" w:type="dxa"/>
          </w:tcPr>
          <w:p w:rsidR="00113E45" w:rsidRPr="00661595" w:rsidRDefault="00113E45" w:rsidP="0018236F">
            <w:pPr>
              <w:suppressAutoHyphens/>
              <w:spacing w:beforeLines="60" w:before="144" w:afterLines="60" w:after="144"/>
              <w:rPr>
                <w:rFonts w:ascii="Times New Roman" w:hAnsi="Times New Roman"/>
                <w:b/>
                <w:sz w:val="24"/>
                <w:u w:val="single"/>
              </w:rPr>
            </w:pPr>
            <w:r>
              <w:rPr>
                <w:rFonts w:ascii="Times New Roman" w:hAnsi="Times New Roman"/>
                <w:b/>
                <w:sz w:val="24"/>
                <w:u w:val="single"/>
              </w:rPr>
              <w:t xml:space="preserve">PRODOTTO </w:t>
            </w:r>
          </w:p>
          <w:p w:rsidR="00113E45" w:rsidRPr="00661595" w:rsidRDefault="00113E45" w:rsidP="0018236F">
            <w:pPr>
              <w:suppressAutoHyphens/>
              <w:spacing w:beforeLines="60" w:before="144" w:afterLines="60" w:after="144"/>
              <w:rPr>
                <w:rFonts w:ascii="Times New Roman" w:hAnsi="Times New Roman"/>
                <w:sz w:val="24"/>
              </w:rPr>
            </w:pPr>
            <w:r>
              <w:rPr>
                <w:rFonts w:ascii="Times New Roman" w:hAnsi="Times New Roman"/>
                <w:sz w:val="24"/>
              </w:rPr>
              <w:t>Il nome interno per il prodotto o il gruppo di prodotti, in linea con l</w:t>
            </w:r>
            <w:r w:rsidR="000878EC">
              <w:rPr>
                <w:rFonts w:ascii="Times New Roman" w:hAnsi="Times New Roman"/>
                <w:sz w:val="24"/>
              </w:rPr>
              <w:t>'</w:t>
            </w:r>
            <w:r>
              <w:rPr>
                <w:rFonts w:ascii="Times New Roman" w:hAnsi="Times New Roman"/>
                <w:sz w:val="24"/>
              </w:rPr>
              <w:t>inventario dei prodotti previsto all</w:t>
            </w:r>
            <w:r w:rsidR="000878EC">
              <w:rPr>
                <w:rFonts w:ascii="Times New Roman" w:hAnsi="Times New Roman"/>
                <w:sz w:val="24"/>
              </w:rPr>
              <w:t>'</w:t>
            </w:r>
            <w:r>
              <w:rPr>
                <w:rFonts w:ascii="Times New Roman" w:hAnsi="Times New Roman"/>
                <w:sz w:val="24"/>
              </w:rPr>
              <w:t>articolo 19, paragrafo 3, lettera a), del regolamento delegato (UE) 2016/101.</w:t>
            </w:r>
          </w:p>
        </w:tc>
      </w:tr>
      <w:tr w:rsidR="00113E45" w:rsidRPr="00661595" w:rsidTr="00672D2A">
        <w:tc>
          <w:tcPr>
            <w:tcW w:w="852" w:type="dxa"/>
          </w:tcPr>
          <w:p w:rsidR="00113E45" w:rsidRPr="00661595" w:rsidRDefault="0022597E" w:rsidP="0018236F">
            <w:pPr>
              <w:keepNext/>
              <w:keepLines/>
              <w:suppressAutoHyphens/>
              <w:spacing w:beforeLines="60" w:before="144" w:afterLines="60" w:after="144"/>
              <w:rPr>
                <w:rFonts w:ascii="Times New Roman" w:hAnsi="Times New Roman"/>
                <w:sz w:val="24"/>
              </w:rPr>
            </w:pPr>
            <w:r>
              <w:rPr>
                <w:rFonts w:ascii="Times New Roman" w:hAnsi="Times New Roman"/>
                <w:sz w:val="24"/>
              </w:rPr>
              <w:t>0030</w:t>
            </w:r>
          </w:p>
        </w:tc>
        <w:tc>
          <w:tcPr>
            <w:tcW w:w="8004" w:type="dxa"/>
          </w:tcPr>
          <w:p w:rsidR="00113E45" w:rsidRPr="00661595" w:rsidRDefault="00113E45" w:rsidP="0018236F">
            <w:pPr>
              <w:keepNext/>
              <w:keepLines/>
              <w:suppressAutoHyphens/>
              <w:spacing w:beforeLines="60" w:before="144" w:afterLines="60" w:after="144"/>
              <w:rPr>
                <w:rFonts w:ascii="Times New Roman" w:hAnsi="Times New Roman"/>
                <w:b/>
                <w:sz w:val="24"/>
                <w:u w:val="single"/>
              </w:rPr>
            </w:pPr>
            <w:r>
              <w:rPr>
                <w:rFonts w:ascii="Times New Roman" w:hAnsi="Times New Roman"/>
                <w:b/>
                <w:sz w:val="24"/>
                <w:u w:val="single"/>
              </w:rPr>
              <w:t>SOTTOSTANTE</w:t>
            </w:r>
          </w:p>
          <w:p w:rsidR="00113E45" w:rsidRPr="00661595" w:rsidRDefault="00113E45" w:rsidP="0018236F">
            <w:pPr>
              <w:keepNext/>
              <w:keepLines/>
              <w:suppressAutoHyphens/>
              <w:spacing w:beforeLines="60" w:before="144" w:afterLines="60" w:after="144"/>
              <w:rPr>
                <w:rFonts w:ascii="Times New Roman" w:hAnsi="Times New Roman"/>
                <w:sz w:val="24"/>
              </w:rPr>
            </w:pPr>
            <w:r>
              <w:rPr>
                <w:rFonts w:ascii="Times New Roman" w:hAnsi="Times New Roman"/>
                <w:sz w:val="24"/>
              </w:rPr>
              <w:t>Il nome interno del sottostante o dei sottostanti, nel caso di derivati, o degli strumenti, qualora non si tratti di derivati.</w:t>
            </w:r>
          </w:p>
        </w:tc>
      </w:tr>
      <w:tr w:rsidR="00113E45" w:rsidRPr="00661595" w:rsidTr="00672D2A">
        <w:tc>
          <w:tcPr>
            <w:tcW w:w="852" w:type="dxa"/>
          </w:tcPr>
          <w:p w:rsidR="00113E45" w:rsidRPr="00661595" w:rsidRDefault="0022597E" w:rsidP="0018236F">
            <w:pPr>
              <w:suppressAutoHyphens/>
              <w:spacing w:beforeLines="60" w:before="144" w:afterLines="60" w:after="144"/>
              <w:rPr>
                <w:rFonts w:ascii="Times New Roman" w:hAnsi="Times New Roman"/>
                <w:sz w:val="24"/>
              </w:rPr>
            </w:pPr>
            <w:r>
              <w:rPr>
                <w:rFonts w:ascii="Times New Roman" w:hAnsi="Times New Roman"/>
                <w:sz w:val="24"/>
              </w:rPr>
              <w:t>0040</w:t>
            </w:r>
          </w:p>
        </w:tc>
        <w:tc>
          <w:tcPr>
            <w:tcW w:w="8004" w:type="dxa"/>
          </w:tcPr>
          <w:p w:rsidR="00113E45" w:rsidRPr="00661595" w:rsidRDefault="00113E45" w:rsidP="0018236F">
            <w:pPr>
              <w:suppressAutoHyphens/>
              <w:spacing w:beforeLines="60" w:before="144" w:afterLines="60" w:after="144"/>
              <w:rPr>
                <w:rFonts w:ascii="Times New Roman" w:hAnsi="Times New Roman"/>
                <w:b/>
                <w:sz w:val="24"/>
                <w:u w:val="single"/>
              </w:rPr>
            </w:pPr>
            <w:r>
              <w:rPr>
                <w:rFonts w:ascii="Times New Roman" w:hAnsi="Times New Roman"/>
                <w:b/>
                <w:sz w:val="24"/>
                <w:u w:val="single"/>
              </w:rPr>
              <w:t>DIMENSIONE DELLE POSIZIONI CONCENTRATE</w:t>
            </w:r>
          </w:p>
          <w:p w:rsidR="00113E45" w:rsidRPr="00661595" w:rsidRDefault="00113E45" w:rsidP="0018236F">
            <w:pPr>
              <w:suppressAutoHyphens/>
              <w:spacing w:beforeLines="60" w:before="144" w:afterLines="60" w:after="144"/>
              <w:rPr>
                <w:rStyle w:val="InstructionsTabelleberschrift"/>
                <w:rFonts w:ascii="Times New Roman" w:hAnsi="Times New Roman"/>
                <w:sz w:val="24"/>
              </w:rPr>
            </w:pPr>
            <w:r>
              <w:rPr>
                <w:rFonts w:ascii="Times New Roman" w:hAnsi="Times New Roman"/>
                <w:sz w:val="24"/>
              </w:rPr>
              <w:t>Dimensione della singola posizione oggetto di valutazione concentrata individuata a norma dell</w:t>
            </w:r>
            <w:r w:rsidR="000878EC">
              <w:rPr>
                <w:rFonts w:ascii="Times New Roman" w:hAnsi="Times New Roman"/>
                <w:sz w:val="24"/>
              </w:rPr>
              <w:t>'</w:t>
            </w:r>
            <w:r>
              <w:rPr>
                <w:rFonts w:ascii="Times New Roman" w:hAnsi="Times New Roman"/>
                <w:sz w:val="24"/>
              </w:rPr>
              <w:t>articolo 14, paragrafo 1, lettera a), del regolamento delegato (UE) 2016/101, espressa nell</w:t>
            </w:r>
            <w:r w:rsidR="000878EC">
              <w:rPr>
                <w:rFonts w:ascii="Times New Roman" w:hAnsi="Times New Roman"/>
                <w:sz w:val="24"/>
              </w:rPr>
              <w:t>'</w:t>
            </w:r>
            <w:r>
              <w:rPr>
                <w:rFonts w:ascii="Times New Roman" w:hAnsi="Times New Roman"/>
                <w:sz w:val="24"/>
              </w:rPr>
              <w:t xml:space="preserve">unità descritta nella colonna 0050. </w:t>
            </w:r>
          </w:p>
        </w:tc>
      </w:tr>
      <w:tr w:rsidR="00113E45" w:rsidRPr="00661595" w:rsidTr="00672D2A">
        <w:tc>
          <w:tcPr>
            <w:tcW w:w="852" w:type="dxa"/>
          </w:tcPr>
          <w:p w:rsidR="00113E45" w:rsidRPr="00661595" w:rsidRDefault="0022597E" w:rsidP="0018236F">
            <w:pPr>
              <w:suppressAutoHyphens/>
              <w:spacing w:beforeLines="60" w:before="144" w:afterLines="60" w:after="144"/>
              <w:rPr>
                <w:rFonts w:ascii="Times New Roman" w:hAnsi="Times New Roman"/>
                <w:sz w:val="24"/>
              </w:rPr>
            </w:pPr>
            <w:r>
              <w:rPr>
                <w:rFonts w:ascii="Times New Roman" w:hAnsi="Times New Roman"/>
                <w:sz w:val="24"/>
              </w:rPr>
              <w:t>0050</w:t>
            </w:r>
          </w:p>
        </w:tc>
        <w:tc>
          <w:tcPr>
            <w:tcW w:w="8004" w:type="dxa"/>
          </w:tcPr>
          <w:p w:rsidR="00113E45" w:rsidRPr="00661595" w:rsidRDefault="00113E45" w:rsidP="0018236F">
            <w:pPr>
              <w:suppressAutoHyphens/>
              <w:spacing w:beforeLines="60" w:before="144" w:afterLines="60" w:after="144"/>
              <w:rPr>
                <w:rFonts w:ascii="Times New Roman" w:hAnsi="Times New Roman"/>
                <w:b/>
                <w:sz w:val="24"/>
                <w:u w:val="single"/>
              </w:rPr>
            </w:pPr>
            <w:r>
              <w:rPr>
                <w:rFonts w:ascii="Times New Roman" w:hAnsi="Times New Roman"/>
                <w:b/>
                <w:sz w:val="24"/>
                <w:u w:val="single"/>
              </w:rPr>
              <w:t>MISURA DELLA DIMENSIONE</w:t>
            </w:r>
          </w:p>
          <w:p w:rsidR="00113E45" w:rsidRPr="00661595" w:rsidRDefault="00113E45" w:rsidP="0018236F">
            <w:pPr>
              <w:suppressAutoHyphens/>
              <w:spacing w:beforeLines="60" w:before="144" w:afterLines="60" w:after="144"/>
              <w:rPr>
                <w:rFonts w:ascii="Times New Roman" w:hAnsi="Times New Roman"/>
                <w:sz w:val="24"/>
              </w:rPr>
            </w:pPr>
            <w:r>
              <w:rPr>
                <w:rFonts w:ascii="Times New Roman" w:hAnsi="Times New Roman"/>
                <w:sz w:val="24"/>
              </w:rPr>
              <w:t>Unità di misura della dimensione utilizzata internamente nel quadro dell</w:t>
            </w:r>
            <w:r w:rsidR="000878EC">
              <w:rPr>
                <w:rFonts w:ascii="Times New Roman" w:hAnsi="Times New Roman"/>
                <w:sz w:val="24"/>
              </w:rPr>
              <w:t>'</w:t>
            </w:r>
            <w:r>
              <w:rPr>
                <w:rFonts w:ascii="Times New Roman" w:hAnsi="Times New Roman"/>
                <w:sz w:val="24"/>
              </w:rPr>
              <w:t xml:space="preserve">identificazione della posizione oggetto di valutazione concentrata per computare la dimensione della posizione concentrata di cui alla colonna 0040. </w:t>
            </w:r>
          </w:p>
          <w:p w:rsidR="00113E45" w:rsidRPr="00661595" w:rsidRDefault="00113E45" w:rsidP="0018236F">
            <w:pPr>
              <w:suppressAutoHyphens/>
              <w:spacing w:beforeLines="60" w:before="144" w:afterLines="60" w:after="144"/>
              <w:rPr>
                <w:rStyle w:val="InstructionsTabelleberschrift"/>
                <w:rFonts w:ascii="Times New Roman" w:hAnsi="Times New Roman"/>
                <w:b w:val="0"/>
                <w:bCs w:val="0"/>
                <w:sz w:val="24"/>
                <w:u w:val="none"/>
              </w:rPr>
            </w:pPr>
            <w:r>
              <w:rPr>
                <w:rStyle w:val="InstructionsTabelleberschrift"/>
                <w:rFonts w:ascii="Times New Roman" w:hAnsi="Times New Roman"/>
                <w:b w:val="0"/>
                <w:bCs w:val="0"/>
                <w:sz w:val="24"/>
                <w:u w:val="none"/>
              </w:rPr>
              <w:t>In caso di posizioni in obbligazioni o strumenti di capitale, indicare l</w:t>
            </w:r>
            <w:r w:rsidR="000878EC">
              <w:rPr>
                <w:rStyle w:val="InstructionsTabelleberschrift"/>
                <w:rFonts w:ascii="Times New Roman" w:hAnsi="Times New Roman"/>
                <w:b w:val="0"/>
                <w:bCs w:val="0"/>
                <w:sz w:val="24"/>
                <w:u w:val="none"/>
              </w:rPr>
              <w:t>'</w:t>
            </w:r>
            <w:r>
              <w:rPr>
                <w:rStyle w:val="InstructionsTabelleberschrift"/>
                <w:rFonts w:ascii="Times New Roman" w:hAnsi="Times New Roman"/>
                <w:b w:val="0"/>
                <w:bCs w:val="0"/>
                <w:sz w:val="24"/>
                <w:u w:val="none"/>
              </w:rPr>
              <w:t>unità utilizzata</w:t>
            </w:r>
            <w:r>
              <w:rPr>
                <w:rFonts w:ascii="Times New Roman" w:hAnsi="Times New Roman"/>
                <w:sz w:val="24"/>
              </w:rPr>
              <w:t xml:space="preserve"> per la gestione interna del rischio</w:t>
            </w:r>
            <w:r>
              <w:rPr>
                <w:rStyle w:val="InstructionsTabelleberschrift"/>
                <w:rFonts w:ascii="Times New Roman" w:hAnsi="Times New Roman"/>
                <w:b w:val="0"/>
                <w:bCs w:val="0"/>
                <w:sz w:val="24"/>
                <w:u w:val="none"/>
              </w:rPr>
              <w:t xml:space="preserve">, ad esempio </w:t>
            </w:r>
            <w:r w:rsidR="000878EC">
              <w:rPr>
                <w:rStyle w:val="InstructionsTabelleberschrift"/>
                <w:rFonts w:ascii="Times New Roman" w:hAnsi="Times New Roman"/>
                <w:b w:val="0"/>
                <w:bCs w:val="0"/>
                <w:sz w:val="24"/>
                <w:u w:val="none"/>
              </w:rPr>
              <w:t>"</w:t>
            </w:r>
            <w:r>
              <w:rPr>
                <w:rStyle w:val="InstructionsTabelleberschrift"/>
                <w:rFonts w:ascii="Times New Roman" w:hAnsi="Times New Roman"/>
                <w:b w:val="0"/>
                <w:bCs w:val="0"/>
                <w:sz w:val="24"/>
                <w:u w:val="none"/>
              </w:rPr>
              <w:t>numero di obbligazioni</w:t>
            </w:r>
            <w:r w:rsidR="000878EC">
              <w:rPr>
                <w:rStyle w:val="InstructionsTabelleberschrift"/>
                <w:rFonts w:ascii="Times New Roman" w:hAnsi="Times New Roman"/>
                <w:b w:val="0"/>
                <w:bCs w:val="0"/>
                <w:sz w:val="24"/>
                <w:u w:val="none"/>
              </w:rPr>
              <w:t>"</w:t>
            </w:r>
            <w:r>
              <w:rPr>
                <w:rStyle w:val="InstructionsTabelleberschrift"/>
                <w:rFonts w:ascii="Times New Roman" w:hAnsi="Times New Roman"/>
                <w:b w:val="0"/>
                <w:bCs w:val="0"/>
                <w:sz w:val="24"/>
                <w:u w:val="none"/>
              </w:rPr>
              <w:t xml:space="preserve">, </w:t>
            </w:r>
            <w:r w:rsidR="000878EC">
              <w:rPr>
                <w:rStyle w:val="InstructionsTabelleberschrift"/>
                <w:rFonts w:ascii="Times New Roman" w:hAnsi="Times New Roman"/>
                <w:b w:val="0"/>
                <w:bCs w:val="0"/>
                <w:sz w:val="24"/>
                <w:u w:val="none"/>
              </w:rPr>
              <w:t>"</w:t>
            </w:r>
            <w:r>
              <w:rPr>
                <w:rStyle w:val="InstructionsTabelleberschrift"/>
                <w:rFonts w:ascii="Times New Roman" w:hAnsi="Times New Roman"/>
                <w:b w:val="0"/>
                <w:bCs w:val="0"/>
                <w:sz w:val="24"/>
                <w:u w:val="none"/>
              </w:rPr>
              <w:t>numero di azioni</w:t>
            </w:r>
            <w:r w:rsidR="000878EC">
              <w:rPr>
                <w:rStyle w:val="InstructionsTabelleberschrift"/>
                <w:rFonts w:ascii="Times New Roman" w:hAnsi="Times New Roman"/>
                <w:b w:val="0"/>
                <w:bCs w:val="0"/>
                <w:sz w:val="24"/>
                <w:u w:val="none"/>
              </w:rPr>
              <w:t>"</w:t>
            </w:r>
            <w:r>
              <w:rPr>
                <w:rStyle w:val="InstructionsTabelleberschrift"/>
                <w:rFonts w:ascii="Times New Roman" w:hAnsi="Times New Roman"/>
                <w:b w:val="0"/>
                <w:bCs w:val="0"/>
                <w:sz w:val="24"/>
                <w:u w:val="none"/>
              </w:rPr>
              <w:t xml:space="preserve"> o </w:t>
            </w:r>
            <w:r w:rsidR="000878EC">
              <w:rPr>
                <w:rStyle w:val="InstructionsTabelleberschrift"/>
                <w:rFonts w:ascii="Times New Roman" w:hAnsi="Times New Roman"/>
                <w:b w:val="0"/>
                <w:bCs w:val="0"/>
                <w:sz w:val="24"/>
                <w:u w:val="none"/>
              </w:rPr>
              <w:t>"</w:t>
            </w:r>
            <w:r>
              <w:rPr>
                <w:rStyle w:val="InstructionsTabelleberschrift"/>
                <w:rFonts w:ascii="Times New Roman" w:hAnsi="Times New Roman"/>
                <w:b w:val="0"/>
                <w:bCs w:val="0"/>
                <w:sz w:val="24"/>
                <w:u w:val="none"/>
              </w:rPr>
              <w:t>valore di mercato</w:t>
            </w:r>
            <w:r w:rsidR="000878EC">
              <w:rPr>
                <w:rStyle w:val="InstructionsTabelleberschrift"/>
                <w:rFonts w:ascii="Times New Roman" w:hAnsi="Times New Roman"/>
                <w:b w:val="0"/>
                <w:bCs w:val="0"/>
                <w:sz w:val="24"/>
                <w:u w:val="none"/>
              </w:rPr>
              <w:t>"</w:t>
            </w:r>
            <w:r>
              <w:rPr>
                <w:rStyle w:val="InstructionsTabelleberschrift"/>
                <w:rFonts w:ascii="Times New Roman" w:hAnsi="Times New Roman"/>
                <w:b w:val="0"/>
                <w:bCs w:val="0"/>
                <w:sz w:val="24"/>
                <w:u w:val="none"/>
              </w:rPr>
              <w:t xml:space="preserve">. </w:t>
            </w:r>
          </w:p>
          <w:p w:rsidR="00113E45" w:rsidRPr="00661595" w:rsidRDefault="00113E45" w:rsidP="0018236F">
            <w:pPr>
              <w:suppressAutoHyphens/>
              <w:spacing w:beforeLines="60" w:before="144" w:afterLines="60" w:after="144"/>
              <w:rPr>
                <w:rStyle w:val="InstructionsTabelleberschrift"/>
                <w:rFonts w:ascii="Times New Roman" w:hAnsi="Times New Roman"/>
                <w:b w:val="0"/>
                <w:bCs w:val="0"/>
                <w:sz w:val="24"/>
                <w:u w:val="none"/>
              </w:rPr>
            </w:pPr>
            <w:r>
              <w:rPr>
                <w:rFonts w:ascii="Times New Roman" w:hAnsi="Times New Roman"/>
                <w:sz w:val="24"/>
              </w:rPr>
              <w:t>In caso di posizioni in derivati, indicare l</w:t>
            </w:r>
            <w:r w:rsidR="000878EC">
              <w:rPr>
                <w:rFonts w:ascii="Times New Roman" w:hAnsi="Times New Roman"/>
                <w:sz w:val="24"/>
              </w:rPr>
              <w:t>'</w:t>
            </w:r>
            <w:r>
              <w:rPr>
                <w:rFonts w:ascii="Times New Roman" w:hAnsi="Times New Roman"/>
                <w:sz w:val="24"/>
              </w:rPr>
              <w:t xml:space="preserve">unità utilizzata per la gestione interna del rischio, ad esempio </w:t>
            </w:r>
            <w:r w:rsidR="000878EC">
              <w:rPr>
                <w:rFonts w:ascii="Times New Roman" w:hAnsi="Times New Roman"/>
                <w:sz w:val="24"/>
              </w:rPr>
              <w:t>"</w:t>
            </w:r>
            <w:r>
              <w:rPr>
                <w:rFonts w:ascii="Times New Roman" w:hAnsi="Times New Roman"/>
                <w:sz w:val="24"/>
              </w:rPr>
              <w:t>PV01; EUR per spostamento parallelo della curva dei rendimenti di 1 punto base</w:t>
            </w:r>
            <w:r w:rsidR="000878EC">
              <w:rPr>
                <w:rFonts w:ascii="Times New Roman" w:hAnsi="Times New Roman"/>
                <w:sz w:val="24"/>
              </w:rPr>
              <w:t>"</w:t>
            </w:r>
            <w:r>
              <w:rPr>
                <w:rFonts w:ascii="Times New Roman" w:hAnsi="Times New Roman"/>
                <w:sz w:val="24"/>
              </w:rPr>
              <w:t xml:space="preserve">. </w:t>
            </w:r>
          </w:p>
        </w:tc>
      </w:tr>
      <w:tr w:rsidR="00113E45" w:rsidRPr="00661595" w:rsidTr="00672D2A">
        <w:tc>
          <w:tcPr>
            <w:tcW w:w="852" w:type="dxa"/>
          </w:tcPr>
          <w:p w:rsidR="00113E45" w:rsidRPr="00661595" w:rsidRDefault="0022597E" w:rsidP="0018236F">
            <w:pPr>
              <w:suppressAutoHyphens/>
              <w:spacing w:beforeLines="60" w:before="144" w:afterLines="60" w:after="144"/>
              <w:rPr>
                <w:rFonts w:ascii="Times New Roman" w:hAnsi="Times New Roman"/>
                <w:sz w:val="24"/>
              </w:rPr>
            </w:pPr>
            <w:r>
              <w:rPr>
                <w:rFonts w:ascii="Times New Roman" w:hAnsi="Times New Roman"/>
                <w:sz w:val="24"/>
              </w:rPr>
              <w:t>0060</w:t>
            </w:r>
          </w:p>
        </w:tc>
        <w:tc>
          <w:tcPr>
            <w:tcW w:w="8004" w:type="dxa"/>
          </w:tcPr>
          <w:p w:rsidR="00113E45" w:rsidRPr="00661595" w:rsidRDefault="00113E45" w:rsidP="0018236F">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VALORE DI MERCATO</w:t>
            </w:r>
          </w:p>
          <w:p w:rsidR="00113E45" w:rsidRPr="00661595" w:rsidRDefault="00113E45" w:rsidP="0018236F">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Il valore di mercato della posizione.</w:t>
            </w:r>
          </w:p>
        </w:tc>
      </w:tr>
      <w:tr w:rsidR="00113E45" w:rsidRPr="00661595" w:rsidTr="00672D2A">
        <w:tc>
          <w:tcPr>
            <w:tcW w:w="852" w:type="dxa"/>
          </w:tcPr>
          <w:p w:rsidR="00113E45" w:rsidRPr="00661595" w:rsidRDefault="0022597E" w:rsidP="0018236F">
            <w:pPr>
              <w:suppressAutoHyphens/>
              <w:spacing w:beforeLines="60" w:before="144" w:afterLines="60" w:after="144"/>
              <w:rPr>
                <w:rFonts w:ascii="Times New Roman" w:hAnsi="Times New Roman"/>
                <w:sz w:val="24"/>
              </w:rPr>
            </w:pPr>
            <w:r>
              <w:rPr>
                <w:rFonts w:ascii="Times New Roman" w:hAnsi="Times New Roman"/>
                <w:sz w:val="24"/>
              </w:rPr>
              <w:t>0070</w:t>
            </w:r>
          </w:p>
        </w:tc>
        <w:tc>
          <w:tcPr>
            <w:tcW w:w="8004" w:type="dxa"/>
          </w:tcPr>
          <w:p w:rsidR="00113E45" w:rsidRPr="00661595" w:rsidRDefault="00113E45" w:rsidP="0018236F">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PERIODO DI USCITA PRUDENTE</w:t>
            </w:r>
          </w:p>
          <w:p w:rsidR="00113E45" w:rsidRPr="00661595" w:rsidRDefault="00113E45" w:rsidP="0018236F">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Il periodo di uscita prudente in numero di giorni stimato a norma dell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articolo 14, paragrafo 1, lettera b), del</w:t>
            </w:r>
            <w:r>
              <w:rPr>
                <w:rFonts w:ascii="Times New Roman" w:hAnsi="Times New Roman"/>
                <w:sz w:val="24"/>
              </w:rPr>
              <w:t xml:space="preserve"> regolamento delegato (UE) 2016/101</w:t>
            </w:r>
            <w:r>
              <w:rPr>
                <w:rStyle w:val="InstructionsTabelleberschrift"/>
                <w:rFonts w:ascii="Times New Roman" w:hAnsi="Times New Roman"/>
                <w:b w:val="0"/>
                <w:sz w:val="24"/>
                <w:u w:val="none"/>
              </w:rPr>
              <w:t>.</w:t>
            </w:r>
          </w:p>
        </w:tc>
      </w:tr>
      <w:tr w:rsidR="00113E45" w:rsidRPr="00661595" w:rsidTr="00672D2A">
        <w:tc>
          <w:tcPr>
            <w:tcW w:w="852" w:type="dxa"/>
          </w:tcPr>
          <w:p w:rsidR="00113E45" w:rsidRPr="00661595" w:rsidRDefault="0022597E" w:rsidP="0018236F">
            <w:pPr>
              <w:suppressAutoHyphens/>
              <w:spacing w:beforeLines="60" w:before="144" w:afterLines="60" w:after="144"/>
              <w:rPr>
                <w:rFonts w:ascii="Times New Roman" w:hAnsi="Times New Roman"/>
                <w:sz w:val="24"/>
              </w:rPr>
            </w:pPr>
            <w:r>
              <w:rPr>
                <w:rFonts w:ascii="Times New Roman" w:hAnsi="Times New Roman"/>
                <w:sz w:val="24"/>
              </w:rPr>
              <w:t>0080</w:t>
            </w:r>
          </w:p>
        </w:tc>
        <w:tc>
          <w:tcPr>
            <w:tcW w:w="8004" w:type="dxa"/>
          </w:tcPr>
          <w:p w:rsidR="00113E45" w:rsidRPr="00661595" w:rsidRDefault="00113E45" w:rsidP="0018236F">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AVA PER LE POSIZIONI CONCENTRATE</w:t>
            </w:r>
          </w:p>
          <w:p w:rsidR="00113E45" w:rsidRPr="00661595" w:rsidRDefault="00113E45" w:rsidP="0018236F">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importo dell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AVA per le posizioni concentrate </w:t>
            </w:r>
            <w:r w:rsidR="0018236F">
              <w:rPr>
                <w:rStyle w:val="InstructionsTabelleberschrift"/>
                <w:rFonts w:ascii="Times New Roman" w:hAnsi="Times New Roman"/>
                <w:b w:val="0"/>
                <w:sz w:val="24"/>
                <w:u w:val="none"/>
              </w:rPr>
              <w:t>calcolato a norma dell</w:t>
            </w:r>
            <w:r w:rsidR="000878EC">
              <w:rPr>
                <w:rStyle w:val="InstructionsTabelleberschrift"/>
                <w:rFonts w:ascii="Times New Roman" w:hAnsi="Times New Roman"/>
                <w:b w:val="0"/>
                <w:sz w:val="24"/>
                <w:u w:val="none"/>
              </w:rPr>
              <w:t>'</w:t>
            </w:r>
            <w:r w:rsidR="0018236F">
              <w:rPr>
                <w:rStyle w:val="InstructionsTabelleberschrift"/>
                <w:rFonts w:ascii="Times New Roman" w:hAnsi="Times New Roman"/>
                <w:b w:val="0"/>
                <w:sz w:val="24"/>
                <w:u w:val="none"/>
              </w:rPr>
              <w:t>articolo </w:t>
            </w:r>
            <w:r>
              <w:rPr>
                <w:rStyle w:val="InstructionsTabelleberschrift"/>
                <w:rFonts w:ascii="Times New Roman" w:hAnsi="Times New Roman"/>
                <w:b w:val="0"/>
                <w:sz w:val="24"/>
                <w:u w:val="none"/>
              </w:rPr>
              <w:t>14, paragrafo 1, del</w:t>
            </w:r>
            <w:r>
              <w:rPr>
                <w:rFonts w:ascii="Times New Roman" w:hAnsi="Times New Roman"/>
                <w:sz w:val="24"/>
              </w:rPr>
              <w:t xml:space="preserve"> regolamento delegato (UE) 2016/101</w:t>
            </w:r>
            <w:r>
              <w:rPr>
                <w:rStyle w:val="InstructionsTabelleberschrift"/>
                <w:rFonts w:ascii="Times New Roman" w:hAnsi="Times New Roman"/>
                <w:b w:val="0"/>
                <w:sz w:val="24"/>
                <w:u w:val="none"/>
              </w:rPr>
              <w:t xml:space="preserve"> per la singola posizione oggetto di valutazione concentrata.</w:t>
            </w:r>
          </w:p>
        </w:tc>
      </w:tr>
      <w:tr w:rsidR="00113E45" w:rsidRPr="00661595" w:rsidTr="00672D2A">
        <w:tc>
          <w:tcPr>
            <w:tcW w:w="852" w:type="dxa"/>
          </w:tcPr>
          <w:p w:rsidR="00113E45" w:rsidRPr="00661595" w:rsidRDefault="0022597E" w:rsidP="0018236F">
            <w:pPr>
              <w:suppressAutoHyphens/>
              <w:spacing w:beforeLines="60" w:before="144" w:afterLines="60" w:after="144"/>
              <w:rPr>
                <w:rFonts w:ascii="Times New Roman" w:hAnsi="Times New Roman"/>
                <w:sz w:val="24"/>
              </w:rPr>
            </w:pPr>
            <w:r>
              <w:rPr>
                <w:rFonts w:ascii="Times New Roman" w:hAnsi="Times New Roman"/>
                <w:sz w:val="24"/>
              </w:rPr>
              <w:t>0090</w:t>
            </w:r>
          </w:p>
        </w:tc>
        <w:tc>
          <w:tcPr>
            <w:tcW w:w="8004" w:type="dxa"/>
          </w:tcPr>
          <w:p w:rsidR="00113E45" w:rsidRPr="00661595" w:rsidRDefault="00113E45" w:rsidP="0018236F">
            <w:pPr>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RETTIFICA DEL FAIR VALUE (VALORE EQUO) PER LE POSIZIONI CONCENTRATE</w:t>
            </w:r>
          </w:p>
          <w:p w:rsidR="00955AA6" w:rsidRPr="00661595" w:rsidRDefault="00113E45" w:rsidP="0018236F">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importo delle rettifiche del fair value (valore equo) apportate per riflettere il fatto che la posizione aggregata detenuta dall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è superiore al normale volume di negoziazione o alla dimensione delle posizioni sulle quali sono basate le quotazioni o le negoziazioni che sono servite per calibrare il prezzo o gli input utilizzati dal modello di valutazione.</w:t>
            </w:r>
          </w:p>
          <w:p w:rsidR="00113E45" w:rsidRPr="00661595" w:rsidRDefault="00955AA6" w:rsidP="0018236F">
            <w:pPr>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importo indicato corrisponde all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importo che è stato applicato alla singola posizione oggetto di valutazione concentrata.</w:t>
            </w:r>
          </w:p>
        </w:tc>
      </w:tr>
      <w:tr w:rsidR="00113E45" w:rsidRPr="00661595" w:rsidTr="00672D2A">
        <w:tc>
          <w:tcPr>
            <w:tcW w:w="852" w:type="dxa"/>
          </w:tcPr>
          <w:p w:rsidR="00113E45" w:rsidRPr="00661595" w:rsidRDefault="0022597E" w:rsidP="0018236F">
            <w:pPr>
              <w:keepNext/>
              <w:keepLines/>
              <w:suppressAutoHyphens/>
              <w:spacing w:beforeLines="60" w:before="144" w:afterLines="60" w:after="144"/>
              <w:rPr>
                <w:rFonts w:ascii="Times New Roman" w:hAnsi="Times New Roman"/>
                <w:sz w:val="24"/>
              </w:rPr>
            </w:pPr>
            <w:r>
              <w:rPr>
                <w:rFonts w:ascii="Times New Roman" w:hAnsi="Times New Roman"/>
                <w:sz w:val="24"/>
              </w:rPr>
              <w:t>0100</w:t>
            </w:r>
          </w:p>
        </w:tc>
        <w:tc>
          <w:tcPr>
            <w:tcW w:w="8004" w:type="dxa"/>
          </w:tcPr>
          <w:p w:rsidR="00113E45" w:rsidRPr="00661595" w:rsidRDefault="00113E45" w:rsidP="0018236F">
            <w:pPr>
              <w:keepNext/>
              <w:keepLines/>
              <w:suppressAutoHyphens/>
              <w:spacing w:beforeLines="60" w:before="144" w:afterLines="60" w:after="144"/>
              <w:rPr>
                <w:rStyle w:val="InstructionsTabelleberschrift"/>
                <w:rFonts w:ascii="Times New Roman" w:hAnsi="Times New Roman"/>
                <w:sz w:val="24"/>
              </w:rPr>
            </w:pPr>
            <w:r>
              <w:rPr>
                <w:rStyle w:val="InstructionsTabelleberschrift"/>
                <w:rFonts w:ascii="Times New Roman" w:hAnsi="Times New Roman"/>
                <w:sz w:val="24"/>
              </w:rPr>
              <w:t>DIFFERENZA IPV</w:t>
            </w:r>
          </w:p>
          <w:p w:rsidR="00113E45" w:rsidRPr="00661595" w:rsidRDefault="00113E45" w:rsidP="0018236F">
            <w:pPr>
              <w:keepNext/>
              <w:keepLines/>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La somma dei differenziali non aggiustati (</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differenza IPV) calcolati alla fine del mese più vicina alla data di riferimento per le segnalazioni nel quadro del processo di verifica indipendente dei prezzi di cui all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 xml:space="preserve">articolo 105, paragrafo 8, del CRR, utilizzando i migliori dati indipendenti disponibili per la singola posizione oggetto di valutazione concentrata interessata. </w:t>
            </w:r>
          </w:p>
          <w:p w:rsidR="00113E45" w:rsidRPr="00661595" w:rsidRDefault="00113E45" w:rsidP="0018236F">
            <w:pPr>
              <w:keepNext/>
              <w:keepLines/>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Per differenziali non aggiustati si intendono le differenze non aggiustate tra le valutazioni generate dal sistema di negoziazione e le valutazioni prodotte dal processo IPV mensile</w:t>
            </w:r>
          </w:p>
          <w:p w:rsidR="00113E45" w:rsidRPr="00661595" w:rsidRDefault="00D2428D" w:rsidP="0018236F">
            <w:pPr>
              <w:keepNext/>
              <w:keepLines/>
              <w:suppressAutoHyphens/>
              <w:spacing w:beforeLines="60" w:before="144" w:afterLines="60" w:after="144"/>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 differenziali aggiustati nei libri e nella contabilità dell</w:t>
            </w:r>
            <w:r w:rsidR="000878EC">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ente per la data di fine mese pertinente non sono inclusi ai fini del calcolo della differenza IPV.</w:t>
            </w:r>
          </w:p>
        </w:tc>
      </w:tr>
    </w:tbl>
    <w:p w:rsidR="00995A7F" w:rsidRPr="00661595" w:rsidRDefault="00995A7F" w:rsidP="00C61FF5">
      <w:pPr>
        <w:rPr>
          <w:rStyle w:val="InstructionsTabelleText"/>
          <w:rFonts w:ascii="Times New Roman" w:hAnsi="Times New Roman"/>
          <w:sz w:val="24"/>
        </w:rPr>
      </w:pPr>
    </w:p>
    <w:p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61" w:name="_Toc473561055"/>
      <w:bookmarkStart w:id="762" w:name="_Toc58915875"/>
      <w:r>
        <w:rPr>
          <w:rFonts w:ascii="Times New Roman" w:hAnsi="Times New Roman"/>
          <w:sz w:val="24"/>
          <w:u w:val="none"/>
        </w:rPr>
        <w:t>7.</w:t>
      </w:r>
      <w:r w:rsidRPr="0018236F">
        <w:rPr>
          <w:u w:val="none"/>
        </w:rPr>
        <w:tab/>
      </w:r>
      <w:r>
        <w:rPr>
          <w:rFonts w:ascii="Times New Roman" w:hAnsi="Times New Roman"/>
          <w:sz w:val="24"/>
        </w:rPr>
        <w:t>C 33.00 — Esposizioni verso amministrazioni pubbliche (GOV)</w:t>
      </w:r>
      <w:bookmarkEnd w:id="761"/>
      <w:bookmarkEnd w:id="762"/>
    </w:p>
    <w:p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63" w:name="_Toc367202008"/>
      <w:bookmarkStart w:id="764" w:name="_Toc473561056"/>
      <w:bookmarkStart w:id="765" w:name="_Toc58915876"/>
      <w:r>
        <w:rPr>
          <w:rFonts w:ascii="Times New Roman" w:hAnsi="Times New Roman"/>
          <w:sz w:val="24"/>
          <w:u w:val="none"/>
        </w:rPr>
        <w:t>7.1.</w:t>
      </w:r>
      <w:r w:rsidRPr="0018236F">
        <w:rPr>
          <w:u w:val="none"/>
        </w:rPr>
        <w:tab/>
      </w:r>
      <w:r>
        <w:rPr>
          <w:rFonts w:ascii="Times New Roman" w:hAnsi="Times New Roman"/>
          <w:sz w:val="24"/>
        </w:rPr>
        <w:t>Osservazioni di carattere generale</w:t>
      </w:r>
      <w:bookmarkEnd w:id="763"/>
      <w:bookmarkEnd w:id="764"/>
      <w:bookmarkEnd w:id="765"/>
      <w:r>
        <w:rPr>
          <w:rFonts w:ascii="Times New Roman" w:hAnsi="Times New Roman"/>
          <w:sz w:val="24"/>
        </w:rPr>
        <w:t xml:space="preserve"> </w:t>
      </w:r>
    </w:p>
    <w:p w:rsidR="00FD54FC" w:rsidRPr="00661595" w:rsidRDefault="00A971CA" w:rsidP="0018236F">
      <w:pPr>
        <w:pStyle w:val="InstructionsText2"/>
        <w:numPr>
          <w:ilvl w:val="0"/>
          <w:numId w:val="0"/>
        </w:numPr>
        <w:ind w:left="1680" w:hanging="480"/>
      </w:pPr>
      <w:r>
        <w:fldChar w:fldCharType="begin"/>
      </w:r>
      <w:r>
        <w:instrText xml:space="preserve"> seq paragraphs </w:instrText>
      </w:r>
      <w:r>
        <w:fldChar w:fldCharType="separate"/>
      </w:r>
      <w:r w:rsidR="00D11E4C">
        <w:rPr>
          <w:noProof/>
        </w:rPr>
        <w:t>191</w:t>
      </w:r>
      <w:r>
        <w:rPr>
          <w:noProof/>
        </w:rPr>
        <w:fldChar w:fldCharType="end"/>
      </w:r>
      <w:r w:rsidR="00D11E4C">
        <w:t>.</w:t>
      </w:r>
      <w:r w:rsidR="00D11E4C">
        <w:tab/>
        <w:t xml:space="preserve"> Le informazioni ai fini del modello C 33.00 riguardano tutte le esposizioni verso </w:t>
      </w:r>
      <w:r w:rsidR="000878EC">
        <w:t>"</w:t>
      </w:r>
      <w:r w:rsidR="00D11E4C">
        <w:t>amministrazioni pubbliche</w:t>
      </w:r>
      <w:r w:rsidR="000878EC">
        <w:t>"</w:t>
      </w:r>
      <w:r w:rsidR="00D11E4C">
        <w:t xml:space="preserve"> di cui al punto 42, lettera b), dell</w:t>
      </w:r>
      <w:r w:rsidR="000878EC">
        <w:t>'</w:t>
      </w:r>
      <w:r w:rsidR="00D11E4C">
        <w:t>allegato V del presente regolamento di esecuzione.</w:t>
      </w:r>
    </w:p>
    <w:p w:rsidR="00FD54FC" w:rsidRPr="00661595" w:rsidRDefault="00A971CA" w:rsidP="0018236F">
      <w:pPr>
        <w:pStyle w:val="InstructionsText2"/>
        <w:numPr>
          <w:ilvl w:val="0"/>
          <w:numId w:val="0"/>
        </w:numPr>
        <w:ind w:left="1680" w:hanging="480"/>
      </w:pPr>
      <w:r>
        <w:fldChar w:fldCharType="begin"/>
      </w:r>
      <w:r>
        <w:instrText xml:space="preserve"> seq paragraphs </w:instrText>
      </w:r>
      <w:r>
        <w:fldChar w:fldCharType="separate"/>
      </w:r>
      <w:r w:rsidR="00D11E4C">
        <w:rPr>
          <w:noProof/>
        </w:rPr>
        <w:t>192</w:t>
      </w:r>
      <w:r>
        <w:rPr>
          <w:noProof/>
        </w:rPr>
        <w:fldChar w:fldCharType="end"/>
      </w:r>
      <w:r w:rsidR="00D11E4C">
        <w:t>.</w:t>
      </w:r>
      <w:r w:rsidR="00D11E4C">
        <w:tab/>
        <w:t xml:space="preserve"> Se sono soggette a requisiti di fondi propri conformemente alla parte tre, titolo II, del CRR, le esposizioni verso </w:t>
      </w:r>
      <w:r w:rsidR="000878EC">
        <w:t>"</w:t>
      </w:r>
      <w:r w:rsidR="00D11E4C">
        <w:t>amministrazioni pubbliche</w:t>
      </w:r>
      <w:r w:rsidR="000878EC">
        <w:t>"</w:t>
      </w:r>
      <w:r w:rsidR="00D11E4C">
        <w:t xml:space="preserve"> sono comprese in diverse classi di esposizioni a norma degli articoli 112 e 147 del CRR, come specificato nelle istruzioni per la compilazione dei modelli C 07.00, C 08.01 e C 08.02. </w:t>
      </w:r>
    </w:p>
    <w:p w:rsidR="00FD54FC" w:rsidRPr="00661595" w:rsidRDefault="00A971CA" w:rsidP="0018236F">
      <w:pPr>
        <w:pStyle w:val="InstructionsText2"/>
        <w:numPr>
          <w:ilvl w:val="0"/>
          <w:numId w:val="0"/>
        </w:numPr>
        <w:ind w:left="1680" w:hanging="480"/>
      </w:pPr>
      <w:r>
        <w:fldChar w:fldCharType="begin"/>
      </w:r>
      <w:r>
        <w:instrText xml:space="preserve"> seq paragraphs </w:instrText>
      </w:r>
      <w:r>
        <w:fldChar w:fldCharType="separate"/>
      </w:r>
      <w:r w:rsidR="00D11E4C">
        <w:rPr>
          <w:noProof/>
        </w:rPr>
        <w:t>193</w:t>
      </w:r>
      <w:r>
        <w:rPr>
          <w:noProof/>
        </w:rPr>
        <w:fldChar w:fldCharType="end"/>
      </w:r>
      <w:r w:rsidR="00D11E4C">
        <w:t>.</w:t>
      </w:r>
      <w:r w:rsidR="00D11E4C">
        <w:tab/>
        <w:t xml:space="preserve"> Per l</w:t>
      </w:r>
      <w:r w:rsidR="000878EC">
        <w:t>'</w:t>
      </w:r>
      <w:r w:rsidR="00D11E4C">
        <w:t xml:space="preserve">associazione tra classi di esposizioni usate per calcolare i requisiti patrimoniali ai sensi del CRR e il settore della controparte </w:t>
      </w:r>
      <w:r w:rsidR="000878EC">
        <w:t>"</w:t>
      </w:r>
      <w:r w:rsidR="00D11E4C">
        <w:t>amministrazioni pubbliche</w:t>
      </w:r>
      <w:r w:rsidR="000878EC">
        <w:t>"</w:t>
      </w:r>
      <w:r w:rsidR="00D11E4C">
        <w:t xml:space="preserve"> si applica quanto indicato nella tabella 2 (metodo standardizzato) e nella tabella 3 (metodo IRB) di cui alla parte 3 dell</w:t>
      </w:r>
      <w:r w:rsidR="000878EC">
        <w:t>'</w:t>
      </w:r>
      <w:r w:rsidR="00D11E4C">
        <w:t xml:space="preserve">allegato V del presente regolamento di esecuzione. </w:t>
      </w:r>
    </w:p>
    <w:p w:rsidR="00FD54FC" w:rsidRPr="00661595" w:rsidRDefault="00A971CA" w:rsidP="0018236F">
      <w:pPr>
        <w:pStyle w:val="InstructionsText2"/>
        <w:numPr>
          <w:ilvl w:val="0"/>
          <w:numId w:val="0"/>
        </w:numPr>
        <w:ind w:left="1680" w:hanging="480"/>
      </w:pPr>
      <w:r>
        <w:fldChar w:fldCharType="begin"/>
      </w:r>
      <w:r>
        <w:instrText xml:space="preserve"> seq paragraphs </w:instrText>
      </w:r>
      <w:r>
        <w:fldChar w:fldCharType="separate"/>
      </w:r>
      <w:r w:rsidR="00D11E4C">
        <w:rPr>
          <w:noProof/>
        </w:rPr>
        <w:t>194</w:t>
      </w:r>
      <w:r>
        <w:rPr>
          <w:noProof/>
        </w:rPr>
        <w:fldChar w:fldCharType="end"/>
      </w:r>
      <w:r w:rsidR="00D11E4C">
        <w:t xml:space="preserve">. Sono segnalate informazioni per le esposizioni aggregate totali (ovvero la somma di tutti i paesi in cui la banca ha esposizioni sovrane) e per ciascun paese in base alla residenza della controparte sulla base del debitore diretto. </w:t>
      </w:r>
    </w:p>
    <w:p w:rsidR="00FD54FC" w:rsidRPr="00661595" w:rsidRDefault="00A971CA" w:rsidP="0018236F">
      <w:pPr>
        <w:pStyle w:val="InstructionsText2"/>
        <w:numPr>
          <w:ilvl w:val="0"/>
          <w:numId w:val="0"/>
        </w:numPr>
        <w:ind w:left="1680" w:hanging="480"/>
      </w:pPr>
      <w:r>
        <w:fldChar w:fldCharType="begin"/>
      </w:r>
      <w:r>
        <w:instrText xml:space="preserve"> seq paragraphs </w:instrText>
      </w:r>
      <w:r>
        <w:fldChar w:fldCharType="separate"/>
      </w:r>
      <w:r w:rsidR="00D11E4C">
        <w:rPr>
          <w:noProof/>
        </w:rPr>
        <w:t>195</w:t>
      </w:r>
      <w:r>
        <w:rPr>
          <w:noProof/>
        </w:rPr>
        <w:fldChar w:fldCharType="end"/>
      </w:r>
      <w:r w:rsidR="00D11E4C">
        <w:t>.</w:t>
      </w:r>
      <w:r w:rsidR="00D11E4C">
        <w:tab/>
        <w:t xml:space="preserve"> L</w:t>
      </w:r>
      <w:r w:rsidR="000878EC">
        <w:t>'</w:t>
      </w:r>
      <w:r w:rsidR="00D11E4C">
        <w:t>imputazione delle esposizioni alle classi di esposizioni o giurisdizioni è effettuata senza tener conto di tecniche di attenuazione del rischio di credito e, in particolare, senza considerare effetti di sostituzione. Tuttavia il calcolo dei valori delle esposizioni e degli importi delle esposizioni ponderati per il rischio per ciascuna classe di esposizioni e per ogni giurisdizione comprende l</w:t>
      </w:r>
      <w:r w:rsidR="000878EC">
        <w:t>'</w:t>
      </w:r>
      <w:r w:rsidR="00D11E4C">
        <w:t xml:space="preserve">incidenza delle tecniche di attenuazione del rischio di credito, compresi gli effetti di sostituzione. </w:t>
      </w:r>
    </w:p>
    <w:p w:rsidR="00FD54FC" w:rsidRPr="00661595" w:rsidRDefault="00A971CA" w:rsidP="0018236F">
      <w:pPr>
        <w:pStyle w:val="InstructionsText2"/>
        <w:numPr>
          <w:ilvl w:val="0"/>
          <w:numId w:val="0"/>
        </w:numPr>
        <w:ind w:left="1680" w:hanging="480"/>
      </w:pPr>
      <w:r>
        <w:fldChar w:fldCharType="begin"/>
      </w:r>
      <w:r>
        <w:instrText xml:space="preserve"> seq paragraphs </w:instrText>
      </w:r>
      <w:r>
        <w:fldChar w:fldCharType="separate"/>
      </w:r>
      <w:r w:rsidR="00D11E4C">
        <w:rPr>
          <w:noProof/>
        </w:rPr>
        <w:t>196</w:t>
      </w:r>
      <w:r>
        <w:rPr>
          <w:noProof/>
        </w:rPr>
        <w:fldChar w:fldCharType="end"/>
      </w:r>
      <w:r w:rsidR="00D11E4C">
        <w:t>.</w:t>
      </w:r>
      <w:r w:rsidR="00D11E4C">
        <w:tab/>
        <w:t xml:space="preserve"> La segnalazione di informazioni sulle esposizioni verso </w:t>
      </w:r>
      <w:r w:rsidR="000878EC">
        <w:t>"</w:t>
      </w:r>
      <w:r w:rsidR="00D11E4C">
        <w:t>amministrazioni pubbliche</w:t>
      </w:r>
      <w:r w:rsidR="000878EC">
        <w:t>"</w:t>
      </w:r>
      <w:r w:rsidR="00D11E4C">
        <w:t xml:space="preserve"> per giurisdizione di residenza della controparte immediata diversa dalla giurisdizione nazionale dell</w:t>
      </w:r>
      <w:r w:rsidR="000878EC">
        <w:t>'</w:t>
      </w:r>
      <w:r w:rsidR="00D11E4C">
        <w:t>ente segnalante è soggetta alle soglie di cui all</w:t>
      </w:r>
      <w:r w:rsidR="000878EC">
        <w:t>'</w:t>
      </w:r>
      <w:r w:rsidR="00D11E4C">
        <w:t>articolo 6, paragrafo 3, del presente regolamento di esecuzione.</w:t>
      </w:r>
    </w:p>
    <w:p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66" w:name="_Toc473561057"/>
      <w:bookmarkStart w:id="767" w:name="_Toc58915877"/>
      <w:r>
        <w:rPr>
          <w:rFonts w:ascii="Times New Roman" w:hAnsi="Times New Roman"/>
          <w:sz w:val="24"/>
          <w:u w:val="none"/>
        </w:rPr>
        <w:t>7.2.</w:t>
      </w:r>
      <w:r w:rsidRPr="0018236F">
        <w:rPr>
          <w:u w:val="none"/>
        </w:rPr>
        <w:tab/>
      </w:r>
      <w:bookmarkStart w:id="768" w:name="_Toc367202009"/>
      <w:r>
        <w:rPr>
          <w:rFonts w:ascii="Times New Roman" w:hAnsi="Times New Roman"/>
          <w:sz w:val="24"/>
        </w:rPr>
        <w:t>Ambito di applicazione del modello</w:t>
      </w:r>
      <w:bookmarkEnd w:id="768"/>
      <w:r w:rsidR="000878EC">
        <w:rPr>
          <w:rFonts w:ascii="Times New Roman" w:hAnsi="Times New Roman"/>
          <w:sz w:val="24"/>
        </w:rPr>
        <w:t xml:space="preserve"> </w:t>
      </w:r>
      <w:r>
        <w:rPr>
          <w:rFonts w:ascii="Times New Roman" w:hAnsi="Times New Roman"/>
          <w:sz w:val="24"/>
        </w:rPr>
        <w:t xml:space="preserve">sulle esposizioni verso le </w:t>
      </w:r>
      <w:r w:rsidR="000878EC">
        <w:rPr>
          <w:rFonts w:ascii="Times New Roman" w:hAnsi="Times New Roman"/>
          <w:sz w:val="24"/>
        </w:rPr>
        <w:t>"</w:t>
      </w:r>
      <w:r>
        <w:rPr>
          <w:rFonts w:ascii="Times New Roman" w:hAnsi="Times New Roman"/>
          <w:sz w:val="24"/>
        </w:rPr>
        <w:t>amministrazioni pubbliche</w:t>
      </w:r>
      <w:r w:rsidR="000878EC">
        <w:rPr>
          <w:rFonts w:ascii="Times New Roman" w:hAnsi="Times New Roman"/>
          <w:sz w:val="24"/>
        </w:rPr>
        <w:t>"</w:t>
      </w:r>
      <w:bookmarkEnd w:id="766"/>
      <w:bookmarkEnd w:id="767"/>
    </w:p>
    <w:p w:rsidR="00FD54FC" w:rsidRPr="00661595" w:rsidRDefault="00A971CA" w:rsidP="0018236F">
      <w:pPr>
        <w:pStyle w:val="InstructionsText2"/>
        <w:numPr>
          <w:ilvl w:val="0"/>
          <w:numId w:val="0"/>
        </w:numPr>
        <w:ind w:left="1680" w:hanging="480"/>
      </w:pPr>
      <w:r>
        <w:fldChar w:fldCharType="begin"/>
      </w:r>
      <w:r>
        <w:instrText xml:space="preserve"> seq paragraphs </w:instrText>
      </w:r>
      <w:r>
        <w:fldChar w:fldCharType="separate"/>
      </w:r>
      <w:r w:rsidR="00D11E4C">
        <w:rPr>
          <w:noProof/>
        </w:rPr>
        <w:t>197</w:t>
      </w:r>
      <w:r>
        <w:rPr>
          <w:noProof/>
        </w:rPr>
        <w:fldChar w:fldCharType="end"/>
      </w:r>
      <w:r w:rsidR="00D11E4C">
        <w:t>.</w:t>
      </w:r>
      <w:r w:rsidR="00D11E4C">
        <w:tab/>
        <w:t xml:space="preserve"> L</w:t>
      </w:r>
      <w:r w:rsidR="000878EC">
        <w:t>'</w:t>
      </w:r>
      <w:r w:rsidR="00D11E4C">
        <w:t xml:space="preserve">ambito di applicazione del modello GOV comprende le esposizioni dirette in bilancio, fuori bilancio e in derivati verso </w:t>
      </w:r>
      <w:r w:rsidR="000878EC">
        <w:t>"</w:t>
      </w:r>
      <w:r w:rsidR="00D11E4C">
        <w:t>amministrazioni pubbliche</w:t>
      </w:r>
      <w:r w:rsidR="000878EC">
        <w:t>"</w:t>
      </w:r>
      <w:r w:rsidR="00D11E4C">
        <w:t xml:space="preserve"> nel portafoglio bancario e nel portafoglio di negoziazione. Inoltre è richiesta una voce per memoria riguardo alle esposizioni indirette sotto forma di derivati su crediti venduti su esposizioni delle amministrazioni pubbliche.</w:t>
      </w:r>
    </w:p>
    <w:p w:rsidR="00FD54FC" w:rsidRPr="00661595" w:rsidRDefault="00A971CA" w:rsidP="0018236F">
      <w:pPr>
        <w:pStyle w:val="InstructionsText2"/>
        <w:numPr>
          <w:ilvl w:val="0"/>
          <w:numId w:val="0"/>
        </w:numPr>
        <w:ind w:left="1680" w:hanging="480"/>
      </w:pPr>
      <w:r>
        <w:fldChar w:fldCharType="begin"/>
      </w:r>
      <w:r>
        <w:instrText xml:space="preserve"> seq paragraphs </w:instrText>
      </w:r>
      <w:r>
        <w:fldChar w:fldCharType="separate"/>
      </w:r>
      <w:r w:rsidR="00D11E4C">
        <w:rPr>
          <w:noProof/>
        </w:rPr>
        <w:t>198</w:t>
      </w:r>
      <w:r>
        <w:rPr>
          <w:noProof/>
        </w:rPr>
        <w:fldChar w:fldCharType="end"/>
      </w:r>
      <w:r w:rsidR="00D11E4C">
        <w:t>.</w:t>
      </w:r>
      <w:r w:rsidR="00D11E4C">
        <w:tab/>
        <w:t xml:space="preserve"> L</w:t>
      </w:r>
      <w:r w:rsidR="000878EC">
        <w:t>'</w:t>
      </w:r>
      <w:r w:rsidR="00D11E4C">
        <w:t>esposizione è un</w:t>
      </w:r>
      <w:r w:rsidR="000878EC">
        <w:t>'</w:t>
      </w:r>
      <w:r w:rsidR="00D11E4C">
        <w:t xml:space="preserve">esposizione diretta quando la controparte immediata è un soggetto che rientra nella definizione di </w:t>
      </w:r>
      <w:r w:rsidR="000878EC">
        <w:t>"</w:t>
      </w:r>
      <w:r w:rsidR="00D11E4C">
        <w:t>amministrazioni pubbliche</w:t>
      </w:r>
      <w:r w:rsidR="000878EC">
        <w:t>"</w:t>
      </w:r>
      <w:r w:rsidR="00D11E4C">
        <w:t xml:space="preserve"> ai sensi dell</w:t>
      </w:r>
      <w:r w:rsidR="000878EC">
        <w:t>'</w:t>
      </w:r>
      <w:r w:rsidR="00D11E4C">
        <w:t xml:space="preserve">allegato V, punto 42, lettera b), del presente regolamento di esecuzione. </w:t>
      </w:r>
    </w:p>
    <w:p w:rsidR="00FD54FC" w:rsidRPr="00661595" w:rsidRDefault="00A971CA" w:rsidP="0018236F">
      <w:pPr>
        <w:pStyle w:val="InstructionsText2"/>
        <w:numPr>
          <w:ilvl w:val="0"/>
          <w:numId w:val="0"/>
        </w:numPr>
        <w:ind w:left="1680" w:hanging="480"/>
      </w:pPr>
      <w:r>
        <w:fldChar w:fldCharType="begin"/>
      </w:r>
      <w:r>
        <w:instrText xml:space="preserve"> seq paragraphs </w:instrText>
      </w:r>
      <w:r>
        <w:fldChar w:fldCharType="separate"/>
      </w:r>
      <w:r w:rsidR="00D11E4C">
        <w:rPr>
          <w:noProof/>
        </w:rPr>
        <w:t>199</w:t>
      </w:r>
      <w:r>
        <w:rPr>
          <w:noProof/>
        </w:rPr>
        <w:fldChar w:fldCharType="end"/>
      </w:r>
      <w:r w:rsidR="00D11E4C">
        <w:t>.</w:t>
      </w:r>
      <w:r w:rsidR="00D11E4C">
        <w:tab/>
        <w:t xml:space="preserve"> Il modello è diviso in due sezioni: la prima si basa su una ripartizione delle esposizioni in base al rischio, al metodo regolamentare e alle classi di esposizioni, la seconda si basa su una ripartizione per durata residua.</w:t>
      </w:r>
    </w:p>
    <w:p w:rsidR="00FD54FC" w:rsidRPr="00661595" w:rsidRDefault="00995A7F" w:rsidP="0023700C">
      <w:pPr>
        <w:pStyle w:val="Instructionsberschrift2"/>
        <w:numPr>
          <w:ilvl w:val="0"/>
          <w:numId w:val="0"/>
        </w:numPr>
        <w:ind w:left="357" w:hanging="357"/>
        <w:rPr>
          <w:rFonts w:ascii="Times New Roman" w:hAnsi="Times New Roman" w:cs="Times New Roman"/>
          <w:sz w:val="24"/>
        </w:rPr>
      </w:pPr>
      <w:bookmarkStart w:id="769" w:name="_Toc473561058"/>
      <w:bookmarkStart w:id="770" w:name="_Toc58915878"/>
      <w:r>
        <w:rPr>
          <w:rFonts w:ascii="Times New Roman" w:hAnsi="Times New Roman"/>
          <w:sz w:val="24"/>
          <w:u w:val="none"/>
        </w:rPr>
        <w:t>7.3.</w:t>
      </w:r>
      <w:r w:rsidRPr="0018236F">
        <w:rPr>
          <w:u w:val="none"/>
        </w:rPr>
        <w:tab/>
      </w:r>
      <w:r>
        <w:rPr>
          <w:rFonts w:ascii="Times New Roman" w:hAnsi="Times New Roman"/>
          <w:sz w:val="24"/>
        </w:rPr>
        <w:t>Istruzioni relative a posizioni specifiche</w:t>
      </w:r>
      <w:bookmarkEnd w:id="769"/>
      <w:bookmarkEnd w:id="770"/>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640"/>
      </w:tblGrid>
      <w:tr w:rsidR="00FD54FC" w:rsidRPr="00661595" w:rsidTr="00672D2A">
        <w:tc>
          <w:tcPr>
            <w:tcW w:w="1188" w:type="dxa"/>
            <w:shd w:val="pct25" w:color="auto" w:fill="auto"/>
          </w:tcPr>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Colonne</w:t>
            </w:r>
          </w:p>
          <w:p w:rsidR="00FD54FC" w:rsidRPr="00661595" w:rsidRDefault="00FD54FC" w:rsidP="00FD54FC">
            <w:pPr>
              <w:spacing w:before="0" w:after="0"/>
              <w:ind w:left="33"/>
              <w:rPr>
                <w:rFonts w:ascii="Times New Roman" w:hAnsi="Times New Roman"/>
                <w:bCs/>
                <w:sz w:val="24"/>
                <w:lang w:eastAsia="de-DE"/>
              </w:rPr>
            </w:pPr>
          </w:p>
        </w:tc>
        <w:tc>
          <w:tcPr>
            <w:tcW w:w="8640" w:type="dxa"/>
            <w:shd w:val="pct25" w:color="auto" w:fill="auto"/>
          </w:tcPr>
          <w:p w:rsidR="00FD54FC" w:rsidRPr="00661595" w:rsidRDefault="00FD54FC" w:rsidP="0018236F">
            <w:pPr>
              <w:suppressAutoHyphens/>
              <w:spacing w:before="0" w:after="0"/>
              <w:ind w:left="33"/>
              <w:rPr>
                <w:rFonts w:ascii="Times New Roman" w:hAnsi="Times New Roman"/>
                <w:bCs/>
                <w:sz w:val="24"/>
              </w:rPr>
            </w:pPr>
            <w:r>
              <w:rPr>
                <w:rFonts w:ascii="Times New Roman" w:hAnsi="Times New Roman"/>
                <w:bCs/>
                <w:sz w:val="24"/>
              </w:rPr>
              <w:t>Istruzioni</w:t>
            </w:r>
          </w:p>
        </w:tc>
      </w:tr>
      <w:tr w:rsidR="00FD54FC" w:rsidRPr="00661595" w:rsidTr="00672D2A">
        <w:tc>
          <w:tcPr>
            <w:tcW w:w="1188" w:type="dxa"/>
            <w:tcBorders>
              <w:bottom w:val="single" w:sz="4" w:space="0" w:color="auto"/>
            </w:tcBorders>
          </w:tcPr>
          <w:p w:rsidR="00FD54FC" w:rsidRPr="00661595" w:rsidRDefault="00535792" w:rsidP="00B74792">
            <w:pPr>
              <w:spacing w:before="0" w:after="0"/>
              <w:ind w:left="33"/>
              <w:rPr>
                <w:rFonts w:ascii="Times New Roman" w:hAnsi="Times New Roman"/>
                <w:bCs/>
                <w:sz w:val="24"/>
              </w:rPr>
            </w:pPr>
            <w:r>
              <w:rPr>
                <w:rFonts w:ascii="Times New Roman" w:hAnsi="Times New Roman"/>
                <w:bCs/>
                <w:sz w:val="24"/>
              </w:rPr>
              <w:t>0010-0260</w:t>
            </w:r>
          </w:p>
        </w:tc>
        <w:tc>
          <w:tcPr>
            <w:tcW w:w="8640" w:type="dxa"/>
            <w:tcBorders>
              <w:bottom w:val="single" w:sz="4" w:space="0" w:color="auto"/>
            </w:tcBorders>
          </w:tcPr>
          <w:p w:rsidR="00FD54FC" w:rsidRPr="00661595" w:rsidRDefault="00FD54FC" w:rsidP="0018236F">
            <w:pPr>
              <w:suppressAutoHyphens/>
              <w:spacing w:before="0" w:after="0"/>
              <w:ind w:left="33"/>
              <w:rPr>
                <w:rFonts w:ascii="Times New Roman" w:hAnsi="Times New Roman"/>
                <w:b/>
                <w:bCs/>
                <w:sz w:val="24"/>
                <w:u w:val="single"/>
              </w:rPr>
            </w:pPr>
            <w:r>
              <w:rPr>
                <w:rFonts w:ascii="Times New Roman" w:hAnsi="Times New Roman"/>
                <w:b/>
                <w:bCs/>
                <w:sz w:val="24"/>
                <w:u w:val="single"/>
              </w:rPr>
              <w:t xml:space="preserve">ESPOSIZIONI DIRETTE </w:t>
            </w:r>
          </w:p>
        </w:tc>
      </w:tr>
      <w:tr w:rsidR="00FD54FC" w:rsidRPr="00661595" w:rsidTr="00672D2A">
        <w:tc>
          <w:tcPr>
            <w:tcW w:w="1188" w:type="dxa"/>
          </w:tcPr>
          <w:p w:rsidR="00FD54FC" w:rsidRPr="00661595" w:rsidRDefault="00535792" w:rsidP="00B74792">
            <w:pPr>
              <w:spacing w:before="0" w:after="0"/>
              <w:ind w:left="33"/>
              <w:rPr>
                <w:rFonts w:ascii="Times New Roman" w:hAnsi="Times New Roman"/>
                <w:bCs/>
                <w:sz w:val="24"/>
              </w:rPr>
            </w:pPr>
            <w:r>
              <w:rPr>
                <w:rFonts w:ascii="Times New Roman" w:hAnsi="Times New Roman"/>
                <w:bCs/>
                <w:sz w:val="24"/>
              </w:rPr>
              <w:t>0010-0140</w:t>
            </w:r>
          </w:p>
        </w:tc>
        <w:tc>
          <w:tcPr>
            <w:tcW w:w="8640" w:type="dxa"/>
          </w:tcPr>
          <w:p w:rsidR="00FD54FC" w:rsidRPr="00661595" w:rsidRDefault="00FD54FC" w:rsidP="0018236F">
            <w:pPr>
              <w:suppressAutoHyphens/>
              <w:spacing w:before="0" w:after="0"/>
              <w:ind w:left="33"/>
              <w:rPr>
                <w:rFonts w:ascii="Times New Roman" w:hAnsi="Times New Roman"/>
                <w:b/>
                <w:bCs/>
                <w:sz w:val="24"/>
                <w:u w:val="single"/>
              </w:rPr>
            </w:pPr>
            <w:r>
              <w:rPr>
                <w:rFonts w:ascii="Times New Roman" w:hAnsi="Times New Roman"/>
                <w:b/>
                <w:bCs/>
                <w:sz w:val="24"/>
                <w:u w:val="single"/>
              </w:rPr>
              <w:t>ESPOSIZIONI IN BILANCIO</w:t>
            </w: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0010</w:t>
            </w:r>
          </w:p>
        </w:tc>
        <w:tc>
          <w:tcPr>
            <w:tcW w:w="8640" w:type="dxa"/>
          </w:tcPr>
          <w:p w:rsidR="00FD54FC" w:rsidRPr="00661595" w:rsidRDefault="00FD54FC" w:rsidP="0018236F">
            <w:pPr>
              <w:suppressAutoHyphens/>
              <w:spacing w:before="0" w:after="0"/>
              <w:ind w:left="33"/>
              <w:rPr>
                <w:rFonts w:ascii="Times New Roman" w:hAnsi="Times New Roman"/>
                <w:b/>
                <w:bCs/>
                <w:sz w:val="24"/>
                <w:u w:val="single"/>
              </w:rPr>
            </w:pPr>
            <w:r>
              <w:rPr>
                <w:rFonts w:ascii="Times New Roman" w:hAnsi="Times New Roman"/>
                <w:b/>
                <w:bCs/>
                <w:sz w:val="24"/>
                <w:u w:val="single"/>
              </w:rPr>
              <w:t xml:space="preserve">Valore contabile lordo totale delle attività finanziarie non derivate </w:t>
            </w:r>
          </w:p>
          <w:p w:rsidR="00FD54FC" w:rsidRPr="00661595" w:rsidRDefault="00FD54FC" w:rsidP="0018236F">
            <w:pPr>
              <w:suppressAutoHyphens/>
              <w:spacing w:before="0" w:after="0"/>
              <w:ind w:left="33"/>
              <w:rPr>
                <w:rFonts w:ascii="Times New Roman" w:hAnsi="Times New Roman"/>
                <w:bCs/>
                <w:sz w:val="24"/>
                <w:lang w:eastAsia="de-DE"/>
              </w:rPr>
            </w:pPr>
          </w:p>
          <w:p w:rsidR="00FD54FC" w:rsidRPr="00661595" w:rsidRDefault="00FD54FC" w:rsidP="0018236F">
            <w:pPr>
              <w:suppressAutoHyphens/>
              <w:spacing w:before="0" w:after="0"/>
              <w:ind w:left="33"/>
              <w:rPr>
                <w:rFonts w:ascii="Times New Roman" w:hAnsi="Times New Roman"/>
                <w:bCs/>
                <w:sz w:val="24"/>
              </w:rPr>
            </w:pPr>
            <w:r>
              <w:rPr>
                <w:rFonts w:ascii="Times New Roman" w:hAnsi="Times New Roman"/>
                <w:bCs/>
                <w:sz w:val="24"/>
              </w:rPr>
              <w:t xml:space="preserve">Il valore contabile lordo aggregato determinato a norma </w:t>
            </w:r>
            <w:r w:rsidR="0018236F">
              <w:rPr>
                <w:rFonts w:ascii="Times New Roman" w:hAnsi="Times New Roman"/>
                <w:bCs/>
                <w:sz w:val="24"/>
              </w:rPr>
              <w:t>dell</w:t>
            </w:r>
            <w:r w:rsidR="000878EC">
              <w:rPr>
                <w:rFonts w:ascii="Times New Roman" w:hAnsi="Times New Roman"/>
                <w:bCs/>
                <w:sz w:val="24"/>
              </w:rPr>
              <w:t>'</w:t>
            </w:r>
            <w:r w:rsidR="0018236F">
              <w:rPr>
                <w:rFonts w:ascii="Times New Roman" w:hAnsi="Times New Roman"/>
                <w:bCs/>
                <w:sz w:val="24"/>
              </w:rPr>
              <w:t>allegato V, parte 1, punto </w:t>
            </w:r>
            <w:r>
              <w:rPr>
                <w:rFonts w:ascii="Times New Roman" w:hAnsi="Times New Roman"/>
                <w:bCs/>
                <w:sz w:val="24"/>
              </w:rPr>
              <w:t>34, del presente regolamento di esecuzione, delle attività finanziarie non derivate verso amministrazioni pubbliche, per tutti i portafogli contabili ai sensi degli IFRS o dei GAAP nazionali basati sulla BAD quali definiti all</w:t>
            </w:r>
            <w:r w:rsidR="000878EC">
              <w:rPr>
                <w:rFonts w:ascii="Times New Roman" w:hAnsi="Times New Roman"/>
                <w:bCs/>
                <w:sz w:val="24"/>
              </w:rPr>
              <w:t>'</w:t>
            </w:r>
            <w:r>
              <w:rPr>
                <w:rFonts w:ascii="Times New Roman" w:hAnsi="Times New Roman"/>
                <w:bCs/>
                <w:sz w:val="24"/>
              </w:rPr>
              <w:t xml:space="preserve">allegato V, parte 1, punti da 15 a 22, del presente regolamento di esecuzione, ed elencati nelle colonne da 0030 a 0120. </w:t>
            </w:r>
          </w:p>
          <w:p w:rsidR="00FD54FC" w:rsidRPr="00661595" w:rsidRDefault="00FD54FC" w:rsidP="0018236F">
            <w:pPr>
              <w:suppressAutoHyphens/>
              <w:spacing w:before="0" w:after="0"/>
              <w:ind w:left="33"/>
              <w:rPr>
                <w:rFonts w:ascii="Times New Roman" w:hAnsi="Times New Roman"/>
                <w:bCs/>
                <w:sz w:val="24"/>
                <w:lang w:eastAsia="de-DE"/>
              </w:rPr>
            </w:pPr>
          </w:p>
          <w:p w:rsidR="00FD54FC" w:rsidRPr="00661595" w:rsidRDefault="00FD54FC" w:rsidP="0018236F">
            <w:pPr>
              <w:suppressAutoHyphens/>
              <w:spacing w:before="0" w:after="0"/>
              <w:ind w:left="33"/>
              <w:rPr>
                <w:rFonts w:ascii="Times New Roman" w:hAnsi="Times New Roman"/>
                <w:bCs/>
                <w:sz w:val="24"/>
              </w:rPr>
            </w:pPr>
            <w:r>
              <w:rPr>
                <w:rFonts w:ascii="Times New Roman" w:hAnsi="Times New Roman"/>
                <w:bCs/>
                <w:sz w:val="24"/>
              </w:rPr>
              <w:t>Gli aggiustamenti per la valutazione prudente non riducono il valore contabile lordo di esposizioni per negoziazione e non per negoziazione valutate al fair value (valore equo).</w:t>
            </w:r>
          </w:p>
          <w:p w:rsidR="00FD54FC" w:rsidRPr="00661595" w:rsidRDefault="00FD54FC" w:rsidP="0018236F">
            <w:pPr>
              <w:suppressAutoHyphens/>
              <w:spacing w:before="0" w:after="0"/>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0020</w:t>
            </w:r>
          </w:p>
        </w:tc>
        <w:tc>
          <w:tcPr>
            <w:tcW w:w="8640" w:type="dxa"/>
          </w:tcPr>
          <w:p w:rsidR="00FD54FC" w:rsidRPr="00661595" w:rsidRDefault="00FD54FC" w:rsidP="0018236F">
            <w:pPr>
              <w:suppressAutoHyphens/>
              <w:spacing w:before="0" w:after="0"/>
              <w:ind w:left="33"/>
              <w:rPr>
                <w:rFonts w:ascii="Times New Roman" w:hAnsi="Times New Roman"/>
                <w:b/>
                <w:bCs/>
                <w:sz w:val="24"/>
                <w:u w:val="single"/>
              </w:rPr>
            </w:pPr>
            <w:r>
              <w:rPr>
                <w:rFonts w:ascii="Times New Roman" w:hAnsi="Times New Roman"/>
                <w:b/>
                <w:bCs/>
                <w:sz w:val="24"/>
                <w:u w:val="single"/>
              </w:rPr>
              <w:t>Valore contabile totale delle attività finanziarie non derivate (al netto delle posizioni corte)</w:t>
            </w:r>
          </w:p>
          <w:p w:rsidR="00FD54FC" w:rsidRPr="00661595" w:rsidRDefault="00FD54FC" w:rsidP="0018236F">
            <w:pPr>
              <w:suppressAutoHyphens/>
              <w:spacing w:before="0" w:after="0"/>
              <w:ind w:left="33"/>
              <w:rPr>
                <w:rFonts w:ascii="Times New Roman" w:hAnsi="Times New Roman"/>
                <w:bCs/>
                <w:sz w:val="24"/>
                <w:lang w:eastAsia="de-DE"/>
              </w:rPr>
            </w:pPr>
          </w:p>
          <w:p w:rsidR="00FD54FC" w:rsidRPr="00661595" w:rsidRDefault="00FD54FC" w:rsidP="0018236F">
            <w:pPr>
              <w:suppressAutoHyphens/>
              <w:spacing w:before="0" w:after="0"/>
              <w:ind w:left="33"/>
              <w:rPr>
                <w:rFonts w:ascii="Times New Roman" w:hAnsi="Times New Roman"/>
                <w:bCs/>
                <w:sz w:val="24"/>
              </w:rPr>
            </w:pPr>
            <w:r>
              <w:rPr>
                <w:rFonts w:ascii="Times New Roman" w:hAnsi="Times New Roman"/>
                <w:bCs/>
                <w:sz w:val="24"/>
              </w:rPr>
              <w:t>Il valore contabile aggregato, di cui all</w:t>
            </w:r>
            <w:r w:rsidR="000878EC">
              <w:rPr>
                <w:rFonts w:ascii="Times New Roman" w:hAnsi="Times New Roman"/>
                <w:bCs/>
                <w:sz w:val="24"/>
              </w:rPr>
              <w:t>'</w:t>
            </w:r>
            <w:r>
              <w:rPr>
                <w:rFonts w:ascii="Times New Roman" w:hAnsi="Times New Roman"/>
                <w:bCs/>
                <w:sz w:val="24"/>
              </w:rPr>
              <w:t>allegato V, parte 1, punto 27, del presente regolamento di esecuzione, delle attività finanziarie non derivate verso amministrazioni pubbliche, per tutti i portafogli contabili ai sensi degli IFRS o dei GAAP nazionali basati sulla BAD quali definiti all</w:t>
            </w:r>
            <w:r w:rsidR="000878EC">
              <w:rPr>
                <w:rFonts w:ascii="Times New Roman" w:hAnsi="Times New Roman"/>
                <w:bCs/>
                <w:sz w:val="24"/>
              </w:rPr>
              <w:t>'</w:t>
            </w:r>
            <w:r>
              <w:rPr>
                <w:rFonts w:ascii="Times New Roman" w:hAnsi="Times New Roman"/>
                <w:bCs/>
                <w:sz w:val="24"/>
              </w:rPr>
              <w:t>allegato V, parte 1, punti da 15 a 22, del presente regolamento di esecuzione, ed elencati nelle colonne da 0030 a 0120, al netto delle posizioni corte.</w:t>
            </w:r>
          </w:p>
          <w:p w:rsidR="00FD54FC" w:rsidRPr="00661595" w:rsidRDefault="00FD54FC" w:rsidP="0018236F">
            <w:pPr>
              <w:suppressAutoHyphens/>
              <w:spacing w:before="0" w:after="0"/>
              <w:ind w:left="33"/>
              <w:rPr>
                <w:rFonts w:ascii="Times New Roman" w:hAnsi="Times New Roman"/>
                <w:bCs/>
                <w:sz w:val="24"/>
                <w:lang w:eastAsia="de-DE"/>
              </w:rPr>
            </w:pPr>
          </w:p>
          <w:p w:rsidR="00FD54FC" w:rsidRPr="00661595" w:rsidRDefault="00FD54FC" w:rsidP="0018236F">
            <w:pPr>
              <w:keepNext/>
              <w:keepLines/>
              <w:suppressAutoHyphens/>
              <w:spacing w:before="0" w:after="0"/>
              <w:ind w:left="33"/>
              <w:rPr>
                <w:rFonts w:ascii="Times New Roman" w:hAnsi="Times New Roman"/>
                <w:bCs/>
                <w:sz w:val="24"/>
              </w:rPr>
            </w:pPr>
            <w:r>
              <w:rPr>
                <w:rFonts w:ascii="Times New Roman" w:hAnsi="Times New Roman"/>
                <w:bCs/>
                <w:sz w:val="24"/>
              </w:rPr>
              <w:t>Se l</w:t>
            </w:r>
            <w:r w:rsidR="000878EC">
              <w:rPr>
                <w:rFonts w:ascii="Times New Roman" w:hAnsi="Times New Roman"/>
                <w:bCs/>
                <w:sz w:val="24"/>
              </w:rPr>
              <w:t>'</w:t>
            </w:r>
            <w:r>
              <w:rPr>
                <w:rFonts w:ascii="Times New Roman" w:hAnsi="Times New Roman"/>
                <w:bCs/>
                <w:sz w:val="24"/>
              </w:rPr>
              <w:t>ente ha una posizione corta per la stessa durata residua e la stessa controparte immediata che è denominata nella stessa valuta, il valore contabile della posizione corta è compensato a fronte del valore contabile della posizione diretta. Questo importo netto è considerato pari a zero quando si tratta di un importo negativo. Se un ente ha una posizione corta senza una posizione diretta corrispondente, l</w:t>
            </w:r>
            <w:r w:rsidR="000878EC">
              <w:rPr>
                <w:rFonts w:ascii="Times New Roman" w:hAnsi="Times New Roman"/>
                <w:bCs/>
                <w:sz w:val="24"/>
              </w:rPr>
              <w:t>'</w:t>
            </w:r>
            <w:r>
              <w:rPr>
                <w:rFonts w:ascii="Times New Roman" w:hAnsi="Times New Roman"/>
                <w:bCs/>
                <w:sz w:val="24"/>
              </w:rPr>
              <w:t xml:space="preserve">importo della posizione corta è considerato pari a zero ai fini di questa colonna. </w:t>
            </w:r>
          </w:p>
          <w:p w:rsidR="00FD54FC" w:rsidRPr="00661595" w:rsidDel="00FB1EBF" w:rsidRDefault="00FD54FC" w:rsidP="0018236F">
            <w:pPr>
              <w:suppressAutoHyphens/>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0030-0120</w:t>
            </w:r>
          </w:p>
        </w:tc>
        <w:tc>
          <w:tcPr>
            <w:tcW w:w="8640" w:type="dxa"/>
          </w:tcPr>
          <w:p w:rsidR="00FD54FC" w:rsidRPr="00661595" w:rsidRDefault="00FD54FC" w:rsidP="0018236F">
            <w:pPr>
              <w:suppressAutoHyphens/>
              <w:spacing w:before="0" w:after="0"/>
              <w:ind w:left="33"/>
              <w:rPr>
                <w:rFonts w:ascii="Times New Roman" w:hAnsi="Times New Roman"/>
                <w:b/>
                <w:bCs/>
                <w:sz w:val="24"/>
                <w:u w:val="single"/>
              </w:rPr>
            </w:pPr>
            <w:r>
              <w:rPr>
                <w:rFonts w:ascii="Times New Roman" w:hAnsi="Times New Roman"/>
                <w:b/>
                <w:bCs/>
                <w:sz w:val="24"/>
                <w:u w:val="single"/>
              </w:rPr>
              <w:t>ATTIVITÀ FINANZIARIE NON DERIVATE IN BASE AI PORTAFOGLI CONTABILI</w:t>
            </w:r>
          </w:p>
          <w:p w:rsidR="00FD54FC" w:rsidRPr="00661595" w:rsidRDefault="00FD54FC" w:rsidP="0018236F">
            <w:pPr>
              <w:suppressAutoHyphens/>
              <w:spacing w:before="0" w:after="0"/>
              <w:ind w:left="33"/>
              <w:rPr>
                <w:rFonts w:ascii="Times New Roman" w:hAnsi="Times New Roman"/>
                <w:bCs/>
                <w:sz w:val="24"/>
                <w:lang w:eastAsia="de-DE"/>
              </w:rPr>
            </w:pPr>
          </w:p>
          <w:p w:rsidR="00FD54FC" w:rsidRPr="00661595" w:rsidRDefault="00FD54FC" w:rsidP="0018236F">
            <w:pPr>
              <w:suppressAutoHyphens/>
              <w:spacing w:before="0" w:after="0"/>
              <w:ind w:left="33"/>
              <w:rPr>
                <w:rFonts w:ascii="Times New Roman" w:hAnsi="Times New Roman"/>
                <w:bCs/>
                <w:sz w:val="24"/>
              </w:rPr>
            </w:pPr>
            <w:r>
              <w:rPr>
                <w:rFonts w:ascii="Times New Roman" w:hAnsi="Times New Roman"/>
                <w:bCs/>
                <w:sz w:val="24"/>
              </w:rPr>
              <w:t>Il valore contabile aggregato delle attività finanziarie non derivate, come definito alla riga precedente di questa tabella, verso amministrazioni pubbliche ripartito in base ai portafogli contabili ai sensi della disciplina contabile applicabile.</w:t>
            </w:r>
          </w:p>
          <w:p w:rsidR="00FD54FC" w:rsidRPr="00661595" w:rsidDel="00FB1EBF" w:rsidRDefault="00FD54FC" w:rsidP="0018236F">
            <w:pPr>
              <w:suppressAutoHyphens/>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0030</w:t>
            </w:r>
          </w:p>
        </w:tc>
        <w:tc>
          <w:tcPr>
            <w:tcW w:w="8640" w:type="dxa"/>
          </w:tcPr>
          <w:p w:rsidR="00FD54FC" w:rsidRPr="00661595" w:rsidRDefault="00FD54FC" w:rsidP="0018236F">
            <w:pPr>
              <w:suppressAutoHyphens/>
              <w:spacing w:before="0" w:after="0"/>
              <w:ind w:left="33"/>
              <w:rPr>
                <w:rFonts w:ascii="Times New Roman" w:hAnsi="Times New Roman"/>
                <w:bCs/>
                <w:sz w:val="24"/>
              </w:rPr>
            </w:pPr>
            <w:r>
              <w:rPr>
                <w:rFonts w:ascii="Times New Roman" w:hAnsi="Times New Roman"/>
                <w:b/>
                <w:bCs/>
                <w:sz w:val="24"/>
                <w:u w:val="single"/>
              </w:rPr>
              <w:t>Attività finanziarie possedute per negoziazione</w:t>
            </w:r>
          </w:p>
          <w:p w:rsidR="00FD54FC" w:rsidRPr="00661595" w:rsidRDefault="00FD54FC" w:rsidP="0018236F">
            <w:pPr>
              <w:suppressAutoHyphens/>
              <w:spacing w:before="0" w:after="0"/>
              <w:ind w:left="33"/>
              <w:rPr>
                <w:rFonts w:ascii="Times New Roman" w:hAnsi="Times New Roman"/>
                <w:bCs/>
                <w:sz w:val="24"/>
                <w:lang w:eastAsia="de-DE"/>
              </w:rPr>
            </w:pPr>
          </w:p>
          <w:p w:rsidR="00FD54FC" w:rsidRPr="00661595" w:rsidRDefault="001C79CB" w:rsidP="0018236F">
            <w:pPr>
              <w:suppressAutoHyphens/>
              <w:spacing w:before="0" w:after="0"/>
              <w:ind w:left="33"/>
              <w:rPr>
                <w:rFonts w:ascii="Times New Roman" w:hAnsi="Times New Roman"/>
                <w:bCs/>
                <w:sz w:val="24"/>
              </w:rPr>
            </w:pPr>
            <w:r>
              <w:rPr>
                <w:rFonts w:ascii="Times New Roman" w:hAnsi="Times New Roman"/>
                <w:bCs/>
                <w:sz w:val="24"/>
              </w:rPr>
              <w:t>IFRS 7.8(a)(ii); IFRS 9, appendice A.</w:t>
            </w:r>
          </w:p>
          <w:p w:rsidR="00FD54FC" w:rsidRPr="00661595" w:rsidDel="00FB1EBF" w:rsidRDefault="00FD54FC" w:rsidP="0018236F">
            <w:pPr>
              <w:suppressAutoHyphens/>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0040</w:t>
            </w:r>
          </w:p>
        </w:tc>
        <w:tc>
          <w:tcPr>
            <w:tcW w:w="8640" w:type="dxa"/>
          </w:tcPr>
          <w:p w:rsidR="00FD54FC" w:rsidRPr="00661595" w:rsidRDefault="00FD54FC" w:rsidP="0018236F">
            <w:pPr>
              <w:suppressAutoHyphens/>
              <w:spacing w:before="0" w:after="0"/>
              <w:ind w:left="33"/>
              <w:rPr>
                <w:rFonts w:ascii="Times New Roman" w:hAnsi="Times New Roman"/>
                <w:b/>
                <w:bCs/>
                <w:sz w:val="24"/>
                <w:u w:val="single"/>
              </w:rPr>
            </w:pPr>
            <w:r>
              <w:rPr>
                <w:rFonts w:ascii="Times New Roman" w:hAnsi="Times New Roman"/>
                <w:b/>
                <w:bCs/>
                <w:sz w:val="24"/>
                <w:u w:val="single"/>
              </w:rPr>
              <w:t>Attività finanziarie per negoziazione</w:t>
            </w:r>
          </w:p>
          <w:p w:rsidR="00FD54FC" w:rsidRPr="00661595" w:rsidRDefault="00FD54FC" w:rsidP="0018236F">
            <w:pPr>
              <w:suppressAutoHyphens/>
              <w:spacing w:before="0" w:after="0"/>
              <w:ind w:left="33"/>
              <w:rPr>
                <w:rFonts w:ascii="Times New Roman" w:hAnsi="Times New Roman"/>
                <w:bCs/>
                <w:sz w:val="24"/>
                <w:lang w:eastAsia="de-DE"/>
              </w:rPr>
            </w:pPr>
          </w:p>
          <w:p w:rsidR="00FD54FC" w:rsidRPr="00661595" w:rsidRDefault="00245E37" w:rsidP="0018236F">
            <w:pPr>
              <w:suppressAutoHyphens/>
              <w:spacing w:before="0" w:after="0"/>
              <w:ind w:left="33"/>
              <w:rPr>
                <w:rFonts w:ascii="Times New Roman" w:hAnsi="Times New Roman"/>
                <w:bCs/>
                <w:sz w:val="24"/>
              </w:rPr>
            </w:pPr>
            <w:r>
              <w:rPr>
                <w:rFonts w:ascii="Times New Roman" w:hAnsi="Times New Roman"/>
                <w:bCs/>
                <w:sz w:val="24"/>
              </w:rPr>
              <w:t>Articoli 32 e 33 della BAD; allegato V, parte 1, punto 16, del presente regolamento di esecuzione; articolo 8, paragrafo 1, lettera a), della AD</w:t>
            </w:r>
          </w:p>
          <w:p w:rsidR="002F78EA" w:rsidRPr="00661595" w:rsidRDefault="002F78EA" w:rsidP="0018236F">
            <w:pPr>
              <w:suppressAutoHyphens/>
              <w:spacing w:before="0" w:after="0"/>
              <w:ind w:left="33"/>
              <w:rPr>
                <w:rFonts w:ascii="Times New Roman" w:hAnsi="Times New Roman"/>
                <w:bCs/>
                <w:sz w:val="24"/>
                <w:lang w:eastAsia="de-DE"/>
              </w:rPr>
            </w:pPr>
          </w:p>
          <w:p w:rsidR="00FD54FC" w:rsidRPr="00661595" w:rsidRDefault="00FD54FC" w:rsidP="0018236F">
            <w:pPr>
              <w:suppressAutoHyphens/>
              <w:spacing w:before="0" w:after="0"/>
              <w:ind w:left="33"/>
              <w:rPr>
                <w:rFonts w:ascii="Times New Roman" w:hAnsi="Times New Roman"/>
                <w:bCs/>
                <w:sz w:val="24"/>
              </w:rPr>
            </w:pPr>
            <w:r>
              <w:rPr>
                <w:rFonts w:ascii="Times New Roman" w:hAnsi="Times New Roman"/>
                <w:bCs/>
                <w:sz w:val="24"/>
              </w:rPr>
              <w:t>Da dichiarare unicamente per gli enti che applicano i principi contabili generalmente accettati nazionali (GAAP).</w:t>
            </w:r>
          </w:p>
          <w:p w:rsidR="00FD54FC" w:rsidRPr="00661595" w:rsidDel="00FB1EBF" w:rsidRDefault="00FD54FC" w:rsidP="0018236F">
            <w:pPr>
              <w:suppressAutoHyphens/>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0050</w:t>
            </w:r>
          </w:p>
        </w:tc>
        <w:tc>
          <w:tcPr>
            <w:tcW w:w="8640" w:type="dxa"/>
          </w:tcPr>
          <w:p w:rsidR="00FD54FC" w:rsidRPr="00661595" w:rsidRDefault="00FD54FC" w:rsidP="0018236F">
            <w:pPr>
              <w:suppressAutoHyphens/>
              <w:spacing w:before="0" w:after="0"/>
              <w:ind w:left="33"/>
              <w:rPr>
                <w:rFonts w:ascii="Times New Roman" w:hAnsi="Times New Roman"/>
                <w:b/>
                <w:bCs/>
                <w:sz w:val="24"/>
                <w:u w:val="single"/>
              </w:rPr>
            </w:pPr>
            <w:r>
              <w:rPr>
                <w:rFonts w:ascii="Times New Roman" w:hAnsi="Times New Roman"/>
                <w:b/>
                <w:bCs/>
                <w:sz w:val="24"/>
                <w:u w:val="single"/>
              </w:rPr>
              <w:t>Attività finanziarie non per negoziazione obbligatoriamente al fair value (valore equo) rilevato nell</w:t>
            </w:r>
            <w:r w:rsidR="000878EC">
              <w:rPr>
                <w:rFonts w:ascii="Times New Roman" w:hAnsi="Times New Roman"/>
                <w:b/>
                <w:bCs/>
                <w:sz w:val="24"/>
                <w:u w:val="single"/>
              </w:rPr>
              <w:t>'</w:t>
            </w:r>
            <w:r>
              <w:rPr>
                <w:rFonts w:ascii="Times New Roman" w:hAnsi="Times New Roman"/>
                <w:b/>
                <w:bCs/>
                <w:sz w:val="24"/>
                <w:u w:val="single"/>
              </w:rPr>
              <w:t>utile (perdita) d</w:t>
            </w:r>
            <w:r w:rsidR="000878EC">
              <w:rPr>
                <w:rFonts w:ascii="Times New Roman" w:hAnsi="Times New Roman"/>
                <w:b/>
                <w:bCs/>
                <w:sz w:val="24"/>
                <w:u w:val="single"/>
              </w:rPr>
              <w:t>'</w:t>
            </w:r>
            <w:r>
              <w:rPr>
                <w:rFonts w:ascii="Times New Roman" w:hAnsi="Times New Roman"/>
                <w:b/>
                <w:bCs/>
                <w:sz w:val="24"/>
                <w:u w:val="single"/>
              </w:rPr>
              <w:t>esercizio</w:t>
            </w:r>
          </w:p>
          <w:p w:rsidR="00FD54FC" w:rsidRPr="00661595" w:rsidRDefault="00FD54FC" w:rsidP="0018236F">
            <w:pPr>
              <w:suppressAutoHyphens/>
              <w:spacing w:before="0" w:after="0"/>
              <w:ind w:left="33"/>
              <w:rPr>
                <w:rFonts w:ascii="Times New Roman" w:hAnsi="Times New Roman"/>
                <w:bCs/>
                <w:sz w:val="24"/>
                <w:lang w:eastAsia="de-DE"/>
              </w:rPr>
            </w:pPr>
          </w:p>
          <w:p w:rsidR="00FD54FC" w:rsidRPr="00661595" w:rsidRDefault="00FD54FC" w:rsidP="0018236F">
            <w:pPr>
              <w:suppressAutoHyphens/>
              <w:spacing w:before="0" w:after="0"/>
              <w:ind w:left="33"/>
              <w:rPr>
                <w:rFonts w:ascii="Times New Roman" w:hAnsi="Times New Roman"/>
                <w:bCs/>
                <w:sz w:val="24"/>
              </w:rPr>
            </w:pPr>
            <w:r>
              <w:rPr>
                <w:rFonts w:ascii="Times New Roman" w:hAnsi="Times New Roman"/>
                <w:bCs/>
                <w:sz w:val="24"/>
              </w:rPr>
              <w:t>IFRS 7.8(a)(ii); IFRS 9.4.1.4</w:t>
            </w:r>
          </w:p>
          <w:p w:rsidR="00FD54FC" w:rsidRPr="00661595" w:rsidRDefault="00FD54FC" w:rsidP="0018236F">
            <w:pPr>
              <w:suppressAutoHyphens/>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0060</w:t>
            </w:r>
          </w:p>
        </w:tc>
        <w:tc>
          <w:tcPr>
            <w:tcW w:w="8640" w:type="dxa"/>
          </w:tcPr>
          <w:p w:rsidR="00FD54FC" w:rsidRPr="00661595" w:rsidRDefault="00FD54FC" w:rsidP="0018236F">
            <w:pPr>
              <w:suppressAutoHyphens/>
              <w:spacing w:before="0" w:after="0"/>
              <w:ind w:left="33"/>
              <w:rPr>
                <w:rFonts w:ascii="Times New Roman" w:hAnsi="Times New Roman"/>
                <w:b/>
                <w:bCs/>
                <w:sz w:val="24"/>
                <w:u w:val="single"/>
              </w:rPr>
            </w:pPr>
            <w:r>
              <w:rPr>
                <w:rFonts w:ascii="Times New Roman" w:hAnsi="Times New Roman"/>
                <w:b/>
                <w:bCs/>
                <w:sz w:val="24"/>
                <w:u w:val="single"/>
              </w:rPr>
              <w:t>Attività finanziarie designate al fair value (valore equo) rilevato nell</w:t>
            </w:r>
            <w:r w:rsidR="000878EC">
              <w:rPr>
                <w:rFonts w:ascii="Times New Roman" w:hAnsi="Times New Roman"/>
                <w:b/>
                <w:bCs/>
                <w:sz w:val="24"/>
                <w:u w:val="single"/>
              </w:rPr>
              <w:t>'</w:t>
            </w:r>
            <w:r>
              <w:rPr>
                <w:rFonts w:ascii="Times New Roman" w:hAnsi="Times New Roman"/>
                <w:b/>
                <w:bCs/>
                <w:sz w:val="24"/>
                <w:u w:val="single"/>
              </w:rPr>
              <w:t>utile (perdita) d</w:t>
            </w:r>
            <w:r w:rsidR="000878EC">
              <w:rPr>
                <w:rFonts w:ascii="Times New Roman" w:hAnsi="Times New Roman"/>
                <w:b/>
                <w:bCs/>
                <w:sz w:val="24"/>
                <w:u w:val="single"/>
              </w:rPr>
              <w:t>'</w:t>
            </w:r>
            <w:r>
              <w:rPr>
                <w:rFonts w:ascii="Times New Roman" w:hAnsi="Times New Roman"/>
                <w:b/>
                <w:bCs/>
                <w:sz w:val="24"/>
                <w:u w:val="single"/>
              </w:rPr>
              <w:t>esercizio</w:t>
            </w:r>
          </w:p>
          <w:p w:rsidR="00FD54FC" w:rsidRPr="00661595" w:rsidRDefault="00FD54FC" w:rsidP="0018236F">
            <w:pPr>
              <w:suppressAutoHyphens/>
              <w:spacing w:before="0" w:after="0"/>
              <w:ind w:left="33"/>
              <w:rPr>
                <w:rFonts w:ascii="Times New Roman" w:hAnsi="Times New Roman"/>
                <w:bCs/>
                <w:sz w:val="24"/>
                <w:lang w:eastAsia="de-DE"/>
              </w:rPr>
            </w:pPr>
          </w:p>
          <w:p w:rsidR="00FD54FC" w:rsidRPr="00661595" w:rsidRDefault="00FD54FC" w:rsidP="0018236F">
            <w:pPr>
              <w:suppressAutoHyphens/>
              <w:spacing w:before="0" w:after="0"/>
              <w:ind w:left="33"/>
              <w:rPr>
                <w:rFonts w:ascii="Times New Roman" w:hAnsi="Times New Roman"/>
                <w:bCs/>
                <w:sz w:val="24"/>
              </w:rPr>
            </w:pPr>
            <w:r>
              <w:rPr>
                <w:rFonts w:ascii="Times New Roman" w:hAnsi="Times New Roman"/>
                <w:bCs/>
                <w:sz w:val="24"/>
              </w:rPr>
              <w:t>IFRS 7.8(a)(i); IFRS 9.4.1.5 e articolo 8, paragrafo 1, lettera a), e articolo 8, paragrafo 6, della AD.</w:t>
            </w:r>
          </w:p>
          <w:p w:rsidR="00FD54FC" w:rsidRPr="00661595" w:rsidRDefault="00FD54FC" w:rsidP="0018236F">
            <w:pPr>
              <w:suppressAutoHyphens/>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0070</w:t>
            </w:r>
          </w:p>
        </w:tc>
        <w:tc>
          <w:tcPr>
            <w:tcW w:w="8640" w:type="dxa"/>
          </w:tcPr>
          <w:p w:rsidR="00FD54FC" w:rsidRPr="00661595" w:rsidRDefault="00FD54FC" w:rsidP="0018236F">
            <w:pPr>
              <w:suppressAutoHyphens/>
              <w:spacing w:before="0" w:after="0"/>
              <w:ind w:left="33"/>
              <w:rPr>
                <w:rFonts w:ascii="Times New Roman" w:hAnsi="Times New Roman"/>
                <w:b/>
                <w:bCs/>
                <w:sz w:val="24"/>
                <w:u w:val="single"/>
              </w:rPr>
            </w:pPr>
            <w:r>
              <w:rPr>
                <w:rFonts w:ascii="Times New Roman" w:hAnsi="Times New Roman"/>
                <w:b/>
                <w:bCs/>
                <w:sz w:val="24"/>
                <w:u w:val="single"/>
              </w:rPr>
              <w:t>Attività finanziarie non derivate e non per negoziazione valutate al fair value (valore equo) rilevato nell</w:t>
            </w:r>
            <w:r w:rsidR="000878EC">
              <w:rPr>
                <w:rFonts w:ascii="Times New Roman" w:hAnsi="Times New Roman"/>
                <w:b/>
                <w:bCs/>
                <w:sz w:val="24"/>
                <w:u w:val="single"/>
              </w:rPr>
              <w:t>'</w:t>
            </w:r>
            <w:r>
              <w:rPr>
                <w:rFonts w:ascii="Times New Roman" w:hAnsi="Times New Roman"/>
                <w:b/>
                <w:bCs/>
                <w:sz w:val="24"/>
                <w:u w:val="single"/>
              </w:rPr>
              <w:t>utile (perdita) d</w:t>
            </w:r>
            <w:r w:rsidR="000878EC">
              <w:rPr>
                <w:rFonts w:ascii="Times New Roman" w:hAnsi="Times New Roman"/>
                <w:b/>
                <w:bCs/>
                <w:sz w:val="24"/>
                <w:u w:val="single"/>
              </w:rPr>
              <w:t>'</w:t>
            </w:r>
            <w:r>
              <w:rPr>
                <w:rFonts w:ascii="Times New Roman" w:hAnsi="Times New Roman"/>
                <w:b/>
                <w:bCs/>
                <w:sz w:val="24"/>
                <w:u w:val="single"/>
              </w:rPr>
              <w:t>esercizio</w:t>
            </w:r>
          </w:p>
          <w:p w:rsidR="00FD54FC" w:rsidRPr="00661595" w:rsidRDefault="00FD54FC" w:rsidP="0018236F">
            <w:pPr>
              <w:suppressAutoHyphens/>
              <w:spacing w:before="0" w:after="0"/>
              <w:ind w:left="33"/>
              <w:rPr>
                <w:rFonts w:ascii="Times New Roman" w:hAnsi="Times New Roman"/>
                <w:bCs/>
                <w:sz w:val="24"/>
                <w:lang w:eastAsia="de-DE"/>
              </w:rPr>
            </w:pPr>
          </w:p>
          <w:p w:rsidR="00FD54FC" w:rsidRPr="00661595" w:rsidRDefault="002F78EA" w:rsidP="0018236F">
            <w:pPr>
              <w:suppressAutoHyphens/>
              <w:spacing w:before="0" w:after="0"/>
              <w:ind w:left="33"/>
              <w:rPr>
                <w:rFonts w:ascii="Times New Roman" w:hAnsi="Times New Roman"/>
                <w:bCs/>
                <w:sz w:val="24"/>
              </w:rPr>
            </w:pPr>
            <w:r>
              <w:rPr>
                <w:rFonts w:ascii="Times New Roman" w:hAnsi="Times New Roman"/>
                <w:bCs/>
                <w:sz w:val="24"/>
              </w:rPr>
              <w:t>Articolo 36, paragrafo 2, della BAD; articolo 8, paragrafo 1, lettera a), della AD</w:t>
            </w:r>
          </w:p>
          <w:p w:rsidR="00FD54FC" w:rsidRPr="00661595" w:rsidRDefault="00FD54FC" w:rsidP="0018236F">
            <w:pPr>
              <w:suppressAutoHyphens/>
              <w:spacing w:before="0" w:after="0"/>
              <w:ind w:left="33"/>
              <w:rPr>
                <w:rFonts w:ascii="Times New Roman" w:hAnsi="Times New Roman"/>
                <w:bCs/>
                <w:sz w:val="24"/>
                <w:lang w:eastAsia="de-DE"/>
              </w:rPr>
            </w:pPr>
          </w:p>
          <w:p w:rsidR="00FD54FC" w:rsidRPr="00661595" w:rsidRDefault="00FD54FC" w:rsidP="0018236F">
            <w:pPr>
              <w:suppressAutoHyphens/>
              <w:spacing w:before="0" w:after="0"/>
              <w:ind w:left="33"/>
              <w:rPr>
                <w:rFonts w:ascii="Times New Roman" w:hAnsi="Times New Roman"/>
                <w:bCs/>
                <w:sz w:val="24"/>
              </w:rPr>
            </w:pPr>
            <w:r>
              <w:rPr>
                <w:rFonts w:ascii="Times New Roman" w:hAnsi="Times New Roman"/>
                <w:bCs/>
                <w:sz w:val="24"/>
              </w:rPr>
              <w:t>Da dichiarare unicamente per gli enti che applicano i principi contabili generalmente accettati nazionali (GAAP).</w:t>
            </w:r>
          </w:p>
          <w:p w:rsidR="00FD54FC" w:rsidRPr="00661595" w:rsidRDefault="00FD54FC" w:rsidP="0018236F">
            <w:pPr>
              <w:suppressAutoHyphens/>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0080</w:t>
            </w:r>
          </w:p>
        </w:tc>
        <w:tc>
          <w:tcPr>
            <w:tcW w:w="8640" w:type="dxa"/>
          </w:tcPr>
          <w:p w:rsidR="00FD54FC" w:rsidRPr="00661595" w:rsidRDefault="00FD54FC" w:rsidP="0018236F">
            <w:pPr>
              <w:suppressAutoHyphens/>
              <w:spacing w:before="0" w:after="0"/>
              <w:ind w:left="33"/>
              <w:rPr>
                <w:rFonts w:ascii="Times New Roman" w:hAnsi="Times New Roman"/>
                <w:b/>
                <w:bCs/>
                <w:sz w:val="24"/>
                <w:u w:val="single"/>
              </w:rPr>
            </w:pPr>
            <w:r>
              <w:rPr>
                <w:rFonts w:ascii="Times New Roman" w:hAnsi="Times New Roman"/>
                <w:b/>
                <w:bCs/>
                <w:sz w:val="24"/>
                <w:u w:val="single"/>
              </w:rPr>
              <w:t>Attività finanziarie al fair value (valore equo) rilevato nelle altre componenti di conto economico complessivo</w:t>
            </w:r>
          </w:p>
          <w:p w:rsidR="00FD54FC" w:rsidRPr="00661595" w:rsidRDefault="00FD54FC" w:rsidP="0018236F">
            <w:pPr>
              <w:suppressAutoHyphens/>
              <w:spacing w:before="0" w:after="0"/>
              <w:ind w:left="33"/>
              <w:rPr>
                <w:rFonts w:ascii="Times New Roman" w:hAnsi="Times New Roman"/>
                <w:bCs/>
                <w:sz w:val="24"/>
                <w:lang w:eastAsia="de-DE"/>
              </w:rPr>
            </w:pPr>
          </w:p>
          <w:p w:rsidR="00FD54FC" w:rsidRPr="00661595" w:rsidRDefault="00FD54FC" w:rsidP="0018236F">
            <w:pPr>
              <w:suppressAutoHyphens/>
              <w:spacing w:before="0" w:after="0"/>
              <w:ind w:left="33"/>
              <w:rPr>
                <w:rFonts w:ascii="Times New Roman" w:hAnsi="Times New Roman"/>
                <w:bCs/>
                <w:sz w:val="24"/>
              </w:rPr>
            </w:pPr>
            <w:r>
              <w:rPr>
                <w:rFonts w:ascii="Times New Roman" w:hAnsi="Times New Roman"/>
                <w:bCs/>
                <w:sz w:val="24"/>
              </w:rPr>
              <w:t>IFRS 7.8(d); IFRS 9.4.1.2A;</w:t>
            </w:r>
          </w:p>
          <w:p w:rsidR="00FD54FC" w:rsidRPr="00661595" w:rsidRDefault="00FD54FC" w:rsidP="0018236F">
            <w:pPr>
              <w:suppressAutoHyphens/>
              <w:spacing w:before="0" w:after="0"/>
              <w:ind w:left="33"/>
              <w:rPr>
                <w:rFonts w:ascii="Times New Roman" w:hAnsi="Times New Roman"/>
                <w:b/>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0090</w:t>
            </w:r>
          </w:p>
        </w:tc>
        <w:tc>
          <w:tcPr>
            <w:tcW w:w="8640" w:type="dxa"/>
          </w:tcPr>
          <w:p w:rsidR="00FD54FC" w:rsidRPr="00661595" w:rsidRDefault="00FD54FC" w:rsidP="0018236F">
            <w:pPr>
              <w:suppressAutoHyphens/>
              <w:spacing w:before="0" w:after="0"/>
              <w:ind w:left="33"/>
              <w:rPr>
                <w:rFonts w:ascii="Times New Roman" w:hAnsi="Times New Roman"/>
                <w:b/>
                <w:bCs/>
                <w:sz w:val="24"/>
                <w:u w:val="single"/>
              </w:rPr>
            </w:pPr>
            <w:r>
              <w:rPr>
                <w:rFonts w:ascii="Times New Roman" w:hAnsi="Times New Roman"/>
                <w:b/>
                <w:bCs/>
                <w:sz w:val="24"/>
                <w:u w:val="single"/>
              </w:rPr>
              <w:t>Attività finanziarie non derivate e non per negoziazione valutate al fair value (valore equo) rilevato a patrimonio netto</w:t>
            </w:r>
          </w:p>
          <w:p w:rsidR="00FD54FC" w:rsidRPr="00661595" w:rsidRDefault="00FD54FC" w:rsidP="0018236F">
            <w:pPr>
              <w:suppressAutoHyphens/>
              <w:spacing w:before="0" w:after="0"/>
              <w:ind w:left="33"/>
              <w:rPr>
                <w:rFonts w:ascii="Times New Roman" w:hAnsi="Times New Roman"/>
                <w:bCs/>
                <w:sz w:val="24"/>
                <w:lang w:eastAsia="de-DE"/>
              </w:rPr>
            </w:pPr>
          </w:p>
          <w:p w:rsidR="00FD54FC" w:rsidRPr="00661595" w:rsidRDefault="00B14253" w:rsidP="0018236F">
            <w:pPr>
              <w:suppressAutoHyphens/>
              <w:spacing w:before="0" w:after="0"/>
              <w:ind w:left="33"/>
              <w:rPr>
                <w:rFonts w:ascii="Times New Roman" w:hAnsi="Times New Roman"/>
                <w:bCs/>
                <w:sz w:val="24"/>
              </w:rPr>
            </w:pPr>
            <w:r>
              <w:rPr>
                <w:rFonts w:ascii="Times New Roman" w:hAnsi="Times New Roman"/>
                <w:bCs/>
                <w:sz w:val="24"/>
              </w:rPr>
              <w:t>Articolo 8, paragrafo 1, lettera a), e articolo 8, paragrafo 8, della AD.</w:t>
            </w:r>
          </w:p>
          <w:p w:rsidR="00FD54FC" w:rsidRPr="00661595" w:rsidRDefault="00FD54FC" w:rsidP="0018236F">
            <w:pPr>
              <w:suppressAutoHyphens/>
              <w:spacing w:before="0" w:after="0"/>
              <w:ind w:left="33"/>
              <w:rPr>
                <w:rFonts w:ascii="Times New Roman" w:hAnsi="Times New Roman"/>
                <w:bCs/>
                <w:sz w:val="24"/>
                <w:lang w:eastAsia="de-DE"/>
              </w:rPr>
            </w:pPr>
          </w:p>
          <w:p w:rsidR="00FD54FC" w:rsidRPr="00661595" w:rsidRDefault="00FD54FC" w:rsidP="0018236F">
            <w:pPr>
              <w:suppressAutoHyphens/>
              <w:spacing w:before="0" w:after="0"/>
              <w:ind w:left="33"/>
              <w:rPr>
                <w:rFonts w:ascii="Times New Roman" w:hAnsi="Times New Roman"/>
                <w:bCs/>
                <w:sz w:val="24"/>
              </w:rPr>
            </w:pPr>
            <w:r>
              <w:rPr>
                <w:rFonts w:ascii="Times New Roman" w:hAnsi="Times New Roman"/>
                <w:bCs/>
                <w:sz w:val="24"/>
              </w:rPr>
              <w:t>Da dichiarare unicamente per gli enti che applicano i principi contabili generalmente accettati nazionali (GAAP).</w:t>
            </w:r>
          </w:p>
          <w:p w:rsidR="00FD54FC" w:rsidRPr="00661595" w:rsidRDefault="00FD54FC" w:rsidP="0018236F">
            <w:pPr>
              <w:suppressAutoHyphens/>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0100</w:t>
            </w:r>
          </w:p>
        </w:tc>
        <w:tc>
          <w:tcPr>
            <w:tcW w:w="8640" w:type="dxa"/>
          </w:tcPr>
          <w:p w:rsidR="00FD54FC" w:rsidRPr="00661595" w:rsidRDefault="00FD54FC" w:rsidP="0018236F">
            <w:pPr>
              <w:suppressAutoHyphens/>
              <w:spacing w:before="0" w:after="0"/>
              <w:ind w:left="33"/>
              <w:rPr>
                <w:rFonts w:ascii="Times New Roman" w:hAnsi="Times New Roman"/>
                <w:b/>
                <w:bCs/>
                <w:sz w:val="24"/>
                <w:u w:val="single"/>
              </w:rPr>
            </w:pPr>
            <w:r>
              <w:rPr>
                <w:rFonts w:ascii="Times New Roman" w:hAnsi="Times New Roman"/>
                <w:b/>
                <w:bCs/>
                <w:sz w:val="24"/>
                <w:u w:val="single"/>
              </w:rPr>
              <w:t>Attività finanziarie al costo ammortizzato</w:t>
            </w:r>
          </w:p>
          <w:p w:rsidR="00FD54FC" w:rsidRPr="00661595" w:rsidRDefault="00FD54FC" w:rsidP="0018236F">
            <w:pPr>
              <w:suppressAutoHyphens/>
              <w:spacing w:before="0" w:after="0"/>
              <w:ind w:left="33"/>
              <w:rPr>
                <w:rFonts w:ascii="Times New Roman" w:hAnsi="Times New Roman"/>
                <w:bCs/>
                <w:sz w:val="24"/>
                <w:lang w:eastAsia="de-DE"/>
              </w:rPr>
            </w:pPr>
          </w:p>
          <w:p w:rsidR="00FD54FC" w:rsidRPr="00661595" w:rsidDel="00501397" w:rsidRDefault="00FD54FC" w:rsidP="0018236F">
            <w:pPr>
              <w:suppressAutoHyphens/>
              <w:spacing w:before="0" w:after="0"/>
              <w:ind w:left="33"/>
              <w:rPr>
                <w:rFonts w:ascii="Times New Roman" w:hAnsi="Times New Roman"/>
                <w:b/>
                <w:bCs/>
                <w:sz w:val="24"/>
                <w:u w:val="single"/>
              </w:rPr>
            </w:pPr>
            <w:r>
              <w:rPr>
                <w:rFonts w:ascii="Times New Roman" w:hAnsi="Times New Roman"/>
                <w:bCs/>
                <w:sz w:val="24"/>
              </w:rPr>
              <w:t>IFRS 7.8(f); IFRS 9.4.1.2; allegato V, parte 1, punto 15, del presente regolamento di esecuzione</w:t>
            </w:r>
          </w:p>
          <w:p w:rsidR="00FD54FC" w:rsidRPr="00661595" w:rsidRDefault="00FD54FC" w:rsidP="0018236F">
            <w:pPr>
              <w:suppressAutoHyphens/>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0110</w:t>
            </w:r>
          </w:p>
        </w:tc>
        <w:tc>
          <w:tcPr>
            <w:tcW w:w="8640" w:type="dxa"/>
          </w:tcPr>
          <w:p w:rsidR="00FD54FC" w:rsidRPr="00661595" w:rsidRDefault="00FD54FC" w:rsidP="0018236F">
            <w:pPr>
              <w:suppressAutoHyphens/>
              <w:spacing w:before="0" w:after="0"/>
              <w:ind w:left="33"/>
              <w:rPr>
                <w:rFonts w:ascii="Times New Roman" w:hAnsi="Times New Roman"/>
                <w:b/>
                <w:bCs/>
                <w:sz w:val="24"/>
                <w:u w:val="single"/>
              </w:rPr>
            </w:pPr>
            <w:r>
              <w:rPr>
                <w:rFonts w:ascii="Times New Roman" w:hAnsi="Times New Roman"/>
                <w:b/>
                <w:bCs/>
                <w:sz w:val="24"/>
                <w:u w:val="single"/>
              </w:rPr>
              <w:t>Attività finanziarie non derivate e non per negoziazione valutate secondo un metodo basato sul costo</w:t>
            </w:r>
          </w:p>
          <w:p w:rsidR="00FD54FC" w:rsidRPr="00661595" w:rsidRDefault="00FD54FC" w:rsidP="0018236F">
            <w:pPr>
              <w:suppressAutoHyphens/>
              <w:spacing w:before="0" w:after="0"/>
              <w:ind w:left="33"/>
              <w:rPr>
                <w:rFonts w:ascii="Times New Roman" w:hAnsi="Times New Roman"/>
                <w:bCs/>
                <w:sz w:val="24"/>
                <w:lang w:eastAsia="de-DE"/>
              </w:rPr>
            </w:pPr>
          </w:p>
          <w:p w:rsidR="00FD54FC" w:rsidRPr="00661595" w:rsidRDefault="002F78EA" w:rsidP="0018236F">
            <w:pPr>
              <w:suppressAutoHyphens/>
              <w:spacing w:before="0" w:after="0"/>
              <w:ind w:left="33"/>
              <w:rPr>
                <w:rFonts w:ascii="Times New Roman" w:hAnsi="Times New Roman"/>
                <w:bCs/>
                <w:sz w:val="24"/>
              </w:rPr>
            </w:pPr>
            <w:r>
              <w:rPr>
                <w:rFonts w:ascii="Times New Roman" w:hAnsi="Times New Roman"/>
                <w:bCs/>
                <w:sz w:val="24"/>
              </w:rPr>
              <w:t>Articolo 35 della BAD; articolo 6, paragrafo 1, punto i), e articolo 8, paragrafo 2, della AD; allegato V, parte 1, punto 16, del presente regolamento di esecuzione</w:t>
            </w:r>
          </w:p>
          <w:p w:rsidR="00FD54FC" w:rsidRPr="00661595" w:rsidRDefault="00FD54FC" w:rsidP="0018236F">
            <w:pPr>
              <w:suppressAutoHyphens/>
              <w:spacing w:before="0" w:after="0"/>
              <w:ind w:left="33"/>
              <w:rPr>
                <w:rFonts w:ascii="Times New Roman" w:hAnsi="Times New Roman"/>
                <w:bCs/>
                <w:sz w:val="24"/>
                <w:lang w:eastAsia="de-DE"/>
              </w:rPr>
            </w:pPr>
          </w:p>
          <w:p w:rsidR="00FD54FC" w:rsidRPr="00661595" w:rsidRDefault="00FD54FC" w:rsidP="0018236F">
            <w:pPr>
              <w:suppressAutoHyphens/>
              <w:spacing w:before="0" w:after="0"/>
              <w:ind w:left="33"/>
              <w:rPr>
                <w:rFonts w:ascii="Times New Roman" w:hAnsi="Times New Roman"/>
                <w:bCs/>
                <w:sz w:val="24"/>
              </w:rPr>
            </w:pPr>
            <w:r>
              <w:rPr>
                <w:rFonts w:ascii="Times New Roman" w:hAnsi="Times New Roman"/>
                <w:bCs/>
                <w:sz w:val="24"/>
              </w:rPr>
              <w:t>Da dichiarare unicamente per gli enti che applicano i principi contabili generalmente accettati nazionali (GAAP).</w:t>
            </w:r>
          </w:p>
          <w:p w:rsidR="00FD54FC" w:rsidRPr="00661595" w:rsidRDefault="00FD54FC" w:rsidP="0018236F">
            <w:pPr>
              <w:suppressAutoHyphens/>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0120</w:t>
            </w:r>
          </w:p>
        </w:tc>
        <w:tc>
          <w:tcPr>
            <w:tcW w:w="8640" w:type="dxa"/>
          </w:tcPr>
          <w:p w:rsidR="00FD54FC" w:rsidRPr="00661595" w:rsidRDefault="00FD54FC" w:rsidP="0018236F">
            <w:pPr>
              <w:suppressAutoHyphens/>
              <w:spacing w:before="0" w:after="0"/>
              <w:ind w:left="33"/>
              <w:rPr>
                <w:rFonts w:ascii="Times New Roman" w:hAnsi="Times New Roman"/>
                <w:b/>
                <w:bCs/>
                <w:sz w:val="24"/>
                <w:u w:val="single"/>
              </w:rPr>
            </w:pPr>
            <w:r>
              <w:rPr>
                <w:rFonts w:ascii="Times New Roman" w:hAnsi="Times New Roman"/>
                <w:b/>
                <w:bCs/>
                <w:sz w:val="24"/>
                <w:u w:val="single"/>
              </w:rPr>
              <w:t>Altre attività finanziarie non derivate e non per negoziazione</w:t>
            </w:r>
          </w:p>
          <w:p w:rsidR="00FD54FC" w:rsidRPr="00661595" w:rsidRDefault="00FD54FC" w:rsidP="0018236F">
            <w:pPr>
              <w:suppressAutoHyphens/>
              <w:spacing w:before="0" w:after="0"/>
              <w:ind w:left="33"/>
              <w:rPr>
                <w:rFonts w:ascii="Times New Roman" w:hAnsi="Times New Roman"/>
                <w:bCs/>
                <w:sz w:val="24"/>
                <w:lang w:eastAsia="de-DE"/>
              </w:rPr>
            </w:pPr>
          </w:p>
          <w:p w:rsidR="00FD54FC" w:rsidRPr="00661595" w:rsidRDefault="002B004B" w:rsidP="0018236F">
            <w:pPr>
              <w:suppressAutoHyphens/>
              <w:spacing w:before="0" w:after="0"/>
              <w:ind w:left="33"/>
              <w:rPr>
                <w:rFonts w:ascii="Times New Roman" w:hAnsi="Times New Roman"/>
                <w:bCs/>
                <w:sz w:val="24"/>
              </w:rPr>
            </w:pPr>
            <w:r>
              <w:rPr>
                <w:rFonts w:ascii="Times New Roman" w:hAnsi="Times New Roman"/>
                <w:bCs/>
                <w:sz w:val="24"/>
              </w:rPr>
              <w:t>Articolo 37 della BAD; articolo 12, paragrafo 7, della AD; allegato V, parte 1, punto 16, del presente regolamento di esecuzione</w:t>
            </w:r>
          </w:p>
          <w:p w:rsidR="00FD54FC" w:rsidRPr="00661595" w:rsidRDefault="00FD54FC" w:rsidP="0018236F">
            <w:pPr>
              <w:suppressAutoHyphens/>
              <w:spacing w:before="0" w:after="0"/>
              <w:ind w:left="33"/>
              <w:rPr>
                <w:rFonts w:ascii="Times New Roman" w:hAnsi="Times New Roman"/>
                <w:bCs/>
                <w:sz w:val="24"/>
                <w:lang w:eastAsia="de-DE"/>
              </w:rPr>
            </w:pPr>
          </w:p>
          <w:p w:rsidR="00FD54FC" w:rsidRPr="00661595" w:rsidRDefault="00FD54FC" w:rsidP="0018236F">
            <w:pPr>
              <w:suppressAutoHyphens/>
              <w:spacing w:before="0" w:after="0"/>
              <w:ind w:left="33"/>
              <w:rPr>
                <w:rFonts w:ascii="Times New Roman" w:hAnsi="Times New Roman"/>
                <w:bCs/>
                <w:sz w:val="24"/>
              </w:rPr>
            </w:pPr>
            <w:r>
              <w:rPr>
                <w:rFonts w:ascii="Times New Roman" w:hAnsi="Times New Roman"/>
                <w:bCs/>
                <w:sz w:val="24"/>
              </w:rPr>
              <w:t>Da dichiarare unicamente per gli enti che applicano i principi contabili generalmente accettati nazionali (GAAP).</w:t>
            </w:r>
          </w:p>
          <w:p w:rsidR="00FD54FC" w:rsidRPr="00661595" w:rsidRDefault="00FD54FC" w:rsidP="0018236F">
            <w:pPr>
              <w:suppressAutoHyphens/>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0130</w:t>
            </w:r>
          </w:p>
        </w:tc>
        <w:tc>
          <w:tcPr>
            <w:tcW w:w="8640" w:type="dxa"/>
          </w:tcPr>
          <w:p w:rsidR="00FD54FC" w:rsidRPr="00661595" w:rsidRDefault="00FD54FC" w:rsidP="0018236F">
            <w:pPr>
              <w:suppressAutoHyphens/>
              <w:spacing w:before="0" w:after="0"/>
              <w:ind w:left="33"/>
              <w:rPr>
                <w:rFonts w:ascii="Times New Roman" w:hAnsi="Times New Roman"/>
                <w:b/>
                <w:bCs/>
                <w:sz w:val="24"/>
                <w:u w:val="single"/>
              </w:rPr>
            </w:pPr>
            <w:r>
              <w:rPr>
                <w:rFonts w:ascii="Times New Roman" w:hAnsi="Times New Roman"/>
                <w:b/>
                <w:bCs/>
                <w:sz w:val="24"/>
                <w:u w:val="single"/>
              </w:rPr>
              <w:t>Posizioni corte</w:t>
            </w:r>
          </w:p>
          <w:p w:rsidR="00FD54FC" w:rsidRPr="00661595" w:rsidRDefault="00FD54FC" w:rsidP="0018236F">
            <w:pPr>
              <w:suppressAutoHyphens/>
              <w:spacing w:before="0" w:after="0"/>
              <w:ind w:left="33"/>
              <w:rPr>
                <w:rFonts w:ascii="Times New Roman" w:hAnsi="Times New Roman"/>
                <w:bCs/>
                <w:sz w:val="24"/>
                <w:lang w:eastAsia="de-DE"/>
              </w:rPr>
            </w:pPr>
          </w:p>
          <w:p w:rsidR="00FD54FC" w:rsidRPr="00661595" w:rsidRDefault="00FD54FC" w:rsidP="0018236F">
            <w:pPr>
              <w:suppressAutoHyphens/>
              <w:spacing w:before="0" w:after="0"/>
              <w:ind w:left="33"/>
              <w:rPr>
                <w:rFonts w:ascii="Times New Roman" w:hAnsi="Times New Roman"/>
                <w:bCs/>
                <w:sz w:val="24"/>
              </w:rPr>
            </w:pPr>
            <w:r>
              <w:rPr>
                <w:rFonts w:ascii="Times New Roman" w:hAnsi="Times New Roman"/>
                <w:bCs/>
                <w:sz w:val="24"/>
              </w:rPr>
              <w:t>Valore contabile delle posizioni corte, secondo quanto definito nell</w:t>
            </w:r>
            <w:r w:rsidR="000878EC">
              <w:rPr>
                <w:rFonts w:ascii="Times New Roman" w:hAnsi="Times New Roman"/>
                <w:bCs/>
                <w:sz w:val="24"/>
              </w:rPr>
              <w:t>'</w:t>
            </w:r>
            <w:r>
              <w:rPr>
                <w:rFonts w:ascii="Times New Roman" w:hAnsi="Times New Roman"/>
                <w:bCs/>
                <w:sz w:val="24"/>
              </w:rPr>
              <w:t>IFRS 9. BA.7(b), quando la controparte diretta è una amministrazione pubblica quale definita ai paragrafi da 155 a 160 del presente allegato.</w:t>
            </w:r>
          </w:p>
          <w:p w:rsidR="00FD54FC" w:rsidRPr="00661595" w:rsidRDefault="00FD54FC" w:rsidP="0018236F">
            <w:pPr>
              <w:suppressAutoHyphens/>
              <w:spacing w:before="0" w:after="0"/>
              <w:ind w:left="33"/>
              <w:rPr>
                <w:rFonts w:ascii="Times New Roman" w:hAnsi="Times New Roman"/>
                <w:bCs/>
                <w:sz w:val="24"/>
                <w:lang w:eastAsia="de-DE"/>
              </w:rPr>
            </w:pPr>
          </w:p>
          <w:p w:rsidR="00FD54FC" w:rsidRPr="00661595" w:rsidRDefault="00FD54FC" w:rsidP="0018236F">
            <w:pPr>
              <w:suppressAutoHyphens/>
              <w:spacing w:before="0" w:after="0"/>
              <w:ind w:left="33"/>
              <w:rPr>
                <w:rFonts w:ascii="Times New Roman" w:hAnsi="Times New Roman"/>
                <w:bCs/>
                <w:sz w:val="24"/>
              </w:rPr>
            </w:pPr>
            <w:r>
              <w:rPr>
                <w:rFonts w:ascii="Times New Roman" w:hAnsi="Times New Roman"/>
                <w:bCs/>
                <w:sz w:val="24"/>
              </w:rPr>
              <w:t>Le posizioni corte si verificano quando l</w:t>
            </w:r>
            <w:r w:rsidR="000878EC">
              <w:rPr>
                <w:rFonts w:ascii="Times New Roman" w:hAnsi="Times New Roman"/>
                <w:bCs/>
                <w:sz w:val="24"/>
              </w:rPr>
              <w:t>'</w:t>
            </w:r>
            <w:r>
              <w:rPr>
                <w:rFonts w:ascii="Times New Roman" w:hAnsi="Times New Roman"/>
                <w:bCs/>
                <w:sz w:val="24"/>
              </w:rPr>
              <w:t>ente vende i titoli acquisiti nel quadro di un prestito a seguito di contratto di vendita con patto di riacquisto passivo, o presi a prestito in una operazione di concessione di titoli in prestito.</w:t>
            </w:r>
          </w:p>
          <w:p w:rsidR="00FD54FC" w:rsidRPr="00661595" w:rsidRDefault="00FD54FC" w:rsidP="0018236F">
            <w:pPr>
              <w:suppressAutoHyphens/>
              <w:spacing w:before="0" w:after="0"/>
              <w:ind w:left="33"/>
              <w:rPr>
                <w:rFonts w:ascii="Times New Roman" w:hAnsi="Times New Roman"/>
                <w:bCs/>
                <w:sz w:val="24"/>
                <w:lang w:eastAsia="de-DE"/>
              </w:rPr>
            </w:pPr>
          </w:p>
          <w:p w:rsidR="00FD54FC" w:rsidRPr="00661595" w:rsidRDefault="00FD54FC" w:rsidP="0018236F">
            <w:pPr>
              <w:suppressAutoHyphens/>
              <w:spacing w:before="0" w:after="0"/>
              <w:ind w:left="33"/>
              <w:rPr>
                <w:rFonts w:ascii="Times New Roman" w:hAnsi="Times New Roman"/>
                <w:bCs/>
                <w:sz w:val="24"/>
              </w:rPr>
            </w:pPr>
            <w:r>
              <w:rPr>
                <w:rFonts w:ascii="Times New Roman" w:hAnsi="Times New Roman"/>
                <w:bCs/>
                <w:sz w:val="24"/>
              </w:rPr>
              <w:t>Il valore contabile è il fair value (valore equo) delle posizioni corte.</w:t>
            </w:r>
          </w:p>
          <w:p w:rsidR="00FD54FC" w:rsidRPr="00661595" w:rsidRDefault="00FD54FC" w:rsidP="0018236F">
            <w:pPr>
              <w:suppressAutoHyphens/>
              <w:spacing w:before="0" w:after="0"/>
              <w:ind w:left="33"/>
              <w:rPr>
                <w:rFonts w:ascii="Times New Roman" w:hAnsi="Times New Roman"/>
                <w:bCs/>
                <w:sz w:val="24"/>
                <w:lang w:eastAsia="de-DE"/>
              </w:rPr>
            </w:pPr>
          </w:p>
          <w:p w:rsidR="00454026" w:rsidRPr="00661595" w:rsidRDefault="00FD54FC" w:rsidP="0018236F">
            <w:pPr>
              <w:suppressAutoHyphens/>
              <w:spacing w:before="0" w:after="0"/>
              <w:ind w:left="33"/>
              <w:rPr>
                <w:rFonts w:ascii="Times New Roman" w:hAnsi="Times New Roman"/>
                <w:bCs/>
                <w:sz w:val="24"/>
              </w:rPr>
            </w:pPr>
            <w:r>
              <w:rPr>
                <w:rFonts w:ascii="Times New Roman" w:hAnsi="Times New Roman"/>
                <w:bCs/>
                <w:sz w:val="24"/>
              </w:rPr>
              <w:t xml:space="preserve">Le posizioni corte sono segnalate per categoria di durata residua, come da elenco alle righe da 0170 a 0230, e per controparte immediata. </w:t>
            </w:r>
          </w:p>
          <w:p w:rsidR="00454026" w:rsidRPr="00661595" w:rsidRDefault="00454026" w:rsidP="0018236F">
            <w:pPr>
              <w:suppressAutoHyphens/>
              <w:spacing w:before="0" w:after="0"/>
              <w:ind w:left="33"/>
              <w:rPr>
                <w:rFonts w:ascii="Times New Roman" w:hAnsi="Times New Roman"/>
                <w:bCs/>
                <w:sz w:val="24"/>
                <w:lang w:eastAsia="de-DE"/>
              </w:rPr>
            </w:pPr>
          </w:p>
          <w:p w:rsidR="00FD54FC" w:rsidRPr="00661595" w:rsidRDefault="00454026" w:rsidP="0018236F">
            <w:pPr>
              <w:suppressAutoHyphens/>
              <w:spacing w:before="0" w:after="0"/>
              <w:ind w:left="33"/>
              <w:rPr>
                <w:rFonts w:ascii="Times New Roman" w:hAnsi="Times New Roman"/>
                <w:bCs/>
                <w:sz w:val="24"/>
              </w:rPr>
            </w:pPr>
            <w:r>
              <w:rPr>
                <w:rFonts w:ascii="Times New Roman" w:hAnsi="Times New Roman"/>
                <w:bCs/>
                <w:sz w:val="24"/>
              </w:rPr>
              <w:t>Le posizioni corte segnalate in questa colonna possono essere compensate con posizioni con la stessa durata residua e controparte immediata e denominate nella stessa valuta segnalate nelle colonne da 0030 a 0120 al fine di ottenere la posizione netta segnalata nella colonna 0020.</w:t>
            </w:r>
          </w:p>
          <w:p w:rsidR="00454026" w:rsidRPr="00661595" w:rsidRDefault="00454026" w:rsidP="0018236F">
            <w:pPr>
              <w:suppressAutoHyphens/>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Del="00E97A51" w:rsidRDefault="00535792" w:rsidP="00FD54FC">
            <w:pPr>
              <w:spacing w:before="0" w:after="0"/>
              <w:ind w:left="33"/>
              <w:rPr>
                <w:rFonts w:ascii="Times New Roman" w:hAnsi="Times New Roman"/>
                <w:bCs/>
                <w:sz w:val="24"/>
              </w:rPr>
            </w:pPr>
            <w:r>
              <w:rPr>
                <w:rFonts w:ascii="Times New Roman" w:hAnsi="Times New Roman"/>
                <w:bCs/>
                <w:sz w:val="24"/>
              </w:rPr>
              <w:t>0140</w:t>
            </w:r>
          </w:p>
        </w:tc>
        <w:tc>
          <w:tcPr>
            <w:tcW w:w="8640" w:type="dxa"/>
          </w:tcPr>
          <w:p w:rsidR="00FD54FC" w:rsidRPr="00661595" w:rsidRDefault="00FD54FC" w:rsidP="0018236F">
            <w:pPr>
              <w:suppressAutoHyphens/>
              <w:spacing w:before="0" w:after="0"/>
              <w:ind w:left="33"/>
              <w:rPr>
                <w:rFonts w:ascii="Times New Roman" w:hAnsi="Times New Roman"/>
                <w:b/>
                <w:bCs/>
                <w:sz w:val="24"/>
                <w:u w:val="single"/>
              </w:rPr>
            </w:pPr>
            <w:r>
              <w:rPr>
                <w:rFonts w:ascii="Times New Roman" w:hAnsi="Times New Roman"/>
                <w:b/>
                <w:bCs/>
                <w:sz w:val="24"/>
                <w:u w:val="single"/>
              </w:rPr>
              <w:t>di cui: posizioni corte da prestiti a seguito di contratto di vendita con patto di riacquisto passivo classificati come posseduti per negoziazione o attività finanziarie per negoziazione</w:t>
            </w:r>
          </w:p>
          <w:p w:rsidR="00FD54FC" w:rsidRPr="00661595" w:rsidRDefault="00FD54FC" w:rsidP="0018236F">
            <w:pPr>
              <w:suppressAutoHyphens/>
              <w:spacing w:before="0" w:after="0"/>
              <w:ind w:left="33"/>
              <w:rPr>
                <w:rFonts w:ascii="Times New Roman" w:hAnsi="Times New Roman"/>
                <w:bCs/>
                <w:sz w:val="24"/>
                <w:lang w:eastAsia="de-DE"/>
              </w:rPr>
            </w:pPr>
          </w:p>
          <w:p w:rsidR="00FD54FC" w:rsidRPr="00661595" w:rsidRDefault="00FD54FC" w:rsidP="0018236F">
            <w:pPr>
              <w:suppressAutoHyphens/>
              <w:spacing w:before="0" w:after="0"/>
              <w:ind w:left="33"/>
              <w:rPr>
                <w:rFonts w:ascii="Times New Roman" w:hAnsi="Times New Roman"/>
                <w:bCs/>
                <w:sz w:val="24"/>
              </w:rPr>
            </w:pPr>
            <w:r>
              <w:rPr>
                <w:rFonts w:ascii="Times New Roman" w:hAnsi="Times New Roman"/>
                <w:bCs/>
                <w:sz w:val="24"/>
              </w:rPr>
              <w:t>Valore contabile delle posizioni corte, secondo quanto definito nell</w:t>
            </w:r>
            <w:r w:rsidR="000878EC">
              <w:rPr>
                <w:rFonts w:ascii="Times New Roman" w:hAnsi="Times New Roman"/>
                <w:bCs/>
                <w:sz w:val="24"/>
              </w:rPr>
              <w:t>'</w:t>
            </w:r>
            <w:r>
              <w:rPr>
                <w:rFonts w:ascii="Times New Roman" w:hAnsi="Times New Roman"/>
                <w:bCs/>
                <w:sz w:val="24"/>
              </w:rPr>
              <w:t>IFRS 9 BA.7(b), che si verificano quando l</w:t>
            </w:r>
            <w:r w:rsidR="000878EC">
              <w:rPr>
                <w:rFonts w:ascii="Times New Roman" w:hAnsi="Times New Roman"/>
                <w:bCs/>
                <w:sz w:val="24"/>
              </w:rPr>
              <w:t>'</w:t>
            </w:r>
            <w:r>
              <w:rPr>
                <w:rFonts w:ascii="Times New Roman" w:hAnsi="Times New Roman"/>
                <w:bCs/>
                <w:sz w:val="24"/>
              </w:rPr>
              <w:t xml:space="preserve">ente vende i titoli acquisiti nel quadro di un prestito a seguito di contratto di vendita con patto di riacquisto passivo, in cui la controparte diretta di tali titoli è una amministrazione pubblica, e che sono incluse nei portafogli contabili </w:t>
            </w:r>
            <w:r w:rsidR="000878EC">
              <w:rPr>
                <w:rFonts w:ascii="Times New Roman" w:hAnsi="Times New Roman"/>
                <w:bCs/>
                <w:sz w:val="24"/>
              </w:rPr>
              <w:t>"</w:t>
            </w:r>
            <w:r>
              <w:rPr>
                <w:rFonts w:ascii="Times New Roman" w:hAnsi="Times New Roman"/>
                <w:bCs/>
                <w:sz w:val="24"/>
              </w:rPr>
              <w:t>posseduti per negoziazione</w:t>
            </w:r>
            <w:r w:rsidR="000878EC">
              <w:rPr>
                <w:rFonts w:ascii="Times New Roman" w:hAnsi="Times New Roman"/>
                <w:bCs/>
                <w:sz w:val="24"/>
              </w:rPr>
              <w:t>"</w:t>
            </w:r>
            <w:r>
              <w:rPr>
                <w:rFonts w:ascii="Times New Roman" w:hAnsi="Times New Roman"/>
                <w:bCs/>
                <w:sz w:val="24"/>
              </w:rPr>
              <w:t xml:space="preserve"> o </w:t>
            </w:r>
            <w:r w:rsidR="000878EC">
              <w:rPr>
                <w:rFonts w:ascii="Times New Roman" w:hAnsi="Times New Roman"/>
                <w:bCs/>
                <w:sz w:val="24"/>
              </w:rPr>
              <w:t>"</w:t>
            </w:r>
            <w:r>
              <w:rPr>
                <w:rFonts w:ascii="Times New Roman" w:hAnsi="Times New Roman"/>
                <w:bCs/>
                <w:sz w:val="24"/>
              </w:rPr>
              <w:t>attività finanziarie per negoziazione</w:t>
            </w:r>
            <w:r w:rsidR="000878EC">
              <w:rPr>
                <w:rFonts w:ascii="Times New Roman" w:hAnsi="Times New Roman"/>
                <w:bCs/>
                <w:sz w:val="24"/>
              </w:rPr>
              <w:t>"</w:t>
            </w:r>
            <w:r>
              <w:rPr>
                <w:rFonts w:ascii="Times New Roman" w:hAnsi="Times New Roman"/>
                <w:bCs/>
                <w:sz w:val="24"/>
              </w:rPr>
              <w:t xml:space="preserve"> (colonna 0030 o 0040).</w:t>
            </w:r>
          </w:p>
          <w:p w:rsidR="00FD54FC" w:rsidRPr="00661595" w:rsidRDefault="00FD54FC" w:rsidP="0018236F">
            <w:pPr>
              <w:suppressAutoHyphens/>
              <w:spacing w:before="0" w:after="0"/>
              <w:ind w:left="33"/>
              <w:rPr>
                <w:rFonts w:ascii="Times New Roman" w:hAnsi="Times New Roman"/>
                <w:b/>
                <w:bCs/>
                <w:sz w:val="24"/>
                <w:u w:val="single"/>
                <w:lang w:eastAsia="de-DE"/>
              </w:rPr>
            </w:pPr>
          </w:p>
          <w:p w:rsidR="00FD54FC" w:rsidRPr="00661595" w:rsidRDefault="00FD54FC" w:rsidP="0018236F">
            <w:pPr>
              <w:suppressAutoHyphens/>
              <w:spacing w:before="0" w:after="0"/>
              <w:ind w:left="33"/>
              <w:rPr>
                <w:rFonts w:ascii="Times New Roman" w:hAnsi="Times New Roman"/>
                <w:bCs/>
                <w:sz w:val="24"/>
              </w:rPr>
            </w:pPr>
            <w:r>
              <w:rPr>
                <w:rFonts w:ascii="Times New Roman" w:hAnsi="Times New Roman"/>
                <w:bCs/>
                <w:sz w:val="24"/>
              </w:rPr>
              <w:t xml:space="preserve">In questa colonna non sono incluse le posizioni corte che si verificano quando i titoli venduti erano stati presi a prestito in una operazione di concessione di titoli in prestito. </w:t>
            </w:r>
          </w:p>
          <w:p w:rsidR="00FD54FC" w:rsidRPr="00661595" w:rsidDel="00E97A51" w:rsidRDefault="00FD54FC" w:rsidP="0018236F">
            <w:pPr>
              <w:suppressAutoHyphens/>
              <w:spacing w:before="0" w:after="0"/>
              <w:ind w:left="33"/>
              <w:rPr>
                <w:rFonts w:ascii="Times New Roman" w:hAnsi="Times New Roman"/>
                <w:b/>
                <w:bCs/>
                <w:sz w:val="24"/>
                <w:u w:val="single"/>
                <w:lang w:eastAsia="de-DE"/>
              </w:rPr>
            </w:pPr>
          </w:p>
        </w:tc>
      </w:tr>
      <w:tr w:rsidR="00FD54FC" w:rsidRPr="00661595" w:rsidDel="004A25FD" w:rsidTr="00672D2A">
        <w:tc>
          <w:tcPr>
            <w:tcW w:w="1188" w:type="dxa"/>
          </w:tcPr>
          <w:p w:rsidR="00FD54FC" w:rsidRPr="00661595" w:rsidDel="004A25FD" w:rsidRDefault="00535792" w:rsidP="00FD54FC">
            <w:pPr>
              <w:spacing w:before="0" w:after="0"/>
              <w:ind w:left="33"/>
              <w:rPr>
                <w:rFonts w:ascii="Times New Roman" w:hAnsi="Times New Roman"/>
                <w:bCs/>
                <w:sz w:val="24"/>
              </w:rPr>
            </w:pPr>
            <w:r>
              <w:rPr>
                <w:rFonts w:ascii="Times New Roman" w:hAnsi="Times New Roman"/>
                <w:bCs/>
                <w:sz w:val="24"/>
              </w:rPr>
              <w:t>0150</w:t>
            </w:r>
          </w:p>
        </w:tc>
        <w:tc>
          <w:tcPr>
            <w:tcW w:w="8640" w:type="dxa"/>
          </w:tcPr>
          <w:p w:rsidR="00FD54FC" w:rsidRPr="00661595" w:rsidRDefault="00FD54FC" w:rsidP="0018236F">
            <w:pPr>
              <w:suppressAutoHyphens/>
              <w:spacing w:before="0" w:after="0"/>
              <w:ind w:left="33"/>
              <w:rPr>
                <w:rFonts w:ascii="Times New Roman" w:hAnsi="Times New Roman"/>
                <w:b/>
                <w:bCs/>
                <w:sz w:val="24"/>
                <w:u w:val="single"/>
              </w:rPr>
            </w:pPr>
            <w:r>
              <w:rPr>
                <w:rFonts w:ascii="Times New Roman" w:hAnsi="Times New Roman"/>
                <w:b/>
                <w:bCs/>
                <w:sz w:val="24"/>
                <w:u w:val="single"/>
              </w:rPr>
              <w:t>Riduzione di valore accumulata</w:t>
            </w:r>
          </w:p>
          <w:p w:rsidR="00FD54FC" w:rsidRPr="00661595" w:rsidRDefault="00FD54FC" w:rsidP="0018236F">
            <w:pPr>
              <w:suppressAutoHyphens/>
              <w:spacing w:before="0" w:after="0"/>
              <w:ind w:left="33"/>
              <w:rPr>
                <w:rFonts w:ascii="Times New Roman" w:hAnsi="Times New Roman"/>
                <w:b/>
                <w:bCs/>
                <w:sz w:val="24"/>
                <w:u w:val="single"/>
                <w:lang w:eastAsia="de-DE"/>
              </w:rPr>
            </w:pPr>
          </w:p>
          <w:p w:rsidR="00FD54FC" w:rsidRPr="00661595" w:rsidRDefault="00FD54FC" w:rsidP="0018236F">
            <w:pPr>
              <w:suppressAutoHyphens/>
              <w:spacing w:before="0" w:after="0"/>
              <w:ind w:left="33"/>
              <w:rPr>
                <w:rFonts w:ascii="Times New Roman" w:hAnsi="Times New Roman"/>
                <w:bCs/>
                <w:sz w:val="24"/>
              </w:rPr>
            </w:pPr>
            <w:r>
              <w:rPr>
                <w:rFonts w:ascii="Times New Roman" w:hAnsi="Times New Roman"/>
                <w:bCs/>
                <w:sz w:val="24"/>
              </w:rPr>
              <w:t>La riduzione di valore accumulata aggregata relativa alle attività finanziarie non derivate segnalate nelle colonne da 0080 a 0120 (allegato V, parte 2, punti 70 e 71, del presente regolamento di esecuzione).</w:t>
            </w:r>
          </w:p>
          <w:p w:rsidR="00FD54FC" w:rsidRPr="00661595" w:rsidDel="004A25FD" w:rsidRDefault="00FD54FC" w:rsidP="0018236F">
            <w:pPr>
              <w:suppressAutoHyphens/>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0160</w:t>
            </w:r>
          </w:p>
        </w:tc>
        <w:tc>
          <w:tcPr>
            <w:tcW w:w="8640" w:type="dxa"/>
          </w:tcPr>
          <w:p w:rsidR="00FD54FC" w:rsidRPr="00661595" w:rsidRDefault="00FD54FC" w:rsidP="0018236F">
            <w:pPr>
              <w:suppressAutoHyphens/>
              <w:spacing w:before="0" w:after="0"/>
              <w:ind w:left="33"/>
              <w:rPr>
                <w:rFonts w:ascii="Times New Roman" w:hAnsi="Times New Roman"/>
                <w:b/>
                <w:bCs/>
                <w:sz w:val="24"/>
                <w:u w:val="single"/>
              </w:rPr>
            </w:pPr>
            <w:r>
              <w:rPr>
                <w:rFonts w:ascii="Times New Roman" w:hAnsi="Times New Roman"/>
                <w:b/>
                <w:bCs/>
                <w:sz w:val="24"/>
                <w:u w:val="single"/>
              </w:rPr>
              <w:t>Riduzione di valore accumulata — di cui: da attività finanziarie al fair value (valore equo) rilevato nelle altre componenti di conto economico complessivo o da attività finanziarie non derivate e non per negoziazione valutate al fair value (valore equo) rilevato a patrimonio netto</w:t>
            </w:r>
          </w:p>
          <w:p w:rsidR="00FD54FC" w:rsidRPr="00661595" w:rsidRDefault="00FD54FC" w:rsidP="0018236F">
            <w:pPr>
              <w:suppressAutoHyphens/>
              <w:spacing w:before="0" w:after="0"/>
              <w:ind w:left="33"/>
              <w:rPr>
                <w:rFonts w:ascii="Times New Roman" w:hAnsi="Times New Roman"/>
                <w:b/>
                <w:bCs/>
                <w:sz w:val="24"/>
                <w:u w:val="single"/>
                <w:lang w:eastAsia="de-DE"/>
              </w:rPr>
            </w:pPr>
          </w:p>
          <w:p w:rsidR="00FD54FC" w:rsidRPr="00661595" w:rsidRDefault="00FD54FC" w:rsidP="0018236F">
            <w:pPr>
              <w:suppressAutoHyphens/>
              <w:spacing w:before="0" w:after="0"/>
              <w:ind w:left="33"/>
              <w:rPr>
                <w:rFonts w:ascii="Times New Roman" w:hAnsi="Times New Roman"/>
                <w:bCs/>
                <w:sz w:val="24"/>
              </w:rPr>
            </w:pPr>
            <w:r>
              <w:rPr>
                <w:rFonts w:ascii="Times New Roman" w:hAnsi="Times New Roman"/>
                <w:bCs/>
                <w:sz w:val="24"/>
              </w:rPr>
              <w:t xml:space="preserve">La riduzione di valore accumulata aggregata relativa alle attività finanziarie non derivate segnalate nelle colonne 0080 e 0090. </w:t>
            </w:r>
          </w:p>
          <w:p w:rsidR="00FD54FC" w:rsidRPr="00661595" w:rsidRDefault="00FD54FC" w:rsidP="0018236F">
            <w:pPr>
              <w:suppressAutoHyphens/>
              <w:spacing w:before="0" w:after="0"/>
              <w:ind w:left="33"/>
              <w:rPr>
                <w:rFonts w:ascii="Times New Roman" w:hAnsi="Times New Roman"/>
                <w:b/>
                <w:bCs/>
                <w:sz w:val="24"/>
                <w:u w:val="single"/>
                <w:lang w:eastAsia="de-DE"/>
              </w:rPr>
            </w:pPr>
          </w:p>
        </w:tc>
      </w:tr>
      <w:tr w:rsidR="00FD54FC" w:rsidRPr="00661595" w:rsidDel="004A25FD" w:rsidTr="00672D2A">
        <w:tc>
          <w:tcPr>
            <w:tcW w:w="1188" w:type="dxa"/>
          </w:tcPr>
          <w:p w:rsidR="00FD54FC" w:rsidRPr="00661595" w:rsidDel="004A25FD" w:rsidRDefault="00535792" w:rsidP="00FD54FC">
            <w:pPr>
              <w:spacing w:before="0" w:after="0"/>
              <w:ind w:left="33"/>
              <w:rPr>
                <w:rFonts w:ascii="Times New Roman" w:hAnsi="Times New Roman"/>
                <w:bCs/>
                <w:sz w:val="24"/>
              </w:rPr>
            </w:pPr>
            <w:r>
              <w:rPr>
                <w:rFonts w:ascii="Times New Roman" w:hAnsi="Times New Roman"/>
                <w:bCs/>
                <w:sz w:val="24"/>
              </w:rPr>
              <w:t>0170</w:t>
            </w:r>
          </w:p>
        </w:tc>
        <w:tc>
          <w:tcPr>
            <w:tcW w:w="8640" w:type="dxa"/>
          </w:tcPr>
          <w:p w:rsidR="00FD54FC" w:rsidRPr="00661595" w:rsidRDefault="00FD54FC" w:rsidP="0018236F">
            <w:pPr>
              <w:suppressAutoHyphens/>
              <w:spacing w:before="0" w:after="0"/>
              <w:ind w:left="33"/>
              <w:rPr>
                <w:rFonts w:ascii="Times New Roman" w:hAnsi="Times New Roman"/>
                <w:b/>
                <w:bCs/>
                <w:sz w:val="24"/>
                <w:u w:val="single"/>
              </w:rPr>
            </w:pPr>
            <w:r>
              <w:rPr>
                <w:rFonts w:ascii="Times New Roman" w:hAnsi="Times New Roman"/>
                <w:b/>
                <w:bCs/>
                <w:sz w:val="24"/>
                <w:u w:val="single"/>
              </w:rPr>
              <w:t xml:space="preserve">Variazioni negative accumulate del fair value (valore equo) dovute al rischio di credito </w:t>
            </w:r>
          </w:p>
          <w:p w:rsidR="00FD54FC" w:rsidRPr="00661595" w:rsidRDefault="00FD54FC" w:rsidP="0018236F">
            <w:pPr>
              <w:suppressAutoHyphens/>
              <w:spacing w:before="0" w:after="0"/>
              <w:ind w:left="33"/>
              <w:rPr>
                <w:rFonts w:ascii="Times New Roman" w:hAnsi="Times New Roman"/>
                <w:b/>
                <w:bCs/>
                <w:sz w:val="24"/>
                <w:u w:val="single"/>
                <w:lang w:eastAsia="de-DE"/>
              </w:rPr>
            </w:pPr>
          </w:p>
          <w:p w:rsidR="00FD54FC" w:rsidRPr="00661595" w:rsidRDefault="00FD54FC" w:rsidP="0018236F">
            <w:pPr>
              <w:suppressAutoHyphens/>
              <w:spacing w:before="0" w:after="0"/>
              <w:ind w:left="33"/>
              <w:rPr>
                <w:rFonts w:ascii="Times New Roman" w:hAnsi="Times New Roman"/>
                <w:bCs/>
                <w:sz w:val="24"/>
              </w:rPr>
            </w:pPr>
            <w:r>
              <w:rPr>
                <w:rFonts w:ascii="Times New Roman" w:hAnsi="Times New Roman"/>
                <w:bCs/>
                <w:sz w:val="24"/>
              </w:rPr>
              <w:t>Aggregato delle variazioni negative accumulate del fair value (valore equo) dovute al rischio di credito relative alle posizioni indicate nelle colonne 0050, 0060, 0070, 0080 e 0090 (allegato V, parte 2, punto 69, del presente regolamento di esecuzione).</w:t>
            </w:r>
          </w:p>
          <w:p w:rsidR="00FD54FC" w:rsidRPr="00661595" w:rsidDel="004A25FD" w:rsidRDefault="00FD54FC" w:rsidP="0018236F">
            <w:pPr>
              <w:suppressAutoHyphens/>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0180</w:t>
            </w:r>
          </w:p>
        </w:tc>
        <w:tc>
          <w:tcPr>
            <w:tcW w:w="8640" w:type="dxa"/>
          </w:tcPr>
          <w:p w:rsidR="00FD54FC" w:rsidRPr="00661595" w:rsidRDefault="00FD54FC" w:rsidP="0018236F">
            <w:pPr>
              <w:suppressAutoHyphens/>
              <w:spacing w:before="0" w:after="0"/>
              <w:ind w:left="33"/>
              <w:rPr>
                <w:rFonts w:ascii="Times New Roman" w:hAnsi="Times New Roman"/>
                <w:b/>
                <w:bCs/>
                <w:sz w:val="24"/>
                <w:u w:val="single"/>
              </w:rPr>
            </w:pPr>
            <w:r>
              <w:rPr>
                <w:rFonts w:ascii="Times New Roman" w:hAnsi="Times New Roman"/>
                <w:b/>
                <w:bCs/>
                <w:sz w:val="24"/>
                <w:u w:val="single"/>
              </w:rPr>
              <w:t>Variazioni negative accumulate del fair value (valore equo) dovute al rischio di credito - di cui: da attività finanziarie non per negoziazione obbligatoriamente al fair value (valore equo) rilevato nell</w:t>
            </w:r>
            <w:r w:rsidR="000878EC">
              <w:rPr>
                <w:rFonts w:ascii="Times New Roman" w:hAnsi="Times New Roman"/>
                <w:b/>
                <w:bCs/>
                <w:sz w:val="24"/>
                <w:u w:val="single"/>
              </w:rPr>
              <w:t>'</w:t>
            </w:r>
            <w:r>
              <w:rPr>
                <w:rFonts w:ascii="Times New Roman" w:hAnsi="Times New Roman"/>
                <w:b/>
                <w:bCs/>
                <w:sz w:val="24"/>
                <w:u w:val="single"/>
              </w:rPr>
              <w:t>utile (perdita) d</w:t>
            </w:r>
            <w:r w:rsidR="000878EC">
              <w:rPr>
                <w:rFonts w:ascii="Times New Roman" w:hAnsi="Times New Roman"/>
                <w:b/>
                <w:bCs/>
                <w:sz w:val="24"/>
                <w:u w:val="single"/>
              </w:rPr>
              <w:t>'</w:t>
            </w:r>
            <w:r>
              <w:rPr>
                <w:rFonts w:ascii="Times New Roman" w:hAnsi="Times New Roman"/>
                <w:b/>
                <w:bCs/>
                <w:sz w:val="24"/>
                <w:u w:val="single"/>
              </w:rPr>
              <w:t>esercizio, da attività finanziarie designate al fair value (valore equo) rilevato nell</w:t>
            </w:r>
            <w:r w:rsidR="000878EC">
              <w:rPr>
                <w:rFonts w:ascii="Times New Roman" w:hAnsi="Times New Roman"/>
                <w:b/>
                <w:bCs/>
                <w:sz w:val="24"/>
                <w:u w:val="single"/>
              </w:rPr>
              <w:t>'</w:t>
            </w:r>
            <w:r>
              <w:rPr>
                <w:rFonts w:ascii="Times New Roman" w:hAnsi="Times New Roman"/>
                <w:b/>
                <w:bCs/>
                <w:sz w:val="24"/>
                <w:u w:val="single"/>
              </w:rPr>
              <w:t>utile (perdita) d</w:t>
            </w:r>
            <w:r w:rsidR="000878EC">
              <w:rPr>
                <w:rFonts w:ascii="Times New Roman" w:hAnsi="Times New Roman"/>
                <w:b/>
                <w:bCs/>
                <w:sz w:val="24"/>
                <w:u w:val="single"/>
              </w:rPr>
              <w:t>'</w:t>
            </w:r>
            <w:r>
              <w:rPr>
                <w:rFonts w:ascii="Times New Roman" w:hAnsi="Times New Roman"/>
                <w:b/>
                <w:bCs/>
                <w:sz w:val="24"/>
                <w:u w:val="single"/>
              </w:rPr>
              <w:t>esercizio o da attività finanziarie non per negoziazione valutate al fair value (valore equo) rilevato nell</w:t>
            </w:r>
            <w:r w:rsidR="000878EC">
              <w:rPr>
                <w:rFonts w:ascii="Times New Roman" w:hAnsi="Times New Roman"/>
                <w:b/>
                <w:bCs/>
                <w:sz w:val="24"/>
                <w:u w:val="single"/>
              </w:rPr>
              <w:t>'</w:t>
            </w:r>
            <w:r>
              <w:rPr>
                <w:rFonts w:ascii="Times New Roman" w:hAnsi="Times New Roman"/>
                <w:b/>
                <w:bCs/>
                <w:sz w:val="24"/>
                <w:u w:val="single"/>
              </w:rPr>
              <w:t>utile (perdita) d</w:t>
            </w:r>
            <w:r w:rsidR="000878EC">
              <w:rPr>
                <w:rFonts w:ascii="Times New Roman" w:hAnsi="Times New Roman"/>
                <w:b/>
                <w:bCs/>
                <w:sz w:val="24"/>
                <w:u w:val="single"/>
              </w:rPr>
              <w:t>'</w:t>
            </w:r>
            <w:r>
              <w:rPr>
                <w:rFonts w:ascii="Times New Roman" w:hAnsi="Times New Roman"/>
                <w:b/>
                <w:bCs/>
                <w:sz w:val="24"/>
                <w:u w:val="single"/>
              </w:rPr>
              <w:t>esercizio</w:t>
            </w:r>
          </w:p>
          <w:p w:rsidR="00FD54FC" w:rsidRPr="00661595" w:rsidRDefault="00FD54FC" w:rsidP="0018236F">
            <w:pPr>
              <w:suppressAutoHyphens/>
              <w:spacing w:before="0" w:after="0"/>
              <w:ind w:left="33"/>
              <w:rPr>
                <w:rFonts w:ascii="Times New Roman" w:hAnsi="Times New Roman"/>
                <w:bCs/>
                <w:sz w:val="24"/>
                <w:lang w:eastAsia="de-DE"/>
              </w:rPr>
            </w:pPr>
          </w:p>
          <w:p w:rsidR="00FD54FC" w:rsidRPr="00661595" w:rsidRDefault="00FD54FC" w:rsidP="0018236F">
            <w:pPr>
              <w:suppressAutoHyphens/>
              <w:spacing w:before="0" w:after="0"/>
              <w:ind w:left="33"/>
              <w:rPr>
                <w:rFonts w:ascii="Times New Roman" w:hAnsi="Times New Roman"/>
                <w:bCs/>
                <w:sz w:val="24"/>
              </w:rPr>
            </w:pPr>
            <w:r>
              <w:rPr>
                <w:rFonts w:ascii="Times New Roman" w:hAnsi="Times New Roman"/>
                <w:bCs/>
                <w:sz w:val="24"/>
              </w:rPr>
              <w:t>Aggregato delle variazioni negative accumulate del fair value (valore equo) dovute al rischio di credito relative alle posizioni indicate nelle colonne 0050, 0060 e 0070.</w:t>
            </w:r>
          </w:p>
          <w:p w:rsidR="00FD54FC" w:rsidRPr="00661595" w:rsidRDefault="00FD54FC" w:rsidP="0018236F">
            <w:pPr>
              <w:suppressAutoHyphens/>
              <w:spacing w:before="0" w:after="0"/>
              <w:ind w:left="33"/>
              <w:rPr>
                <w:rFonts w:ascii="Times New Roman" w:hAnsi="Times New Roman"/>
                <w:bCs/>
                <w:sz w:val="24"/>
              </w:rPr>
            </w:pPr>
            <w:r>
              <w:rPr>
                <w:rFonts w:ascii="Times New Roman" w:hAnsi="Times New Roman"/>
                <w:b/>
                <w:bCs/>
                <w:sz w:val="24"/>
                <w:u w:val="single"/>
              </w:rPr>
              <w:t xml:space="preserve"> </w:t>
            </w:r>
          </w:p>
        </w:tc>
      </w:tr>
      <w:tr w:rsidR="00FD54FC" w:rsidRPr="00661595" w:rsidTr="00672D2A">
        <w:tc>
          <w:tcPr>
            <w:tcW w:w="1188" w:type="dxa"/>
          </w:tcPr>
          <w:p w:rsidR="00FD54FC" w:rsidRPr="00661595" w:rsidRDefault="00535792" w:rsidP="0018236F">
            <w:pPr>
              <w:keepNext/>
              <w:keepLines/>
              <w:spacing w:before="0" w:after="0"/>
              <w:ind w:left="33"/>
              <w:rPr>
                <w:rFonts w:ascii="Times New Roman" w:hAnsi="Times New Roman"/>
                <w:bCs/>
                <w:sz w:val="24"/>
              </w:rPr>
            </w:pPr>
            <w:r>
              <w:rPr>
                <w:rFonts w:ascii="Times New Roman" w:hAnsi="Times New Roman"/>
                <w:bCs/>
                <w:sz w:val="24"/>
              </w:rPr>
              <w:t>0190</w:t>
            </w:r>
          </w:p>
        </w:tc>
        <w:tc>
          <w:tcPr>
            <w:tcW w:w="8640" w:type="dxa"/>
          </w:tcPr>
          <w:p w:rsidR="00FD54FC" w:rsidRPr="00661595" w:rsidRDefault="00FD54FC" w:rsidP="0018236F">
            <w:pPr>
              <w:keepNext/>
              <w:keepLines/>
              <w:suppressAutoHyphens/>
              <w:spacing w:before="0" w:after="0"/>
              <w:ind w:left="33"/>
              <w:rPr>
                <w:rFonts w:ascii="Times New Roman" w:hAnsi="Times New Roman"/>
                <w:b/>
                <w:bCs/>
                <w:sz w:val="24"/>
                <w:u w:val="single"/>
              </w:rPr>
            </w:pPr>
            <w:r>
              <w:rPr>
                <w:rFonts w:ascii="Times New Roman" w:hAnsi="Times New Roman"/>
                <w:b/>
                <w:bCs/>
                <w:sz w:val="24"/>
                <w:u w:val="single"/>
              </w:rPr>
              <w:t>Variazioni negative accumulate del fair value (valore equo) dovute al rischio di credito - di cui: da attività finanziarie al fair value (valore equo) rilevato nelle altre componenti di conto economico complessivo o da attività finanziarie non derivate e non per negoziazione valutate al fair value (valore equo) rilevato a patrimonio netto</w:t>
            </w:r>
          </w:p>
          <w:p w:rsidR="00FD54FC" w:rsidRPr="00661595" w:rsidRDefault="00FD54FC" w:rsidP="0018236F">
            <w:pPr>
              <w:keepNext/>
              <w:keepLines/>
              <w:suppressAutoHyphens/>
              <w:spacing w:before="0" w:after="0"/>
              <w:ind w:left="33"/>
              <w:rPr>
                <w:rFonts w:ascii="Times New Roman" w:hAnsi="Times New Roman"/>
                <w:bCs/>
                <w:sz w:val="24"/>
                <w:lang w:eastAsia="de-DE"/>
              </w:rPr>
            </w:pPr>
          </w:p>
          <w:p w:rsidR="00FD54FC" w:rsidRPr="00661595" w:rsidRDefault="00FD54FC" w:rsidP="0018236F">
            <w:pPr>
              <w:keepNext/>
              <w:keepLines/>
              <w:suppressAutoHyphens/>
              <w:spacing w:before="0" w:after="0"/>
              <w:ind w:left="33"/>
              <w:rPr>
                <w:rFonts w:ascii="Times New Roman" w:hAnsi="Times New Roman"/>
                <w:bCs/>
                <w:sz w:val="24"/>
              </w:rPr>
            </w:pPr>
            <w:r>
              <w:rPr>
                <w:rFonts w:ascii="Times New Roman" w:hAnsi="Times New Roman"/>
                <w:bCs/>
                <w:sz w:val="24"/>
              </w:rPr>
              <w:t>L</w:t>
            </w:r>
            <w:r w:rsidR="000878EC">
              <w:rPr>
                <w:rFonts w:ascii="Times New Roman" w:hAnsi="Times New Roman"/>
                <w:bCs/>
                <w:sz w:val="24"/>
              </w:rPr>
              <w:t>'</w:t>
            </w:r>
            <w:r>
              <w:rPr>
                <w:rFonts w:ascii="Times New Roman" w:hAnsi="Times New Roman"/>
                <w:bCs/>
                <w:sz w:val="24"/>
              </w:rPr>
              <w:t>aggregato delle variazioni negative accumulate del fair value (valore equo) dovute al rischio di credito relative alle posizioni indicate nelle colonne 0080 e 0090.</w:t>
            </w:r>
          </w:p>
          <w:p w:rsidR="00E863C1" w:rsidRPr="00661595" w:rsidRDefault="00E863C1" w:rsidP="0018236F">
            <w:pPr>
              <w:keepNext/>
              <w:keepLines/>
              <w:suppressAutoHyphens/>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0200-0230</w:t>
            </w:r>
          </w:p>
        </w:tc>
        <w:tc>
          <w:tcPr>
            <w:tcW w:w="8640" w:type="dxa"/>
          </w:tcPr>
          <w:p w:rsidR="00FD54FC" w:rsidRPr="00661595" w:rsidRDefault="00FD54FC" w:rsidP="0018236F">
            <w:pPr>
              <w:suppressAutoHyphens/>
              <w:spacing w:before="0" w:after="0"/>
              <w:ind w:left="33"/>
              <w:rPr>
                <w:rFonts w:ascii="Times New Roman" w:hAnsi="Times New Roman"/>
                <w:b/>
                <w:bCs/>
                <w:sz w:val="24"/>
                <w:u w:val="single"/>
              </w:rPr>
            </w:pPr>
            <w:r>
              <w:rPr>
                <w:rFonts w:ascii="Times New Roman" w:hAnsi="Times New Roman"/>
                <w:b/>
                <w:bCs/>
                <w:sz w:val="24"/>
                <w:u w:val="single"/>
              </w:rPr>
              <w:t>DERIVATI</w:t>
            </w:r>
          </w:p>
          <w:p w:rsidR="00FD54FC" w:rsidRPr="00661595" w:rsidRDefault="00FD54FC" w:rsidP="0018236F">
            <w:pPr>
              <w:suppressAutoHyphens/>
              <w:spacing w:before="0" w:after="0"/>
              <w:ind w:left="33"/>
              <w:rPr>
                <w:rFonts w:ascii="Times New Roman" w:hAnsi="Times New Roman"/>
                <w:b/>
                <w:bCs/>
                <w:sz w:val="24"/>
                <w:u w:val="single"/>
                <w:lang w:eastAsia="de-DE"/>
              </w:rPr>
            </w:pPr>
          </w:p>
          <w:p w:rsidR="00FD54FC" w:rsidRPr="00661595" w:rsidRDefault="00FD54FC" w:rsidP="0018236F">
            <w:pPr>
              <w:suppressAutoHyphens/>
              <w:spacing w:before="0" w:after="0"/>
              <w:ind w:left="33"/>
              <w:rPr>
                <w:rFonts w:ascii="Times New Roman" w:hAnsi="Times New Roman"/>
                <w:bCs/>
                <w:sz w:val="24"/>
              </w:rPr>
            </w:pPr>
            <w:r>
              <w:rPr>
                <w:rFonts w:ascii="Times New Roman" w:hAnsi="Times New Roman"/>
                <w:bCs/>
                <w:sz w:val="24"/>
              </w:rPr>
              <w:t>Le posizioni dirette su derivati sono segnalate nelle colonne da 0200 a 0230.</w:t>
            </w:r>
          </w:p>
          <w:p w:rsidR="00FD54FC" w:rsidRPr="00661595" w:rsidRDefault="00FD54FC" w:rsidP="0018236F">
            <w:pPr>
              <w:suppressAutoHyphens/>
              <w:spacing w:before="0" w:after="0"/>
              <w:ind w:left="33"/>
              <w:rPr>
                <w:rFonts w:ascii="Times New Roman" w:hAnsi="Times New Roman"/>
                <w:b/>
                <w:bCs/>
                <w:sz w:val="24"/>
                <w:u w:val="single"/>
                <w:lang w:eastAsia="de-DE"/>
              </w:rPr>
            </w:pPr>
          </w:p>
          <w:p w:rsidR="00FD54FC" w:rsidRPr="00661595" w:rsidRDefault="00FD54FC" w:rsidP="0018236F">
            <w:pPr>
              <w:suppressAutoHyphens/>
              <w:spacing w:before="0" w:after="0"/>
              <w:ind w:left="33"/>
              <w:rPr>
                <w:rFonts w:ascii="Times New Roman" w:hAnsi="Times New Roman"/>
                <w:bCs/>
                <w:sz w:val="24"/>
              </w:rPr>
            </w:pPr>
            <w:r>
              <w:rPr>
                <w:rFonts w:ascii="Times New Roman" w:hAnsi="Times New Roman"/>
                <w:bCs/>
                <w:sz w:val="24"/>
              </w:rPr>
              <w:t>Per la segnalazione dei derivati soggetti a coperture patrimoniali sia per il rischio di controparte che per il rischio di mercato cfr. le istruzioni relative alla ripartizione per riga.</w:t>
            </w:r>
          </w:p>
          <w:p w:rsidR="00FD54FC" w:rsidRPr="00661595" w:rsidRDefault="00FD54FC" w:rsidP="0018236F">
            <w:pPr>
              <w:suppressAutoHyphens/>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0200-0210</w:t>
            </w:r>
          </w:p>
        </w:tc>
        <w:tc>
          <w:tcPr>
            <w:tcW w:w="8640" w:type="dxa"/>
          </w:tcPr>
          <w:p w:rsidR="00FD54FC" w:rsidRPr="00661595" w:rsidRDefault="00FD54FC" w:rsidP="0018236F">
            <w:pPr>
              <w:suppressAutoHyphens/>
              <w:spacing w:before="0" w:after="0"/>
              <w:ind w:left="33"/>
              <w:rPr>
                <w:rFonts w:ascii="Times New Roman" w:hAnsi="Times New Roman"/>
                <w:b/>
                <w:bCs/>
                <w:sz w:val="24"/>
                <w:u w:val="single"/>
              </w:rPr>
            </w:pPr>
            <w:r>
              <w:rPr>
                <w:rFonts w:ascii="Times New Roman" w:hAnsi="Times New Roman"/>
                <w:b/>
                <w:bCs/>
                <w:sz w:val="24"/>
                <w:u w:val="single"/>
              </w:rPr>
              <w:t>Derivati con un fair value (valore equo) positivo</w:t>
            </w:r>
          </w:p>
          <w:p w:rsidR="00FD54FC" w:rsidRPr="00661595" w:rsidRDefault="00FD54FC" w:rsidP="0018236F">
            <w:pPr>
              <w:suppressAutoHyphens/>
              <w:spacing w:before="0" w:after="0"/>
              <w:ind w:left="33"/>
              <w:rPr>
                <w:rFonts w:ascii="Times New Roman" w:hAnsi="Times New Roman"/>
                <w:bCs/>
                <w:sz w:val="24"/>
                <w:lang w:eastAsia="de-DE"/>
              </w:rPr>
            </w:pPr>
          </w:p>
          <w:p w:rsidR="00FD54FC" w:rsidRPr="00661595" w:rsidRDefault="00FD54FC" w:rsidP="0018236F">
            <w:pPr>
              <w:suppressAutoHyphens/>
              <w:spacing w:before="0" w:after="0"/>
              <w:ind w:left="33"/>
              <w:rPr>
                <w:rFonts w:ascii="Times New Roman" w:hAnsi="Times New Roman"/>
                <w:bCs/>
                <w:sz w:val="24"/>
              </w:rPr>
            </w:pPr>
            <w:r>
              <w:rPr>
                <w:rFonts w:ascii="Times New Roman" w:hAnsi="Times New Roman"/>
                <w:bCs/>
                <w:sz w:val="24"/>
              </w:rPr>
              <w:t>Tutti gli strumenti derivati la cui controparte è una amministrazione pubblica con fair value (valore equo) positivo per l</w:t>
            </w:r>
            <w:r w:rsidR="000878EC">
              <w:rPr>
                <w:rFonts w:ascii="Times New Roman" w:hAnsi="Times New Roman"/>
                <w:bCs/>
                <w:sz w:val="24"/>
              </w:rPr>
              <w:t>'</w:t>
            </w:r>
            <w:r>
              <w:rPr>
                <w:rFonts w:ascii="Times New Roman" w:hAnsi="Times New Roman"/>
                <w:bCs/>
                <w:sz w:val="24"/>
              </w:rPr>
              <w:t xml:space="preserve">ente alla data di riferimento per le segnalazioni, a prescindere dal fatto che tali strumenti siano utilizzati in una valida relazione di copertura, siano posseduti per negoziazione o siano inclusi nel portafoglio di negoziazione ai sensi degli IFRS e dei GAAP nazionali basati sulla BAD. </w:t>
            </w:r>
          </w:p>
          <w:p w:rsidR="00FD54FC" w:rsidRPr="00661595" w:rsidRDefault="00FD54FC" w:rsidP="0018236F">
            <w:pPr>
              <w:suppressAutoHyphens/>
              <w:spacing w:before="0" w:after="0"/>
              <w:ind w:left="33"/>
              <w:rPr>
                <w:rFonts w:ascii="Times New Roman" w:hAnsi="Times New Roman"/>
                <w:bCs/>
                <w:sz w:val="24"/>
                <w:lang w:eastAsia="de-DE"/>
              </w:rPr>
            </w:pPr>
          </w:p>
          <w:p w:rsidR="00FD54FC" w:rsidRPr="00661595" w:rsidRDefault="00FD54FC" w:rsidP="0018236F">
            <w:pPr>
              <w:suppressAutoHyphens/>
              <w:spacing w:before="0" w:after="0"/>
              <w:ind w:left="33"/>
              <w:rPr>
                <w:rFonts w:ascii="Times New Roman" w:hAnsi="Times New Roman"/>
                <w:bCs/>
                <w:sz w:val="24"/>
              </w:rPr>
            </w:pPr>
            <w:r>
              <w:rPr>
                <w:rFonts w:ascii="Times New Roman" w:hAnsi="Times New Roman"/>
                <w:bCs/>
                <w:sz w:val="24"/>
              </w:rPr>
              <w:t xml:space="preserve">I derivati utilizzati in coperture economiche sono segnalati in questa sede se sono inclusi nei portafogli contabili </w:t>
            </w:r>
            <w:r w:rsidR="000878EC">
              <w:rPr>
                <w:rFonts w:ascii="Times New Roman" w:hAnsi="Times New Roman"/>
                <w:bCs/>
                <w:sz w:val="24"/>
              </w:rPr>
              <w:t>"</w:t>
            </w:r>
            <w:r>
              <w:rPr>
                <w:rFonts w:ascii="Times New Roman" w:hAnsi="Times New Roman"/>
                <w:bCs/>
                <w:sz w:val="24"/>
              </w:rPr>
              <w:t>di negoziazione</w:t>
            </w:r>
            <w:r w:rsidR="000878EC">
              <w:rPr>
                <w:rFonts w:ascii="Times New Roman" w:hAnsi="Times New Roman"/>
                <w:bCs/>
                <w:sz w:val="24"/>
              </w:rPr>
              <w:t>"</w:t>
            </w:r>
            <w:r>
              <w:rPr>
                <w:rFonts w:ascii="Times New Roman" w:hAnsi="Times New Roman"/>
                <w:bCs/>
                <w:sz w:val="24"/>
              </w:rPr>
              <w:t xml:space="preserve"> o </w:t>
            </w:r>
            <w:r w:rsidR="000878EC">
              <w:rPr>
                <w:rFonts w:ascii="Times New Roman" w:hAnsi="Times New Roman"/>
                <w:bCs/>
                <w:sz w:val="24"/>
              </w:rPr>
              <w:t>"</w:t>
            </w:r>
            <w:r>
              <w:rPr>
                <w:rFonts w:ascii="Times New Roman" w:hAnsi="Times New Roman"/>
                <w:bCs/>
                <w:sz w:val="24"/>
              </w:rPr>
              <w:t>posseduti per negoziazione</w:t>
            </w:r>
            <w:r w:rsidR="000878EC">
              <w:rPr>
                <w:rFonts w:ascii="Times New Roman" w:hAnsi="Times New Roman"/>
                <w:bCs/>
                <w:sz w:val="24"/>
              </w:rPr>
              <w:t>"</w:t>
            </w:r>
            <w:r>
              <w:rPr>
                <w:rFonts w:ascii="Times New Roman" w:hAnsi="Times New Roman"/>
                <w:bCs/>
                <w:sz w:val="24"/>
              </w:rPr>
              <w:t xml:space="preserve"> (allegato V, parte 2, punti 120, 124, 125 e da 137 a 140, del presente regolamento di esecuzione).</w:t>
            </w:r>
          </w:p>
          <w:p w:rsidR="00FD54FC" w:rsidRPr="00661595" w:rsidRDefault="00FD54FC" w:rsidP="0018236F">
            <w:pPr>
              <w:suppressAutoHyphens/>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0200</w:t>
            </w:r>
          </w:p>
        </w:tc>
        <w:tc>
          <w:tcPr>
            <w:tcW w:w="8640" w:type="dxa"/>
          </w:tcPr>
          <w:p w:rsidR="00FD54FC" w:rsidRPr="00661595" w:rsidRDefault="00FD54FC" w:rsidP="0018236F">
            <w:pPr>
              <w:suppressAutoHyphens/>
              <w:spacing w:before="0" w:after="0"/>
              <w:ind w:left="33"/>
              <w:rPr>
                <w:rFonts w:ascii="Times New Roman" w:hAnsi="Times New Roman"/>
                <w:b/>
                <w:bCs/>
                <w:sz w:val="24"/>
                <w:u w:val="single"/>
              </w:rPr>
            </w:pPr>
            <w:r>
              <w:rPr>
                <w:rFonts w:ascii="Times New Roman" w:hAnsi="Times New Roman"/>
                <w:b/>
                <w:bCs/>
                <w:sz w:val="24"/>
                <w:u w:val="single"/>
              </w:rPr>
              <w:t xml:space="preserve">Derivati con un fair value (valore equo) positivo: valore contabile </w:t>
            </w:r>
          </w:p>
          <w:p w:rsidR="00FD54FC" w:rsidRPr="00661595" w:rsidRDefault="00FD54FC" w:rsidP="0018236F">
            <w:pPr>
              <w:suppressAutoHyphens/>
              <w:spacing w:before="0" w:after="0"/>
              <w:ind w:left="33"/>
              <w:rPr>
                <w:rFonts w:ascii="Times New Roman" w:hAnsi="Times New Roman"/>
                <w:bCs/>
                <w:sz w:val="24"/>
                <w:lang w:eastAsia="de-DE"/>
              </w:rPr>
            </w:pPr>
          </w:p>
          <w:p w:rsidR="00FD54FC" w:rsidRPr="00661595" w:rsidRDefault="00FD54FC" w:rsidP="0018236F">
            <w:pPr>
              <w:suppressAutoHyphens/>
              <w:spacing w:before="0" w:after="0"/>
              <w:ind w:left="33"/>
              <w:rPr>
                <w:rFonts w:ascii="Times New Roman" w:hAnsi="Times New Roman"/>
                <w:bCs/>
                <w:sz w:val="24"/>
              </w:rPr>
            </w:pPr>
            <w:r>
              <w:rPr>
                <w:rFonts w:ascii="Times New Roman" w:hAnsi="Times New Roman"/>
                <w:bCs/>
                <w:sz w:val="24"/>
              </w:rPr>
              <w:t xml:space="preserve">Valore contabile dei derivati contabilizzati come attività finanziarie alla data di riferimento per le segnalazioni. </w:t>
            </w:r>
          </w:p>
          <w:p w:rsidR="00FD54FC" w:rsidRPr="00661595" w:rsidRDefault="00FD54FC" w:rsidP="0018236F">
            <w:pPr>
              <w:suppressAutoHyphens/>
              <w:spacing w:before="0" w:after="0"/>
              <w:ind w:left="33"/>
              <w:rPr>
                <w:rFonts w:ascii="Times New Roman" w:hAnsi="Times New Roman"/>
                <w:bCs/>
                <w:sz w:val="24"/>
                <w:lang w:eastAsia="de-DE"/>
              </w:rPr>
            </w:pPr>
          </w:p>
          <w:p w:rsidR="00FD54FC" w:rsidRPr="00661595" w:rsidRDefault="00FD54FC" w:rsidP="0018236F">
            <w:pPr>
              <w:suppressAutoHyphens/>
              <w:spacing w:before="0" w:after="0"/>
              <w:ind w:left="33"/>
              <w:rPr>
                <w:rFonts w:ascii="Times New Roman" w:hAnsi="Times New Roman"/>
                <w:bCs/>
                <w:sz w:val="24"/>
              </w:rPr>
            </w:pPr>
            <w:r>
              <w:rPr>
                <w:rFonts w:ascii="Times New Roman" w:hAnsi="Times New Roman"/>
                <w:bCs/>
                <w:sz w:val="24"/>
              </w:rPr>
              <w:t xml:space="preserve">Ai sensi dei GAAP basati sulla BAD, i derivati da segnalare in queste colonne comprendono gli strumenti derivati valutati al costo o al minore fra questo e il valore di mercato inclusi nel portafoglio di negoziazione o designati come strumenti di copertura. </w:t>
            </w:r>
          </w:p>
          <w:p w:rsidR="00FD54FC" w:rsidRPr="00661595" w:rsidRDefault="00FD54FC" w:rsidP="0018236F">
            <w:pPr>
              <w:suppressAutoHyphens/>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0210</w:t>
            </w:r>
          </w:p>
        </w:tc>
        <w:tc>
          <w:tcPr>
            <w:tcW w:w="8640" w:type="dxa"/>
          </w:tcPr>
          <w:p w:rsidR="00FD54FC" w:rsidRPr="00661595" w:rsidRDefault="00FD54FC" w:rsidP="0018236F">
            <w:pPr>
              <w:suppressAutoHyphens/>
              <w:spacing w:before="0" w:after="0"/>
              <w:ind w:left="33"/>
              <w:rPr>
                <w:rFonts w:ascii="Times New Roman" w:hAnsi="Times New Roman"/>
                <w:b/>
                <w:bCs/>
                <w:sz w:val="24"/>
                <w:u w:val="single"/>
              </w:rPr>
            </w:pPr>
            <w:r>
              <w:rPr>
                <w:rFonts w:ascii="Times New Roman" w:hAnsi="Times New Roman"/>
                <w:b/>
                <w:bCs/>
                <w:sz w:val="24"/>
                <w:u w:val="single"/>
              </w:rPr>
              <w:t>Derivati con un fair value (valore equo) positivo: importo nozionale</w:t>
            </w:r>
          </w:p>
          <w:p w:rsidR="00FD54FC" w:rsidRPr="00661595" w:rsidRDefault="00FD54FC" w:rsidP="0018236F">
            <w:pPr>
              <w:suppressAutoHyphens/>
              <w:spacing w:before="0" w:after="0"/>
              <w:ind w:left="33"/>
              <w:rPr>
                <w:rFonts w:ascii="Times New Roman" w:hAnsi="Times New Roman"/>
                <w:bCs/>
                <w:sz w:val="24"/>
                <w:lang w:eastAsia="de-DE"/>
              </w:rPr>
            </w:pPr>
          </w:p>
          <w:p w:rsidR="00FD54FC" w:rsidRPr="00661595" w:rsidRDefault="00FD54FC" w:rsidP="0018236F">
            <w:pPr>
              <w:suppressAutoHyphens/>
              <w:spacing w:before="0" w:after="0"/>
              <w:ind w:left="33"/>
              <w:rPr>
                <w:rFonts w:ascii="Times New Roman" w:hAnsi="Times New Roman"/>
                <w:bCs/>
                <w:sz w:val="24"/>
              </w:rPr>
            </w:pPr>
            <w:r>
              <w:rPr>
                <w:rFonts w:ascii="Times New Roman" w:hAnsi="Times New Roman"/>
                <w:bCs/>
                <w:sz w:val="24"/>
              </w:rPr>
              <w:t>Ai sensi degli IFRS e dei GAAP nazionali basati sulla BAD, il valore nozionale, secondo la definizione di cui all</w:t>
            </w:r>
            <w:r w:rsidR="000878EC">
              <w:rPr>
                <w:rFonts w:ascii="Times New Roman" w:hAnsi="Times New Roman"/>
                <w:bCs/>
                <w:sz w:val="24"/>
              </w:rPr>
              <w:t>'</w:t>
            </w:r>
            <w:r>
              <w:rPr>
                <w:rFonts w:ascii="Times New Roman" w:hAnsi="Times New Roman"/>
                <w:bCs/>
                <w:sz w:val="24"/>
              </w:rPr>
              <w:t>allegato V, parte 2, punti da 133 a 135, del presente regolamento di esecuzione, di tutti i contratti derivati conclusi e non ancora regolati alla data di riferimento per le segnalazioni in cui la controparte è una amministrazione pubblica, come definita ai punti da 155 a 160 del presente allegato, e il fair value (valore equo) del derivato è positivo per l</w:t>
            </w:r>
            <w:r w:rsidR="000878EC">
              <w:rPr>
                <w:rFonts w:ascii="Times New Roman" w:hAnsi="Times New Roman"/>
                <w:bCs/>
                <w:sz w:val="24"/>
              </w:rPr>
              <w:t>'</w:t>
            </w:r>
            <w:r>
              <w:rPr>
                <w:rFonts w:ascii="Times New Roman" w:hAnsi="Times New Roman"/>
                <w:bCs/>
                <w:sz w:val="24"/>
              </w:rPr>
              <w:t>ente alla data di riferimento.</w:t>
            </w:r>
          </w:p>
          <w:p w:rsidR="00FD54FC" w:rsidRPr="00661595" w:rsidRDefault="00FD54FC" w:rsidP="0018236F">
            <w:pPr>
              <w:suppressAutoHyphens/>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18236F">
            <w:pPr>
              <w:keepNext/>
              <w:keepLines/>
              <w:spacing w:before="0" w:after="0"/>
              <w:ind w:left="33"/>
              <w:rPr>
                <w:rFonts w:ascii="Times New Roman" w:hAnsi="Times New Roman"/>
                <w:bCs/>
                <w:sz w:val="24"/>
              </w:rPr>
            </w:pPr>
            <w:r>
              <w:rPr>
                <w:rFonts w:ascii="Times New Roman" w:hAnsi="Times New Roman"/>
                <w:bCs/>
                <w:sz w:val="24"/>
              </w:rPr>
              <w:t>0220-0230</w:t>
            </w:r>
          </w:p>
        </w:tc>
        <w:tc>
          <w:tcPr>
            <w:tcW w:w="8640" w:type="dxa"/>
          </w:tcPr>
          <w:p w:rsidR="00FD54FC" w:rsidRPr="00661595" w:rsidRDefault="00FD54FC" w:rsidP="0018236F">
            <w:pPr>
              <w:keepNext/>
              <w:keepLines/>
              <w:suppressAutoHyphens/>
              <w:spacing w:before="0" w:after="0"/>
              <w:ind w:left="33"/>
              <w:rPr>
                <w:rFonts w:ascii="Times New Roman" w:hAnsi="Times New Roman"/>
                <w:b/>
                <w:bCs/>
                <w:sz w:val="24"/>
                <w:u w:val="single"/>
              </w:rPr>
            </w:pPr>
            <w:r>
              <w:rPr>
                <w:rFonts w:ascii="Times New Roman" w:hAnsi="Times New Roman"/>
                <w:b/>
                <w:bCs/>
                <w:sz w:val="24"/>
                <w:u w:val="single"/>
              </w:rPr>
              <w:t>Derivati con un fair value (valore equo) negativo</w:t>
            </w:r>
          </w:p>
          <w:p w:rsidR="00FD54FC" w:rsidRPr="00661595" w:rsidDel="00501397" w:rsidRDefault="00FD54FC" w:rsidP="0018236F">
            <w:pPr>
              <w:keepNext/>
              <w:keepLines/>
              <w:suppressAutoHyphens/>
              <w:spacing w:before="0" w:after="0"/>
              <w:ind w:left="33"/>
              <w:rPr>
                <w:rFonts w:ascii="Times New Roman" w:hAnsi="Times New Roman"/>
                <w:bCs/>
                <w:sz w:val="24"/>
                <w:lang w:eastAsia="de-DE"/>
              </w:rPr>
            </w:pPr>
          </w:p>
          <w:p w:rsidR="00FD54FC" w:rsidRPr="00661595" w:rsidRDefault="00FD54FC" w:rsidP="0018236F">
            <w:pPr>
              <w:keepNext/>
              <w:keepLines/>
              <w:suppressAutoHyphens/>
              <w:spacing w:before="0" w:after="0"/>
              <w:ind w:left="33"/>
              <w:rPr>
                <w:rFonts w:ascii="Times New Roman" w:hAnsi="Times New Roman"/>
                <w:bCs/>
                <w:sz w:val="24"/>
              </w:rPr>
            </w:pPr>
            <w:r>
              <w:rPr>
                <w:rFonts w:ascii="Times New Roman" w:hAnsi="Times New Roman"/>
                <w:bCs/>
                <w:sz w:val="24"/>
              </w:rPr>
              <w:t>Tutti gli strumenti derivati la cui controparte è una amministrazione pubblica con fair value (valore equo) negativo per l</w:t>
            </w:r>
            <w:r w:rsidR="000878EC">
              <w:rPr>
                <w:rFonts w:ascii="Times New Roman" w:hAnsi="Times New Roman"/>
                <w:bCs/>
                <w:sz w:val="24"/>
              </w:rPr>
              <w:t>'</w:t>
            </w:r>
            <w:r>
              <w:rPr>
                <w:rFonts w:ascii="Times New Roman" w:hAnsi="Times New Roman"/>
                <w:bCs/>
                <w:sz w:val="24"/>
              </w:rPr>
              <w:t xml:space="preserve">ente alla data di riferimento per le segnalazioni, a prescindere dal fatto che tali strumenti siano utilizzati in una valida relazione di copertura, siano posseduti per negoziazione o siano inclusi nel portafoglio di negoziazione ai sensi degli IFRS e dei GAAP nazionali basati sulla BAD. </w:t>
            </w:r>
          </w:p>
          <w:p w:rsidR="00FD54FC" w:rsidRPr="00661595" w:rsidRDefault="00FD54FC" w:rsidP="0018236F">
            <w:pPr>
              <w:keepNext/>
              <w:keepLines/>
              <w:suppressAutoHyphens/>
              <w:spacing w:before="0" w:after="0"/>
              <w:ind w:left="33"/>
              <w:rPr>
                <w:rFonts w:ascii="Times New Roman" w:hAnsi="Times New Roman"/>
                <w:bCs/>
                <w:sz w:val="24"/>
                <w:lang w:eastAsia="de-DE"/>
              </w:rPr>
            </w:pPr>
          </w:p>
          <w:p w:rsidR="00FD54FC" w:rsidRPr="00661595" w:rsidRDefault="00FD54FC" w:rsidP="0018236F">
            <w:pPr>
              <w:keepNext/>
              <w:keepLines/>
              <w:suppressAutoHyphens/>
              <w:spacing w:before="0" w:after="0"/>
              <w:ind w:left="33"/>
              <w:rPr>
                <w:rFonts w:ascii="Times New Roman" w:hAnsi="Times New Roman"/>
                <w:bCs/>
                <w:sz w:val="24"/>
              </w:rPr>
            </w:pPr>
            <w:r>
              <w:rPr>
                <w:rFonts w:ascii="Times New Roman" w:hAnsi="Times New Roman"/>
                <w:bCs/>
                <w:sz w:val="24"/>
              </w:rPr>
              <w:t xml:space="preserve">I derivati utilizzati in coperture economiche sono segnalati in questa sede se sono inclusi nei portafogli contabili </w:t>
            </w:r>
            <w:r w:rsidR="000878EC">
              <w:rPr>
                <w:rFonts w:ascii="Times New Roman" w:hAnsi="Times New Roman"/>
                <w:bCs/>
                <w:sz w:val="24"/>
              </w:rPr>
              <w:t>"</w:t>
            </w:r>
            <w:r>
              <w:rPr>
                <w:rFonts w:ascii="Times New Roman" w:hAnsi="Times New Roman"/>
                <w:bCs/>
                <w:sz w:val="24"/>
              </w:rPr>
              <w:t>di negoziazione</w:t>
            </w:r>
            <w:r w:rsidR="000878EC">
              <w:rPr>
                <w:rFonts w:ascii="Times New Roman" w:hAnsi="Times New Roman"/>
                <w:bCs/>
                <w:sz w:val="24"/>
              </w:rPr>
              <w:t>"</w:t>
            </w:r>
            <w:r>
              <w:rPr>
                <w:rFonts w:ascii="Times New Roman" w:hAnsi="Times New Roman"/>
                <w:bCs/>
                <w:sz w:val="24"/>
              </w:rPr>
              <w:t xml:space="preserve"> o </w:t>
            </w:r>
            <w:r w:rsidR="000878EC">
              <w:rPr>
                <w:rFonts w:ascii="Times New Roman" w:hAnsi="Times New Roman"/>
                <w:bCs/>
                <w:sz w:val="24"/>
              </w:rPr>
              <w:t>"</w:t>
            </w:r>
            <w:r>
              <w:rPr>
                <w:rFonts w:ascii="Times New Roman" w:hAnsi="Times New Roman"/>
                <w:bCs/>
                <w:sz w:val="24"/>
              </w:rPr>
              <w:t>posseduti per negoziazione</w:t>
            </w:r>
            <w:r w:rsidR="000878EC">
              <w:rPr>
                <w:rFonts w:ascii="Times New Roman" w:hAnsi="Times New Roman"/>
                <w:bCs/>
                <w:sz w:val="24"/>
              </w:rPr>
              <w:t>"</w:t>
            </w:r>
            <w:r>
              <w:rPr>
                <w:rFonts w:ascii="Times New Roman" w:hAnsi="Times New Roman"/>
                <w:bCs/>
                <w:sz w:val="24"/>
              </w:rPr>
              <w:t xml:space="preserve"> (allegato V, parte 2, punti 120, 124, 125 e da 137 a 140, del presente regolamento di esecuzione).</w:t>
            </w:r>
          </w:p>
          <w:p w:rsidR="00FD54FC" w:rsidRPr="00661595" w:rsidRDefault="00FD54FC" w:rsidP="0018236F">
            <w:pPr>
              <w:keepNext/>
              <w:keepLines/>
              <w:suppressAutoHyphens/>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0220</w:t>
            </w:r>
          </w:p>
        </w:tc>
        <w:tc>
          <w:tcPr>
            <w:tcW w:w="8640" w:type="dxa"/>
          </w:tcPr>
          <w:p w:rsidR="00FD54FC" w:rsidRPr="00661595" w:rsidRDefault="00FD54FC" w:rsidP="0018236F">
            <w:pPr>
              <w:suppressAutoHyphens/>
              <w:spacing w:before="0" w:after="0"/>
              <w:ind w:left="33"/>
              <w:rPr>
                <w:rFonts w:ascii="Times New Roman" w:hAnsi="Times New Roman"/>
                <w:b/>
                <w:bCs/>
                <w:sz w:val="24"/>
                <w:u w:val="single"/>
              </w:rPr>
            </w:pPr>
            <w:r>
              <w:rPr>
                <w:rFonts w:ascii="Times New Roman" w:hAnsi="Times New Roman"/>
                <w:b/>
                <w:bCs/>
                <w:sz w:val="24"/>
                <w:u w:val="single"/>
              </w:rPr>
              <w:t xml:space="preserve">Derivati con un fair value (valore equo) negativo: valore contabile </w:t>
            </w:r>
          </w:p>
          <w:p w:rsidR="00FD54FC" w:rsidRPr="00661595" w:rsidRDefault="00FD54FC" w:rsidP="0018236F">
            <w:pPr>
              <w:suppressAutoHyphens/>
              <w:spacing w:before="0" w:after="0"/>
              <w:ind w:left="33"/>
              <w:rPr>
                <w:rFonts w:ascii="Times New Roman" w:hAnsi="Times New Roman"/>
                <w:bCs/>
                <w:sz w:val="24"/>
                <w:lang w:eastAsia="de-DE"/>
              </w:rPr>
            </w:pPr>
          </w:p>
          <w:p w:rsidR="00FD54FC" w:rsidRPr="00661595" w:rsidRDefault="00FD54FC" w:rsidP="0018236F">
            <w:pPr>
              <w:suppressAutoHyphens/>
              <w:spacing w:before="0" w:after="0"/>
              <w:ind w:left="33"/>
              <w:rPr>
                <w:rFonts w:ascii="Times New Roman" w:hAnsi="Times New Roman"/>
                <w:bCs/>
                <w:sz w:val="24"/>
              </w:rPr>
            </w:pPr>
            <w:r>
              <w:rPr>
                <w:rFonts w:ascii="Times New Roman" w:hAnsi="Times New Roman"/>
                <w:bCs/>
                <w:sz w:val="24"/>
              </w:rPr>
              <w:t xml:space="preserve">Valore contabile dei derivati contabilizzati come passività finanziarie alla data di riferimento per le segnalazioni. </w:t>
            </w:r>
          </w:p>
          <w:p w:rsidR="00FD54FC" w:rsidRPr="00661595" w:rsidRDefault="00FD54FC" w:rsidP="0018236F">
            <w:pPr>
              <w:suppressAutoHyphens/>
              <w:spacing w:before="0" w:after="0"/>
              <w:ind w:left="33"/>
              <w:rPr>
                <w:rFonts w:ascii="Times New Roman" w:hAnsi="Times New Roman"/>
                <w:bCs/>
                <w:sz w:val="24"/>
                <w:lang w:eastAsia="de-DE"/>
              </w:rPr>
            </w:pPr>
          </w:p>
          <w:p w:rsidR="00FD54FC" w:rsidRPr="00661595" w:rsidRDefault="00FD54FC" w:rsidP="0018236F">
            <w:pPr>
              <w:suppressAutoHyphens/>
              <w:spacing w:before="0" w:after="0"/>
              <w:ind w:left="33"/>
              <w:rPr>
                <w:rFonts w:ascii="Times New Roman" w:hAnsi="Times New Roman"/>
                <w:bCs/>
                <w:sz w:val="24"/>
              </w:rPr>
            </w:pPr>
            <w:r>
              <w:rPr>
                <w:rFonts w:ascii="Times New Roman" w:hAnsi="Times New Roman"/>
                <w:bCs/>
                <w:sz w:val="24"/>
              </w:rPr>
              <w:t xml:space="preserve">Ai sensi dei GAAP basati sulla BAD, i derivati da segnalare in queste colonne comprendono gli strumenti derivati valutati al costo o al minore fra questo e il valore di mercato inclusi nel portafoglio di negoziazione o designati come strumenti di copertura. </w:t>
            </w:r>
          </w:p>
          <w:p w:rsidR="00FD54FC" w:rsidRPr="00661595" w:rsidRDefault="00FD54FC" w:rsidP="0018236F">
            <w:pPr>
              <w:suppressAutoHyphens/>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0230</w:t>
            </w:r>
          </w:p>
        </w:tc>
        <w:tc>
          <w:tcPr>
            <w:tcW w:w="8640" w:type="dxa"/>
          </w:tcPr>
          <w:p w:rsidR="00FD54FC" w:rsidRPr="00661595" w:rsidRDefault="00FD54FC" w:rsidP="0018236F">
            <w:pPr>
              <w:suppressAutoHyphens/>
              <w:spacing w:before="0" w:after="0"/>
              <w:rPr>
                <w:rFonts w:ascii="Times New Roman" w:hAnsi="Times New Roman"/>
                <w:b/>
                <w:bCs/>
                <w:sz w:val="24"/>
                <w:u w:val="single"/>
              </w:rPr>
            </w:pPr>
            <w:r>
              <w:rPr>
                <w:rFonts w:ascii="Times New Roman" w:hAnsi="Times New Roman"/>
                <w:b/>
                <w:bCs/>
                <w:sz w:val="24"/>
                <w:u w:val="single"/>
              </w:rPr>
              <w:t>Derivati con un fair value (valore equo) negativo: importo nozionale</w:t>
            </w:r>
          </w:p>
          <w:p w:rsidR="00FD54FC" w:rsidRPr="00661595" w:rsidRDefault="00FD54FC" w:rsidP="0018236F">
            <w:pPr>
              <w:suppressAutoHyphens/>
              <w:spacing w:before="0" w:after="0"/>
              <w:ind w:left="33"/>
              <w:rPr>
                <w:rFonts w:ascii="Times New Roman" w:hAnsi="Times New Roman"/>
                <w:b/>
                <w:bCs/>
                <w:sz w:val="24"/>
                <w:u w:val="single"/>
                <w:lang w:eastAsia="de-DE"/>
              </w:rPr>
            </w:pPr>
          </w:p>
          <w:p w:rsidR="00FD54FC" w:rsidRPr="00661595" w:rsidRDefault="00FD54FC" w:rsidP="0018236F">
            <w:pPr>
              <w:suppressAutoHyphens/>
              <w:spacing w:before="0" w:after="0"/>
              <w:ind w:left="33"/>
              <w:rPr>
                <w:rFonts w:ascii="Times New Roman" w:hAnsi="Times New Roman"/>
                <w:bCs/>
                <w:sz w:val="24"/>
              </w:rPr>
            </w:pPr>
            <w:r>
              <w:rPr>
                <w:rFonts w:ascii="Times New Roman" w:hAnsi="Times New Roman"/>
                <w:bCs/>
                <w:sz w:val="24"/>
              </w:rPr>
              <w:t>Ai sensi degli IFRS e dei GAAP nazionali basati sulla BAD, il valore nozionale, secondo la definizione di cui all</w:t>
            </w:r>
            <w:r w:rsidR="000878EC">
              <w:rPr>
                <w:rFonts w:ascii="Times New Roman" w:hAnsi="Times New Roman"/>
                <w:bCs/>
                <w:sz w:val="24"/>
              </w:rPr>
              <w:t>'</w:t>
            </w:r>
            <w:r>
              <w:rPr>
                <w:rFonts w:ascii="Times New Roman" w:hAnsi="Times New Roman"/>
                <w:bCs/>
                <w:sz w:val="24"/>
              </w:rPr>
              <w:t>allegato V, parte 2, punti da 133 a 135, del presente regolamento di esecuzione, di tutti i contratti derivati conclusi e non ancora regolati alla data di riferimento in cui la controparte è una amministrazione pubblica, come definita ai punti da 155 a 160 del presente allegato, e il fair value (valore equo) del derivato è negativo per l</w:t>
            </w:r>
            <w:r w:rsidR="000878EC">
              <w:rPr>
                <w:rFonts w:ascii="Times New Roman" w:hAnsi="Times New Roman"/>
                <w:bCs/>
                <w:sz w:val="24"/>
              </w:rPr>
              <w:t>'</w:t>
            </w:r>
            <w:r>
              <w:rPr>
                <w:rFonts w:ascii="Times New Roman" w:hAnsi="Times New Roman"/>
                <w:bCs/>
                <w:sz w:val="24"/>
              </w:rPr>
              <w:t>ente alla data di riferimento.</w:t>
            </w:r>
          </w:p>
          <w:p w:rsidR="00FD54FC" w:rsidRPr="00661595" w:rsidRDefault="00FD54FC" w:rsidP="0018236F">
            <w:pPr>
              <w:suppressAutoHyphens/>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B74792">
            <w:pPr>
              <w:spacing w:before="0" w:after="0"/>
              <w:ind w:left="33"/>
              <w:rPr>
                <w:rFonts w:ascii="Times New Roman" w:hAnsi="Times New Roman"/>
                <w:bCs/>
                <w:sz w:val="24"/>
              </w:rPr>
            </w:pPr>
            <w:r>
              <w:rPr>
                <w:rFonts w:ascii="Times New Roman" w:hAnsi="Times New Roman"/>
                <w:bCs/>
                <w:sz w:val="24"/>
              </w:rPr>
              <w:t>0240-0260</w:t>
            </w:r>
          </w:p>
        </w:tc>
        <w:tc>
          <w:tcPr>
            <w:tcW w:w="8640" w:type="dxa"/>
          </w:tcPr>
          <w:p w:rsidR="00FD54FC" w:rsidRPr="00661595" w:rsidRDefault="00FD54FC" w:rsidP="0018236F">
            <w:pPr>
              <w:suppressAutoHyphens/>
              <w:spacing w:before="0" w:after="0"/>
              <w:ind w:left="33"/>
              <w:rPr>
                <w:rFonts w:ascii="Times New Roman" w:hAnsi="Times New Roman"/>
                <w:b/>
                <w:bCs/>
                <w:sz w:val="24"/>
                <w:u w:val="single"/>
              </w:rPr>
            </w:pPr>
            <w:r>
              <w:rPr>
                <w:rFonts w:ascii="Times New Roman" w:hAnsi="Times New Roman"/>
                <w:b/>
                <w:bCs/>
                <w:sz w:val="24"/>
                <w:u w:val="single"/>
              </w:rPr>
              <w:t>ESPOSIZIONI FUORI BILANCIO</w:t>
            </w: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0240</w:t>
            </w:r>
          </w:p>
        </w:tc>
        <w:tc>
          <w:tcPr>
            <w:tcW w:w="8640" w:type="dxa"/>
          </w:tcPr>
          <w:p w:rsidR="00FD54FC" w:rsidRPr="00661595" w:rsidRDefault="00FD54FC" w:rsidP="0018236F">
            <w:pPr>
              <w:suppressAutoHyphens/>
              <w:spacing w:before="0" w:after="0"/>
              <w:ind w:left="33"/>
              <w:rPr>
                <w:rFonts w:ascii="Times New Roman" w:hAnsi="Times New Roman"/>
                <w:b/>
                <w:bCs/>
                <w:sz w:val="24"/>
                <w:u w:val="single"/>
              </w:rPr>
            </w:pPr>
            <w:r>
              <w:rPr>
                <w:rFonts w:ascii="Times New Roman" w:hAnsi="Times New Roman"/>
                <w:b/>
                <w:bCs/>
                <w:sz w:val="24"/>
                <w:u w:val="single"/>
              </w:rPr>
              <w:t>Importo nominale</w:t>
            </w:r>
          </w:p>
          <w:p w:rsidR="00FD54FC" w:rsidRPr="00661595" w:rsidRDefault="00FD54FC" w:rsidP="0018236F">
            <w:pPr>
              <w:suppressAutoHyphens/>
              <w:spacing w:before="0" w:after="0"/>
              <w:ind w:left="33"/>
              <w:rPr>
                <w:rFonts w:ascii="Times New Roman" w:hAnsi="Times New Roman"/>
                <w:bCs/>
                <w:sz w:val="24"/>
                <w:lang w:eastAsia="de-DE"/>
              </w:rPr>
            </w:pPr>
          </w:p>
          <w:p w:rsidR="00FD54FC" w:rsidRPr="00661595" w:rsidRDefault="00FD54FC" w:rsidP="0018236F">
            <w:pPr>
              <w:suppressAutoHyphens/>
              <w:spacing w:before="0" w:after="0"/>
              <w:ind w:left="33"/>
              <w:rPr>
                <w:rFonts w:ascii="Times New Roman" w:hAnsi="Times New Roman"/>
                <w:bCs/>
                <w:sz w:val="24"/>
              </w:rPr>
            </w:pPr>
            <w:r>
              <w:rPr>
                <w:rFonts w:ascii="Times New Roman" w:hAnsi="Times New Roman"/>
                <w:bCs/>
                <w:sz w:val="24"/>
              </w:rPr>
              <w:t>Quando la controparte diretta dell</w:t>
            </w:r>
            <w:r w:rsidR="000878EC">
              <w:rPr>
                <w:rFonts w:ascii="Times New Roman" w:hAnsi="Times New Roman"/>
                <w:bCs/>
                <w:sz w:val="24"/>
              </w:rPr>
              <w:t>'</w:t>
            </w:r>
            <w:r>
              <w:rPr>
                <w:rFonts w:ascii="Times New Roman" w:hAnsi="Times New Roman"/>
                <w:bCs/>
                <w:sz w:val="24"/>
              </w:rPr>
              <w:t>elemento fuori bilancio è una amministrazione pubblica come definita ai punti da 155 a 160 del presente allegato, importo nominale degli impegni e garanzie finanziarie che non sono considerati come un derivato ai sensi degli IFRS o dei GAAP nazionali basati sulla BAD (allegato V, parte 2, punti 102-119, del presente regolamento di esecuzione).</w:t>
            </w:r>
          </w:p>
          <w:p w:rsidR="00FD54FC" w:rsidRPr="00661595" w:rsidRDefault="00FD54FC" w:rsidP="0018236F">
            <w:pPr>
              <w:suppressAutoHyphens/>
              <w:spacing w:before="0" w:after="0"/>
              <w:ind w:left="33"/>
              <w:rPr>
                <w:rFonts w:ascii="Times New Roman" w:hAnsi="Times New Roman"/>
                <w:bCs/>
                <w:sz w:val="24"/>
                <w:lang w:eastAsia="de-DE"/>
              </w:rPr>
            </w:pPr>
          </w:p>
          <w:p w:rsidR="00FD54FC" w:rsidRPr="00661595" w:rsidDel="00501397" w:rsidRDefault="00FD54FC" w:rsidP="0018236F">
            <w:pPr>
              <w:suppressAutoHyphens/>
              <w:spacing w:before="0" w:after="0"/>
              <w:ind w:left="33"/>
              <w:rPr>
                <w:rFonts w:ascii="Times New Roman" w:hAnsi="Times New Roman"/>
                <w:b/>
                <w:bCs/>
                <w:sz w:val="24"/>
                <w:u w:val="single"/>
              </w:rPr>
            </w:pPr>
            <w:r>
              <w:rPr>
                <w:rFonts w:ascii="Times New Roman" w:hAnsi="Times New Roman"/>
                <w:bCs/>
                <w:sz w:val="24"/>
              </w:rPr>
              <w:t>Conformemente all</w:t>
            </w:r>
            <w:r w:rsidR="000878EC">
              <w:rPr>
                <w:rFonts w:ascii="Times New Roman" w:hAnsi="Times New Roman"/>
                <w:bCs/>
                <w:sz w:val="24"/>
              </w:rPr>
              <w:t>'</w:t>
            </w:r>
            <w:r>
              <w:rPr>
                <w:rFonts w:ascii="Times New Roman" w:hAnsi="Times New Roman"/>
                <w:bCs/>
                <w:sz w:val="24"/>
              </w:rPr>
              <w:t>allegato V, parte 2, punti 43 e 44, del presente regolamento di esecuzione, l</w:t>
            </w:r>
            <w:r w:rsidR="000878EC">
              <w:rPr>
                <w:rFonts w:ascii="Times New Roman" w:hAnsi="Times New Roman"/>
                <w:bCs/>
                <w:sz w:val="24"/>
              </w:rPr>
              <w:t>'</w:t>
            </w:r>
            <w:r>
              <w:rPr>
                <w:rFonts w:ascii="Times New Roman" w:hAnsi="Times New Roman"/>
                <w:bCs/>
                <w:sz w:val="24"/>
              </w:rPr>
              <w:t>amministrazione pubblica è la controparte diretta: a) di una garanzia finanziaria prestata, se essa è la controparte diretta dello strumento di debito garantito, e b) di un impegno all</w:t>
            </w:r>
            <w:r w:rsidR="000878EC">
              <w:rPr>
                <w:rFonts w:ascii="Times New Roman" w:hAnsi="Times New Roman"/>
                <w:bCs/>
                <w:sz w:val="24"/>
              </w:rPr>
              <w:t>'</w:t>
            </w:r>
            <w:r>
              <w:rPr>
                <w:rFonts w:ascii="Times New Roman" w:hAnsi="Times New Roman"/>
                <w:bCs/>
                <w:sz w:val="24"/>
              </w:rPr>
              <w:t>erogazione di prestiti e altro impegno dato, se essa è la controparte il cui rischio di credito è assunto dall</w:t>
            </w:r>
            <w:r w:rsidR="000878EC">
              <w:rPr>
                <w:rFonts w:ascii="Times New Roman" w:hAnsi="Times New Roman"/>
                <w:bCs/>
                <w:sz w:val="24"/>
              </w:rPr>
              <w:t>'</w:t>
            </w:r>
            <w:r>
              <w:rPr>
                <w:rFonts w:ascii="Times New Roman" w:hAnsi="Times New Roman"/>
                <w:bCs/>
                <w:sz w:val="24"/>
              </w:rPr>
              <w:t xml:space="preserve">ente segnalante. </w:t>
            </w:r>
          </w:p>
          <w:p w:rsidR="00FD54FC" w:rsidRPr="00661595" w:rsidRDefault="00FD54FC" w:rsidP="0018236F">
            <w:pPr>
              <w:suppressAutoHyphens/>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18236F">
            <w:pPr>
              <w:keepNext/>
              <w:keepLines/>
              <w:spacing w:before="0" w:after="0"/>
              <w:ind w:left="33"/>
              <w:rPr>
                <w:rFonts w:ascii="Times New Roman" w:hAnsi="Times New Roman"/>
                <w:bCs/>
                <w:sz w:val="24"/>
              </w:rPr>
            </w:pPr>
            <w:r>
              <w:rPr>
                <w:rFonts w:ascii="Times New Roman" w:hAnsi="Times New Roman"/>
                <w:bCs/>
                <w:sz w:val="24"/>
              </w:rPr>
              <w:t>0250</w:t>
            </w:r>
          </w:p>
        </w:tc>
        <w:tc>
          <w:tcPr>
            <w:tcW w:w="8640" w:type="dxa"/>
          </w:tcPr>
          <w:p w:rsidR="00FD54FC" w:rsidRPr="00661595" w:rsidRDefault="00FD54FC" w:rsidP="0018236F">
            <w:pPr>
              <w:keepNext/>
              <w:keepLines/>
              <w:suppressAutoHyphens/>
              <w:spacing w:before="0" w:after="0"/>
              <w:ind w:left="33"/>
              <w:rPr>
                <w:rFonts w:ascii="Times New Roman" w:hAnsi="Times New Roman"/>
                <w:b/>
                <w:bCs/>
                <w:sz w:val="24"/>
                <w:u w:val="single"/>
              </w:rPr>
            </w:pPr>
            <w:r>
              <w:rPr>
                <w:rFonts w:ascii="Times New Roman" w:hAnsi="Times New Roman"/>
                <w:b/>
                <w:bCs/>
                <w:sz w:val="24"/>
                <w:u w:val="single"/>
              </w:rPr>
              <w:t>Accantonamenti</w:t>
            </w:r>
          </w:p>
          <w:p w:rsidR="00FD54FC" w:rsidRPr="00661595" w:rsidRDefault="00FD54FC" w:rsidP="0018236F">
            <w:pPr>
              <w:keepNext/>
              <w:keepLines/>
              <w:suppressAutoHyphens/>
              <w:spacing w:before="0" w:after="0"/>
              <w:ind w:left="33"/>
              <w:rPr>
                <w:rFonts w:ascii="Times New Roman" w:hAnsi="Times New Roman"/>
                <w:bCs/>
                <w:sz w:val="24"/>
                <w:lang w:eastAsia="de-DE"/>
              </w:rPr>
            </w:pPr>
          </w:p>
          <w:p w:rsidR="00FD54FC" w:rsidRPr="00661595" w:rsidRDefault="002F78EA" w:rsidP="0018236F">
            <w:pPr>
              <w:keepNext/>
              <w:keepLines/>
              <w:suppressAutoHyphens/>
              <w:spacing w:before="0" w:after="0"/>
              <w:ind w:left="33"/>
              <w:rPr>
                <w:rFonts w:ascii="Times New Roman" w:hAnsi="Times New Roman"/>
                <w:bCs/>
                <w:sz w:val="24"/>
              </w:rPr>
            </w:pPr>
            <w:r>
              <w:rPr>
                <w:rFonts w:ascii="Times New Roman" w:hAnsi="Times New Roman"/>
                <w:bCs/>
                <w:sz w:val="24"/>
              </w:rPr>
              <w:t xml:space="preserve">Punto 6, lettera c), e </w:t>
            </w:r>
            <w:r w:rsidR="000878EC">
              <w:rPr>
                <w:rFonts w:ascii="Times New Roman" w:hAnsi="Times New Roman"/>
                <w:bCs/>
                <w:sz w:val="24"/>
              </w:rPr>
              <w:t>"</w:t>
            </w:r>
            <w:r>
              <w:rPr>
                <w:rFonts w:ascii="Times New Roman" w:hAnsi="Times New Roman"/>
                <w:bCs/>
                <w:sz w:val="24"/>
              </w:rPr>
              <w:t>elementi fuori bilancio</w:t>
            </w:r>
            <w:r w:rsidR="000878EC">
              <w:rPr>
                <w:rFonts w:ascii="Times New Roman" w:hAnsi="Times New Roman"/>
                <w:bCs/>
                <w:sz w:val="24"/>
              </w:rPr>
              <w:t>"</w:t>
            </w:r>
            <w:r>
              <w:rPr>
                <w:rFonts w:ascii="Times New Roman" w:hAnsi="Times New Roman"/>
                <w:bCs/>
                <w:sz w:val="24"/>
              </w:rPr>
              <w:t xml:space="preserve"> di cui all</w:t>
            </w:r>
            <w:r w:rsidR="000878EC">
              <w:rPr>
                <w:rFonts w:ascii="Times New Roman" w:hAnsi="Times New Roman"/>
                <w:bCs/>
                <w:sz w:val="24"/>
              </w:rPr>
              <w:t>'</w:t>
            </w:r>
            <w:r>
              <w:rPr>
                <w:rFonts w:ascii="Times New Roman" w:hAnsi="Times New Roman"/>
                <w:bCs/>
                <w:sz w:val="24"/>
              </w:rPr>
              <w:t>articolo 4, all</w:t>
            </w:r>
            <w:r w:rsidR="000878EC">
              <w:rPr>
                <w:rFonts w:ascii="Times New Roman" w:hAnsi="Times New Roman"/>
                <w:bCs/>
                <w:sz w:val="24"/>
              </w:rPr>
              <w:t>'</w:t>
            </w:r>
            <w:r>
              <w:rPr>
                <w:rFonts w:ascii="Times New Roman" w:hAnsi="Times New Roman"/>
                <w:bCs/>
                <w:sz w:val="24"/>
              </w:rPr>
              <w:t>articolo 27, paragrafo 11, all</w:t>
            </w:r>
            <w:r w:rsidR="000878EC">
              <w:rPr>
                <w:rFonts w:ascii="Times New Roman" w:hAnsi="Times New Roman"/>
                <w:bCs/>
                <w:sz w:val="24"/>
              </w:rPr>
              <w:t>'</w:t>
            </w:r>
            <w:r>
              <w:rPr>
                <w:rFonts w:ascii="Times New Roman" w:hAnsi="Times New Roman"/>
                <w:bCs/>
                <w:sz w:val="24"/>
              </w:rPr>
              <w:t>articolo 28, paragrafo 8, e all</w:t>
            </w:r>
            <w:r w:rsidR="000878EC">
              <w:rPr>
                <w:rFonts w:ascii="Times New Roman" w:hAnsi="Times New Roman"/>
                <w:bCs/>
                <w:sz w:val="24"/>
              </w:rPr>
              <w:t>'</w:t>
            </w:r>
            <w:r>
              <w:rPr>
                <w:rFonts w:ascii="Times New Roman" w:hAnsi="Times New Roman"/>
                <w:bCs/>
                <w:sz w:val="24"/>
              </w:rPr>
              <w:t>articolo 33 della BAD; IFRS 9.4.2.1(c)(ii),(d)(ii), 9.5.5.20; IAS 37, IFRS 4, allegato V, parte 2.11, del presente regolamento di esecuzione.</w:t>
            </w:r>
          </w:p>
          <w:p w:rsidR="00FD54FC" w:rsidRPr="00661595" w:rsidRDefault="00FD54FC" w:rsidP="0018236F">
            <w:pPr>
              <w:keepNext/>
              <w:keepLines/>
              <w:suppressAutoHyphens/>
              <w:spacing w:before="0" w:after="0"/>
              <w:ind w:left="33"/>
              <w:rPr>
                <w:rFonts w:ascii="Times New Roman" w:hAnsi="Times New Roman"/>
                <w:bCs/>
                <w:sz w:val="24"/>
                <w:lang w:eastAsia="de-DE"/>
              </w:rPr>
            </w:pPr>
          </w:p>
          <w:p w:rsidR="00FD54FC" w:rsidRPr="00661595" w:rsidRDefault="00FD54FC" w:rsidP="0018236F">
            <w:pPr>
              <w:keepNext/>
              <w:keepLines/>
              <w:suppressAutoHyphens/>
              <w:spacing w:before="0" w:after="0"/>
              <w:ind w:left="33"/>
              <w:rPr>
                <w:rFonts w:ascii="Times New Roman" w:hAnsi="Times New Roman"/>
                <w:bCs/>
                <w:sz w:val="24"/>
              </w:rPr>
            </w:pPr>
            <w:r>
              <w:rPr>
                <w:rFonts w:ascii="Times New Roman" w:hAnsi="Times New Roman"/>
                <w:bCs/>
                <w:sz w:val="24"/>
              </w:rPr>
              <w:t>Accantonamenti su tutte le esposizioni fuori bilancio indipendentemente dalla modalità con cui sono valutate, ad eccezione di quelle che sono valutate al fair value (valore equo) rilevato nell</w:t>
            </w:r>
            <w:r w:rsidR="000878EC">
              <w:rPr>
                <w:rFonts w:ascii="Times New Roman" w:hAnsi="Times New Roman"/>
                <w:bCs/>
                <w:sz w:val="24"/>
              </w:rPr>
              <w:t>'</w:t>
            </w:r>
            <w:r>
              <w:rPr>
                <w:rFonts w:ascii="Times New Roman" w:hAnsi="Times New Roman"/>
                <w:bCs/>
                <w:sz w:val="24"/>
              </w:rPr>
              <w:t>utile (perdita) d</w:t>
            </w:r>
            <w:r w:rsidR="000878EC">
              <w:rPr>
                <w:rFonts w:ascii="Times New Roman" w:hAnsi="Times New Roman"/>
                <w:bCs/>
                <w:sz w:val="24"/>
              </w:rPr>
              <w:t>'</w:t>
            </w:r>
            <w:r>
              <w:rPr>
                <w:rFonts w:ascii="Times New Roman" w:hAnsi="Times New Roman"/>
                <w:bCs/>
                <w:sz w:val="24"/>
              </w:rPr>
              <w:t>esercizio in conformità dell</w:t>
            </w:r>
            <w:r w:rsidR="000878EC">
              <w:rPr>
                <w:rFonts w:ascii="Times New Roman" w:hAnsi="Times New Roman"/>
                <w:bCs/>
                <w:sz w:val="24"/>
              </w:rPr>
              <w:t>'</w:t>
            </w:r>
            <w:r>
              <w:rPr>
                <w:rFonts w:ascii="Times New Roman" w:hAnsi="Times New Roman"/>
                <w:bCs/>
                <w:sz w:val="24"/>
              </w:rPr>
              <w:t>IFRS 9.</w:t>
            </w:r>
          </w:p>
          <w:p w:rsidR="00FD54FC" w:rsidRPr="00661595" w:rsidRDefault="00FD54FC" w:rsidP="0018236F">
            <w:pPr>
              <w:keepNext/>
              <w:keepLines/>
              <w:suppressAutoHyphens/>
              <w:spacing w:before="0" w:after="0"/>
              <w:ind w:left="33"/>
              <w:rPr>
                <w:rFonts w:ascii="Times New Roman" w:hAnsi="Times New Roman"/>
                <w:bCs/>
                <w:sz w:val="24"/>
                <w:lang w:eastAsia="de-DE"/>
              </w:rPr>
            </w:pPr>
          </w:p>
          <w:p w:rsidR="00FD54FC" w:rsidRPr="00661595" w:rsidRDefault="00FD54FC" w:rsidP="0018236F">
            <w:pPr>
              <w:keepNext/>
              <w:keepLines/>
              <w:suppressAutoHyphens/>
              <w:spacing w:before="0" w:after="0"/>
              <w:ind w:left="33"/>
              <w:rPr>
                <w:rFonts w:ascii="Times New Roman" w:hAnsi="Times New Roman"/>
                <w:bCs/>
                <w:sz w:val="24"/>
              </w:rPr>
            </w:pPr>
            <w:r>
              <w:rPr>
                <w:rFonts w:ascii="Times New Roman" w:hAnsi="Times New Roman"/>
                <w:bCs/>
                <w:sz w:val="24"/>
              </w:rPr>
              <w:t>Ai sensi degli IFRS, la riduzione di valore di un impegno all</w:t>
            </w:r>
            <w:r w:rsidR="000878EC">
              <w:rPr>
                <w:rFonts w:ascii="Times New Roman" w:hAnsi="Times New Roman"/>
                <w:bCs/>
                <w:sz w:val="24"/>
              </w:rPr>
              <w:t>'</w:t>
            </w:r>
            <w:r>
              <w:rPr>
                <w:rFonts w:ascii="Times New Roman" w:hAnsi="Times New Roman"/>
                <w:bCs/>
                <w:sz w:val="24"/>
              </w:rPr>
              <w:t>erogazione di finanziamenti dato è segnalata nella colonna 150 se l</w:t>
            </w:r>
            <w:r w:rsidR="000878EC">
              <w:rPr>
                <w:rFonts w:ascii="Times New Roman" w:hAnsi="Times New Roman"/>
                <w:bCs/>
                <w:sz w:val="24"/>
              </w:rPr>
              <w:t>'</w:t>
            </w:r>
            <w:r>
              <w:rPr>
                <w:rFonts w:ascii="Times New Roman" w:hAnsi="Times New Roman"/>
                <w:bCs/>
                <w:sz w:val="24"/>
              </w:rPr>
              <w:t>ente non è in grado di individuare separatamente le perdite attese su crediti relative all</w:t>
            </w:r>
            <w:r w:rsidR="000878EC">
              <w:rPr>
                <w:rFonts w:ascii="Times New Roman" w:hAnsi="Times New Roman"/>
                <w:bCs/>
                <w:sz w:val="24"/>
              </w:rPr>
              <w:t>'</w:t>
            </w:r>
            <w:r>
              <w:rPr>
                <w:rFonts w:ascii="Times New Roman" w:hAnsi="Times New Roman"/>
                <w:bCs/>
                <w:sz w:val="24"/>
              </w:rPr>
              <w:t>importo utilizzato e non utilizzato dello strumento di debito. Nel caso in cui la somma delle perdite attese su crediti per lo strumento finanziario in questione superi il valore contabile lordo della componente di prestito dello strumento, il saldo restante delle perdite attese su crediti è segnalato come accantonamento nella colonna 0250.</w:t>
            </w:r>
          </w:p>
          <w:p w:rsidR="00FD54FC" w:rsidRPr="00661595" w:rsidRDefault="00FD54FC" w:rsidP="0018236F">
            <w:pPr>
              <w:keepNext/>
              <w:keepLines/>
              <w:suppressAutoHyphens/>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0260</w:t>
            </w:r>
          </w:p>
        </w:tc>
        <w:tc>
          <w:tcPr>
            <w:tcW w:w="8640" w:type="dxa"/>
          </w:tcPr>
          <w:p w:rsidR="00FD54FC" w:rsidRPr="00661595" w:rsidRDefault="00FD54FC" w:rsidP="0018236F">
            <w:pPr>
              <w:suppressAutoHyphens/>
              <w:spacing w:before="0" w:after="0"/>
              <w:ind w:left="33"/>
              <w:rPr>
                <w:rFonts w:ascii="Times New Roman" w:hAnsi="Times New Roman"/>
                <w:b/>
                <w:bCs/>
                <w:sz w:val="24"/>
                <w:u w:val="single"/>
              </w:rPr>
            </w:pPr>
            <w:r>
              <w:rPr>
                <w:rFonts w:ascii="Times New Roman" w:hAnsi="Times New Roman"/>
                <w:b/>
                <w:bCs/>
                <w:sz w:val="24"/>
                <w:u w:val="single"/>
              </w:rPr>
              <w:t xml:space="preserve">Variazioni negative accumulate del fair value (valore equo) dovute al rischio di credito </w:t>
            </w:r>
          </w:p>
          <w:p w:rsidR="00FD54FC" w:rsidRPr="00661595" w:rsidRDefault="00FD54FC" w:rsidP="0018236F">
            <w:pPr>
              <w:suppressAutoHyphens/>
              <w:spacing w:before="0" w:after="0"/>
              <w:ind w:left="33"/>
              <w:rPr>
                <w:rFonts w:ascii="Times New Roman" w:hAnsi="Times New Roman"/>
                <w:b/>
                <w:bCs/>
                <w:sz w:val="24"/>
                <w:u w:val="single"/>
                <w:lang w:eastAsia="de-DE"/>
              </w:rPr>
            </w:pPr>
          </w:p>
          <w:p w:rsidR="00FD54FC" w:rsidRPr="00661595" w:rsidRDefault="00FD54FC" w:rsidP="0018236F">
            <w:pPr>
              <w:suppressAutoHyphens/>
              <w:spacing w:before="0" w:after="0"/>
              <w:ind w:left="33"/>
              <w:rPr>
                <w:rFonts w:ascii="Times New Roman" w:hAnsi="Times New Roman"/>
                <w:bCs/>
                <w:sz w:val="24"/>
              </w:rPr>
            </w:pPr>
            <w:r>
              <w:rPr>
                <w:rFonts w:ascii="Times New Roman" w:hAnsi="Times New Roman"/>
                <w:bCs/>
                <w:sz w:val="24"/>
              </w:rPr>
              <w:t>Per gli elementi fuori bilancio valutati al fair value (valore equo) rilevato nell</w:t>
            </w:r>
            <w:r w:rsidR="000878EC">
              <w:rPr>
                <w:rFonts w:ascii="Times New Roman" w:hAnsi="Times New Roman"/>
                <w:bCs/>
                <w:sz w:val="24"/>
              </w:rPr>
              <w:t>'</w:t>
            </w:r>
            <w:r>
              <w:rPr>
                <w:rFonts w:ascii="Times New Roman" w:hAnsi="Times New Roman"/>
                <w:bCs/>
                <w:sz w:val="24"/>
              </w:rPr>
              <w:t>utile (perdita) d</w:t>
            </w:r>
            <w:r w:rsidR="000878EC">
              <w:rPr>
                <w:rFonts w:ascii="Times New Roman" w:hAnsi="Times New Roman"/>
                <w:bCs/>
                <w:sz w:val="24"/>
              </w:rPr>
              <w:t>'</w:t>
            </w:r>
            <w:r>
              <w:rPr>
                <w:rFonts w:ascii="Times New Roman" w:hAnsi="Times New Roman"/>
                <w:bCs/>
                <w:sz w:val="24"/>
              </w:rPr>
              <w:t>esercizio in conformità dell</w:t>
            </w:r>
            <w:r w:rsidR="000878EC">
              <w:rPr>
                <w:rFonts w:ascii="Times New Roman" w:hAnsi="Times New Roman"/>
                <w:bCs/>
                <w:sz w:val="24"/>
              </w:rPr>
              <w:t>'</w:t>
            </w:r>
            <w:r>
              <w:rPr>
                <w:rFonts w:ascii="Times New Roman" w:hAnsi="Times New Roman"/>
                <w:bCs/>
                <w:sz w:val="24"/>
              </w:rPr>
              <w:t>IFRS 9, variazioni negative accumulate del fair value (valore equo) dovute al rischio di credito (allegato V, parte 2, punto 110, del presente regolamento di esecuzione).</w:t>
            </w:r>
          </w:p>
          <w:p w:rsidR="00FD54FC" w:rsidRPr="00661595" w:rsidRDefault="00730040" w:rsidP="0018236F">
            <w:pPr>
              <w:suppressAutoHyphens/>
              <w:spacing w:before="0" w:after="0"/>
              <w:ind w:left="33"/>
              <w:rPr>
                <w:rFonts w:ascii="Times New Roman" w:hAnsi="Times New Roman"/>
                <w:b/>
                <w:bCs/>
                <w:sz w:val="24"/>
                <w:u w:val="single"/>
              </w:rPr>
            </w:pPr>
            <w:r>
              <w:rPr>
                <w:rFonts w:ascii="Times New Roman" w:hAnsi="Times New Roman"/>
                <w:bCs/>
                <w:sz w:val="24"/>
                <w:u w:val="single"/>
              </w:rPr>
              <w:t xml:space="preserve"> </w:t>
            </w: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B74792">
            <w:pPr>
              <w:spacing w:before="0" w:after="0"/>
              <w:ind w:left="33"/>
              <w:rPr>
                <w:rFonts w:ascii="Times New Roman" w:hAnsi="Times New Roman"/>
                <w:bCs/>
                <w:sz w:val="24"/>
              </w:rPr>
            </w:pPr>
            <w:r>
              <w:rPr>
                <w:rFonts w:ascii="Times New Roman" w:hAnsi="Times New Roman"/>
                <w:bCs/>
                <w:sz w:val="24"/>
              </w:rPr>
              <w:t>0270-280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18236F">
            <w:pPr>
              <w:suppressAutoHyphens/>
              <w:spacing w:before="0" w:after="0"/>
              <w:ind w:left="33"/>
              <w:rPr>
                <w:rFonts w:ascii="Times New Roman" w:hAnsi="Times New Roman"/>
                <w:b/>
                <w:bCs/>
                <w:sz w:val="24"/>
                <w:u w:val="single"/>
              </w:rPr>
            </w:pPr>
            <w:r>
              <w:rPr>
                <w:rFonts w:ascii="Times New Roman" w:hAnsi="Times New Roman"/>
                <w:b/>
                <w:bCs/>
                <w:sz w:val="24"/>
                <w:u w:val="single"/>
              </w:rPr>
              <w:t>Voce per memoria: derivati su crediti venduti su esposizioni delle amministrazioni pubbliche</w:t>
            </w:r>
          </w:p>
          <w:p w:rsidR="00FD54FC" w:rsidRPr="00661595" w:rsidRDefault="00FD54FC" w:rsidP="0018236F">
            <w:pPr>
              <w:suppressAutoHyphens/>
              <w:spacing w:before="0" w:after="0"/>
              <w:ind w:left="33"/>
              <w:rPr>
                <w:rFonts w:ascii="Times New Roman" w:hAnsi="Times New Roman"/>
                <w:b/>
                <w:bCs/>
                <w:sz w:val="24"/>
                <w:u w:val="single"/>
                <w:lang w:eastAsia="de-DE"/>
              </w:rPr>
            </w:pPr>
          </w:p>
          <w:p w:rsidR="00FD54FC" w:rsidRPr="00661595" w:rsidRDefault="00FD54FC" w:rsidP="0018236F">
            <w:pPr>
              <w:suppressAutoHyphens/>
              <w:spacing w:before="0" w:after="0"/>
              <w:ind w:left="33"/>
              <w:rPr>
                <w:rFonts w:ascii="Times New Roman" w:hAnsi="Times New Roman"/>
                <w:bCs/>
                <w:sz w:val="24"/>
              </w:rPr>
            </w:pPr>
            <w:r>
              <w:rPr>
                <w:rFonts w:ascii="Times New Roman" w:hAnsi="Times New Roman"/>
                <w:bCs/>
                <w:sz w:val="24"/>
              </w:rPr>
              <w:t>Sono segnalati i derivati su crediti che non corrispondono alla definizione di garanzie finanziarie di cui all</w:t>
            </w:r>
            <w:r w:rsidR="000878EC">
              <w:rPr>
                <w:rFonts w:ascii="Times New Roman" w:hAnsi="Times New Roman"/>
                <w:bCs/>
                <w:sz w:val="24"/>
              </w:rPr>
              <w:t>'</w:t>
            </w:r>
            <w:r>
              <w:rPr>
                <w:rFonts w:ascii="Times New Roman" w:hAnsi="Times New Roman"/>
                <w:bCs/>
                <w:sz w:val="24"/>
              </w:rPr>
              <w:t>allegato V, parte 2, punto 58, che l</w:t>
            </w:r>
            <w:r w:rsidR="000878EC">
              <w:rPr>
                <w:rFonts w:ascii="Times New Roman" w:hAnsi="Times New Roman"/>
                <w:bCs/>
                <w:sz w:val="24"/>
              </w:rPr>
              <w:t>'</w:t>
            </w:r>
            <w:r>
              <w:rPr>
                <w:rFonts w:ascii="Times New Roman" w:hAnsi="Times New Roman"/>
                <w:bCs/>
                <w:sz w:val="24"/>
              </w:rPr>
              <w:t>ente segnalante ha sottoscritto con controparti diverse da amministrazioni pubbliche e la cui esposizione di riferimento è verso un</w:t>
            </w:r>
            <w:r w:rsidR="000878EC">
              <w:rPr>
                <w:rFonts w:ascii="Times New Roman" w:hAnsi="Times New Roman"/>
                <w:bCs/>
                <w:sz w:val="24"/>
              </w:rPr>
              <w:t>'</w:t>
            </w:r>
            <w:r>
              <w:rPr>
                <w:rFonts w:ascii="Times New Roman" w:hAnsi="Times New Roman"/>
                <w:bCs/>
                <w:sz w:val="24"/>
              </w:rPr>
              <w:t>amministrazione pubblica.</w:t>
            </w:r>
          </w:p>
          <w:p w:rsidR="00FD54FC" w:rsidRPr="00661595" w:rsidRDefault="00FD54FC" w:rsidP="0018236F">
            <w:pPr>
              <w:suppressAutoHyphens/>
              <w:spacing w:before="0" w:after="0"/>
              <w:ind w:left="33"/>
              <w:rPr>
                <w:rFonts w:ascii="Times New Roman" w:hAnsi="Times New Roman"/>
                <w:bCs/>
                <w:sz w:val="24"/>
                <w:lang w:eastAsia="de-DE"/>
              </w:rPr>
            </w:pPr>
          </w:p>
          <w:p w:rsidR="00FD54FC" w:rsidRPr="00661595" w:rsidRDefault="00FD54FC" w:rsidP="0018236F">
            <w:pPr>
              <w:suppressAutoHyphens/>
              <w:spacing w:before="0" w:after="0"/>
              <w:ind w:left="33"/>
              <w:rPr>
                <w:rFonts w:ascii="Times New Roman" w:hAnsi="Times New Roman"/>
                <w:bCs/>
                <w:sz w:val="24"/>
              </w:rPr>
            </w:pPr>
            <w:r>
              <w:rPr>
                <w:rFonts w:ascii="Times New Roman" w:hAnsi="Times New Roman"/>
                <w:bCs/>
                <w:sz w:val="24"/>
              </w:rPr>
              <w:t>Queste colonne non sono compilate per le esposizioni ripartite per rischio, metodo regolamentare e classe di esposizioni (righe da 0020 a 0160).</w:t>
            </w:r>
          </w:p>
          <w:p w:rsidR="00FD54FC" w:rsidRPr="00661595" w:rsidRDefault="00FD54FC" w:rsidP="0018236F">
            <w:pPr>
              <w:suppressAutoHyphens/>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FD54FC">
            <w:pPr>
              <w:spacing w:before="0" w:after="0"/>
              <w:ind w:left="33"/>
              <w:rPr>
                <w:rFonts w:ascii="Times New Roman" w:hAnsi="Times New Roman"/>
                <w:bCs/>
                <w:sz w:val="24"/>
              </w:rPr>
            </w:pPr>
            <w:r>
              <w:rPr>
                <w:rFonts w:ascii="Times New Roman" w:hAnsi="Times New Roman"/>
                <w:bCs/>
                <w:sz w:val="24"/>
              </w:rPr>
              <w:t>0270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18236F">
            <w:pPr>
              <w:suppressAutoHyphens/>
              <w:spacing w:before="0" w:after="0"/>
              <w:ind w:left="33"/>
              <w:rPr>
                <w:rFonts w:ascii="Times New Roman" w:hAnsi="Times New Roman"/>
                <w:b/>
                <w:bCs/>
                <w:sz w:val="24"/>
                <w:u w:val="single"/>
              </w:rPr>
            </w:pPr>
            <w:r>
              <w:rPr>
                <w:rFonts w:ascii="Times New Roman" w:hAnsi="Times New Roman"/>
                <w:b/>
                <w:bCs/>
                <w:sz w:val="24"/>
                <w:u w:val="single"/>
              </w:rPr>
              <w:t>Derivati con fair value (valore equo) positivo - Valore contabile</w:t>
            </w:r>
          </w:p>
          <w:p w:rsidR="00FD54FC" w:rsidRPr="00661595" w:rsidRDefault="00FD54FC" w:rsidP="0018236F">
            <w:pPr>
              <w:suppressAutoHyphens/>
              <w:spacing w:before="0" w:after="0"/>
              <w:ind w:left="33"/>
              <w:rPr>
                <w:rFonts w:ascii="Times New Roman" w:hAnsi="Times New Roman"/>
                <w:b/>
                <w:bCs/>
                <w:sz w:val="24"/>
                <w:u w:val="single"/>
                <w:lang w:eastAsia="de-DE"/>
              </w:rPr>
            </w:pPr>
          </w:p>
          <w:p w:rsidR="00FD54FC" w:rsidRPr="00661595" w:rsidRDefault="00FD54FC" w:rsidP="0018236F">
            <w:pPr>
              <w:suppressAutoHyphens/>
              <w:spacing w:before="0" w:after="0"/>
              <w:ind w:left="33"/>
              <w:rPr>
                <w:rFonts w:ascii="Times New Roman" w:hAnsi="Times New Roman"/>
                <w:bCs/>
                <w:sz w:val="24"/>
              </w:rPr>
            </w:pPr>
            <w:r>
              <w:rPr>
                <w:rFonts w:ascii="Times New Roman" w:hAnsi="Times New Roman"/>
                <w:bCs/>
                <w:sz w:val="24"/>
              </w:rPr>
              <w:t>Valore contabile aggregato dei derivati su crediti venduti su esposizioni delle amministrazioni pubbliche segnalati che hanno un fair value (valore equo) positivo per l</w:t>
            </w:r>
            <w:r w:rsidR="000878EC">
              <w:rPr>
                <w:rFonts w:ascii="Times New Roman" w:hAnsi="Times New Roman"/>
                <w:bCs/>
                <w:sz w:val="24"/>
              </w:rPr>
              <w:t>'</w:t>
            </w:r>
            <w:r>
              <w:rPr>
                <w:rFonts w:ascii="Times New Roman" w:hAnsi="Times New Roman"/>
                <w:bCs/>
                <w:sz w:val="24"/>
              </w:rPr>
              <w:t>ente alla data di riferimento per le segnalazioni, senza considerare gli aggiustamenti per la valutazione prudente.</w:t>
            </w:r>
          </w:p>
          <w:p w:rsidR="00FD54FC" w:rsidRPr="00661595" w:rsidRDefault="00FD54FC" w:rsidP="0018236F">
            <w:pPr>
              <w:suppressAutoHyphens/>
              <w:spacing w:before="0" w:after="0"/>
              <w:ind w:left="33"/>
              <w:rPr>
                <w:rFonts w:ascii="Times New Roman" w:hAnsi="Times New Roman"/>
                <w:bCs/>
                <w:sz w:val="24"/>
                <w:lang w:eastAsia="de-DE"/>
              </w:rPr>
            </w:pPr>
          </w:p>
          <w:p w:rsidR="00FD54FC" w:rsidRPr="00661595" w:rsidRDefault="00FD54FC" w:rsidP="0018236F">
            <w:pPr>
              <w:suppressAutoHyphens/>
              <w:spacing w:before="0" w:after="0"/>
              <w:ind w:left="33"/>
              <w:rPr>
                <w:rFonts w:ascii="Times New Roman" w:hAnsi="Times New Roman"/>
                <w:bCs/>
                <w:sz w:val="24"/>
              </w:rPr>
            </w:pPr>
            <w:r>
              <w:rPr>
                <w:rFonts w:ascii="Times New Roman" w:hAnsi="Times New Roman"/>
                <w:bCs/>
                <w:sz w:val="24"/>
              </w:rPr>
              <w:t>Per i derivati soggetti agli IFRS, l</w:t>
            </w:r>
            <w:r w:rsidR="000878EC">
              <w:rPr>
                <w:rFonts w:ascii="Times New Roman" w:hAnsi="Times New Roman"/>
                <w:bCs/>
                <w:sz w:val="24"/>
              </w:rPr>
              <w:t>'</w:t>
            </w:r>
            <w:r>
              <w:rPr>
                <w:rFonts w:ascii="Times New Roman" w:hAnsi="Times New Roman"/>
                <w:bCs/>
                <w:sz w:val="24"/>
              </w:rPr>
              <w:t>importo da segnalare in questa colonna è il valore contabile dei derivati che costituiscono attività finanziarie alla data per le segnalazioni.</w:t>
            </w:r>
          </w:p>
          <w:p w:rsidR="00FD54FC" w:rsidRPr="00661595" w:rsidRDefault="00FD54FC" w:rsidP="0018236F">
            <w:pPr>
              <w:suppressAutoHyphens/>
              <w:spacing w:before="0" w:after="0"/>
              <w:ind w:left="33"/>
              <w:rPr>
                <w:rFonts w:ascii="Times New Roman" w:hAnsi="Times New Roman"/>
                <w:bCs/>
                <w:sz w:val="24"/>
                <w:lang w:eastAsia="de-DE"/>
              </w:rPr>
            </w:pPr>
          </w:p>
          <w:p w:rsidR="00FD54FC" w:rsidRPr="00661595" w:rsidRDefault="00FD54FC" w:rsidP="0018236F">
            <w:pPr>
              <w:keepNext/>
              <w:keepLines/>
              <w:suppressAutoHyphens/>
              <w:spacing w:before="0" w:after="0"/>
              <w:ind w:left="33"/>
              <w:rPr>
                <w:rFonts w:ascii="Times New Roman" w:hAnsi="Times New Roman"/>
                <w:bCs/>
                <w:sz w:val="24"/>
              </w:rPr>
            </w:pPr>
            <w:r>
              <w:rPr>
                <w:rFonts w:ascii="Times New Roman" w:hAnsi="Times New Roman"/>
                <w:bCs/>
                <w:sz w:val="24"/>
              </w:rPr>
              <w:t>Per i derivati soggetti ai GAAP basati sulla BAD, l</w:t>
            </w:r>
            <w:r w:rsidR="000878EC">
              <w:rPr>
                <w:rFonts w:ascii="Times New Roman" w:hAnsi="Times New Roman"/>
                <w:bCs/>
                <w:sz w:val="24"/>
              </w:rPr>
              <w:t>'</w:t>
            </w:r>
            <w:r>
              <w:rPr>
                <w:rFonts w:ascii="Times New Roman" w:hAnsi="Times New Roman"/>
                <w:bCs/>
                <w:sz w:val="24"/>
              </w:rPr>
              <w:t>importo da segnalare in questa colonna è il fair value (valore equo) dei derivati con un fair value (valore equo) positivo alla data di riferimento per le segnalazioni, indipendentemente da come vengono contabilizzati.</w:t>
            </w:r>
          </w:p>
          <w:p w:rsidR="00FD54FC" w:rsidRPr="00661595" w:rsidRDefault="00FD54FC" w:rsidP="0018236F">
            <w:pPr>
              <w:suppressAutoHyphens/>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FD54FC">
            <w:pPr>
              <w:spacing w:before="0" w:after="0"/>
              <w:ind w:left="33"/>
              <w:rPr>
                <w:rFonts w:ascii="Times New Roman" w:hAnsi="Times New Roman"/>
                <w:bCs/>
                <w:sz w:val="24"/>
              </w:rPr>
            </w:pPr>
            <w:r>
              <w:rPr>
                <w:rFonts w:ascii="Times New Roman" w:hAnsi="Times New Roman"/>
                <w:bCs/>
                <w:sz w:val="24"/>
              </w:rPr>
              <w:t>0280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18236F">
            <w:pPr>
              <w:suppressAutoHyphens/>
              <w:spacing w:before="0" w:after="0"/>
              <w:ind w:left="33"/>
              <w:rPr>
                <w:rFonts w:ascii="Times New Roman" w:hAnsi="Times New Roman"/>
                <w:b/>
                <w:bCs/>
                <w:sz w:val="24"/>
                <w:u w:val="single"/>
              </w:rPr>
            </w:pPr>
            <w:r>
              <w:rPr>
                <w:rFonts w:ascii="Times New Roman" w:hAnsi="Times New Roman"/>
                <w:b/>
                <w:bCs/>
                <w:sz w:val="24"/>
                <w:u w:val="single"/>
              </w:rPr>
              <w:t>Derivati con fair value (valore equo) negativo - Valore contabile</w:t>
            </w:r>
          </w:p>
          <w:p w:rsidR="00FD54FC" w:rsidRPr="00661595" w:rsidRDefault="00FD54FC" w:rsidP="0018236F">
            <w:pPr>
              <w:suppressAutoHyphens/>
              <w:spacing w:before="0" w:after="0"/>
              <w:ind w:left="33"/>
              <w:rPr>
                <w:rFonts w:ascii="Times New Roman" w:hAnsi="Times New Roman"/>
                <w:b/>
                <w:bCs/>
                <w:sz w:val="24"/>
                <w:u w:val="single"/>
                <w:lang w:eastAsia="de-DE"/>
              </w:rPr>
            </w:pPr>
          </w:p>
          <w:p w:rsidR="00FD54FC" w:rsidRPr="00661595" w:rsidRDefault="00FD54FC" w:rsidP="0018236F">
            <w:pPr>
              <w:suppressAutoHyphens/>
              <w:spacing w:before="0" w:after="0"/>
              <w:ind w:left="33"/>
              <w:rPr>
                <w:rFonts w:ascii="Times New Roman" w:hAnsi="Times New Roman"/>
                <w:bCs/>
                <w:sz w:val="24"/>
              </w:rPr>
            </w:pPr>
            <w:r>
              <w:rPr>
                <w:rFonts w:ascii="Times New Roman" w:hAnsi="Times New Roman"/>
                <w:bCs/>
                <w:sz w:val="24"/>
              </w:rPr>
              <w:t>Valore contabile aggregato dei derivati su crediti venduti su esposizioni delle amministrazioni pubbliche segnalati che hanno un fair value (valore equo) negativo per l</w:t>
            </w:r>
            <w:r w:rsidR="000878EC">
              <w:rPr>
                <w:rFonts w:ascii="Times New Roman" w:hAnsi="Times New Roman"/>
                <w:bCs/>
                <w:sz w:val="24"/>
              </w:rPr>
              <w:t>'</w:t>
            </w:r>
            <w:r>
              <w:rPr>
                <w:rFonts w:ascii="Times New Roman" w:hAnsi="Times New Roman"/>
                <w:bCs/>
                <w:sz w:val="24"/>
              </w:rPr>
              <w:t>ente alla data di riferimento per le segnalazioni, senza considerare gli aggiustamenti per la valutazione prudente.</w:t>
            </w:r>
          </w:p>
          <w:p w:rsidR="00FD54FC" w:rsidRPr="00661595" w:rsidRDefault="00FD54FC" w:rsidP="0018236F">
            <w:pPr>
              <w:suppressAutoHyphens/>
              <w:spacing w:before="0" w:after="0"/>
              <w:ind w:left="33"/>
              <w:rPr>
                <w:rFonts w:ascii="Times New Roman" w:hAnsi="Times New Roman"/>
                <w:bCs/>
                <w:sz w:val="24"/>
                <w:lang w:eastAsia="de-DE"/>
              </w:rPr>
            </w:pPr>
          </w:p>
          <w:p w:rsidR="00FD54FC" w:rsidRPr="00661595" w:rsidRDefault="00FD54FC" w:rsidP="0018236F">
            <w:pPr>
              <w:suppressAutoHyphens/>
              <w:spacing w:before="0" w:after="0"/>
              <w:ind w:left="33"/>
              <w:rPr>
                <w:rFonts w:ascii="Times New Roman" w:hAnsi="Times New Roman"/>
                <w:bCs/>
                <w:sz w:val="24"/>
              </w:rPr>
            </w:pPr>
            <w:r>
              <w:rPr>
                <w:rFonts w:ascii="Times New Roman" w:hAnsi="Times New Roman"/>
                <w:bCs/>
                <w:sz w:val="24"/>
              </w:rPr>
              <w:t>Per i derivati soggetti agli IFRS, l</w:t>
            </w:r>
            <w:r w:rsidR="000878EC">
              <w:rPr>
                <w:rFonts w:ascii="Times New Roman" w:hAnsi="Times New Roman"/>
                <w:bCs/>
                <w:sz w:val="24"/>
              </w:rPr>
              <w:t>'</w:t>
            </w:r>
            <w:r>
              <w:rPr>
                <w:rFonts w:ascii="Times New Roman" w:hAnsi="Times New Roman"/>
                <w:bCs/>
                <w:sz w:val="24"/>
              </w:rPr>
              <w:t xml:space="preserve">importo da segnalare in questa colonna è il valore contabile dei derivati che costituiscono passività finanziarie alla data per le segnalazioni. </w:t>
            </w:r>
          </w:p>
          <w:p w:rsidR="00FD54FC" w:rsidRPr="00661595" w:rsidRDefault="00FD54FC" w:rsidP="0018236F">
            <w:pPr>
              <w:suppressAutoHyphens/>
              <w:spacing w:before="0" w:after="0"/>
              <w:ind w:left="33"/>
              <w:rPr>
                <w:rFonts w:ascii="Times New Roman" w:hAnsi="Times New Roman"/>
                <w:bCs/>
                <w:sz w:val="24"/>
                <w:lang w:eastAsia="de-DE"/>
              </w:rPr>
            </w:pPr>
          </w:p>
          <w:p w:rsidR="00FD54FC" w:rsidRPr="00661595" w:rsidRDefault="00FD54FC" w:rsidP="0018236F">
            <w:pPr>
              <w:suppressAutoHyphens/>
              <w:spacing w:before="0" w:after="0"/>
              <w:ind w:left="33"/>
              <w:rPr>
                <w:rFonts w:ascii="Times New Roman" w:hAnsi="Times New Roman"/>
                <w:b/>
                <w:bCs/>
                <w:sz w:val="24"/>
                <w:u w:val="single"/>
              </w:rPr>
            </w:pPr>
            <w:r>
              <w:rPr>
                <w:rFonts w:ascii="Times New Roman" w:hAnsi="Times New Roman"/>
                <w:bCs/>
                <w:sz w:val="24"/>
              </w:rPr>
              <w:t>Per i derivati soggetti ai GAAP basati sulla BAD, l</w:t>
            </w:r>
            <w:r w:rsidR="000878EC">
              <w:rPr>
                <w:rFonts w:ascii="Times New Roman" w:hAnsi="Times New Roman"/>
                <w:bCs/>
                <w:sz w:val="24"/>
              </w:rPr>
              <w:t>'</w:t>
            </w:r>
            <w:r>
              <w:rPr>
                <w:rFonts w:ascii="Times New Roman" w:hAnsi="Times New Roman"/>
                <w:bCs/>
                <w:sz w:val="24"/>
              </w:rPr>
              <w:t>importo da segnalare in questa colonna è il fair value (valore equo) dei derivati con un fair value (valore equo) negativo alla data di riferimento per le segnalazioni, indipendentemente da come vengono contabilizzati.</w:t>
            </w:r>
            <w:r>
              <w:rPr>
                <w:rFonts w:ascii="Times New Roman" w:hAnsi="Times New Roman"/>
                <w:b/>
                <w:bCs/>
                <w:sz w:val="24"/>
                <w:u w:val="single"/>
              </w:rPr>
              <w:t xml:space="preserve"> </w:t>
            </w:r>
          </w:p>
          <w:p w:rsidR="00FD54FC" w:rsidRPr="00661595" w:rsidRDefault="00FD54FC" w:rsidP="0018236F">
            <w:pPr>
              <w:suppressAutoHyphens/>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Del="008D1680" w:rsidRDefault="00535792" w:rsidP="00FD54FC">
            <w:pPr>
              <w:spacing w:before="0" w:after="0"/>
              <w:ind w:left="33"/>
              <w:rPr>
                <w:rFonts w:ascii="Times New Roman" w:hAnsi="Times New Roman"/>
                <w:bCs/>
                <w:sz w:val="24"/>
              </w:rPr>
            </w:pPr>
            <w:r>
              <w:rPr>
                <w:rFonts w:ascii="Times New Roman" w:hAnsi="Times New Roman"/>
                <w:bCs/>
                <w:sz w:val="24"/>
              </w:rPr>
              <w:t>0290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18236F">
            <w:pPr>
              <w:suppressAutoHyphens/>
              <w:spacing w:before="0" w:after="0"/>
              <w:ind w:left="33"/>
              <w:rPr>
                <w:rFonts w:ascii="Times New Roman" w:hAnsi="Times New Roman"/>
                <w:b/>
                <w:bCs/>
                <w:sz w:val="24"/>
                <w:u w:val="single"/>
              </w:rPr>
            </w:pPr>
            <w:r>
              <w:rPr>
                <w:rFonts w:ascii="Times New Roman" w:hAnsi="Times New Roman"/>
                <w:b/>
                <w:bCs/>
                <w:sz w:val="24"/>
                <w:u w:val="single"/>
              </w:rPr>
              <w:t>Valore dell</w:t>
            </w:r>
            <w:r w:rsidR="000878EC">
              <w:rPr>
                <w:rFonts w:ascii="Times New Roman" w:hAnsi="Times New Roman"/>
                <w:b/>
                <w:bCs/>
                <w:sz w:val="24"/>
                <w:u w:val="single"/>
              </w:rPr>
              <w:t>'</w:t>
            </w:r>
            <w:r>
              <w:rPr>
                <w:rFonts w:ascii="Times New Roman" w:hAnsi="Times New Roman"/>
                <w:b/>
                <w:bCs/>
                <w:sz w:val="24"/>
                <w:u w:val="single"/>
              </w:rPr>
              <w:t>esposizione</w:t>
            </w:r>
          </w:p>
          <w:p w:rsidR="00FD54FC" w:rsidRPr="00661595" w:rsidRDefault="00FD54FC" w:rsidP="0018236F">
            <w:pPr>
              <w:suppressAutoHyphens/>
              <w:spacing w:before="0" w:after="0"/>
              <w:ind w:left="33"/>
              <w:rPr>
                <w:rFonts w:ascii="Times New Roman" w:hAnsi="Times New Roman"/>
                <w:b/>
                <w:bCs/>
                <w:sz w:val="24"/>
                <w:u w:val="single"/>
                <w:lang w:eastAsia="de-DE"/>
              </w:rPr>
            </w:pPr>
          </w:p>
          <w:p w:rsidR="00FD54FC" w:rsidRPr="00661595" w:rsidRDefault="00FD54FC" w:rsidP="0018236F">
            <w:pPr>
              <w:suppressAutoHyphens/>
              <w:spacing w:before="0" w:after="0"/>
              <w:ind w:left="33"/>
              <w:rPr>
                <w:rFonts w:ascii="Times New Roman" w:hAnsi="Times New Roman"/>
                <w:bCs/>
                <w:sz w:val="24"/>
              </w:rPr>
            </w:pPr>
            <w:r>
              <w:rPr>
                <w:rFonts w:ascii="Times New Roman" w:hAnsi="Times New Roman"/>
                <w:bCs/>
                <w:sz w:val="24"/>
              </w:rPr>
              <w:t>Valore dell</w:t>
            </w:r>
            <w:r w:rsidR="000878EC">
              <w:rPr>
                <w:rFonts w:ascii="Times New Roman" w:hAnsi="Times New Roman"/>
                <w:bCs/>
                <w:sz w:val="24"/>
              </w:rPr>
              <w:t>'</w:t>
            </w:r>
            <w:r>
              <w:rPr>
                <w:rFonts w:ascii="Times New Roman" w:hAnsi="Times New Roman"/>
                <w:bCs/>
                <w:sz w:val="24"/>
              </w:rPr>
              <w:t>esposizione per le esposizioni soggette al quadro relativo al rischio di credito.</w:t>
            </w:r>
          </w:p>
          <w:p w:rsidR="00FD54FC" w:rsidRPr="00661595" w:rsidRDefault="00FD54FC" w:rsidP="0018236F">
            <w:pPr>
              <w:suppressAutoHyphens/>
              <w:spacing w:before="0" w:after="0"/>
              <w:ind w:left="33"/>
              <w:rPr>
                <w:rFonts w:ascii="Times New Roman" w:hAnsi="Times New Roman"/>
                <w:bCs/>
                <w:sz w:val="24"/>
                <w:lang w:eastAsia="de-DE"/>
              </w:rPr>
            </w:pPr>
          </w:p>
          <w:p w:rsidR="00FD54FC" w:rsidRPr="00661595" w:rsidRDefault="00FD54FC" w:rsidP="0018236F">
            <w:pPr>
              <w:suppressAutoHyphens/>
              <w:spacing w:before="0" w:after="0"/>
              <w:ind w:left="33"/>
              <w:rPr>
                <w:rFonts w:ascii="Times New Roman" w:hAnsi="Times New Roman"/>
                <w:bCs/>
                <w:sz w:val="24"/>
              </w:rPr>
            </w:pPr>
            <w:r>
              <w:rPr>
                <w:rFonts w:ascii="Times New Roman" w:hAnsi="Times New Roman"/>
                <w:bCs/>
                <w:sz w:val="24"/>
              </w:rPr>
              <w:t>Per le esposizioni trattate secondo il metodo standardizzato (SA): cfr. l</w:t>
            </w:r>
            <w:r w:rsidR="000878EC">
              <w:rPr>
                <w:rFonts w:ascii="Times New Roman" w:hAnsi="Times New Roman"/>
                <w:bCs/>
                <w:sz w:val="24"/>
              </w:rPr>
              <w:t>'</w:t>
            </w:r>
            <w:r>
              <w:rPr>
                <w:rFonts w:ascii="Times New Roman" w:hAnsi="Times New Roman"/>
                <w:bCs/>
                <w:sz w:val="24"/>
              </w:rPr>
              <w:t>articolo 111 del CRR. Per le esposizioni trattate secondo il metodo IRB: cfr. l</w:t>
            </w:r>
            <w:r w:rsidR="000878EC">
              <w:rPr>
                <w:rFonts w:ascii="Times New Roman" w:hAnsi="Times New Roman"/>
                <w:bCs/>
                <w:sz w:val="24"/>
              </w:rPr>
              <w:t>'</w:t>
            </w:r>
            <w:r>
              <w:rPr>
                <w:rFonts w:ascii="Times New Roman" w:hAnsi="Times New Roman"/>
                <w:bCs/>
                <w:sz w:val="24"/>
              </w:rPr>
              <w:t>articolo 166 e l</w:t>
            </w:r>
            <w:r w:rsidR="000878EC">
              <w:rPr>
                <w:rFonts w:ascii="Times New Roman" w:hAnsi="Times New Roman"/>
                <w:bCs/>
                <w:sz w:val="24"/>
              </w:rPr>
              <w:t>'</w:t>
            </w:r>
            <w:r>
              <w:rPr>
                <w:rFonts w:ascii="Times New Roman" w:hAnsi="Times New Roman"/>
                <w:bCs/>
                <w:sz w:val="24"/>
              </w:rPr>
              <w:t>articolo 230, paragrafo 1, seconda frase, del CRR.</w:t>
            </w:r>
          </w:p>
          <w:p w:rsidR="00FD54FC" w:rsidRPr="00661595" w:rsidRDefault="00FD54FC" w:rsidP="0018236F">
            <w:pPr>
              <w:suppressAutoHyphens/>
              <w:spacing w:before="0" w:after="0"/>
              <w:ind w:left="33"/>
              <w:rPr>
                <w:rFonts w:ascii="Times New Roman" w:hAnsi="Times New Roman"/>
                <w:bCs/>
                <w:sz w:val="24"/>
                <w:lang w:eastAsia="de-DE"/>
              </w:rPr>
            </w:pPr>
          </w:p>
          <w:p w:rsidR="00FD54FC" w:rsidRPr="00661595" w:rsidRDefault="00FD54FC" w:rsidP="0018236F">
            <w:pPr>
              <w:suppressAutoHyphens/>
              <w:spacing w:before="0" w:after="0"/>
              <w:ind w:left="33"/>
              <w:rPr>
                <w:rFonts w:ascii="Times New Roman" w:hAnsi="Times New Roman"/>
                <w:bCs/>
                <w:sz w:val="24"/>
              </w:rPr>
            </w:pPr>
            <w:r>
              <w:rPr>
                <w:rFonts w:ascii="Times New Roman" w:hAnsi="Times New Roman"/>
                <w:bCs/>
                <w:sz w:val="24"/>
              </w:rPr>
              <w:t>Per la segnalazione dei derivati soggetti a coperture patrimoniali sia per il rischio di controparte che per il rischio di mercato cfr. le istruzioni relative alla ripartizione per riga.</w:t>
            </w:r>
          </w:p>
          <w:p w:rsidR="00454026" w:rsidRPr="00661595" w:rsidRDefault="00454026" w:rsidP="0018236F">
            <w:pPr>
              <w:suppressAutoHyphens/>
              <w:spacing w:before="0" w:after="0"/>
              <w:ind w:left="33"/>
              <w:rPr>
                <w:rFonts w:ascii="Times New Roman" w:hAnsi="Times New Roman"/>
                <w:bCs/>
                <w:sz w:val="24"/>
                <w:lang w:eastAsia="de-DE"/>
              </w:rPr>
            </w:pPr>
          </w:p>
          <w:p w:rsidR="00454026" w:rsidRPr="00661595" w:rsidRDefault="00454026" w:rsidP="0018236F">
            <w:pPr>
              <w:suppressAutoHyphens/>
              <w:spacing w:before="0" w:after="0"/>
              <w:ind w:left="33"/>
              <w:rPr>
                <w:rFonts w:ascii="Times New Roman" w:hAnsi="Times New Roman"/>
                <w:bCs/>
                <w:sz w:val="24"/>
              </w:rPr>
            </w:pPr>
            <w:r>
              <w:rPr>
                <w:rFonts w:ascii="Times New Roman" w:hAnsi="Times New Roman"/>
                <w:bCs/>
                <w:sz w:val="24"/>
              </w:rPr>
              <w:t xml:space="preserve">Le esposizioni segnalate nelle colonne 0270 e 0280 non devono essere considerate ai fini di questa colonna, in quanto il valore in questa colonna si basa esclusivamente sulle esposizioni dirette. </w:t>
            </w:r>
          </w:p>
          <w:p w:rsidR="00FD54FC" w:rsidRPr="00661595" w:rsidRDefault="00FD54FC" w:rsidP="0018236F">
            <w:pPr>
              <w:suppressAutoHyphens/>
              <w:spacing w:before="0" w:after="0"/>
              <w:ind w:left="33"/>
              <w:rPr>
                <w:rFonts w:ascii="Times New Roman" w:hAnsi="Times New Roman"/>
                <w:b/>
                <w:bCs/>
                <w:sz w:val="24"/>
                <w:u w:val="single"/>
                <w:lang w:eastAsia="de-DE"/>
              </w:rPr>
            </w:pPr>
          </w:p>
        </w:tc>
      </w:tr>
      <w:tr w:rsidR="00FD54FC" w:rsidRPr="00661595" w:rsidTr="00672D2A">
        <w:tc>
          <w:tcPr>
            <w:tcW w:w="1188"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0300</w:t>
            </w:r>
          </w:p>
        </w:tc>
        <w:tc>
          <w:tcPr>
            <w:tcW w:w="8640" w:type="dxa"/>
            <w:tcBorders>
              <w:top w:val="single" w:sz="4" w:space="0" w:color="auto"/>
              <w:left w:val="single" w:sz="4" w:space="0" w:color="auto"/>
              <w:bottom w:val="single" w:sz="4" w:space="0" w:color="auto"/>
              <w:right w:val="single" w:sz="4" w:space="0" w:color="auto"/>
            </w:tcBorders>
            <w:shd w:val="clear" w:color="auto" w:fill="auto"/>
          </w:tcPr>
          <w:p w:rsidR="00FD54FC" w:rsidRPr="00661595" w:rsidRDefault="00FD54FC" w:rsidP="0018236F">
            <w:pPr>
              <w:suppressAutoHyphens/>
              <w:spacing w:before="0" w:after="0"/>
              <w:ind w:left="33"/>
              <w:rPr>
                <w:rFonts w:ascii="Times New Roman" w:hAnsi="Times New Roman"/>
                <w:b/>
                <w:bCs/>
                <w:sz w:val="24"/>
                <w:u w:val="single"/>
              </w:rPr>
            </w:pPr>
            <w:r>
              <w:rPr>
                <w:rFonts w:ascii="Times New Roman" w:hAnsi="Times New Roman"/>
                <w:b/>
                <w:bCs/>
                <w:sz w:val="24"/>
                <w:u w:val="single"/>
              </w:rPr>
              <w:t>Importo dell</w:t>
            </w:r>
            <w:r w:rsidR="000878EC">
              <w:rPr>
                <w:rFonts w:ascii="Times New Roman" w:hAnsi="Times New Roman"/>
                <w:b/>
                <w:bCs/>
                <w:sz w:val="24"/>
                <w:u w:val="single"/>
              </w:rPr>
              <w:t>'</w:t>
            </w:r>
            <w:r>
              <w:rPr>
                <w:rFonts w:ascii="Times New Roman" w:hAnsi="Times New Roman"/>
                <w:b/>
                <w:bCs/>
                <w:sz w:val="24"/>
                <w:u w:val="single"/>
              </w:rPr>
              <w:t xml:space="preserve">esposizione ponderato per il rischio </w:t>
            </w:r>
          </w:p>
          <w:p w:rsidR="00FD54FC" w:rsidRPr="00661595" w:rsidRDefault="00FD54FC" w:rsidP="0018236F">
            <w:pPr>
              <w:suppressAutoHyphens/>
              <w:spacing w:before="0" w:after="0"/>
              <w:ind w:left="33"/>
              <w:rPr>
                <w:rFonts w:ascii="Times New Roman" w:hAnsi="Times New Roman"/>
                <w:b/>
                <w:bCs/>
                <w:sz w:val="24"/>
                <w:u w:val="single"/>
                <w:lang w:eastAsia="de-DE"/>
              </w:rPr>
            </w:pPr>
          </w:p>
          <w:p w:rsidR="00FD54FC" w:rsidRPr="00661595" w:rsidRDefault="00FD54FC" w:rsidP="0018236F">
            <w:pPr>
              <w:suppressAutoHyphens/>
              <w:spacing w:before="0" w:after="0"/>
              <w:ind w:left="33"/>
              <w:rPr>
                <w:rFonts w:ascii="Times New Roman" w:hAnsi="Times New Roman"/>
                <w:bCs/>
                <w:sz w:val="24"/>
              </w:rPr>
            </w:pPr>
            <w:r>
              <w:rPr>
                <w:rFonts w:ascii="Times New Roman" w:hAnsi="Times New Roman"/>
                <w:bCs/>
                <w:sz w:val="24"/>
              </w:rPr>
              <w:t>Importo dell</w:t>
            </w:r>
            <w:r w:rsidR="000878EC">
              <w:rPr>
                <w:rFonts w:ascii="Times New Roman" w:hAnsi="Times New Roman"/>
                <w:bCs/>
                <w:sz w:val="24"/>
              </w:rPr>
              <w:t>'</w:t>
            </w:r>
            <w:r>
              <w:rPr>
                <w:rFonts w:ascii="Times New Roman" w:hAnsi="Times New Roman"/>
                <w:bCs/>
                <w:sz w:val="24"/>
              </w:rPr>
              <w:t xml:space="preserve">esposizione ponderato per il rischio per le esposizioni soggette al quadro relativo al rischio di credito. </w:t>
            </w:r>
          </w:p>
          <w:p w:rsidR="00FD54FC" w:rsidRPr="00661595" w:rsidRDefault="00FD54FC" w:rsidP="0018236F">
            <w:pPr>
              <w:suppressAutoHyphens/>
              <w:spacing w:before="0" w:after="0"/>
              <w:ind w:left="33"/>
              <w:rPr>
                <w:rFonts w:ascii="Times New Roman" w:hAnsi="Times New Roman"/>
                <w:bCs/>
                <w:sz w:val="24"/>
                <w:lang w:eastAsia="de-DE"/>
              </w:rPr>
            </w:pPr>
          </w:p>
          <w:p w:rsidR="00FD54FC" w:rsidRPr="00661595" w:rsidRDefault="00FD54FC" w:rsidP="0018236F">
            <w:pPr>
              <w:suppressAutoHyphens/>
              <w:spacing w:before="0" w:after="0"/>
              <w:ind w:left="33"/>
              <w:rPr>
                <w:rFonts w:ascii="Times New Roman" w:hAnsi="Times New Roman"/>
                <w:bCs/>
                <w:sz w:val="24"/>
              </w:rPr>
            </w:pPr>
            <w:r>
              <w:rPr>
                <w:rFonts w:ascii="Times New Roman" w:hAnsi="Times New Roman"/>
                <w:bCs/>
                <w:sz w:val="24"/>
              </w:rPr>
              <w:t>Per le esposizioni trattate secondo il metodo standardizzato (SA): cfr. l</w:t>
            </w:r>
            <w:r w:rsidR="000878EC">
              <w:rPr>
                <w:rFonts w:ascii="Times New Roman" w:hAnsi="Times New Roman"/>
                <w:bCs/>
                <w:sz w:val="24"/>
              </w:rPr>
              <w:t>'</w:t>
            </w:r>
            <w:r>
              <w:rPr>
                <w:rFonts w:ascii="Times New Roman" w:hAnsi="Times New Roman"/>
                <w:bCs/>
                <w:sz w:val="24"/>
              </w:rPr>
              <w:t>articolo 113, paragrafi da 1 a 5, del CRR. Per le esposizioni trattate secondo il metodo IRB: cfr. l</w:t>
            </w:r>
            <w:r w:rsidR="000878EC">
              <w:rPr>
                <w:rFonts w:ascii="Times New Roman" w:hAnsi="Times New Roman"/>
                <w:bCs/>
                <w:sz w:val="24"/>
              </w:rPr>
              <w:t>'</w:t>
            </w:r>
            <w:r>
              <w:rPr>
                <w:rFonts w:ascii="Times New Roman" w:hAnsi="Times New Roman"/>
                <w:bCs/>
                <w:sz w:val="24"/>
              </w:rPr>
              <w:t>articolo 153, paragrafi 1 e 3, del CRR.</w:t>
            </w:r>
          </w:p>
          <w:p w:rsidR="00FD54FC" w:rsidRPr="00661595" w:rsidRDefault="00FD54FC" w:rsidP="0018236F">
            <w:pPr>
              <w:suppressAutoHyphens/>
              <w:spacing w:before="0" w:after="0"/>
              <w:ind w:left="33"/>
              <w:rPr>
                <w:rFonts w:ascii="Times New Roman" w:hAnsi="Times New Roman"/>
                <w:bCs/>
                <w:sz w:val="24"/>
                <w:lang w:eastAsia="de-DE"/>
              </w:rPr>
            </w:pPr>
          </w:p>
          <w:p w:rsidR="00FD54FC" w:rsidRPr="00661595" w:rsidRDefault="00FD54FC" w:rsidP="0018236F">
            <w:pPr>
              <w:suppressAutoHyphens/>
              <w:spacing w:before="0" w:after="0"/>
              <w:ind w:left="33"/>
              <w:rPr>
                <w:rFonts w:ascii="Times New Roman" w:hAnsi="Times New Roman"/>
                <w:bCs/>
                <w:sz w:val="24"/>
              </w:rPr>
            </w:pPr>
            <w:r>
              <w:rPr>
                <w:rFonts w:ascii="Times New Roman" w:hAnsi="Times New Roman"/>
                <w:bCs/>
                <w:sz w:val="24"/>
              </w:rPr>
              <w:t>Ai fini della segnalazione delle esposizioni dirette di cui all</w:t>
            </w:r>
            <w:r w:rsidR="000878EC">
              <w:rPr>
                <w:rFonts w:ascii="Times New Roman" w:hAnsi="Times New Roman"/>
                <w:bCs/>
                <w:sz w:val="24"/>
              </w:rPr>
              <w:t>'</w:t>
            </w:r>
            <w:r>
              <w:rPr>
                <w:rFonts w:ascii="Times New Roman" w:hAnsi="Times New Roman"/>
                <w:bCs/>
                <w:sz w:val="24"/>
              </w:rPr>
              <w:t>articolo 271 del CRR soggette a requisiti di fondi propri sia per il rischio di controparte che per il rischio di mercato, cfr. le istruzioni relative alla ripartizione per riga.</w:t>
            </w:r>
          </w:p>
          <w:p w:rsidR="00454026" w:rsidRPr="00661595" w:rsidRDefault="00454026" w:rsidP="0018236F">
            <w:pPr>
              <w:suppressAutoHyphens/>
              <w:spacing w:before="0" w:after="0"/>
              <w:ind w:left="33"/>
              <w:rPr>
                <w:rFonts w:ascii="Times New Roman" w:hAnsi="Times New Roman"/>
                <w:bCs/>
                <w:sz w:val="24"/>
                <w:lang w:eastAsia="de-DE"/>
              </w:rPr>
            </w:pPr>
          </w:p>
          <w:p w:rsidR="00FD54FC" w:rsidRPr="00661595" w:rsidRDefault="00454026" w:rsidP="0018236F">
            <w:pPr>
              <w:suppressAutoHyphens/>
              <w:spacing w:before="0" w:after="0"/>
              <w:ind w:left="33"/>
              <w:rPr>
                <w:rFonts w:ascii="Times New Roman" w:hAnsi="Times New Roman"/>
                <w:b/>
                <w:bCs/>
                <w:sz w:val="24"/>
                <w:u w:val="single"/>
              </w:rPr>
            </w:pPr>
            <w:r>
              <w:rPr>
                <w:rFonts w:ascii="Times New Roman" w:hAnsi="Times New Roman"/>
                <w:bCs/>
                <w:sz w:val="24"/>
              </w:rPr>
              <w:t xml:space="preserve">Le esposizioni segnalate nelle colonne 0270 e 0280 non sono considerate ai fini di questa colonna, in quanto il valore in questa colonna si basa esclusivamente sulle esposizioni dirette. </w:t>
            </w:r>
          </w:p>
        </w:tc>
      </w:tr>
    </w:tbl>
    <w:p w:rsidR="00FD54FC" w:rsidRPr="00661595" w:rsidRDefault="00FD54FC" w:rsidP="00FD54FC">
      <w:pPr>
        <w:spacing w:before="0" w:after="0"/>
        <w:ind w:left="33"/>
        <w:rPr>
          <w:rFonts w:ascii="Times New Roman" w:hAnsi="Times New Roman"/>
          <w:bCs/>
          <w:sz w:val="24"/>
          <w:lang w:eastAsia="de-DE"/>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8701"/>
      </w:tblGrid>
      <w:tr w:rsidR="00FD54FC" w:rsidRPr="00661595" w:rsidTr="00672D2A">
        <w:tc>
          <w:tcPr>
            <w:tcW w:w="1188" w:type="dxa"/>
            <w:shd w:val="clear" w:color="auto" w:fill="CCCCCC"/>
          </w:tcPr>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Righe</w:t>
            </w:r>
          </w:p>
        </w:tc>
        <w:tc>
          <w:tcPr>
            <w:tcW w:w="8701" w:type="dxa"/>
            <w:shd w:val="clear" w:color="auto" w:fill="CCCCCC"/>
          </w:tcPr>
          <w:p w:rsidR="00FD54FC" w:rsidRPr="00661595" w:rsidRDefault="00FD54FC" w:rsidP="00FD54FC">
            <w:pPr>
              <w:spacing w:before="0" w:after="0"/>
              <w:ind w:left="33"/>
              <w:rPr>
                <w:rFonts w:ascii="Times New Roman" w:hAnsi="Times New Roman"/>
                <w:bCs/>
                <w:sz w:val="24"/>
              </w:rPr>
            </w:pPr>
            <w:r>
              <w:rPr>
                <w:rFonts w:ascii="Times New Roman" w:hAnsi="Times New Roman"/>
                <w:bCs/>
                <w:sz w:val="24"/>
              </w:rPr>
              <w:t>Istruzioni</w:t>
            </w:r>
          </w:p>
        </w:tc>
      </w:tr>
      <w:tr w:rsidR="00FD54FC" w:rsidRPr="00661595" w:rsidTr="00672D2A">
        <w:tc>
          <w:tcPr>
            <w:tcW w:w="9889" w:type="dxa"/>
            <w:gridSpan w:val="2"/>
          </w:tcPr>
          <w:p w:rsidR="00FD54FC" w:rsidRPr="00661595" w:rsidRDefault="00FD54FC" w:rsidP="00FD54FC">
            <w:pPr>
              <w:spacing w:before="0" w:after="0"/>
              <w:ind w:left="33"/>
              <w:rPr>
                <w:rFonts w:ascii="Times New Roman" w:hAnsi="Times New Roman"/>
                <w:b/>
                <w:bCs/>
                <w:sz w:val="24"/>
                <w:u w:val="single"/>
              </w:rPr>
            </w:pPr>
            <w:r>
              <w:rPr>
                <w:rFonts w:ascii="Times New Roman" w:hAnsi="Times New Roman"/>
                <w:b/>
                <w:bCs/>
                <w:sz w:val="24"/>
                <w:u w:val="single"/>
              </w:rPr>
              <w:t>RIPARTIZIONE DELLE ESPOSIZIONI IN BASE AL METODO REGOLAMENTARE</w:t>
            </w:r>
          </w:p>
          <w:p w:rsidR="00FD54FC" w:rsidRPr="00661595" w:rsidRDefault="00FD54FC" w:rsidP="00FD54FC">
            <w:pPr>
              <w:spacing w:before="0" w:after="0"/>
              <w:ind w:left="33"/>
              <w:rPr>
                <w:rFonts w:ascii="Times New Roman" w:hAnsi="Times New Roman"/>
                <w:bCs/>
                <w:sz w:val="24"/>
                <w:lang w:eastAsia="de-DE"/>
              </w:rPr>
            </w:pPr>
          </w:p>
        </w:tc>
      </w:tr>
      <w:tr w:rsidR="00FD54FC" w:rsidRPr="00661595" w:rsidTr="00672D2A">
        <w:tc>
          <w:tcPr>
            <w:tcW w:w="1188" w:type="dxa"/>
            <w:shd w:val="clear" w:color="auto" w:fill="auto"/>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0010</w:t>
            </w:r>
          </w:p>
        </w:tc>
        <w:tc>
          <w:tcPr>
            <w:tcW w:w="8701" w:type="dxa"/>
            <w:shd w:val="clear" w:color="auto" w:fill="auto"/>
          </w:tcPr>
          <w:p w:rsidR="00FD54FC" w:rsidRPr="00661595" w:rsidRDefault="00FD54FC" w:rsidP="0018236F">
            <w:pPr>
              <w:suppressAutoHyphens/>
              <w:spacing w:before="0" w:after="0"/>
              <w:ind w:left="33"/>
              <w:rPr>
                <w:rFonts w:ascii="Times New Roman" w:hAnsi="Times New Roman"/>
                <w:b/>
                <w:bCs/>
                <w:sz w:val="24"/>
                <w:u w:val="single"/>
              </w:rPr>
            </w:pPr>
            <w:r>
              <w:rPr>
                <w:rFonts w:ascii="Times New Roman" w:hAnsi="Times New Roman"/>
                <w:b/>
                <w:bCs/>
                <w:sz w:val="24"/>
                <w:u w:val="single"/>
              </w:rPr>
              <w:t>Esposizioni totali</w:t>
            </w:r>
          </w:p>
          <w:p w:rsidR="00FD54FC" w:rsidRPr="00661595" w:rsidRDefault="00FD54FC" w:rsidP="0018236F">
            <w:pPr>
              <w:suppressAutoHyphens/>
              <w:spacing w:before="0" w:after="0"/>
              <w:ind w:left="33"/>
              <w:rPr>
                <w:rFonts w:ascii="Times New Roman" w:hAnsi="Times New Roman"/>
                <w:b/>
                <w:bCs/>
                <w:sz w:val="24"/>
                <w:u w:val="single"/>
                <w:lang w:eastAsia="de-DE"/>
              </w:rPr>
            </w:pPr>
          </w:p>
          <w:p w:rsidR="00FD54FC" w:rsidRPr="00661595" w:rsidRDefault="00FD54FC" w:rsidP="0018236F">
            <w:pPr>
              <w:suppressAutoHyphens/>
              <w:spacing w:before="0" w:after="0"/>
              <w:ind w:left="33"/>
              <w:rPr>
                <w:rFonts w:ascii="Times New Roman" w:hAnsi="Times New Roman"/>
                <w:bCs/>
                <w:sz w:val="24"/>
              </w:rPr>
            </w:pPr>
            <w:r>
              <w:rPr>
                <w:rFonts w:ascii="Times New Roman" w:hAnsi="Times New Roman"/>
                <w:bCs/>
                <w:sz w:val="24"/>
              </w:rPr>
              <w:t>L</w:t>
            </w:r>
            <w:r w:rsidR="000878EC">
              <w:rPr>
                <w:rFonts w:ascii="Times New Roman" w:hAnsi="Times New Roman"/>
                <w:bCs/>
                <w:sz w:val="24"/>
              </w:rPr>
              <w:t>'</w:t>
            </w:r>
            <w:r>
              <w:rPr>
                <w:rFonts w:ascii="Times New Roman" w:hAnsi="Times New Roman"/>
                <w:bCs/>
                <w:sz w:val="24"/>
              </w:rPr>
              <w:t>aggregato delle esposizioni verso amministrazioni pubbliche, quali definite ai paragrafi da 155 a 160 del presente allegato.</w:t>
            </w:r>
          </w:p>
          <w:p w:rsidR="00FD54FC" w:rsidRPr="00661595" w:rsidRDefault="00FD54FC" w:rsidP="0018236F">
            <w:pPr>
              <w:suppressAutoHyphens/>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A85E91">
            <w:pPr>
              <w:spacing w:before="0" w:after="0"/>
              <w:ind w:left="33"/>
              <w:rPr>
                <w:rFonts w:ascii="Times New Roman" w:hAnsi="Times New Roman"/>
                <w:bCs/>
                <w:sz w:val="24"/>
              </w:rPr>
            </w:pPr>
            <w:r>
              <w:rPr>
                <w:rFonts w:ascii="Times New Roman" w:hAnsi="Times New Roman"/>
                <w:bCs/>
                <w:sz w:val="24"/>
              </w:rPr>
              <w:t>0020-0155</w:t>
            </w:r>
          </w:p>
        </w:tc>
        <w:tc>
          <w:tcPr>
            <w:tcW w:w="8701" w:type="dxa"/>
          </w:tcPr>
          <w:p w:rsidR="00FD54FC" w:rsidRPr="00661595" w:rsidRDefault="00FD54FC" w:rsidP="0018236F">
            <w:pPr>
              <w:suppressAutoHyphens/>
              <w:spacing w:before="0" w:after="0"/>
              <w:ind w:left="33"/>
              <w:rPr>
                <w:rFonts w:ascii="Times New Roman" w:hAnsi="Times New Roman"/>
                <w:bCs/>
                <w:sz w:val="24"/>
              </w:rPr>
            </w:pPr>
            <w:r>
              <w:rPr>
                <w:rFonts w:ascii="Times New Roman" w:hAnsi="Times New Roman"/>
                <w:b/>
                <w:bCs/>
                <w:sz w:val="24"/>
                <w:u w:val="single"/>
              </w:rPr>
              <w:t>Esposizioni soggette al quadro relativo al rischio di credito</w:t>
            </w:r>
          </w:p>
          <w:p w:rsidR="00FD54FC" w:rsidRPr="00661595" w:rsidRDefault="00FD54FC" w:rsidP="0018236F">
            <w:pPr>
              <w:suppressAutoHyphens/>
              <w:spacing w:before="0" w:after="0"/>
              <w:ind w:left="33"/>
              <w:rPr>
                <w:rFonts w:ascii="Times New Roman" w:hAnsi="Times New Roman"/>
                <w:bCs/>
                <w:sz w:val="24"/>
                <w:lang w:eastAsia="de-DE"/>
              </w:rPr>
            </w:pPr>
          </w:p>
          <w:p w:rsidR="00542EAE" w:rsidRPr="00661595" w:rsidRDefault="00FD54FC" w:rsidP="0018236F">
            <w:pPr>
              <w:suppressAutoHyphens/>
              <w:spacing w:before="0" w:after="0"/>
              <w:ind w:left="33"/>
              <w:rPr>
                <w:rFonts w:ascii="Times New Roman" w:hAnsi="Times New Roman"/>
                <w:bCs/>
                <w:sz w:val="24"/>
              </w:rPr>
            </w:pPr>
            <w:r>
              <w:rPr>
                <w:rFonts w:ascii="Times New Roman" w:hAnsi="Times New Roman"/>
                <w:bCs/>
                <w:sz w:val="24"/>
              </w:rPr>
              <w:t>L</w:t>
            </w:r>
            <w:r w:rsidR="000878EC">
              <w:rPr>
                <w:rFonts w:ascii="Times New Roman" w:hAnsi="Times New Roman"/>
                <w:bCs/>
                <w:sz w:val="24"/>
              </w:rPr>
              <w:t>'</w:t>
            </w:r>
            <w:r>
              <w:rPr>
                <w:rFonts w:ascii="Times New Roman" w:hAnsi="Times New Roman"/>
                <w:bCs/>
                <w:sz w:val="24"/>
              </w:rPr>
              <w:t>aggregato delle esposizioni verso amministrazioni pubbliche cui viene applicato un fattore di ponderazione del rischio a norma della parte tre, titolo II, del CRR. Le esposizioni soggette al quadro relativo al rischio di credito comprendono le esposizioni sia all</w:t>
            </w:r>
            <w:r w:rsidR="000878EC">
              <w:rPr>
                <w:rFonts w:ascii="Times New Roman" w:hAnsi="Times New Roman"/>
                <w:bCs/>
                <w:sz w:val="24"/>
              </w:rPr>
              <w:t>'</w:t>
            </w:r>
            <w:r>
              <w:rPr>
                <w:rFonts w:ascii="Times New Roman" w:hAnsi="Times New Roman"/>
                <w:bCs/>
                <w:sz w:val="24"/>
              </w:rPr>
              <w:t>interno che all</w:t>
            </w:r>
            <w:r w:rsidR="000878EC">
              <w:rPr>
                <w:rFonts w:ascii="Times New Roman" w:hAnsi="Times New Roman"/>
                <w:bCs/>
                <w:sz w:val="24"/>
              </w:rPr>
              <w:t>'</w:t>
            </w:r>
            <w:r>
              <w:rPr>
                <w:rFonts w:ascii="Times New Roman" w:hAnsi="Times New Roman"/>
                <w:bCs/>
                <w:sz w:val="24"/>
              </w:rPr>
              <w:t xml:space="preserve">esterno del portafoglio di negoziazione soggette a copertura patrimoniale per il rischio di controparte. </w:t>
            </w:r>
          </w:p>
          <w:p w:rsidR="00FD54FC" w:rsidRPr="00661595" w:rsidRDefault="00FD54FC" w:rsidP="0018236F">
            <w:pPr>
              <w:suppressAutoHyphens/>
              <w:spacing w:before="0" w:after="0"/>
              <w:ind w:left="33"/>
              <w:rPr>
                <w:rFonts w:ascii="Times New Roman" w:hAnsi="Times New Roman"/>
                <w:bCs/>
                <w:sz w:val="24"/>
                <w:lang w:eastAsia="de-DE"/>
              </w:rPr>
            </w:pPr>
          </w:p>
          <w:p w:rsidR="00542EAE" w:rsidRPr="00661595" w:rsidRDefault="00FD54FC" w:rsidP="0018236F">
            <w:pPr>
              <w:suppressAutoHyphens/>
              <w:spacing w:before="0" w:after="0"/>
              <w:ind w:left="33"/>
              <w:rPr>
                <w:rFonts w:ascii="Times New Roman" w:hAnsi="Times New Roman"/>
                <w:bCs/>
                <w:sz w:val="24"/>
              </w:rPr>
            </w:pPr>
            <w:r>
              <w:rPr>
                <w:rFonts w:ascii="Times New Roman" w:hAnsi="Times New Roman"/>
                <w:bCs/>
                <w:sz w:val="24"/>
              </w:rPr>
              <w:t>Le esposizioni dirette di cui all</w:t>
            </w:r>
            <w:r w:rsidR="000878EC">
              <w:rPr>
                <w:rFonts w:ascii="Times New Roman" w:hAnsi="Times New Roman"/>
                <w:bCs/>
                <w:sz w:val="24"/>
              </w:rPr>
              <w:t>'</w:t>
            </w:r>
            <w:r>
              <w:rPr>
                <w:rFonts w:ascii="Times New Roman" w:hAnsi="Times New Roman"/>
                <w:bCs/>
                <w:sz w:val="24"/>
              </w:rPr>
              <w:t>articolo 271 del CRR soggette a requisiti di fondi propri sia per il rischio di controparte che per il rischio di mercato sono indicate sia nelle righe del rischio di credito (da 0020 a 0155) sia nella riga del rischio di mercato (riga 0160): le esposizioni dovute al rischio di controparte sono segnalate nelle righe relative al rischio di credito, mentre le esposizioni dovute al rischio di mercato sono segnalate nella riga relativa al rischio di mercato.</w:t>
            </w:r>
          </w:p>
          <w:p w:rsidR="00542EAE" w:rsidRPr="00661595" w:rsidRDefault="00542EAE" w:rsidP="0018236F">
            <w:pPr>
              <w:suppressAutoHyphens/>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0030</w:t>
            </w:r>
          </w:p>
        </w:tc>
        <w:tc>
          <w:tcPr>
            <w:tcW w:w="8701" w:type="dxa"/>
          </w:tcPr>
          <w:p w:rsidR="00FD54FC" w:rsidRPr="00661595" w:rsidRDefault="00FD54FC" w:rsidP="0018236F">
            <w:pPr>
              <w:suppressAutoHyphens/>
              <w:spacing w:before="0" w:after="0"/>
              <w:ind w:left="33"/>
              <w:rPr>
                <w:rFonts w:ascii="Times New Roman" w:hAnsi="Times New Roman"/>
                <w:b/>
                <w:bCs/>
                <w:sz w:val="24"/>
                <w:u w:val="single"/>
              </w:rPr>
            </w:pPr>
            <w:r>
              <w:rPr>
                <w:rFonts w:ascii="Times New Roman" w:hAnsi="Times New Roman"/>
                <w:b/>
                <w:bCs/>
                <w:sz w:val="24"/>
                <w:u w:val="single"/>
              </w:rPr>
              <w:t>Metodo standardizzato</w:t>
            </w:r>
          </w:p>
          <w:p w:rsidR="00FD54FC" w:rsidRPr="00661595" w:rsidRDefault="00FD54FC" w:rsidP="0018236F">
            <w:pPr>
              <w:suppressAutoHyphens/>
              <w:spacing w:before="0" w:after="0"/>
              <w:ind w:left="33"/>
              <w:rPr>
                <w:rFonts w:ascii="Times New Roman" w:hAnsi="Times New Roman"/>
                <w:bCs/>
                <w:sz w:val="24"/>
                <w:lang w:eastAsia="de-DE"/>
              </w:rPr>
            </w:pPr>
          </w:p>
          <w:p w:rsidR="00FD54FC" w:rsidRPr="00661595" w:rsidRDefault="00FD54FC" w:rsidP="0018236F">
            <w:pPr>
              <w:suppressAutoHyphens/>
              <w:spacing w:before="0" w:after="0"/>
              <w:ind w:left="33"/>
              <w:rPr>
                <w:rFonts w:ascii="Times New Roman" w:hAnsi="Times New Roman"/>
                <w:bCs/>
                <w:sz w:val="24"/>
              </w:rPr>
            </w:pPr>
            <w:r>
              <w:rPr>
                <w:rFonts w:ascii="Times New Roman" w:hAnsi="Times New Roman"/>
                <w:bCs/>
                <w:sz w:val="24"/>
              </w:rPr>
              <w:t>Le esposizioni verso amministrazioni pubbliche che sono ponderate per il rischio a norma della parte tre, titolo II, capo 2, del CRR, comprese le esposizioni non comprese nel portafoglio di negoziazione per le quali la ponderazione del rischio conformemente al suddetto capo concerne il rischio di controparte.</w:t>
            </w:r>
          </w:p>
          <w:p w:rsidR="00FD54FC" w:rsidRPr="00661595" w:rsidRDefault="00FD54FC" w:rsidP="0018236F">
            <w:pPr>
              <w:suppressAutoHyphens/>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0040</w:t>
            </w:r>
          </w:p>
        </w:tc>
        <w:tc>
          <w:tcPr>
            <w:tcW w:w="8701" w:type="dxa"/>
          </w:tcPr>
          <w:p w:rsidR="00FD54FC" w:rsidRPr="00661595" w:rsidRDefault="00FD54FC" w:rsidP="0018236F">
            <w:pPr>
              <w:suppressAutoHyphens/>
              <w:spacing w:before="0" w:after="0"/>
              <w:ind w:left="33"/>
              <w:rPr>
                <w:rFonts w:ascii="Times New Roman" w:hAnsi="Times New Roman"/>
                <w:b/>
                <w:bCs/>
                <w:sz w:val="24"/>
                <w:u w:val="single"/>
              </w:rPr>
            </w:pPr>
            <w:r>
              <w:rPr>
                <w:rFonts w:ascii="Times New Roman" w:hAnsi="Times New Roman"/>
                <w:b/>
                <w:bCs/>
                <w:sz w:val="24"/>
                <w:u w:val="single"/>
              </w:rPr>
              <w:t>Amministrazioni centrali</w:t>
            </w:r>
          </w:p>
          <w:p w:rsidR="00FD54FC" w:rsidRPr="00661595" w:rsidRDefault="00FD54FC" w:rsidP="0018236F">
            <w:pPr>
              <w:suppressAutoHyphens/>
              <w:spacing w:before="0" w:after="0"/>
              <w:ind w:left="33"/>
              <w:rPr>
                <w:rFonts w:ascii="Times New Roman" w:hAnsi="Times New Roman"/>
                <w:bCs/>
                <w:sz w:val="24"/>
                <w:lang w:eastAsia="de-DE"/>
              </w:rPr>
            </w:pPr>
          </w:p>
          <w:p w:rsidR="00FD54FC" w:rsidRPr="00661595" w:rsidRDefault="00FD54FC" w:rsidP="0018236F">
            <w:pPr>
              <w:suppressAutoHyphens/>
              <w:spacing w:before="0" w:after="0"/>
              <w:ind w:left="33"/>
              <w:rPr>
                <w:rFonts w:ascii="Times New Roman" w:hAnsi="Times New Roman"/>
                <w:bCs/>
                <w:sz w:val="24"/>
              </w:rPr>
            </w:pPr>
            <w:r>
              <w:rPr>
                <w:rFonts w:ascii="Times New Roman" w:hAnsi="Times New Roman"/>
                <w:bCs/>
                <w:sz w:val="24"/>
              </w:rPr>
              <w:t xml:space="preserve">Le esposizioni verso amministrazioni pubbliche che sono amministrazioni centrali. Queste esposizioni sono assegnate alla classe di esposizioni verso </w:t>
            </w:r>
            <w:r w:rsidR="000878EC">
              <w:rPr>
                <w:rFonts w:ascii="Times New Roman" w:hAnsi="Times New Roman"/>
                <w:bCs/>
                <w:sz w:val="24"/>
              </w:rPr>
              <w:t>"</w:t>
            </w:r>
            <w:r>
              <w:rPr>
                <w:rFonts w:ascii="Times New Roman" w:hAnsi="Times New Roman"/>
                <w:bCs/>
                <w:sz w:val="24"/>
              </w:rPr>
              <w:t>amministrazioni centrali o banche centrali</w:t>
            </w:r>
            <w:r w:rsidR="000878EC">
              <w:rPr>
                <w:rFonts w:ascii="Times New Roman" w:hAnsi="Times New Roman"/>
                <w:bCs/>
                <w:sz w:val="24"/>
              </w:rPr>
              <w:t>"</w:t>
            </w:r>
            <w:r>
              <w:rPr>
                <w:rFonts w:ascii="Times New Roman" w:hAnsi="Times New Roman"/>
                <w:bCs/>
                <w:sz w:val="24"/>
              </w:rPr>
              <w:t xml:space="preserve"> conformemente agli articoli 112 e 114 del CRR, come specificato nelle istruzioni per il modello C 07.00, ad eccezione delle specifiche per quanto riguarda la redistribuzione delle esposizioni verso amministrazioni pubbliche ad altre classi di esposizioni a seguito dell</w:t>
            </w:r>
            <w:r w:rsidR="000878EC">
              <w:rPr>
                <w:rFonts w:ascii="Times New Roman" w:hAnsi="Times New Roman"/>
                <w:bCs/>
                <w:sz w:val="24"/>
              </w:rPr>
              <w:t>'</w:t>
            </w:r>
            <w:r>
              <w:rPr>
                <w:rFonts w:ascii="Times New Roman" w:hAnsi="Times New Roman"/>
                <w:bCs/>
                <w:sz w:val="24"/>
              </w:rPr>
              <w:t>applicazione di tecniche di attenuazione del rischio di credito con effetti di sostituzione sull</w:t>
            </w:r>
            <w:r w:rsidR="000878EC">
              <w:rPr>
                <w:rFonts w:ascii="Times New Roman" w:hAnsi="Times New Roman"/>
                <w:bCs/>
                <w:sz w:val="24"/>
              </w:rPr>
              <w:t>'</w:t>
            </w:r>
            <w:r>
              <w:rPr>
                <w:rFonts w:ascii="Times New Roman" w:hAnsi="Times New Roman"/>
                <w:bCs/>
                <w:sz w:val="24"/>
              </w:rPr>
              <w:t>esposizione, che non si applicano.</w:t>
            </w:r>
          </w:p>
          <w:p w:rsidR="00FD54FC" w:rsidRPr="00661595" w:rsidRDefault="00FD54FC" w:rsidP="0018236F">
            <w:pPr>
              <w:suppressAutoHyphens/>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0050</w:t>
            </w:r>
          </w:p>
        </w:tc>
        <w:tc>
          <w:tcPr>
            <w:tcW w:w="8701" w:type="dxa"/>
          </w:tcPr>
          <w:p w:rsidR="00FD54FC" w:rsidRPr="00661595" w:rsidRDefault="00FD54FC" w:rsidP="0018236F">
            <w:pPr>
              <w:suppressAutoHyphens/>
              <w:spacing w:before="0" w:after="0"/>
              <w:ind w:left="33"/>
              <w:rPr>
                <w:rFonts w:ascii="Times New Roman" w:hAnsi="Times New Roman"/>
                <w:b/>
                <w:bCs/>
                <w:sz w:val="24"/>
                <w:u w:val="single"/>
              </w:rPr>
            </w:pPr>
            <w:r>
              <w:rPr>
                <w:rFonts w:ascii="Times New Roman" w:hAnsi="Times New Roman"/>
                <w:b/>
                <w:bCs/>
                <w:sz w:val="24"/>
                <w:u w:val="single"/>
              </w:rPr>
              <w:t>Amministrazioni regionali o autorità locali</w:t>
            </w:r>
          </w:p>
          <w:p w:rsidR="00FD54FC" w:rsidRPr="00661595" w:rsidRDefault="00FD54FC" w:rsidP="0018236F">
            <w:pPr>
              <w:suppressAutoHyphens/>
              <w:spacing w:before="0" w:after="0"/>
              <w:ind w:left="33"/>
              <w:rPr>
                <w:rFonts w:ascii="Times New Roman" w:hAnsi="Times New Roman"/>
                <w:bCs/>
                <w:sz w:val="24"/>
                <w:lang w:eastAsia="de-DE"/>
              </w:rPr>
            </w:pPr>
          </w:p>
          <w:p w:rsidR="00FD54FC" w:rsidRPr="00661595" w:rsidRDefault="00FD54FC" w:rsidP="0018236F">
            <w:pPr>
              <w:suppressAutoHyphens/>
              <w:spacing w:before="0" w:after="0"/>
              <w:ind w:left="33"/>
              <w:rPr>
                <w:rFonts w:ascii="Times New Roman" w:hAnsi="Times New Roman"/>
                <w:bCs/>
                <w:sz w:val="24"/>
              </w:rPr>
            </w:pPr>
            <w:r>
              <w:rPr>
                <w:rFonts w:ascii="Times New Roman" w:hAnsi="Times New Roman"/>
                <w:bCs/>
                <w:sz w:val="24"/>
              </w:rPr>
              <w:t xml:space="preserve">Le esposizioni verso amministrazioni pubbliche che sono amministrazioni regionali o autorità locali. Queste esposizioni sono assegnate alla classe di esposizioni verso </w:t>
            </w:r>
            <w:r w:rsidR="000878EC">
              <w:rPr>
                <w:rFonts w:ascii="Times New Roman" w:hAnsi="Times New Roman"/>
                <w:bCs/>
                <w:sz w:val="24"/>
              </w:rPr>
              <w:t>"</w:t>
            </w:r>
            <w:r>
              <w:rPr>
                <w:rFonts w:ascii="Times New Roman" w:hAnsi="Times New Roman"/>
                <w:bCs/>
                <w:sz w:val="24"/>
              </w:rPr>
              <w:t>amministrazioni regionali o autorità locali</w:t>
            </w:r>
            <w:r w:rsidR="000878EC">
              <w:rPr>
                <w:rFonts w:ascii="Times New Roman" w:hAnsi="Times New Roman"/>
                <w:bCs/>
                <w:sz w:val="24"/>
              </w:rPr>
              <w:t>"</w:t>
            </w:r>
            <w:r>
              <w:rPr>
                <w:rFonts w:ascii="Times New Roman" w:hAnsi="Times New Roman"/>
                <w:bCs/>
                <w:sz w:val="24"/>
              </w:rPr>
              <w:t xml:space="preserve"> conformemente agli articoli 112 e 115 del CRR, come specificato nelle istruzioni per il modello C 07.00, ad eccezione delle specifiche per quanto riguarda la redistribuzione delle esposizioni verso amministrazioni pubbliche ad altre classi di esposizioni a seguito dell</w:t>
            </w:r>
            <w:r w:rsidR="000878EC">
              <w:rPr>
                <w:rFonts w:ascii="Times New Roman" w:hAnsi="Times New Roman"/>
                <w:bCs/>
                <w:sz w:val="24"/>
              </w:rPr>
              <w:t>'</w:t>
            </w:r>
            <w:r>
              <w:rPr>
                <w:rFonts w:ascii="Times New Roman" w:hAnsi="Times New Roman"/>
                <w:bCs/>
                <w:sz w:val="24"/>
              </w:rPr>
              <w:t>applicazione di tecniche di attenuazione del rischio di credito con effetti di sostituzione sull</w:t>
            </w:r>
            <w:r w:rsidR="000878EC">
              <w:rPr>
                <w:rFonts w:ascii="Times New Roman" w:hAnsi="Times New Roman"/>
                <w:bCs/>
                <w:sz w:val="24"/>
              </w:rPr>
              <w:t>'</w:t>
            </w:r>
            <w:r>
              <w:rPr>
                <w:rFonts w:ascii="Times New Roman" w:hAnsi="Times New Roman"/>
                <w:bCs/>
                <w:sz w:val="24"/>
              </w:rPr>
              <w:t>esposizione, che non si applicano.</w:t>
            </w:r>
          </w:p>
          <w:p w:rsidR="00FD54FC" w:rsidRPr="00661595" w:rsidRDefault="00FD54FC" w:rsidP="0018236F">
            <w:pPr>
              <w:suppressAutoHyphens/>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0060</w:t>
            </w:r>
          </w:p>
        </w:tc>
        <w:tc>
          <w:tcPr>
            <w:tcW w:w="8701" w:type="dxa"/>
          </w:tcPr>
          <w:p w:rsidR="00FD54FC" w:rsidRPr="00661595" w:rsidRDefault="00FD54FC" w:rsidP="0018236F">
            <w:pPr>
              <w:suppressAutoHyphens/>
              <w:spacing w:before="0" w:after="0"/>
              <w:ind w:left="33"/>
              <w:rPr>
                <w:rFonts w:ascii="Times New Roman" w:hAnsi="Times New Roman"/>
                <w:b/>
                <w:bCs/>
                <w:sz w:val="24"/>
                <w:u w:val="single"/>
              </w:rPr>
            </w:pPr>
            <w:r>
              <w:rPr>
                <w:rFonts w:ascii="Times New Roman" w:hAnsi="Times New Roman"/>
                <w:b/>
                <w:bCs/>
                <w:sz w:val="24"/>
                <w:u w:val="single"/>
              </w:rPr>
              <w:t>Organismi del settore pubblico</w:t>
            </w:r>
          </w:p>
          <w:p w:rsidR="00FD54FC" w:rsidRPr="00661595" w:rsidRDefault="00FD54FC" w:rsidP="0018236F">
            <w:pPr>
              <w:suppressAutoHyphens/>
              <w:spacing w:before="0" w:after="0"/>
              <w:ind w:left="33"/>
              <w:rPr>
                <w:rFonts w:ascii="Times New Roman" w:hAnsi="Times New Roman"/>
                <w:bCs/>
                <w:sz w:val="24"/>
                <w:lang w:eastAsia="de-DE"/>
              </w:rPr>
            </w:pPr>
          </w:p>
          <w:p w:rsidR="00FD54FC" w:rsidRPr="00661595" w:rsidRDefault="00FD54FC" w:rsidP="0018236F">
            <w:pPr>
              <w:suppressAutoHyphens/>
              <w:spacing w:before="0" w:after="0"/>
              <w:ind w:left="33"/>
              <w:rPr>
                <w:rFonts w:ascii="Times New Roman" w:hAnsi="Times New Roman"/>
                <w:bCs/>
                <w:sz w:val="24"/>
              </w:rPr>
            </w:pPr>
            <w:r>
              <w:rPr>
                <w:rFonts w:ascii="Times New Roman" w:hAnsi="Times New Roman"/>
                <w:bCs/>
                <w:sz w:val="24"/>
              </w:rPr>
              <w:t xml:space="preserve">Le esposizioni verso amministrazioni pubbliche che sono organismi del settore pubblico. Queste esposizioni sono assegnate alla classe di esposizioni verso </w:t>
            </w:r>
            <w:r w:rsidR="000878EC">
              <w:rPr>
                <w:rFonts w:ascii="Times New Roman" w:hAnsi="Times New Roman"/>
                <w:bCs/>
                <w:sz w:val="24"/>
              </w:rPr>
              <w:t>"</w:t>
            </w:r>
            <w:r>
              <w:rPr>
                <w:rFonts w:ascii="Times New Roman" w:hAnsi="Times New Roman"/>
                <w:bCs/>
                <w:sz w:val="24"/>
              </w:rPr>
              <w:t>organismi del settore pubblico</w:t>
            </w:r>
            <w:r w:rsidR="000878EC">
              <w:rPr>
                <w:rFonts w:ascii="Times New Roman" w:hAnsi="Times New Roman"/>
                <w:bCs/>
                <w:sz w:val="24"/>
              </w:rPr>
              <w:t>"</w:t>
            </w:r>
            <w:r>
              <w:rPr>
                <w:rFonts w:ascii="Times New Roman" w:hAnsi="Times New Roman"/>
                <w:bCs/>
                <w:sz w:val="24"/>
              </w:rPr>
              <w:t xml:space="preserve"> conformemente agli articoli 112 e 116 del CRR, come specificato nelle istruzioni per il modello C 07.00, ad eccezione delle specifiche per quanto riguarda la redistribuzione delle esposizioni verso amministrazioni pubbliche ad altre classi di esposizioni a seguito dell</w:t>
            </w:r>
            <w:r w:rsidR="000878EC">
              <w:rPr>
                <w:rFonts w:ascii="Times New Roman" w:hAnsi="Times New Roman"/>
                <w:bCs/>
                <w:sz w:val="24"/>
              </w:rPr>
              <w:t>'</w:t>
            </w:r>
            <w:r>
              <w:rPr>
                <w:rFonts w:ascii="Times New Roman" w:hAnsi="Times New Roman"/>
                <w:bCs/>
                <w:sz w:val="24"/>
              </w:rPr>
              <w:t>applicazione di tecniche di attenuazione del rischio di credito con effetti di sostituzione sull</w:t>
            </w:r>
            <w:r w:rsidR="000878EC">
              <w:rPr>
                <w:rFonts w:ascii="Times New Roman" w:hAnsi="Times New Roman"/>
                <w:bCs/>
                <w:sz w:val="24"/>
              </w:rPr>
              <w:t>'</w:t>
            </w:r>
            <w:r>
              <w:rPr>
                <w:rFonts w:ascii="Times New Roman" w:hAnsi="Times New Roman"/>
                <w:bCs/>
                <w:sz w:val="24"/>
              </w:rPr>
              <w:t>esposizione, che non si applicano.</w:t>
            </w:r>
          </w:p>
          <w:p w:rsidR="00FD54FC" w:rsidRPr="00661595" w:rsidRDefault="00FD54FC" w:rsidP="0018236F">
            <w:pPr>
              <w:suppressAutoHyphens/>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0070</w:t>
            </w:r>
          </w:p>
        </w:tc>
        <w:tc>
          <w:tcPr>
            <w:tcW w:w="8701" w:type="dxa"/>
          </w:tcPr>
          <w:p w:rsidR="00FD54FC" w:rsidRPr="00661595" w:rsidRDefault="00FD54FC" w:rsidP="0018236F">
            <w:pPr>
              <w:suppressAutoHyphens/>
              <w:spacing w:before="0" w:after="0"/>
              <w:ind w:left="33"/>
              <w:rPr>
                <w:rFonts w:ascii="Times New Roman" w:hAnsi="Times New Roman"/>
                <w:b/>
                <w:bCs/>
                <w:sz w:val="24"/>
                <w:u w:val="single"/>
              </w:rPr>
            </w:pPr>
            <w:r>
              <w:rPr>
                <w:rFonts w:ascii="Times New Roman" w:hAnsi="Times New Roman"/>
                <w:b/>
                <w:bCs/>
                <w:sz w:val="24"/>
                <w:u w:val="single"/>
              </w:rPr>
              <w:t>Organizzazioni internazionali</w:t>
            </w:r>
          </w:p>
          <w:p w:rsidR="00FD54FC" w:rsidRPr="00661595" w:rsidRDefault="00FD54FC" w:rsidP="0018236F">
            <w:pPr>
              <w:suppressAutoHyphens/>
              <w:spacing w:before="0" w:after="0"/>
              <w:ind w:left="33"/>
              <w:rPr>
                <w:rFonts w:ascii="Times New Roman" w:hAnsi="Times New Roman"/>
                <w:bCs/>
                <w:sz w:val="24"/>
                <w:lang w:eastAsia="de-DE"/>
              </w:rPr>
            </w:pPr>
          </w:p>
          <w:p w:rsidR="00FD54FC" w:rsidRPr="00661595" w:rsidRDefault="00530BA1" w:rsidP="0018236F">
            <w:pPr>
              <w:suppressAutoHyphens/>
              <w:spacing w:before="0" w:after="0"/>
              <w:ind w:left="33"/>
              <w:rPr>
                <w:rFonts w:ascii="Times New Roman" w:hAnsi="Times New Roman"/>
                <w:bCs/>
                <w:sz w:val="24"/>
              </w:rPr>
            </w:pPr>
            <w:r>
              <w:rPr>
                <w:rFonts w:ascii="Times New Roman" w:hAnsi="Times New Roman"/>
                <w:bCs/>
                <w:sz w:val="24"/>
              </w:rPr>
              <w:t xml:space="preserve">Le esposizioni verso amministrazioni pubbliche che sono organizzazioni internazionali. Queste esposizioni sono assegnate alle classi di esposizioni verso </w:t>
            </w:r>
            <w:r w:rsidR="000878EC">
              <w:rPr>
                <w:rFonts w:ascii="Times New Roman" w:hAnsi="Times New Roman"/>
                <w:bCs/>
                <w:sz w:val="24"/>
              </w:rPr>
              <w:t>"</w:t>
            </w:r>
            <w:r>
              <w:rPr>
                <w:rFonts w:ascii="Times New Roman" w:hAnsi="Times New Roman"/>
                <w:bCs/>
                <w:sz w:val="24"/>
              </w:rPr>
              <w:t>organizzazioni internazionali</w:t>
            </w:r>
            <w:r w:rsidR="000878EC">
              <w:rPr>
                <w:rFonts w:ascii="Times New Roman" w:hAnsi="Times New Roman"/>
                <w:bCs/>
                <w:sz w:val="24"/>
              </w:rPr>
              <w:t>"</w:t>
            </w:r>
            <w:r>
              <w:rPr>
                <w:rFonts w:ascii="Times New Roman" w:hAnsi="Times New Roman"/>
                <w:bCs/>
                <w:sz w:val="24"/>
              </w:rPr>
              <w:t xml:space="preserve"> conformemente agli articoli 112 e 118 del CRR, come specificato nelle istruzioni per il modello C 07.00, ad eccezione delle specifiche per quanto riguarda la redistribuzione delle esposizioni verso amministrazioni pubbliche ad altre classi di esposizioni a seguito dell</w:t>
            </w:r>
            <w:r w:rsidR="000878EC">
              <w:rPr>
                <w:rFonts w:ascii="Times New Roman" w:hAnsi="Times New Roman"/>
                <w:bCs/>
                <w:sz w:val="24"/>
              </w:rPr>
              <w:t>'</w:t>
            </w:r>
            <w:r>
              <w:rPr>
                <w:rFonts w:ascii="Times New Roman" w:hAnsi="Times New Roman"/>
                <w:bCs/>
                <w:sz w:val="24"/>
              </w:rPr>
              <w:t>applicazione di tecniche di attenuazione del rischio di credito con effetti di sostituzione sull</w:t>
            </w:r>
            <w:r w:rsidR="000878EC">
              <w:rPr>
                <w:rFonts w:ascii="Times New Roman" w:hAnsi="Times New Roman"/>
                <w:bCs/>
                <w:sz w:val="24"/>
              </w:rPr>
              <w:t>'</w:t>
            </w:r>
            <w:r>
              <w:rPr>
                <w:rFonts w:ascii="Times New Roman" w:hAnsi="Times New Roman"/>
                <w:bCs/>
                <w:sz w:val="24"/>
              </w:rPr>
              <w:t>esposizione, che non si applicano.</w:t>
            </w:r>
          </w:p>
          <w:p w:rsidR="00FD54FC" w:rsidRPr="00661595" w:rsidRDefault="00FD54FC" w:rsidP="0018236F">
            <w:pPr>
              <w:suppressAutoHyphens/>
              <w:spacing w:before="0" w:after="0"/>
              <w:ind w:left="33"/>
              <w:rPr>
                <w:rFonts w:ascii="Times New Roman" w:hAnsi="Times New Roman"/>
                <w:b/>
                <w:bCs/>
                <w:sz w:val="24"/>
                <w:u w:val="single"/>
                <w:lang w:eastAsia="de-DE"/>
              </w:rPr>
            </w:pPr>
          </w:p>
        </w:tc>
      </w:tr>
      <w:tr w:rsidR="00CE47AF" w:rsidRPr="00661595" w:rsidTr="00672D2A">
        <w:tc>
          <w:tcPr>
            <w:tcW w:w="1188" w:type="dxa"/>
          </w:tcPr>
          <w:p w:rsidR="00CE47AF" w:rsidRPr="00661595" w:rsidRDefault="00535792" w:rsidP="00FD54FC">
            <w:pPr>
              <w:spacing w:before="0" w:after="0"/>
              <w:ind w:left="33"/>
              <w:rPr>
                <w:rFonts w:ascii="Times New Roman" w:hAnsi="Times New Roman"/>
                <w:bCs/>
                <w:sz w:val="24"/>
              </w:rPr>
            </w:pPr>
            <w:r>
              <w:rPr>
                <w:rFonts w:ascii="Times New Roman" w:hAnsi="Times New Roman"/>
                <w:bCs/>
                <w:sz w:val="24"/>
              </w:rPr>
              <w:t>0075</w:t>
            </w:r>
          </w:p>
        </w:tc>
        <w:tc>
          <w:tcPr>
            <w:tcW w:w="8701" w:type="dxa"/>
          </w:tcPr>
          <w:p w:rsidR="00CE47AF" w:rsidRPr="00661595" w:rsidRDefault="00CE47AF" w:rsidP="0018236F">
            <w:pPr>
              <w:suppressAutoHyphens/>
              <w:spacing w:before="0" w:after="0"/>
              <w:ind w:left="33"/>
              <w:rPr>
                <w:rFonts w:ascii="Times New Roman" w:hAnsi="Times New Roman"/>
                <w:b/>
                <w:bCs/>
                <w:sz w:val="24"/>
                <w:u w:val="single"/>
              </w:rPr>
            </w:pPr>
            <w:r>
              <w:rPr>
                <w:rFonts w:ascii="Times New Roman" w:hAnsi="Times New Roman"/>
                <w:b/>
                <w:bCs/>
                <w:sz w:val="24"/>
                <w:u w:val="single"/>
              </w:rPr>
              <w:t>Altre esposizioni verso amministrazioni pubbliche soggette al metodo standardizzato (SA)</w:t>
            </w:r>
          </w:p>
          <w:p w:rsidR="00CE47AF" w:rsidRPr="00661595" w:rsidRDefault="00CE47AF" w:rsidP="0018236F">
            <w:pPr>
              <w:suppressAutoHyphens/>
              <w:spacing w:before="0" w:after="0"/>
              <w:ind w:left="33"/>
              <w:rPr>
                <w:rFonts w:ascii="Times New Roman" w:hAnsi="Times New Roman"/>
                <w:bCs/>
                <w:sz w:val="24"/>
                <w:lang w:eastAsia="de-DE"/>
              </w:rPr>
            </w:pPr>
          </w:p>
          <w:p w:rsidR="00CE47AF" w:rsidRPr="00661595" w:rsidRDefault="00530BA1" w:rsidP="0018236F">
            <w:pPr>
              <w:suppressAutoHyphens/>
              <w:spacing w:before="0" w:after="0"/>
              <w:ind w:left="33"/>
              <w:rPr>
                <w:rFonts w:ascii="Times New Roman" w:hAnsi="Times New Roman"/>
                <w:bCs/>
                <w:sz w:val="24"/>
              </w:rPr>
            </w:pPr>
            <w:r>
              <w:rPr>
                <w:rFonts w:ascii="Times New Roman" w:hAnsi="Times New Roman"/>
                <w:bCs/>
                <w:sz w:val="24"/>
              </w:rPr>
              <w:t>Le esposizioni verso amministrazioni pubbliche diverse da quelle incluse nelle righe da 0040 a 0070 di cui sopra che sono classificate nelle classi di esposizioni cui è applicato il metodo SA a norma dell</w:t>
            </w:r>
            <w:r w:rsidR="000878EC">
              <w:rPr>
                <w:rFonts w:ascii="Times New Roman" w:hAnsi="Times New Roman"/>
                <w:bCs/>
                <w:sz w:val="24"/>
              </w:rPr>
              <w:t>'</w:t>
            </w:r>
            <w:r>
              <w:rPr>
                <w:rFonts w:ascii="Times New Roman" w:hAnsi="Times New Roman"/>
                <w:bCs/>
                <w:sz w:val="24"/>
              </w:rPr>
              <w:t>articolo 112 del CRR ai fini del calcolo dei requisiti di fondi propri.</w:t>
            </w:r>
          </w:p>
          <w:p w:rsidR="00530BA1" w:rsidRPr="00661595" w:rsidRDefault="00530BA1" w:rsidP="0018236F">
            <w:pPr>
              <w:suppressAutoHyphens/>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0080</w:t>
            </w:r>
          </w:p>
        </w:tc>
        <w:tc>
          <w:tcPr>
            <w:tcW w:w="8701" w:type="dxa"/>
          </w:tcPr>
          <w:p w:rsidR="00FD54FC" w:rsidRPr="00661595" w:rsidRDefault="00FD54FC" w:rsidP="0018236F">
            <w:pPr>
              <w:suppressAutoHyphens/>
              <w:spacing w:before="0" w:after="0"/>
              <w:ind w:left="33"/>
              <w:rPr>
                <w:rFonts w:ascii="Times New Roman" w:hAnsi="Times New Roman"/>
                <w:b/>
                <w:bCs/>
                <w:sz w:val="24"/>
                <w:u w:val="single"/>
              </w:rPr>
            </w:pPr>
            <w:r>
              <w:rPr>
                <w:rFonts w:ascii="Times New Roman" w:hAnsi="Times New Roman"/>
                <w:b/>
                <w:bCs/>
                <w:sz w:val="24"/>
                <w:u w:val="single"/>
              </w:rPr>
              <w:t>Metodo IRB</w:t>
            </w:r>
          </w:p>
          <w:p w:rsidR="00FD54FC" w:rsidRPr="00661595" w:rsidRDefault="00FD54FC" w:rsidP="0018236F">
            <w:pPr>
              <w:suppressAutoHyphens/>
              <w:spacing w:before="0" w:after="0"/>
              <w:ind w:left="33"/>
              <w:rPr>
                <w:rFonts w:ascii="Times New Roman" w:hAnsi="Times New Roman"/>
                <w:bCs/>
                <w:sz w:val="24"/>
                <w:lang w:eastAsia="de-DE"/>
              </w:rPr>
            </w:pPr>
          </w:p>
          <w:p w:rsidR="00FD54FC" w:rsidRPr="00661595" w:rsidRDefault="00FD54FC" w:rsidP="0018236F">
            <w:pPr>
              <w:suppressAutoHyphens/>
              <w:spacing w:before="0" w:after="0"/>
              <w:ind w:left="33"/>
              <w:rPr>
                <w:rFonts w:ascii="Times New Roman" w:hAnsi="Times New Roman"/>
                <w:bCs/>
                <w:sz w:val="24"/>
              </w:rPr>
            </w:pPr>
            <w:r>
              <w:rPr>
                <w:rFonts w:ascii="Times New Roman" w:hAnsi="Times New Roman"/>
                <w:bCs/>
                <w:sz w:val="24"/>
              </w:rPr>
              <w:t>Le esposizioni verso amministrazioni pubbliche che sono ponderate per il rischio a norma della parte tre, titolo II, capo 3, del CRR, comprese le esposizioni non comprese nel portafoglio di negoziazione per le quali la ponderazione del rischio conformemente al suddetto capo concerne il rischio di controparte.</w:t>
            </w:r>
          </w:p>
          <w:p w:rsidR="00FD54FC" w:rsidRPr="00661595" w:rsidRDefault="00FD54FC" w:rsidP="0018236F">
            <w:pPr>
              <w:suppressAutoHyphens/>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0090</w:t>
            </w:r>
          </w:p>
        </w:tc>
        <w:tc>
          <w:tcPr>
            <w:tcW w:w="8701" w:type="dxa"/>
          </w:tcPr>
          <w:p w:rsidR="00FD54FC" w:rsidRPr="00661595" w:rsidRDefault="00FD54FC" w:rsidP="0018236F">
            <w:pPr>
              <w:suppressAutoHyphens/>
              <w:spacing w:before="0" w:after="0"/>
              <w:ind w:left="33"/>
              <w:rPr>
                <w:rFonts w:ascii="Times New Roman" w:hAnsi="Times New Roman"/>
                <w:b/>
                <w:bCs/>
                <w:sz w:val="24"/>
                <w:u w:val="single"/>
              </w:rPr>
            </w:pPr>
            <w:r>
              <w:rPr>
                <w:rFonts w:ascii="Times New Roman" w:hAnsi="Times New Roman"/>
                <w:b/>
                <w:bCs/>
                <w:sz w:val="24"/>
                <w:u w:val="single"/>
              </w:rPr>
              <w:t>Amministrazioni centrali</w:t>
            </w:r>
          </w:p>
          <w:p w:rsidR="00FD54FC" w:rsidRPr="00661595" w:rsidRDefault="00FD54FC" w:rsidP="0018236F">
            <w:pPr>
              <w:suppressAutoHyphens/>
              <w:spacing w:before="0" w:after="0"/>
              <w:ind w:left="33"/>
              <w:rPr>
                <w:rFonts w:ascii="Times New Roman" w:hAnsi="Times New Roman"/>
                <w:bCs/>
                <w:sz w:val="24"/>
                <w:lang w:eastAsia="de-DE"/>
              </w:rPr>
            </w:pPr>
          </w:p>
          <w:p w:rsidR="00FD54FC" w:rsidRPr="00661595" w:rsidRDefault="00FD54FC" w:rsidP="0018236F">
            <w:pPr>
              <w:suppressAutoHyphens/>
              <w:spacing w:before="0" w:after="0"/>
              <w:ind w:left="33"/>
              <w:rPr>
                <w:rFonts w:ascii="Times New Roman" w:hAnsi="Times New Roman"/>
                <w:bCs/>
                <w:sz w:val="24"/>
              </w:rPr>
            </w:pPr>
            <w:r>
              <w:rPr>
                <w:rFonts w:ascii="Times New Roman" w:hAnsi="Times New Roman"/>
                <w:bCs/>
                <w:sz w:val="24"/>
              </w:rPr>
              <w:t xml:space="preserve">Le esposizioni verso amministrazioni pubbliche che sono amministrazioni centrali e che sono assegnate alla classe di esposizioni verso </w:t>
            </w:r>
            <w:r w:rsidR="000878EC">
              <w:rPr>
                <w:rFonts w:ascii="Times New Roman" w:hAnsi="Times New Roman"/>
                <w:bCs/>
                <w:sz w:val="24"/>
              </w:rPr>
              <w:t>"</w:t>
            </w:r>
            <w:r>
              <w:rPr>
                <w:rFonts w:ascii="Times New Roman" w:hAnsi="Times New Roman"/>
                <w:bCs/>
                <w:sz w:val="24"/>
              </w:rPr>
              <w:t>amministrazioni centrali e banche centrali</w:t>
            </w:r>
            <w:r w:rsidR="000878EC">
              <w:rPr>
                <w:rFonts w:ascii="Times New Roman" w:hAnsi="Times New Roman"/>
                <w:bCs/>
                <w:sz w:val="24"/>
              </w:rPr>
              <w:t>"</w:t>
            </w:r>
            <w:r>
              <w:rPr>
                <w:rFonts w:ascii="Times New Roman" w:hAnsi="Times New Roman"/>
                <w:bCs/>
                <w:sz w:val="24"/>
              </w:rPr>
              <w:t xml:space="preserve"> conformemente all</w:t>
            </w:r>
            <w:r w:rsidR="000878EC">
              <w:rPr>
                <w:rFonts w:ascii="Times New Roman" w:hAnsi="Times New Roman"/>
                <w:bCs/>
                <w:sz w:val="24"/>
              </w:rPr>
              <w:t>'</w:t>
            </w:r>
            <w:r>
              <w:rPr>
                <w:rFonts w:ascii="Times New Roman" w:hAnsi="Times New Roman"/>
                <w:bCs/>
                <w:sz w:val="24"/>
              </w:rPr>
              <w:t>articolo 147, paragrafo 3, lettera a), del CRR, come specificato nelle istruzioni per i modelli C 08.01 e C 08.02, ad eccezione delle specifiche per quanto riguarda la redistribuzione delle esposizioni verso amministrazioni pubbliche ad altre classi di esposizioni a seguito dell</w:t>
            </w:r>
            <w:r w:rsidR="000878EC">
              <w:rPr>
                <w:rFonts w:ascii="Times New Roman" w:hAnsi="Times New Roman"/>
                <w:bCs/>
                <w:sz w:val="24"/>
              </w:rPr>
              <w:t>'</w:t>
            </w:r>
            <w:r>
              <w:rPr>
                <w:rFonts w:ascii="Times New Roman" w:hAnsi="Times New Roman"/>
                <w:bCs/>
                <w:sz w:val="24"/>
              </w:rPr>
              <w:t>applicazione di tecniche di attenuazione del rischio di credito con effetti di sostituzione sull</w:t>
            </w:r>
            <w:r w:rsidR="000878EC">
              <w:rPr>
                <w:rFonts w:ascii="Times New Roman" w:hAnsi="Times New Roman"/>
                <w:bCs/>
                <w:sz w:val="24"/>
              </w:rPr>
              <w:t>'</w:t>
            </w:r>
            <w:r>
              <w:rPr>
                <w:rFonts w:ascii="Times New Roman" w:hAnsi="Times New Roman"/>
                <w:bCs/>
                <w:sz w:val="24"/>
              </w:rPr>
              <w:t>esposizione, che non si applicano.</w:t>
            </w:r>
          </w:p>
          <w:p w:rsidR="00FD54FC" w:rsidRPr="00661595" w:rsidRDefault="00FD54FC" w:rsidP="0018236F">
            <w:pPr>
              <w:suppressAutoHyphens/>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0100</w:t>
            </w:r>
          </w:p>
        </w:tc>
        <w:tc>
          <w:tcPr>
            <w:tcW w:w="8701" w:type="dxa"/>
          </w:tcPr>
          <w:p w:rsidR="00FD54FC" w:rsidRPr="00661595" w:rsidRDefault="00FD54FC" w:rsidP="0018236F">
            <w:pPr>
              <w:suppressAutoHyphens/>
              <w:spacing w:before="0" w:after="0"/>
              <w:ind w:left="33"/>
              <w:rPr>
                <w:rFonts w:ascii="Times New Roman" w:hAnsi="Times New Roman"/>
                <w:b/>
                <w:bCs/>
                <w:sz w:val="24"/>
                <w:u w:val="single"/>
              </w:rPr>
            </w:pPr>
            <w:r>
              <w:rPr>
                <w:rFonts w:ascii="Times New Roman" w:hAnsi="Times New Roman"/>
                <w:b/>
                <w:bCs/>
                <w:sz w:val="24"/>
                <w:u w:val="single"/>
              </w:rPr>
              <w:t>Amministrazioni regionali o autorità locali [Amministrazioni centrali e banche centrali]</w:t>
            </w:r>
          </w:p>
          <w:p w:rsidR="00FD54FC" w:rsidRPr="00661595" w:rsidRDefault="00FD54FC" w:rsidP="0018236F">
            <w:pPr>
              <w:suppressAutoHyphens/>
              <w:spacing w:before="0" w:after="0"/>
              <w:ind w:left="33"/>
              <w:rPr>
                <w:rFonts w:ascii="Times New Roman" w:hAnsi="Times New Roman"/>
                <w:bCs/>
                <w:sz w:val="24"/>
                <w:lang w:eastAsia="de-DE"/>
              </w:rPr>
            </w:pPr>
          </w:p>
          <w:p w:rsidR="00FD54FC" w:rsidRPr="00661595" w:rsidRDefault="00FD54FC" w:rsidP="0018236F">
            <w:pPr>
              <w:suppressAutoHyphens/>
              <w:spacing w:before="0" w:after="0"/>
              <w:ind w:left="33"/>
              <w:rPr>
                <w:rFonts w:ascii="Times New Roman" w:hAnsi="Times New Roman"/>
                <w:bCs/>
                <w:sz w:val="24"/>
              </w:rPr>
            </w:pPr>
            <w:r>
              <w:rPr>
                <w:rFonts w:ascii="Times New Roman" w:hAnsi="Times New Roman"/>
                <w:bCs/>
                <w:sz w:val="24"/>
              </w:rPr>
              <w:t xml:space="preserve">Le esposizioni verso amministrazioni pubbliche che sono amministrazioni regionali o autorità locali e che sono assegnate alla classe di esposizioni verso </w:t>
            </w:r>
            <w:r w:rsidR="000878EC">
              <w:rPr>
                <w:rFonts w:ascii="Times New Roman" w:hAnsi="Times New Roman"/>
                <w:bCs/>
                <w:sz w:val="24"/>
              </w:rPr>
              <w:t>"</w:t>
            </w:r>
            <w:r>
              <w:rPr>
                <w:rFonts w:ascii="Times New Roman" w:hAnsi="Times New Roman"/>
                <w:bCs/>
                <w:sz w:val="24"/>
              </w:rPr>
              <w:t>amministrazioni centrali e banche centrali</w:t>
            </w:r>
            <w:r w:rsidR="000878EC">
              <w:rPr>
                <w:rFonts w:ascii="Times New Roman" w:hAnsi="Times New Roman"/>
                <w:bCs/>
                <w:sz w:val="24"/>
              </w:rPr>
              <w:t>"</w:t>
            </w:r>
            <w:r>
              <w:rPr>
                <w:rFonts w:ascii="Times New Roman" w:hAnsi="Times New Roman"/>
                <w:bCs/>
                <w:sz w:val="24"/>
              </w:rPr>
              <w:t xml:space="preserve"> conformemente all</w:t>
            </w:r>
            <w:r w:rsidR="000878EC">
              <w:rPr>
                <w:rFonts w:ascii="Times New Roman" w:hAnsi="Times New Roman"/>
                <w:bCs/>
                <w:sz w:val="24"/>
              </w:rPr>
              <w:t>'</w:t>
            </w:r>
            <w:r>
              <w:rPr>
                <w:rFonts w:ascii="Times New Roman" w:hAnsi="Times New Roman"/>
                <w:bCs/>
                <w:sz w:val="24"/>
              </w:rPr>
              <w:t>articolo 147, paragrafo 3, lettera a), del CRR, come specificato nelle istruzioni per i modelli C 08.01 e C 08.02, ad eccezione delle specifiche per quanto riguarda la redistribuzione delle esposizioni verso amministrazioni pubbliche ad altre classi di esposizioni a seguito dell</w:t>
            </w:r>
            <w:r w:rsidR="000878EC">
              <w:rPr>
                <w:rFonts w:ascii="Times New Roman" w:hAnsi="Times New Roman"/>
                <w:bCs/>
                <w:sz w:val="24"/>
              </w:rPr>
              <w:t>'</w:t>
            </w:r>
            <w:r>
              <w:rPr>
                <w:rFonts w:ascii="Times New Roman" w:hAnsi="Times New Roman"/>
                <w:bCs/>
                <w:sz w:val="24"/>
              </w:rPr>
              <w:t>applicazione di tecniche di attenuazione del rischio di credito con effetti di sostituzione sull</w:t>
            </w:r>
            <w:r w:rsidR="000878EC">
              <w:rPr>
                <w:rFonts w:ascii="Times New Roman" w:hAnsi="Times New Roman"/>
                <w:bCs/>
                <w:sz w:val="24"/>
              </w:rPr>
              <w:t>'</w:t>
            </w:r>
            <w:r>
              <w:rPr>
                <w:rFonts w:ascii="Times New Roman" w:hAnsi="Times New Roman"/>
                <w:bCs/>
                <w:sz w:val="24"/>
              </w:rPr>
              <w:t>esposizione, che non si applicano.</w:t>
            </w:r>
          </w:p>
          <w:p w:rsidR="00FD54FC" w:rsidRPr="00661595" w:rsidRDefault="00FD54FC" w:rsidP="0018236F">
            <w:pPr>
              <w:suppressAutoHyphens/>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0110</w:t>
            </w:r>
          </w:p>
        </w:tc>
        <w:tc>
          <w:tcPr>
            <w:tcW w:w="8701" w:type="dxa"/>
          </w:tcPr>
          <w:p w:rsidR="00FD54FC" w:rsidRPr="00661595" w:rsidRDefault="00FD54FC" w:rsidP="0018236F">
            <w:pPr>
              <w:suppressAutoHyphens/>
              <w:spacing w:before="0" w:after="0"/>
              <w:ind w:left="33"/>
              <w:rPr>
                <w:rFonts w:ascii="Times New Roman" w:hAnsi="Times New Roman"/>
                <w:b/>
                <w:bCs/>
                <w:sz w:val="24"/>
                <w:u w:val="single"/>
              </w:rPr>
            </w:pPr>
            <w:r>
              <w:rPr>
                <w:rFonts w:ascii="Times New Roman" w:hAnsi="Times New Roman"/>
                <w:b/>
                <w:bCs/>
                <w:sz w:val="24"/>
                <w:u w:val="single"/>
              </w:rPr>
              <w:t>Amministrazioni regionali o autorità locali [Enti]</w:t>
            </w:r>
          </w:p>
          <w:p w:rsidR="00FD54FC" w:rsidRPr="00661595" w:rsidRDefault="00FD54FC" w:rsidP="0018236F">
            <w:pPr>
              <w:suppressAutoHyphens/>
              <w:spacing w:before="0" w:after="0"/>
              <w:ind w:left="33"/>
              <w:rPr>
                <w:rFonts w:ascii="Times New Roman" w:hAnsi="Times New Roman"/>
                <w:bCs/>
                <w:sz w:val="24"/>
                <w:lang w:eastAsia="de-DE"/>
              </w:rPr>
            </w:pPr>
          </w:p>
          <w:p w:rsidR="00FD54FC" w:rsidRPr="00661595" w:rsidRDefault="00FD54FC" w:rsidP="0018236F">
            <w:pPr>
              <w:suppressAutoHyphens/>
              <w:spacing w:before="0" w:after="0"/>
              <w:ind w:left="33"/>
              <w:rPr>
                <w:rFonts w:ascii="Times New Roman" w:hAnsi="Times New Roman"/>
                <w:bCs/>
                <w:sz w:val="24"/>
              </w:rPr>
            </w:pPr>
            <w:r>
              <w:rPr>
                <w:rFonts w:ascii="Times New Roman" w:hAnsi="Times New Roman"/>
                <w:bCs/>
                <w:sz w:val="24"/>
              </w:rPr>
              <w:t xml:space="preserve">Le esposizioni verso amministrazioni pubbliche che sono amministrazioni regionali o autorità locali e che sono assegnate alla classe di esposizioni verso </w:t>
            </w:r>
            <w:r w:rsidR="000878EC">
              <w:rPr>
                <w:rFonts w:ascii="Times New Roman" w:hAnsi="Times New Roman"/>
                <w:bCs/>
                <w:sz w:val="24"/>
              </w:rPr>
              <w:t>"</w:t>
            </w:r>
            <w:r>
              <w:rPr>
                <w:rFonts w:ascii="Times New Roman" w:hAnsi="Times New Roman"/>
                <w:bCs/>
                <w:sz w:val="24"/>
              </w:rPr>
              <w:t>enti</w:t>
            </w:r>
            <w:r w:rsidR="000878EC">
              <w:rPr>
                <w:rFonts w:ascii="Times New Roman" w:hAnsi="Times New Roman"/>
                <w:bCs/>
                <w:sz w:val="24"/>
              </w:rPr>
              <w:t>"</w:t>
            </w:r>
            <w:r>
              <w:rPr>
                <w:rFonts w:ascii="Times New Roman" w:hAnsi="Times New Roman"/>
                <w:bCs/>
                <w:sz w:val="24"/>
              </w:rPr>
              <w:t xml:space="preserve"> conformemente all</w:t>
            </w:r>
            <w:r w:rsidR="000878EC">
              <w:rPr>
                <w:rFonts w:ascii="Times New Roman" w:hAnsi="Times New Roman"/>
                <w:bCs/>
                <w:sz w:val="24"/>
              </w:rPr>
              <w:t>'</w:t>
            </w:r>
            <w:r>
              <w:rPr>
                <w:rFonts w:ascii="Times New Roman" w:hAnsi="Times New Roman"/>
                <w:bCs/>
                <w:sz w:val="24"/>
              </w:rPr>
              <w:t>articolo 147, paragrafo 4, lettera a), del CRR, come specificato nelle istruzioni per i modelli C 08.01 e C 08.02, ad eccezione delle specifiche per quanto riguarda la redistribuzione delle esposizioni verso amministrazioni pubbliche ad altre classi di esposizioni a seguito dell</w:t>
            </w:r>
            <w:r w:rsidR="000878EC">
              <w:rPr>
                <w:rFonts w:ascii="Times New Roman" w:hAnsi="Times New Roman"/>
                <w:bCs/>
                <w:sz w:val="24"/>
              </w:rPr>
              <w:t>'</w:t>
            </w:r>
            <w:r>
              <w:rPr>
                <w:rFonts w:ascii="Times New Roman" w:hAnsi="Times New Roman"/>
                <w:bCs/>
                <w:sz w:val="24"/>
              </w:rPr>
              <w:t>applicazione di tecniche di attenuazione del rischio di credito con effetti di sostituzione sull</w:t>
            </w:r>
            <w:r w:rsidR="000878EC">
              <w:rPr>
                <w:rFonts w:ascii="Times New Roman" w:hAnsi="Times New Roman"/>
                <w:bCs/>
                <w:sz w:val="24"/>
              </w:rPr>
              <w:t>'</w:t>
            </w:r>
            <w:r>
              <w:rPr>
                <w:rFonts w:ascii="Times New Roman" w:hAnsi="Times New Roman"/>
                <w:bCs/>
                <w:sz w:val="24"/>
              </w:rPr>
              <w:t>esposizione, che non si applicano.</w:t>
            </w:r>
          </w:p>
          <w:p w:rsidR="00FD54FC" w:rsidRPr="00661595" w:rsidRDefault="00FD54FC" w:rsidP="0018236F">
            <w:pPr>
              <w:suppressAutoHyphens/>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0120</w:t>
            </w:r>
          </w:p>
        </w:tc>
        <w:tc>
          <w:tcPr>
            <w:tcW w:w="8701" w:type="dxa"/>
          </w:tcPr>
          <w:p w:rsidR="00FD54FC" w:rsidRPr="00661595" w:rsidRDefault="00FD54FC" w:rsidP="0018236F">
            <w:pPr>
              <w:suppressAutoHyphens/>
              <w:spacing w:before="0" w:after="0"/>
              <w:ind w:left="33"/>
              <w:rPr>
                <w:rFonts w:ascii="Times New Roman" w:hAnsi="Times New Roman"/>
                <w:b/>
                <w:bCs/>
                <w:sz w:val="24"/>
                <w:u w:val="single"/>
              </w:rPr>
            </w:pPr>
            <w:r>
              <w:rPr>
                <w:rFonts w:ascii="Times New Roman" w:hAnsi="Times New Roman"/>
                <w:b/>
                <w:bCs/>
                <w:sz w:val="24"/>
                <w:u w:val="single"/>
              </w:rPr>
              <w:t>Organismi del settore pubblico [Amministrazioni centrali e banche centrali]</w:t>
            </w:r>
          </w:p>
          <w:p w:rsidR="00FD54FC" w:rsidRPr="00661595" w:rsidRDefault="00FD54FC" w:rsidP="0018236F">
            <w:pPr>
              <w:suppressAutoHyphens/>
              <w:spacing w:before="0" w:after="0"/>
              <w:ind w:left="33"/>
              <w:rPr>
                <w:rFonts w:ascii="Times New Roman" w:hAnsi="Times New Roman"/>
                <w:bCs/>
                <w:sz w:val="24"/>
                <w:lang w:eastAsia="de-DE"/>
              </w:rPr>
            </w:pPr>
          </w:p>
          <w:p w:rsidR="00FD54FC" w:rsidRPr="00661595" w:rsidRDefault="00FD54FC" w:rsidP="0018236F">
            <w:pPr>
              <w:suppressAutoHyphens/>
              <w:spacing w:before="0" w:after="0"/>
              <w:ind w:left="33"/>
              <w:rPr>
                <w:rFonts w:ascii="Times New Roman" w:hAnsi="Times New Roman"/>
                <w:bCs/>
                <w:sz w:val="24"/>
              </w:rPr>
            </w:pPr>
            <w:r>
              <w:rPr>
                <w:rFonts w:ascii="Times New Roman" w:hAnsi="Times New Roman"/>
                <w:bCs/>
                <w:sz w:val="24"/>
              </w:rPr>
              <w:t>Le esposizioni verso amministrazioni pubbliche che sono organismi del settore pubblico conformemente all</w:t>
            </w:r>
            <w:r w:rsidR="000878EC">
              <w:rPr>
                <w:rFonts w:ascii="Times New Roman" w:hAnsi="Times New Roman"/>
                <w:bCs/>
                <w:sz w:val="24"/>
              </w:rPr>
              <w:t>'</w:t>
            </w:r>
            <w:r>
              <w:rPr>
                <w:rFonts w:ascii="Times New Roman" w:hAnsi="Times New Roman"/>
                <w:bCs/>
                <w:sz w:val="24"/>
              </w:rPr>
              <w:t xml:space="preserve">articolo 4, punto 8, del CRR, e che sono assegnate alla classe di esposizioni verso </w:t>
            </w:r>
            <w:r w:rsidR="000878EC">
              <w:rPr>
                <w:rFonts w:ascii="Times New Roman" w:hAnsi="Times New Roman"/>
                <w:bCs/>
                <w:sz w:val="24"/>
              </w:rPr>
              <w:t>"</w:t>
            </w:r>
            <w:r>
              <w:rPr>
                <w:rFonts w:ascii="Times New Roman" w:hAnsi="Times New Roman"/>
                <w:bCs/>
                <w:sz w:val="24"/>
              </w:rPr>
              <w:t>amministrazioni centrali e banche centrali</w:t>
            </w:r>
            <w:r w:rsidR="000878EC">
              <w:rPr>
                <w:rFonts w:ascii="Times New Roman" w:hAnsi="Times New Roman"/>
                <w:bCs/>
                <w:sz w:val="24"/>
              </w:rPr>
              <w:t>"</w:t>
            </w:r>
            <w:r>
              <w:rPr>
                <w:rFonts w:ascii="Times New Roman" w:hAnsi="Times New Roman"/>
                <w:bCs/>
                <w:sz w:val="24"/>
              </w:rPr>
              <w:t xml:space="preserve"> conformemente all</w:t>
            </w:r>
            <w:r w:rsidR="000878EC">
              <w:rPr>
                <w:rFonts w:ascii="Times New Roman" w:hAnsi="Times New Roman"/>
                <w:bCs/>
                <w:sz w:val="24"/>
              </w:rPr>
              <w:t>'</w:t>
            </w:r>
            <w:r>
              <w:rPr>
                <w:rFonts w:ascii="Times New Roman" w:hAnsi="Times New Roman"/>
                <w:bCs/>
                <w:sz w:val="24"/>
              </w:rPr>
              <w:t>articolo 147, paragrafo 3, lettera a), del CRR, come specificato nelle istruzioni per i modelli C 08.01 e C 08.02, ad eccezione delle specifiche per quanto riguarda la redistribuzione delle esposizioni verso amministrazioni pubbliche ad altre classi di esposizioni a seguito dell</w:t>
            </w:r>
            <w:r w:rsidR="000878EC">
              <w:rPr>
                <w:rFonts w:ascii="Times New Roman" w:hAnsi="Times New Roman"/>
                <w:bCs/>
                <w:sz w:val="24"/>
              </w:rPr>
              <w:t>'</w:t>
            </w:r>
            <w:r>
              <w:rPr>
                <w:rFonts w:ascii="Times New Roman" w:hAnsi="Times New Roman"/>
                <w:bCs/>
                <w:sz w:val="24"/>
              </w:rPr>
              <w:t>applicazione di tecniche di attenuazione del rischio di credito con effetti di sostituzione sull</w:t>
            </w:r>
            <w:r w:rsidR="000878EC">
              <w:rPr>
                <w:rFonts w:ascii="Times New Roman" w:hAnsi="Times New Roman"/>
                <w:bCs/>
                <w:sz w:val="24"/>
              </w:rPr>
              <w:t>'</w:t>
            </w:r>
            <w:r>
              <w:rPr>
                <w:rFonts w:ascii="Times New Roman" w:hAnsi="Times New Roman"/>
                <w:bCs/>
                <w:sz w:val="24"/>
              </w:rPr>
              <w:t>esposizione, che non si applicano.</w:t>
            </w:r>
          </w:p>
          <w:p w:rsidR="00FD54FC" w:rsidRPr="00661595" w:rsidRDefault="00FD54FC" w:rsidP="0018236F">
            <w:pPr>
              <w:suppressAutoHyphens/>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0130</w:t>
            </w:r>
          </w:p>
        </w:tc>
        <w:tc>
          <w:tcPr>
            <w:tcW w:w="8701" w:type="dxa"/>
          </w:tcPr>
          <w:p w:rsidR="00FD54FC" w:rsidRPr="00661595" w:rsidRDefault="00FD54FC" w:rsidP="0018236F">
            <w:pPr>
              <w:suppressAutoHyphens/>
              <w:spacing w:before="0" w:after="0"/>
              <w:ind w:left="33"/>
              <w:rPr>
                <w:rFonts w:ascii="Times New Roman" w:hAnsi="Times New Roman"/>
                <w:b/>
                <w:bCs/>
                <w:sz w:val="24"/>
                <w:u w:val="single"/>
              </w:rPr>
            </w:pPr>
            <w:r>
              <w:rPr>
                <w:rFonts w:ascii="Times New Roman" w:hAnsi="Times New Roman"/>
                <w:b/>
                <w:bCs/>
                <w:sz w:val="24"/>
                <w:u w:val="single"/>
              </w:rPr>
              <w:t>Organismi del settore pubblico [Enti]</w:t>
            </w:r>
          </w:p>
          <w:p w:rsidR="00FD54FC" w:rsidRPr="00661595" w:rsidRDefault="00FD54FC" w:rsidP="0018236F">
            <w:pPr>
              <w:suppressAutoHyphens/>
              <w:spacing w:before="0" w:after="0"/>
              <w:ind w:left="33"/>
              <w:rPr>
                <w:rFonts w:ascii="Times New Roman" w:hAnsi="Times New Roman"/>
                <w:bCs/>
                <w:sz w:val="24"/>
                <w:lang w:eastAsia="de-DE"/>
              </w:rPr>
            </w:pPr>
          </w:p>
          <w:p w:rsidR="00FD54FC" w:rsidRPr="00661595" w:rsidRDefault="00FD54FC" w:rsidP="0018236F">
            <w:pPr>
              <w:suppressAutoHyphens/>
              <w:spacing w:before="0" w:after="0"/>
              <w:ind w:left="33"/>
              <w:rPr>
                <w:rFonts w:ascii="Times New Roman" w:hAnsi="Times New Roman"/>
                <w:bCs/>
                <w:sz w:val="24"/>
              </w:rPr>
            </w:pPr>
            <w:r>
              <w:rPr>
                <w:rFonts w:ascii="Times New Roman" w:hAnsi="Times New Roman"/>
                <w:bCs/>
                <w:sz w:val="24"/>
              </w:rPr>
              <w:t>Le esposizioni verso amministrazioni pubbliche che sono organismi del settore pubblico conformemente all</w:t>
            </w:r>
            <w:r w:rsidR="000878EC">
              <w:rPr>
                <w:rFonts w:ascii="Times New Roman" w:hAnsi="Times New Roman"/>
                <w:bCs/>
                <w:sz w:val="24"/>
              </w:rPr>
              <w:t>'</w:t>
            </w:r>
            <w:r>
              <w:rPr>
                <w:rFonts w:ascii="Times New Roman" w:hAnsi="Times New Roman"/>
                <w:bCs/>
                <w:sz w:val="24"/>
              </w:rPr>
              <w:t xml:space="preserve">articolo 4, punto 8, del CRR, e che sono assegnate alla classe di esposizioni verso </w:t>
            </w:r>
            <w:r w:rsidR="000878EC">
              <w:rPr>
                <w:rFonts w:ascii="Times New Roman" w:hAnsi="Times New Roman"/>
                <w:bCs/>
                <w:sz w:val="24"/>
              </w:rPr>
              <w:t>"</w:t>
            </w:r>
            <w:r>
              <w:rPr>
                <w:rFonts w:ascii="Times New Roman" w:hAnsi="Times New Roman"/>
                <w:bCs/>
                <w:sz w:val="24"/>
              </w:rPr>
              <w:t>enti</w:t>
            </w:r>
            <w:r w:rsidR="000878EC">
              <w:rPr>
                <w:rFonts w:ascii="Times New Roman" w:hAnsi="Times New Roman"/>
                <w:bCs/>
                <w:sz w:val="24"/>
              </w:rPr>
              <w:t>"</w:t>
            </w:r>
            <w:r>
              <w:rPr>
                <w:rFonts w:ascii="Times New Roman" w:hAnsi="Times New Roman"/>
                <w:bCs/>
                <w:sz w:val="24"/>
              </w:rPr>
              <w:t xml:space="preserve"> conformemente all</w:t>
            </w:r>
            <w:r w:rsidR="000878EC">
              <w:rPr>
                <w:rFonts w:ascii="Times New Roman" w:hAnsi="Times New Roman"/>
                <w:bCs/>
                <w:sz w:val="24"/>
              </w:rPr>
              <w:t>'</w:t>
            </w:r>
            <w:r>
              <w:rPr>
                <w:rFonts w:ascii="Times New Roman" w:hAnsi="Times New Roman"/>
                <w:bCs/>
                <w:sz w:val="24"/>
              </w:rPr>
              <w:t>articolo 147, paragrafo 4, lettera b), del CRR, come specificato nelle istruzioni per i modelli C 08.01 e C 08.02, ad eccezione delle specifiche per quanto riguarda la redistribuzione delle esposizioni verso amministrazioni pubbliche ad altre classi di esposizioni a seguito dell</w:t>
            </w:r>
            <w:r w:rsidR="000878EC">
              <w:rPr>
                <w:rFonts w:ascii="Times New Roman" w:hAnsi="Times New Roman"/>
                <w:bCs/>
                <w:sz w:val="24"/>
              </w:rPr>
              <w:t>'</w:t>
            </w:r>
            <w:r>
              <w:rPr>
                <w:rFonts w:ascii="Times New Roman" w:hAnsi="Times New Roman"/>
                <w:bCs/>
                <w:sz w:val="24"/>
              </w:rPr>
              <w:t>applicazione di tecniche di attenuazione del rischio di credito con effetti di sostituzione sull</w:t>
            </w:r>
            <w:r w:rsidR="000878EC">
              <w:rPr>
                <w:rFonts w:ascii="Times New Roman" w:hAnsi="Times New Roman"/>
                <w:bCs/>
                <w:sz w:val="24"/>
              </w:rPr>
              <w:t>'</w:t>
            </w:r>
            <w:r>
              <w:rPr>
                <w:rFonts w:ascii="Times New Roman" w:hAnsi="Times New Roman"/>
                <w:bCs/>
                <w:sz w:val="24"/>
              </w:rPr>
              <w:t>esposizione, che non si applicano.</w:t>
            </w:r>
          </w:p>
          <w:p w:rsidR="00FD54FC" w:rsidRPr="00661595" w:rsidRDefault="00FD54FC" w:rsidP="0018236F">
            <w:pPr>
              <w:suppressAutoHyphens/>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Del="00C211CB" w:rsidRDefault="00535792" w:rsidP="00FD54FC">
            <w:pPr>
              <w:spacing w:before="0" w:after="0"/>
              <w:ind w:left="33"/>
              <w:rPr>
                <w:rFonts w:ascii="Times New Roman" w:hAnsi="Times New Roman"/>
                <w:bCs/>
                <w:sz w:val="24"/>
              </w:rPr>
            </w:pPr>
            <w:r>
              <w:rPr>
                <w:rFonts w:ascii="Times New Roman" w:hAnsi="Times New Roman"/>
                <w:bCs/>
                <w:sz w:val="24"/>
              </w:rPr>
              <w:t>0140</w:t>
            </w:r>
          </w:p>
        </w:tc>
        <w:tc>
          <w:tcPr>
            <w:tcW w:w="8701" w:type="dxa"/>
          </w:tcPr>
          <w:p w:rsidR="00FD54FC" w:rsidRPr="00661595" w:rsidRDefault="00FD54FC" w:rsidP="0018236F">
            <w:pPr>
              <w:suppressAutoHyphens/>
              <w:spacing w:before="0" w:after="0"/>
              <w:ind w:left="33"/>
              <w:rPr>
                <w:rFonts w:ascii="Times New Roman" w:hAnsi="Times New Roman"/>
                <w:b/>
                <w:bCs/>
                <w:sz w:val="24"/>
                <w:u w:val="single"/>
              </w:rPr>
            </w:pPr>
            <w:r>
              <w:rPr>
                <w:rFonts w:ascii="Times New Roman" w:hAnsi="Times New Roman"/>
                <w:b/>
                <w:bCs/>
                <w:sz w:val="24"/>
                <w:u w:val="single"/>
              </w:rPr>
              <w:t>Organizzazioni internazionali [Amministrazioni centrali e banche centrali]</w:t>
            </w:r>
          </w:p>
          <w:p w:rsidR="00FD54FC" w:rsidRPr="00661595" w:rsidRDefault="00FD54FC" w:rsidP="0018236F">
            <w:pPr>
              <w:suppressAutoHyphens/>
              <w:spacing w:before="0" w:after="0"/>
              <w:ind w:left="33"/>
              <w:rPr>
                <w:rFonts w:ascii="Times New Roman" w:hAnsi="Times New Roman"/>
                <w:bCs/>
                <w:sz w:val="24"/>
                <w:lang w:eastAsia="de-DE"/>
              </w:rPr>
            </w:pPr>
          </w:p>
          <w:p w:rsidR="00FD54FC" w:rsidRPr="00661595" w:rsidRDefault="00FD54FC" w:rsidP="0018236F">
            <w:pPr>
              <w:suppressAutoHyphens/>
              <w:spacing w:before="0" w:after="0"/>
              <w:ind w:left="33"/>
              <w:rPr>
                <w:rFonts w:ascii="Times New Roman" w:hAnsi="Times New Roman"/>
                <w:bCs/>
                <w:sz w:val="24"/>
              </w:rPr>
            </w:pPr>
            <w:r>
              <w:rPr>
                <w:rFonts w:ascii="Times New Roman" w:hAnsi="Times New Roman"/>
                <w:bCs/>
                <w:sz w:val="24"/>
              </w:rPr>
              <w:t xml:space="preserve">Le esposizioni verso amministrazioni pubbliche che sono organizzazioni internazionali e che sono assegnate alla classe di esposizioni verso </w:t>
            </w:r>
            <w:r w:rsidR="000878EC">
              <w:rPr>
                <w:rFonts w:ascii="Times New Roman" w:hAnsi="Times New Roman"/>
                <w:bCs/>
                <w:sz w:val="24"/>
              </w:rPr>
              <w:t>"</w:t>
            </w:r>
            <w:r>
              <w:rPr>
                <w:rFonts w:ascii="Times New Roman" w:hAnsi="Times New Roman"/>
                <w:bCs/>
                <w:sz w:val="24"/>
              </w:rPr>
              <w:t>amministrazioni centrali e banche centrali</w:t>
            </w:r>
            <w:r w:rsidR="000878EC">
              <w:rPr>
                <w:rFonts w:ascii="Times New Roman" w:hAnsi="Times New Roman"/>
                <w:bCs/>
                <w:sz w:val="24"/>
              </w:rPr>
              <w:t>"</w:t>
            </w:r>
            <w:r>
              <w:rPr>
                <w:rFonts w:ascii="Times New Roman" w:hAnsi="Times New Roman"/>
                <w:bCs/>
                <w:sz w:val="24"/>
              </w:rPr>
              <w:t xml:space="preserve"> conformemente all</w:t>
            </w:r>
            <w:r w:rsidR="000878EC">
              <w:rPr>
                <w:rFonts w:ascii="Times New Roman" w:hAnsi="Times New Roman"/>
                <w:bCs/>
                <w:sz w:val="24"/>
              </w:rPr>
              <w:t>'</w:t>
            </w:r>
            <w:r>
              <w:rPr>
                <w:rFonts w:ascii="Times New Roman" w:hAnsi="Times New Roman"/>
                <w:bCs/>
                <w:sz w:val="24"/>
              </w:rPr>
              <w:t>articolo 147, paragrafo 3, lettera c), del CRR, come specificato nelle istruzioni per i modelli C 08.01 e C 08.02, ad eccezione delle specifiche per quanto riguarda la redistribuzione delle esposizioni verso amministrazioni pubbliche ad altre classi di esposizioni a seguito dell</w:t>
            </w:r>
            <w:r w:rsidR="000878EC">
              <w:rPr>
                <w:rFonts w:ascii="Times New Roman" w:hAnsi="Times New Roman"/>
                <w:bCs/>
                <w:sz w:val="24"/>
              </w:rPr>
              <w:t>'</w:t>
            </w:r>
            <w:r>
              <w:rPr>
                <w:rFonts w:ascii="Times New Roman" w:hAnsi="Times New Roman"/>
                <w:bCs/>
                <w:sz w:val="24"/>
              </w:rPr>
              <w:t>applicazione di tecniche di attenuazione del rischio di credito con effetti di sostituzione sull</w:t>
            </w:r>
            <w:r w:rsidR="000878EC">
              <w:rPr>
                <w:rFonts w:ascii="Times New Roman" w:hAnsi="Times New Roman"/>
                <w:bCs/>
                <w:sz w:val="24"/>
              </w:rPr>
              <w:t>'</w:t>
            </w:r>
            <w:r>
              <w:rPr>
                <w:rFonts w:ascii="Times New Roman" w:hAnsi="Times New Roman"/>
                <w:bCs/>
                <w:sz w:val="24"/>
              </w:rPr>
              <w:t>esposizione, che non si applicano.</w:t>
            </w:r>
          </w:p>
          <w:p w:rsidR="00FD54FC" w:rsidRPr="00661595" w:rsidRDefault="00FD54FC" w:rsidP="0018236F">
            <w:pPr>
              <w:suppressAutoHyphens/>
              <w:spacing w:before="0" w:after="0"/>
              <w:ind w:left="33"/>
              <w:rPr>
                <w:rFonts w:ascii="Times New Roman" w:hAnsi="Times New Roman"/>
                <w:b/>
                <w:bCs/>
                <w:sz w:val="24"/>
                <w:u w:val="single"/>
                <w:lang w:eastAsia="de-DE"/>
              </w:rPr>
            </w:pPr>
          </w:p>
        </w:tc>
      </w:tr>
      <w:tr w:rsidR="00530BA1" w:rsidRPr="00661595" w:rsidTr="00672D2A">
        <w:tc>
          <w:tcPr>
            <w:tcW w:w="1188" w:type="dxa"/>
          </w:tcPr>
          <w:p w:rsidR="00530BA1" w:rsidRPr="00661595" w:rsidRDefault="00535792" w:rsidP="00FD54FC">
            <w:pPr>
              <w:spacing w:before="0" w:after="0"/>
              <w:ind w:left="33"/>
              <w:rPr>
                <w:rFonts w:ascii="Times New Roman" w:hAnsi="Times New Roman"/>
                <w:bCs/>
                <w:sz w:val="24"/>
              </w:rPr>
            </w:pPr>
            <w:r>
              <w:rPr>
                <w:rFonts w:ascii="Times New Roman" w:hAnsi="Times New Roman"/>
                <w:bCs/>
                <w:sz w:val="24"/>
              </w:rPr>
              <w:t>0155</w:t>
            </w:r>
          </w:p>
        </w:tc>
        <w:tc>
          <w:tcPr>
            <w:tcW w:w="8701" w:type="dxa"/>
          </w:tcPr>
          <w:p w:rsidR="00530BA1" w:rsidRPr="00661595" w:rsidRDefault="00530BA1" w:rsidP="0018236F">
            <w:pPr>
              <w:suppressAutoHyphens/>
              <w:spacing w:before="0" w:after="0"/>
              <w:ind w:left="33"/>
              <w:rPr>
                <w:rFonts w:ascii="Times New Roman" w:hAnsi="Times New Roman"/>
                <w:b/>
                <w:bCs/>
                <w:sz w:val="24"/>
                <w:u w:val="single"/>
              </w:rPr>
            </w:pPr>
            <w:r>
              <w:rPr>
                <w:rFonts w:ascii="Times New Roman" w:hAnsi="Times New Roman"/>
                <w:b/>
                <w:bCs/>
                <w:sz w:val="24"/>
                <w:u w:val="single"/>
              </w:rPr>
              <w:t>Altre esposizioni verso amministrazioni pubbliche soggette al metodo IRB</w:t>
            </w:r>
          </w:p>
          <w:p w:rsidR="00530BA1" w:rsidRPr="00661595" w:rsidRDefault="00530BA1" w:rsidP="0018236F">
            <w:pPr>
              <w:suppressAutoHyphens/>
              <w:spacing w:before="0" w:after="0"/>
              <w:ind w:left="33"/>
              <w:rPr>
                <w:rFonts w:ascii="Times New Roman" w:hAnsi="Times New Roman"/>
                <w:bCs/>
                <w:sz w:val="24"/>
                <w:lang w:eastAsia="de-DE"/>
              </w:rPr>
            </w:pPr>
          </w:p>
          <w:p w:rsidR="00530BA1" w:rsidRPr="00661595" w:rsidRDefault="00530BA1" w:rsidP="0018236F">
            <w:pPr>
              <w:suppressAutoHyphens/>
              <w:spacing w:before="0" w:after="0"/>
              <w:ind w:left="33"/>
              <w:rPr>
                <w:rFonts w:ascii="Times New Roman" w:hAnsi="Times New Roman"/>
                <w:bCs/>
                <w:sz w:val="24"/>
              </w:rPr>
            </w:pPr>
            <w:r>
              <w:rPr>
                <w:rFonts w:ascii="Times New Roman" w:hAnsi="Times New Roman"/>
                <w:bCs/>
                <w:sz w:val="24"/>
              </w:rPr>
              <w:t>Le esposizioni verso amministrazioni pubbliche diverse da quelle incluse nelle righe da 0090 a 0140 di cui sopra che sono classificate nelle classi di esposizioni cui è applicato il metodo IRB a norma dell</w:t>
            </w:r>
            <w:r w:rsidR="000878EC">
              <w:rPr>
                <w:rFonts w:ascii="Times New Roman" w:hAnsi="Times New Roman"/>
                <w:bCs/>
                <w:sz w:val="24"/>
              </w:rPr>
              <w:t>'</w:t>
            </w:r>
            <w:r>
              <w:rPr>
                <w:rFonts w:ascii="Times New Roman" w:hAnsi="Times New Roman"/>
                <w:bCs/>
                <w:sz w:val="24"/>
              </w:rPr>
              <w:t>articolo 147 del CRR ai fini del calcolo dei requisiti di fondi propri.</w:t>
            </w:r>
          </w:p>
          <w:p w:rsidR="00530BA1" w:rsidRPr="00661595" w:rsidRDefault="00530BA1" w:rsidP="0018236F">
            <w:pPr>
              <w:suppressAutoHyphens/>
              <w:spacing w:before="0" w:after="0"/>
              <w:ind w:left="33"/>
              <w:rPr>
                <w:rFonts w:ascii="Times New Roman" w:hAnsi="Times New Roman"/>
                <w:b/>
                <w:bCs/>
                <w:sz w:val="24"/>
                <w:u w:val="single"/>
                <w:lang w:eastAsia="de-DE"/>
              </w:rPr>
            </w:pPr>
          </w:p>
        </w:tc>
      </w:tr>
      <w:tr w:rsidR="00FD54FC" w:rsidRPr="00661595" w:rsidTr="00672D2A">
        <w:tc>
          <w:tcPr>
            <w:tcW w:w="1188" w:type="dxa"/>
          </w:tcPr>
          <w:p w:rsidR="00FD54FC" w:rsidRPr="00661595" w:rsidRDefault="00535792" w:rsidP="00FD54FC">
            <w:pPr>
              <w:spacing w:before="0" w:after="0"/>
              <w:ind w:left="33"/>
              <w:rPr>
                <w:rFonts w:ascii="Times New Roman" w:hAnsi="Times New Roman"/>
                <w:bCs/>
                <w:sz w:val="24"/>
              </w:rPr>
            </w:pPr>
            <w:r>
              <w:rPr>
                <w:rFonts w:ascii="Times New Roman" w:hAnsi="Times New Roman"/>
                <w:bCs/>
                <w:sz w:val="24"/>
              </w:rPr>
              <w:t>0160</w:t>
            </w:r>
          </w:p>
        </w:tc>
        <w:tc>
          <w:tcPr>
            <w:tcW w:w="8701" w:type="dxa"/>
          </w:tcPr>
          <w:p w:rsidR="00FD54FC" w:rsidRPr="00661595" w:rsidRDefault="00FD54FC" w:rsidP="0018236F">
            <w:pPr>
              <w:suppressAutoHyphens/>
              <w:spacing w:before="0" w:after="0"/>
              <w:ind w:left="33"/>
              <w:rPr>
                <w:rFonts w:ascii="Times New Roman" w:hAnsi="Times New Roman"/>
                <w:b/>
                <w:bCs/>
                <w:sz w:val="24"/>
                <w:u w:val="single"/>
              </w:rPr>
            </w:pPr>
            <w:r>
              <w:rPr>
                <w:rFonts w:ascii="Times New Roman" w:hAnsi="Times New Roman"/>
                <w:b/>
                <w:bCs/>
                <w:sz w:val="24"/>
                <w:u w:val="single"/>
              </w:rPr>
              <w:t>Esposizioni soggette al rischio di mercato</w:t>
            </w:r>
          </w:p>
          <w:p w:rsidR="00FD54FC" w:rsidRPr="00661595" w:rsidRDefault="00FD54FC" w:rsidP="0018236F">
            <w:pPr>
              <w:suppressAutoHyphens/>
              <w:spacing w:before="0" w:after="0"/>
              <w:ind w:left="33"/>
              <w:rPr>
                <w:rFonts w:ascii="Times New Roman" w:hAnsi="Times New Roman"/>
                <w:bCs/>
                <w:sz w:val="24"/>
                <w:lang w:eastAsia="de-DE"/>
              </w:rPr>
            </w:pPr>
          </w:p>
          <w:p w:rsidR="00262B22" w:rsidRPr="00661595" w:rsidRDefault="00DA4AAE" w:rsidP="0018236F">
            <w:pPr>
              <w:suppressAutoHyphens/>
              <w:spacing w:before="0" w:after="0"/>
              <w:ind w:left="33"/>
              <w:rPr>
                <w:rFonts w:ascii="Times New Roman" w:hAnsi="Times New Roman"/>
                <w:bCs/>
                <w:sz w:val="24"/>
              </w:rPr>
            </w:pPr>
            <w:r>
              <w:rPr>
                <w:rFonts w:ascii="Times New Roman" w:hAnsi="Times New Roman"/>
                <w:bCs/>
                <w:sz w:val="24"/>
              </w:rPr>
              <w:t>Questa riga comprende le posizioni per le quali è calcolato uno dei seguenti requisiti di fondi propri della parte tre, titolo IV, del CRR:</w:t>
            </w:r>
          </w:p>
          <w:p w:rsidR="00AB5C94" w:rsidRPr="00661595" w:rsidRDefault="00262B22" w:rsidP="0018236F">
            <w:pPr>
              <w:pStyle w:val="ListParagraph"/>
              <w:numPr>
                <w:ilvl w:val="0"/>
                <w:numId w:val="31"/>
              </w:numPr>
              <w:suppressAutoHyphens/>
              <w:rPr>
                <w:rFonts w:ascii="Times New Roman" w:hAnsi="Times New Roman"/>
                <w:bCs/>
                <w:sz w:val="24"/>
              </w:rPr>
            </w:pPr>
            <w:r>
              <w:rPr>
                <w:rFonts w:ascii="Times New Roman" w:hAnsi="Times New Roman"/>
                <w:bCs/>
                <w:sz w:val="24"/>
              </w:rPr>
              <w:t>requisiti di fondi propri per il rischio di posizione conformemente all</w:t>
            </w:r>
            <w:r w:rsidR="000878EC">
              <w:rPr>
                <w:rFonts w:ascii="Times New Roman" w:hAnsi="Times New Roman"/>
                <w:bCs/>
                <w:sz w:val="24"/>
              </w:rPr>
              <w:t>'</w:t>
            </w:r>
            <w:r>
              <w:rPr>
                <w:rFonts w:ascii="Times New Roman" w:hAnsi="Times New Roman"/>
                <w:bCs/>
                <w:sz w:val="24"/>
              </w:rPr>
              <w:t>articolo 326 del CRR</w:t>
            </w:r>
          </w:p>
          <w:p w:rsidR="00FD54FC" w:rsidRPr="00661595" w:rsidRDefault="00AB5C94" w:rsidP="0018236F">
            <w:pPr>
              <w:pStyle w:val="ListParagraph"/>
              <w:numPr>
                <w:ilvl w:val="0"/>
                <w:numId w:val="31"/>
              </w:numPr>
              <w:suppressAutoHyphens/>
            </w:pPr>
            <w:r>
              <w:rPr>
                <w:rFonts w:ascii="Times New Roman" w:hAnsi="Times New Roman"/>
                <w:bCs/>
                <w:sz w:val="24"/>
              </w:rPr>
              <w:t xml:space="preserve">requisiti di fondi propri per il rischio specifico o generico conformemente alla parte tre, titolo IV, capo 5, del CRR. </w:t>
            </w:r>
          </w:p>
          <w:p w:rsidR="00FD54FC" w:rsidRPr="00661595" w:rsidRDefault="00FD54FC" w:rsidP="0018236F">
            <w:pPr>
              <w:suppressAutoHyphens/>
              <w:spacing w:before="0" w:after="0"/>
              <w:ind w:left="33"/>
              <w:rPr>
                <w:rFonts w:ascii="Times New Roman" w:hAnsi="Times New Roman"/>
                <w:bCs/>
                <w:sz w:val="24"/>
              </w:rPr>
            </w:pPr>
            <w:r>
              <w:rPr>
                <w:rFonts w:ascii="Times New Roman" w:hAnsi="Times New Roman"/>
                <w:bCs/>
                <w:sz w:val="24"/>
              </w:rPr>
              <w:t>Le esposizioni dirette di cui all</w:t>
            </w:r>
            <w:r w:rsidR="000878EC">
              <w:rPr>
                <w:rFonts w:ascii="Times New Roman" w:hAnsi="Times New Roman"/>
                <w:bCs/>
                <w:sz w:val="24"/>
              </w:rPr>
              <w:t>'</w:t>
            </w:r>
            <w:r>
              <w:rPr>
                <w:rFonts w:ascii="Times New Roman" w:hAnsi="Times New Roman"/>
                <w:bCs/>
                <w:sz w:val="24"/>
              </w:rPr>
              <w:t>articolo 271 del CRR soggette a requisiti di fondi propri sia per il rischio di controparte che per il rischio di mercato sono indicate sia nelle righe del rischio di credito (da 0020 a 0155) sia nella riga del rischio di mercato (riga 0160): l</w:t>
            </w:r>
            <w:r w:rsidR="000878EC">
              <w:rPr>
                <w:rFonts w:ascii="Times New Roman" w:hAnsi="Times New Roman"/>
                <w:bCs/>
                <w:sz w:val="24"/>
              </w:rPr>
              <w:t>'</w:t>
            </w:r>
            <w:r>
              <w:rPr>
                <w:rFonts w:ascii="Times New Roman" w:hAnsi="Times New Roman"/>
                <w:bCs/>
                <w:sz w:val="24"/>
              </w:rPr>
              <w:t>esposizione dovuta al rischio di controparte è segnalata nelle righe relative al rischio di credito, mentre l</w:t>
            </w:r>
            <w:r w:rsidR="000878EC">
              <w:rPr>
                <w:rFonts w:ascii="Times New Roman" w:hAnsi="Times New Roman"/>
                <w:bCs/>
                <w:sz w:val="24"/>
              </w:rPr>
              <w:t>'</w:t>
            </w:r>
            <w:r>
              <w:rPr>
                <w:rFonts w:ascii="Times New Roman" w:hAnsi="Times New Roman"/>
                <w:bCs/>
                <w:sz w:val="24"/>
              </w:rPr>
              <w:t>esposizione dovuta al rischio di mercato è segnalata nella riga relativa al rischio di mercato.</w:t>
            </w:r>
          </w:p>
          <w:p w:rsidR="00FD54FC" w:rsidRPr="00661595" w:rsidRDefault="00FD54FC" w:rsidP="0018236F">
            <w:pPr>
              <w:suppressAutoHyphens/>
              <w:spacing w:before="0" w:after="0"/>
              <w:ind w:left="33"/>
              <w:rPr>
                <w:rFonts w:ascii="Times New Roman" w:hAnsi="Times New Roman"/>
                <w:bCs/>
                <w:sz w:val="24"/>
                <w:lang w:eastAsia="de-DE"/>
              </w:rPr>
            </w:pPr>
          </w:p>
        </w:tc>
      </w:tr>
      <w:tr w:rsidR="00FD54FC" w:rsidRPr="00661595" w:rsidTr="00672D2A">
        <w:tc>
          <w:tcPr>
            <w:tcW w:w="1188" w:type="dxa"/>
          </w:tcPr>
          <w:p w:rsidR="00FD54FC" w:rsidRPr="00661595" w:rsidRDefault="00535792" w:rsidP="00B74792">
            <w:pPr>
              <w:spacing w:before="0" w:after="0"/>
              <w:ind w:left="33"/>
              <w:rPr>
                <w:rFonts w:ascii="Times New Roman" w:hAnsi="Times New Roman"/>
                <w:bCs/>
                <w:sz w:val="24"/>
              </w:rPr>
            </w:pPr>
            <w:r>
              <w:rPr>
                <w:rFonts w:ascii="Times New Roman" w:hAnsi="Times New Roman"/>
                <w:bCs/>
                <w:sz w:val="24"/>
              </w:rPr>
              <w:t>0170-0230</w:t>
            </w:r>
          </w:p>
        </w:tc>
        <w:tc>
          <w:tcPr>
            <w:tcW w:w="8701" w:type="dxa"/>
          </w:tcPr>
          <w:p w:rsidR="00FD54FC" w:rsidRPr="00661595" w:rsidRDefault="00FD54FC" w:rsidP="0018236F">
            <w:pPr>
              <w:suppressAutoHyphens/>
              <w:spacing w:before="0" w:after="0"/>
              <w:ind w:left="33"/>
              <w:rPr>
                <w:rFonts w:ascii="Times New Roman" w:hAnsi="Times New Roman"/>
                <w:b/>
                <w:bCs/>
                <w:sz w:val="24"/>
              </w:rPr>
            </w:pPr>
            <w:r>
              <w:rPr>
                <w:rFonts w:ascii="Times New Roman" w:hAnsi="Times New Roman"/>
                <w:b/>
                <w:bCs/>
                <w:sz w:val="24"/>
              </w:rPr>
              <w:t>RIPARTIZIONE DELLE ESPOSIZIONI PER DURATA RESIDUA</w:t>
            </w:r>
          </w:p>
          <w:p w:rsidR="00FD54FC" w:rsidRPr="00661595" w:rsidRDefault="00FD54FC" w:rsidP="0018236F">
            <w:pPr>
              <w:suppressAutoHyphens/>
              <w:spacing w:before="0" w:after="0"/>
              <w:ind w:left="33"/>
              <w:rPr>
                <w:rFonts w:ascii="Times New Roman" w:hAnsi="Times New Roman"/>
                <w:bCs/>
                <w:sz w:val="24"/>
                <w:lang w:eastAsia="de-DE"/>
              </w:rPr>
            </w:pPr>
          </w:p>
          <w:p w:rsidR="00FD54FC" w:rsidRPr="00661595" w:rsidRDefault="00FD54FC" w:rsidP="0018236F">
            <w:pPr>
              <w:suppressAutoHyphens/>
              <w:spacing w:before="0" w:after="0"/>
              <w:ind w:left="33"/>
              <w:rPr>
                <w:rFonts w:ascii="Times New Roman" w:hAnsi="Times New Roman"/>
                <w:bCs/>
                <w:sz w:val="24"/>
              </w:rPr>
            </w:pPr>
            <w:r>
              <w:rPr>
                <w:rFonts w:ascii="Times New Roman" w:hAnsi="Times New Roman"/>
                <w:bCs/>
                <w:sz w:val="24"/>
              </w:rPr>
              <w:t>La durata residua è calcolata in giorni tra la data di scadenza contrattuale e la data di riferimento per le segnalazioni per tutte le posizioni.</w:t>
            </w:r>
          </w:p>
          <w:p w:rsidR="00FD54FC" w:rsidRPr="00661595" w:rsidRDefault="00FD54FC" w:rsidP="0018236F">
            <w:pPr>
              <w:suppressAutoHyphens/>
              <w:spacing w:before="0" w:after="0"/>
              <w:ind w:left="33"/>
              <w:rPr>
                <w:rFonts w:ascii="Times New Roman" w:hAnsi="Times New Roman"/>
                <w:bCs/>
                <w:sz w:val="24"/>
                <w:lang w:eastAsia="de-DE"/>
              </w:rPr>
            </w:pPr>
          </w:p>
          <w:p w:rsidR="00FD54FC" w:rsidRPr="00661595" w:rsidRDefault="00FD54FC" w:rsidP="0018236F">
            <w:pPr>
              <w:suppressAutoHyphens/>
              <w:spacing w:before="0" w:after="0"/>
              <w:ind w:left="33"/>
              <w:rPr>
                <w:rFonts w:ascii="Times New Roman" w:hAnsi="Times New Roman"/>
                <w:bCs/>
                <w:sz w:val="24"/>
              </w:rPr>
            </w:pPr>
            <w:r>
              <w:rPr>
                <w:rFonts w:ascii="Times New Roman" w:hAnsi="Times New Roman"/>
                <w:bCs/>
                <w:sz w:val="24"/>
              </w:rPr>
              <w:t>Le esposizioni verso amministrazioni pubbliche sono ripartite in base alla durata residua e attribuite alle categorie previste secondo le seguenti modalità:</w:t>
            </w:r>
          </w:p>
          <w:p w:rsidR="00FD54FC" w:rsidRPr="00661595" w:rsidRDefault="00FD54FC" w:rsidP="0018236F">
            <w:pPr>
              <w:suppressAutoHyphens/>
              <w:spacing w:before="0" w:after="0"/>
              <w:ind w:left="33"/>
              <w:rPr>
                <w:rFonts w:ascii="Times New Roman" w:hAnsi="Times New Roman"/>
                <w:bCs/>
                <w:sz w:val="24"/>
                <w:lang w:eastAsia="de-DE"/>
              </w:rPr>
            </w:pPr>
          </w:p>
          <w:p w:rsidR="00FD54FC" w:rsidRPr="00661595" w:rsidRDefault="00125707" w:rsidP="0018236F">
            <w:pPr>
              <w:suppressAutoHyphens/>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[ 0 - 3M [</w:t>
            </w:r>
            <w:r>
              <w:rPr>
                <w:rFonts w:ascii="Times New Roman" w:hAnsi="Times New Roman"/>
                <w:bCs/>
                <w:sz w:val="24"/>
              </w:rPr>
              <w:t xml:space="preserve"> : meno di 90 giorni;</w:t>
            </w:r>
          </w:p>
          <w:p w:rsidR="00FD54FC" w:rsidRPr="00661595" w:rsidRDefault="00125707" w:rsidP="0018236F">
            <w:pPr>
              <w:suppressAutoHyphens/>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[ 3M - 1A [</w:t>
            </w:r>
            <w:r>
              <w:rPr>
                <w:rFonts w:ascii="Times New Roman" w:hAnsi="Times New Roman"/>
                <w:bCs/>
                <w:sz w:val="24"/>
              </w:rPr>
              <w:t xml:space="preserve"> : pari o superiore a 90 giorni ma inferiore a 365 giorni;</w:t>
            </w:r>
          </w:p>
          <w:p w:rsidR="00FD54FC" w:rsidRPr="00661595" w:rsidRDefault="00125707" w:rsidP="0018236F">
            <w:pPr>
              <w:suppressAutoHyphens/>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[ 1A – 2A [</w:t>
            </w:r>
            <w:r>
              <w:rPr>
                <w:rFonts w:ascii="Times New Roman" w:hAnsi="Times New Roman"/>
                <w:bCs/>
                <w:sz w:val="24"/>
              </w:rPr>
              <w:t xml:space="preserve"> : pari o superiore a 365 giorni ma inferiore a 730 giorni;</w:t>
            </w:r>
          </w:p>
          <w:p w:rsidR="00FD54FC" w:rsidRPr="00661595" w:rsidRDefault="00125707" w:rsidP="0018236F">
            <w:pPr>
              <w:suppressAutoHyphens/>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[ 2A – 3A [</w:t>
            </w:r>
            <w:r>
              <w:rPr>
                <w:rFonts w:ascii="Times New Roman" w:hAnsi="Times New Roman"/>
                <w:bCs/>
                <w:sz w:val="24"/>
              </w:rPr>
              <w:t xml:space="preserve"> : pari o superiore a 730 giorni ma inferiore a 1 095 giorni;</w:t>
            </w:r>
          </w:p>
          <w:p w:rsidR="00FD54FC" w:rsidRPr="00661595" w:rsidRDefault="00125707" w:rsidP="0018236F">
            <w:pPr>
              <w:suppressAutoHyphens/>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[ 3A– 5A[</w:t>
            </w:r>
            <w:r>
              <w:rPr>
                <w:rFonts w:ascii="Times New Roman" w:hAnsi="Times New Roman"/>
                <w:bCs/>
                <w:sz w:val="24"/>
              </w:rPr>
              <w:t xml:space="preserve"> : pari o superiore a 1 095 giorni ma inferiore a 1 825 giorni;</w:t>
            </w:r>
          </w:p>
          <w:p w:rsidR="00FD54FC" w:rsidRPr="00661595" w:rsidRDefault="00125707" w:rsidP="0018236F">
            <w:pPr>
              <w:suppressAutoHyphens/>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[ 5A– 10A[</w:t>
            </w:r>
            <w:r>
              <w:rPr>
                <w:rFonts w:ascii="Times New Roman" w:hAnsi="Times New Roman"/>
                <w:bCs/>
                <w:sz w:val="24"/>
              </w:rPr>
              <w:t xml:space="preserve"> : pari o superiore a 1 825 giorni ma inferiore a 3 650 giorni;</w:t>
            </w:r>
          </w:p>
          <w:p w:rsidR="00FD54FC" w:rsidRPr="00661595" w:rsidRDefault="00125707" w:rsidP="0018236F">
            <w:pPr>
              <w:suppressAutoHyphens/>
              <w:spacing w:before="0" w:after="0"/>
              <w:ind w:left="808" w:hanging="360"/>
              <w:rPr>
                <w:rFonts w:ascii="Times New Roman" w:hAnsi="Times New Roman"/>
                <w:bCs/>
                <w:sz w:val="24"/>
              </w:rPr>
            </w:pPr>
            <w:r>
              <w:rPr>
                <w:rFonts w:ascii="Symbol" w:hAnsi="Symbol"/>
                <w:bCs/>
                <w:sz w:val="24"/>
              </w:rPr>
              <w:t></w:t>
            </w:r>
            <w:r>
              <w:tab/>
            </w:r>
            <w:r>
              <w:rPr>
                <w:rFonts w:ascii="Times New Roman" w:hAnsi="Times New Roman"/>
                <w:b/>
                <w:bCs/>
                <w:sz w:val="24"/>
              </w:rPr>
              <w:t>[ 10A e oltre</w:t>
            </w:r>
            <w:r>
              <w:rPr>
                <w:rFonts w:ascii="Times New Roman" w:hAnsi="Times New Roman"/>
                <w:bCs/>
                <w:sz w:val="24"/>
              </w:rPr>
              <w:t xml:space="preserve"> : pari o superiore a 3 650 giorni.</w:t>
            </w:r>
          </w:p>
          <w:p w:rsidR="00E1421C" w:rsidRPr="00661595" w:rsidRDefault="00E1421C" w:rsidP="0018236F">
            <w:pPr>
              <w:suppressAutoHyphens/>
              <w:spacing w:before="0" w:after="0"/>
              <w:ind w:left="808" w:hanging="360"/>
              <w:rPr>
                <w:rFonts w:ascii="Times New Roman" w:hAnsi="Times New Roman"/>
                <w:bCs/>
                <w:sz w:val="24"/>
                <w:lang w:eastAsia="de-DE"/>
              </w:rPr>
            </w:pPr>
          </w:p>
          <w:p w:rsidR="00E1421C" w:rsidRPr="00661595" w:rsidRDefault="00E1421C" w:rsidP="0018236F">
            <w:pPr>
              <w:suppressAutoHyphens/>
              <w:spacing w:before="0" w:after="0"/>
              <w:rPr>
                <w:rFonts w:ascii="Times New Roman" w:hAnsi="Times New Roman"/>
                <w:bCs/>
                <w:sz w:val="24"/>
              </w:rPr>
            </w:pPr>
            <w:r>
              <w:rPr>
                <w:rFonts w:ascii="Times New Roman" w:hAnsi="Times New Roman"/>
                <w:bCs/>
                <w:sz w:val="24"/>
              </w:rPr>
              <w:t>Se la data contrattuale di scadenza è anteriore alla data di riferimento per le segnalazioni (ossia la differenza tra la data di riferimento per le segnalazioni e la data di scadenza è un valore negativo), l</w:t>
            </w:r>
            <w:r w:rsidR="000878EC">
              <w:rPr>
                <w:rFonts w:ascii="Times New Roman" w:hAnsi="Times New Roman"/>
                <w:bCs/>
                <w:sz w:val="24"/>
              </w:rPr>
              <w:t>'</w:t>
            </w:r>
            <w:r>
              <w:rPr>
                <w:rFonts w:ascii="Times New Roman" w:hAnsi="Times New Roman"/>
                <w:bCs/>
                <w:sz w:val="24"/>
              </w:rPr>
              <w:t>esposizione è assegnata alla categoria [0-3M].</w:t>
            </w:r>
          </w:p>
          <w:p w:rsidR="00E1421C" w:rsidRPr="00661595" w:rsidRDefault="00E1421C" w:rsidP="0018236F">
            <w:pPr>
              <w:suppressAutoHyphens/>
              <w:spacing w:before="0" w:after="0"/>
              <w:rPr>
                <w:rFonts w:ascii="Times New Roman" w:hAnsi="Times New Roman"/>
                <w:bCs/>
                <w:sz w:val="24"/>
                <w:lang w:eastAsia="de-DE"/>
              </w:rPr>
            </w:pPr>
          </w:p>
          <w:p w:rsidR="00FD54FC" w:rsidRPr="00661595" w:rsidRDefault="00E1421C" w:rsidP="0018236F">
            <w:pPr>
              <w:keepNext/>
              <w:keepLines/>
              <w:suppressAutoHyphens/>
              <w:spacing w:before="0" w:after="0"/>
              <w:ind w:left="33"/>
              <w:rPr>
                <w:rFonts w:ascii="Times New Roman" w:hAnsi="Times New Roman"/>
                <w:bCs/>
                <w:sz w:val="24"/>
              </w:rPr>
            </w:pPr>
            <w:r>
              <w:rPr>
                <w:rFonts w:ascii="Times New Roman" w:hAnsi="Times New Roman"/>
                <w:bCs/>
                <w:sz w:val="24"/>
              </w:rPr>
              <w:t>Le esposizioni senza durata residua sono assegnate alla categoria di durata residua sulla base del periodo di preavviso o di altre indicazioni con</w:t>
            </w:r>
            <w:r w:rsidR="0018236F">
              <w:rPr>
                <w:rFonts w:ascii="Times New Roman" w:hAnsi="Times New Roman"/>
                <w:bCs/>
                <w:sz w:val="24"/>
              </w:rPr>
              <w:t>trattuali relative alla durata.</w:t>
            </w:r>
            <w:r>
              <w:rPr>
                <w:rFonts w:ascii="Times New Roman" w:hAnsi="Times New Roman"/>
                <w:bCs/>
                <w:sz w:val="24"/>
              </w:rPr>
              <w:t xml:space="preserve"> Se non esiste un periodo predefinito di preavviso né altre indicazioni contrattuali sulla durata, le esposizioni sono assegnate alla categoria di durata residua [10A - e oltre].</w:t>
            </w:r>
          </w:p>
        </w:tc>
      </w:tr>
    </w:tbl>
    <w:p w:rsidR="00FD54FC" w:rsidRPr="00661595" w:rsidRDefault="00FD54FC" w:rsidP="006452A4">
      <w:pPr>
        <w:spacing w:after="0"/>
        <w:rPr>
          <w:rStyle w:val="InstructionsTabelleText"/>
          <w:rFonts w:ascii="Times New Roman" w:hAnsi="Times New Roman"/>
          <w:sz w:val="24"/>
        </w:rPr>
      </w:pPr>
    </w:p>
    <w:p w:rsidR="00DD00B4" w:rsidRPr="00661595" w:rsidRDefault="00DD00B4" w:rsidP="00DD00B4">
      <w:pPr>
        <w:pStyle w:val="Instructionsberschrift2"/>
        <w:numPr>
          <w:ilvl w:val="0"/>
          <w:numId w:val="0"/>
        </w:numPr>
        <w:ind w:left="357" w:hanging="357"/>
        <w:rPr>
          <w:rFonts w:ascii="Times New Roman" w:hAnsi="Times New Roman" w:cs="Times New Roman"/>
          <w:sz w:val="24"/>
          <w:u w:val="none"/>
        </w:rPr>
      </w:pPr>
      <w:bookmarkStart w:id="771" w:name="_Toc19715886"/>
      <w:bookmarkStart w:id="772" w:name="_Toc522019774"/>
      <w:bookmarkStart w:id="773" w:name="_Toc58915879"/>
      <w:r>
        <w:rPr>
          <w:rFonts w:ascii="Times New Roman" w:hAnsi="Times New Roman"/>
          <w:sz w:val="24"/>
          <w:u w:val="none"/>
        </w:rPr>
        <w:t>8.</w:t>
      </w:r>
      <w:r w:rsidRPr="00C41883">
        <w:rPr>
          <w:u w:val="none"/>
        </w:rPr>
        <w:tab/>
      </w:r>
      <w:r>
        <w:rPr>
          <w:rFonts w:ascii="Times New Roman" w:hAnsi="Times New Roman"/>
          <w:sz w:val="24"/>
          <w:u w:val="none"/>
        </w:rPr>
        <w:t>Copertura delle perdite delle NPE (NPE LC)</w:t>
      </w:r>
      <w:bookmarkEnd w:id="771"/>
      <w:bookmarkEnd w:id="773"/>
    </w:p>
    <w:p w:rsidR="00DD00B4" w:rsidRPr="00751FBE" w:rsidRDefault="00DD00B4" w:rsidP="00DD00B4">
      <w:pPr>
        <w:pStyle w:val="Instructionsberschrift2"/>
        <w:numPr>
          <w:ilvl w:val="0"/>
          <w:numId w:val="0"/>
        </w:numPr>
        <w:ind w:left="357" w:hanging="357"/>
        <w:rPr>
          <w:rFonts w:ascii="Times New Roman" w:hAnsi="Times New Roman" w:cs="Times New Roman"/>
          <w:sz w:val="24"/>
          <w:u w:val="none"/>
        </w:rPr>
      </w:pPr>
      <w:bookmarkStart w:id="774" w:name="_Toc19715887"/>
      <w:bookmarkStart w:id="775" w:name="_Toc58915880"/>
      <w:r>
        <w:rPr>
          <w:rFonts w:ascii="Times New Roman" w:hAnsi="Times New Roman"/>
          <w:sz w:val="24"/>
          <w:u w:val="none"/>
        </w:rPr>
        <w:t>8.1</w:t>
      </w:r>
      <w:r w:rsidRPr="00C41883">
        <w:rPr>
          <w:u w:val="none"/>
        </w:rPr>
        <w:tab/>
      </w:r>
      <w:r>
        <w:rPr>
          <w:rFonts w:ascii="Times New Roman" w:hAnsi="Times New Roman"/>
          <w:sz w:val="24"/>
          <w:u w:val="none"/>
        </w:rPr>
        <w:t>Osservazioni di carattere generale</w:t>
      </w:r>
      <w:bookmarkEnd w:id="774"/>
      <w:bookmarkEnd w:id="775"/>
      <w:r>
        <w:rPr>
          <w:rFonts w:ascii="Times New Roman" w:hAnsi="Times New Roman"/>
          <w:sz w:val="24"/>
          <w:u w:val="none"/>
        </w:rPr>
        <w:t xml:space="preserve"> </w:t>
      </w:r>
    </w:p>
    <w:p w:rsidR="00DD00B4" w:rsidRPr="00751FBE" w:rsidRDefault="00A65557" w:rsidP="00C41883">
      <w:pPr>
        <w:pStyle w:val="InstructionsText2"/>
        <w:numPr>
          <w:ilvl w:val="0"/>
          <w:numId w:val="0"/>
        </w:numPr>
        <w:ind w:left="1800" w:hanging="600"/>
        <w:rPr>
          <w:noProof/>
        </w:rPr>
      </w:pPr>
      <w:r>
        <w:fldChar w:fldCharType="begin"/>
      </w:r>
      <w:r>
        <w:instrText xml:space="preserve"> seq paragraphs </w:instrText>
      </w:r>
      <w:r>
        <w:fldChar w:fldCharType="separate"/>
      </w:r>
      <w:r w:rsidR="00840A22">
        <w:t>200</w:t>
      </w:r>
      <w:r>
        <w:fldChar w:fldCharType="end"/>
      </w:r>
      <w:r w:rsidR="00C41883">
        <w:t>.</w:t>
      </w:r>
      <w:r w:rsidR="00C41883">
        <w:tab/>
      </w:r>
      <w:r w:rsidR="00840A22">
        <w:t>I modelli di copertura delle perdite delle NPE contengono informazioni sulle NPE ai fini del calcolo del requisito minimo di copertura delle perdite per le esposizioni deteriorate di cui agli articoli 47 bis, 47 ter e 47 quater del CRR.</w:t>
      </w:r>
    </w:p>
    <w:p w:rsidR="00DD00B4" w:rsidRPr="00751FBE" w:rsidRDefault="00A971CA" w:rsidP="00C41883">
      <w:pPr>
        <w:pStyle w:val="InstructionsText2"/>
        <w:numPr>
          <w:ilvl w:val="0"/>
          <w:numId w:val="0"/>
        </w:numPr>
        <w:ind w:left="1800" w:hanging="600"/>
      </w:pPr>
      <w:r>
        <w:fldChar w:fldCharType="begin"/>
      </w:r>
      <w:r>
        <w:instrText xml:space="preserve"> seq paragraphs </w:instrText>
      </w:r>
      <w:r>
        <w:fldChar w:fldCharType="separate"/>
      </w:r>
      <w:r w:rsidR="00D11E4C">
        <w:t>201</w:t>
      </w:r>
      <w:r>
        <w:fldChar w:fldCharType="end"/>
      </w:r>
      <w:r w:rsidR="00C41883">
        <w:t>.</w:t>
      </w:r>
      <w:r w:rsidR="00C41883">
        <w:tab/>
      </w:r>
      <w:r w:rsidR="00D11E4C">
        <w:t>Il blocco di modelli è costituito da una serie di tre modelli:</w:t>
      </w:r>
    </w:p>
    <w:p w:rsidR="00DD00B4" w:rsidRPr="00B50D11" w:rsidRDefault="00DD00B4" w:rsidP="006418A0">
      <w:pPr>
        <w:pStyle w:val="ListParagraph"/>
        <w:numPr>
          <w:ilvl w:val="0"/>
          <w:numId w:val="37"/>
        </w:numPr>
        <w:ind w:left="1077" w:hanging="357"/>
        <w:rPr>
          <w:rFonts w:ascii="Times New Roman" w:hAnsi="Times New Roman"/>
          <w:sz w:val="24"/>
        </w:rPr>
      </w:pPr>
      <w:r>
        <w:rPr>
          <w:rFonts w:ascii="Times New Roman" w:hAnsi="Times New Roman"/>
          <w:sz w:val="24"/>
        </w:rPr>
        <w:t>il calcolo delle deduzioni per le NPE (C 35.01): si tratta di un modello di sintesi che indica l</w:t>
      </w:r>
      <w:r w:rsidR="000878EC">
        <w:rPr>
          <w:rFonts w:ascii="Times New Roman" w:hAnsi="Times New Roman"/>
          <w:sz w:val="24"/>
        </w:rPr>
        <w:t>'</w:t>
      </w:r>
      <w:r>
        <w:rPr>
          <w:rFonts w:ascii="Times New Roman" w:hAnsi="Times New Roman"/>
          <w:sz w:val="24"/>
        </w:rPr>
        <w:t>importo applicabile della copertura insufficiente, calcolato come differenza tra i requisiti di copertura minima totali per le NPE e il totale degli accantonamenti e delle rettifiche o deduzioni già effettuati. Il modello riguarda sia le esposizioni deteriorate per le quali non è stata accordata una misura di concessione, sia le esposizioni deteriorate oggetto di misure di concessione;</w:t>
      </w:r>
    </w:p>
    <w:p w:rsidR="00DD00B4" w:rsidRPr="00771068" w:rsidRDefault="00DD00B4" w:rsidP="00D8617F">
      <w:pPr>
        <w:pStyle w:val="ListParagraph"/>
        <w:numPr>
          <w:ilvl w:val="0"/>
          <w:numId w:val="37"/>
        </w:numPr>
        <w:spacing w:line="276" w:lineRule="auto"/>
        <w:ind w:left="1077" w:hanging="357"/>
        <w:rPr>
          <w:rFonts w:ascii="Times New Roman" w:hAnsi="Times New Roman"/>
          <w:sz w:val="24"/>
        </w:rPr>
      </w:pPr>
      <w:r>
        <w:rPr>
          <w:rFonts w:ascii="Times New Roman" w:hAnsi="Times New Roman"/>
          <w:sz w:val="24"/>
        </w:rPr>
        <w:t>requisiti di copertura minima e valori dell</w:t>
      </w:r>
      <w:r w:rsidR="000878EC">
        <w:rPr>
          <w:rFonts w:ascii="Times New Roman" w:hAnsi="Times New Roman"/>
          <w:sz w:val="24"/>
        </w:rPr>
        <w:t>'</w:t>
      </w:r>
      <w:r>
        <w:rPr>
          <w:rFonts w:ascii="Times New Roman" w:hAnsi="Times New Roman"/>
          <w:sz w:val="24"/>
        </w:rPr>
        <w:t>esposizione delle esposizioni deteriorate, escluse quelle oggetto di misure di concessione soggette all</w:t>
      </w:r>
      <w:r w:rsidR="000878EC">
        <w:rPr>
          <w:rFonts w:ascii="Times New Roman" w:hAnsi="Times New Roman"/>
          <w:sz w:val="24"/>
        </w:rPr>
        <w:t>'</w:t>
      </w:r>
      <w:r>
        <w:rPr>
          <w:rFonts w:ascii="Times New Roman" w:hAnsi="Times New Roman"/>
          <w:sz w:val="24"/>
        </w:rPr>
        <w:t>articolo 47 quater, paragrafo 6, del CRR (C 35.02): il modello calcola i requisiti di copertura minima totali per le esposizioni deteriorate che non sono oggetto di misure di concessione soggette all</w:t>
      </w:r>
      <w:r w:rsidR="000878EC">
        <w:rPr>
          <w:rFonts w:ascii="Times New Roman" w:hAnsi="Times New Roman"/>
          <w:sz w:val="24"/>
        </w:rPr>
        <w:t>'</w:t>
      </w:r>
      <w:r>
        <w:rPr>
          <w:rFonts w:ascii="Times New Roman" w:hAnsi="Times New Roman"/>
          <w:sz w:val="24"/>
        </w:rPr>
        <w:t>articolo 47 quater, paragrafo 6, del CRR, indicando i fattori da applicare ai valori delle esposizioni ai fini di tale calcolo, indicando se l</w:t>
      </w:r>
      <w:r w:rsidR="000878EC">
        <w:rPr>
          <w:rFonts w:ascii="Times New Roman" w:hAnsi="Times New Roman"/>
          <w:sz w:val="24"/>
        </w:rPr>
        <w:t>'</w:t>
      </w:r>
      <w:r>
        <w:rPr>
          <w:rFonts w:ascii="Times New Roman" w:hAnsi="Times New Roman"/>
          <w:sz w:val="24"/>
        </w:rPr>
        <w:t>esposizione è garantita o meno e dato il tempo trascorso da quando l</w:t>
      </w:r>
      <w:r w:rsidR="000878EC">
        <w:rPr>
          <w:rFonts w:ascii="Times New Roman" w:hAnsi="Times New Roman"/>
          <w:sz w:val="24"/>
        </w:rPr>
        <w:t>'</w:t>
      </w:r>
      <w:r>
        <w:rPr>
          <w:rFonts w:ascii="Times New Roman" w:hAnsi="Times New Roman"/>
          <w:sz w:val="24"/>
        </w:rPr>
        <w:t>esposizione è diventata deteriorata;</w:t>
      </w:r>
      <w:r w:rsidR="000878EC">
        <w:rPr>
          <w:rFonts w:ascii="Times New Roman" w:hAnsi="Times New Roman"/>
          <w:sz w:val="24"/>
        </w:rPr>
        <w:t xml:space="preserve"> </w:t>
      </w:r>
    </w:p>
    <w:p w:rsidR="00DD00B4" w:rsidRPr="00771068" w:rsidRDefault="00DD00B4" w:rsidP="00D8617F">
      <w:pPr>
        <w:pStyle w:val="ListParagraph"/>
        <w:numPr>
          <w:ilvl w:val="0"/>
          <w:numId w:val="37"/>
        </w:numPr>
        <w:spacing w:line="276" w:lineRule="auto"/>
        <w:ind w:left="1077" w:hanging="357"/>
        <w:rPr>
          <w:rFonts w:ascii="Times New Roman" w:hAnsi="Times New Roman"/>
          <w:sz w:val="24"/>
        </w:rPr>
      </w:pPr>
      <w:r>
        <w:rPr>
          <w:rFonts w:ascii="Times New Roman" w:hAnsi="Times New Roman"/>
          <w:sz w:val="24"/>
        </w:rPr>
        <w:t>requisiti di copertura minima e valori dell</w:t>
      </w:r>
      <w:r w:rsidR="000878EC">
        <w:rPr>
          <w:rFonts w:ascii="Times New Roman" w:hAnsi="Times New Roman"/>
          <w:sz w:val="24"/>
        </w:rPr>
        <w:t>'</w:t>
      </w:r>
      <w:r>
        <w:rPr>
          <w:rFonts w:ascii="Times New Roman" w:hAnsi="Times New Roman"/>
          <w:sz w:val="24"/>
        </w:rPr>
        <w:t>esposizione delle esposizioni deteriorate oggetto di misure di concessione soggette all</w:t>
      </w:r>
      <w:r w:rsidR="000878EC">
        <w:rPr>
          <w:rFonts w:ascii="Times New Roman" w:hAnsi="Times New Roman"/>
          <w:sz w:val="24"/>
        </w:rPr>
        <w:t>'</w:t>
      </w:r>
      <w:r>
        <w:rPr>
          <w:rFonts w:ascii="Times New Roman" w:hAnsi="Times New Roman"/>
          <w:sz w:val="24"/>
        </w:rPr>
        <w:t>articolo 47 quater, paragrafo 6, del CRR (C 35.03): il modello calcola i requisiti di copertura minima totali per le esposizioni deteriorate oggetto di misure di concessione soggette all</w:t>
      </w:r>
      <w:r w:rsidR="000878EC">
        <w:rPr>
          <w:rFonts w:ascii="Times New Roman" w:hAnsi="Times New Roman"/>
          <w:sz w:val="24"/>
        </w:rPr>
        <w:t>'</w:t>
      </w:r>
      <w:r>
        <w:rPr>
          <w:rFonts w:ascii="Times New Roman" w:hAnsi="Times New Roman"/>
          <w:sz w:val="24"/>
        </w:rPr>
        <w:t>articolo 47 quater, paragrafo 6, del CRR, indicando i fattori da applicare ai valori delle esposizioni ai fini di tale calcolo, indicando se l</w:t>
      </w:r>
      <w:r w:rsidR="000878EC">
        <w:rPr>
          <w:rFonts w:ascii="Times New Roman" w:hAnsi="Times New Roman"/>
          <w:sz w:val="24"/>
        </w:rPr>
        <w:t>'</w:t>
      </w:r>
      <w:r>
        <w:rPr>
          <w:rFonts w:ascii="Times New Roman" w:hAnsi="Times New Roman"/>
          <w:sz w:val="24"/>
        </w:rPr>
        <w:t>esposizione è garantita o meno e dato il tempo trascorso da quando l</w:t>
      </w:r>
      <w:r w:rsidR="000878EC">
        <w:rPr>
          <w:rFonts w:ascii="Times New Roman" w:hAnsi="Times New Roman"/>
          <w:sz w:val="24"/>
        </w:rPr>
        <w:t>'</w:t>
      </w:r>
      <w:r>
        <w:rPr>
          <w:rFonts w:ascii="Times New Roman" w:hAnsi="Times New Roman"/>
          <w:sz w:val="24"/>
        </w:rPr>
        <w:t>esposizione è diventata deteriorata.</w:t>
      </w:r>
      <w:r w:rsidR="000878EC">
        <w:rPr>
          <w:rFonts w:ascii="Times New Roman" w:hAnsi="Times New Roman"/>
          <w:sz w:val="24"/>
        </w:rPr>
        <w:t xml:space="preserve"> </w:t>
      </w:r>
    </w:p>
    <w:p w:rsidR="00DD00B4" w:rsidRPr="00771068" w:rsidRDefault="00A971CA" w:rsidP="00C41883">
      <w:pPr>
        <w:pStyle w:val="InstructionsText2"/>
        <w:numPr>
          <w:ilvl w:val="0"/>
          <w:numId w:val="0"/>
        </w:numPr>
        <w:ind w:left="1680" w:hanging="480"/>
      </w:pPr>
      <w:r>
        <w:fldChar w:fldCharType="begin"/>
      </w:r>
      <w:r>
        <w:instrText xml:space="preserve"> seq paragraphs </w:instrText>
      </w:r>
      <w:r>
        <w:fldChar w:fldCharType="separate"/>
      </w:r>
      <w:r w:rsidR="00D11E4C">
        <w:t>202</w:t>
      </w:r>
      <w:r>
        <w:fldChar w:fldCharType="end"/>
      </w:r>
      <w:r w:rsidR="00C41883">
        <w:t>.</w:t>
      </w:r>
      <w:r w:rsidR="00C41883">
        <w:tab/>
      </w:r>
      <w:r w:rsidR="00D11E4C">
        <w:t>Il requisito minimo di copertura delle perdite per le esposizioni deteriorate si applica i) alle esposizioni create a partire dal 26 aprile 2019 che diventano deteriorate, e ii) alle esposizioni create prima del 26 aprile 2019, quando sono modificate dopo tale data in modo tale da aumentare il valore dell</w:t>
      </w:r>
      <w:r w:rsidR="000878EC">
        <w:t>'</w:t>
      </w:r>
      <w:r w:rsidR="00D11E4C">
        <w:t>esposizione verso il debitore (articolo 469 bis del CRR), che diventano deteriorate.</w:t>
      </w:r>
    </w:p>
    <w:p w:rsidR="00DD00B4" w:rsidRPr="00751FBE" w:rsidRDefault="00A971CA" w:rsidP="00C41883">
      <w:pPr>
        <w:pStyle w:val="InstructionsText2"/>
        <w:numPr>
          <w:ilvl w:val="0"/>
          <w:numId w:val="0"/>
        </w:numPr>
        <w:ind w:left="1680" w:hanging="480"/>
      </w:pPr>
      <w:r>
        <w:fldChar w:fldCharType="begin"/>
      </w:r>
      <w:r>
        <w:instrText xml:space="preserve"> seq paragraphs </w:instrText>
      </w:r>
      <w:r>
        <w:fldChar w:fldCharType="separate"/>
      </w:r>
      <w:r w:rsidR="00D11E4C">
        <w:t>203</w:t>
      </w:r>
      <w:r>
        <w:fldChar w:fldCharType="end"/>
      </w:r>
      <w:r w:rsidR="00C41883">
        <w:t>.</w:t>
      </w:r>
      <w:r w:rsidR="00C41883">
        <w:tab/>
      </w:r>
      <w:r w:rsidR="00D11E4C">
        <w:t>Gli enti calcolano le deduzioni per le NPE conformemente all</w:t>
      </w:r>
      <w:r w:rsidR="000878EC">
        <w:t>'</w:t>
      </w:r>
      <w:r w:rsidR="00D11E4C">
        <w:t>articolo 47 quater, paragrafo 1, lettere a) e b), del CRR, compreso il calcolo dei requisiti minimi di copertura e degli accantonamenti totali e delle rettifiche o deduzioni, a livello di singola esposizione (</w:t>
      </w:r>
      <w:r w:rsidR="000878EC">
        <w:t>"</w:t>
      </w:r>
      <w:r w:rsidR="00D11E4C">
        <w:t>basato sull</w:t>
      </w:r>
      <w:r w:rsidR="000878EC">
        <w:t>'</w:t>
      </w:r>
      <w:r w:rsidR="00D11E4C">
        <w:t>operazione</w:t>
      </w:r>
      <w:r w:rsidR="000878EC">
        <w:t>"</w:t>
      </w:r>
      <w:r w:rsidR="00D11E4C">
        <w:t>) e non a livello di debitore o di portafoglio.</w:t>
      </w:r>
    </w:p>
    <w:p w:rsidR="00DD00B4" w:rsidRPr="00751FBE" w:rsidRDefault="00A971CA" w:rsidP="00C41883">
      <w:pPr>
        <w:pStyle w:val="InstructionsText2"/>
        <w:numPr>
          <w:ilvl w:val="0"/>
          <w:numId w:val="0"/>
        </w:numPr>
        <w:ind w:left="1680" w:hanging="480"/>
      </w:pPr>
      <w:r>
        <w:fldChar w:fldCharType="begin"/>
      </w:r>
      <w:r>
        <w:instrText xml:space="preserve"> seq paragraphs </w:instrText>
      </w:r>
      <w:r>
        <w:fldChar w:fldCharType="separate"/>
      </w:r>
      <w:r w:rsidR="00D11E4C">
        <w:t>204</w:t>
      </w:r>
      <w:r>
        <w:fldChar w:fldCharType="end"/>
      </w:r>
      <w:r w:rsidR="00C41883">
        <w:t>.</w:t>
      </w:r>
      <w:r w:rsidR="00C41883">
        <w:tab/>
      </w:r>
      <w:r w:rsidR="00D11E4C">
        <w:t>Ai fini del calcolo delle deduzioni per le NPE, gli enti distinguono tra la parte non garantita e la parte garantita di un</w:t>
      </w:r>
      <w:r w:rsidR="000878EC">
        <w:t>'</w:t>
      </w:r>
      <w:r w:rsidR="00D11E4C">
        <w:t>esposizione deteriorata conformemente all</w:t>
      </w:r>
      <w:r w:rsidR="000878EC">
        <w:t>'</w:t>
      </w:r>
      <w:r w:rsidR="00D11E4C">
        <w:t>articolo 47 quater, paragrafo 1, del CRR. A tal fine, gli enti segnalano i valori delle esposizioni e i requisiti di copertura minima separatamente per la parte non garantita delle NPE e per la parte garantita delle NPE.</w:t>
      </w:r>
    </w:p>
    <w:p w:rsidR="00DD00B4" w:rsidRPr="00751FBE" w:rsidRDefault="00A971CA" w:rsidP="00C41883">
      <w:pPr>
        <w:pStyle w:val="InstructionsText2"/>
        <w:numPr>
          <w:ilvl w:val="0"/>
          <w:numId w:val="0"/>
        </w:numPr>
        <w:ind w:left="1680" w:hanging="480"/>
      </w:pPr>
      <w:r>
        <w:fldChar w:fldCharType="begin"/>
      </w:r>
      <w:r>
        <w:instrText xml:space="preserve"> seq paragraphs </w:instrText>
      </w:r>
      <w:r>
        <w:fldChar w:fldCharType="separate"/>
      </w:r>
      <w:r w:rsidR="00D11E4C">
        <w:t>205</w:t>
      </w:r>
      <w:r>
        <w:fldChar w:fldCharType="end"/>
      </w:r>
      <w:r w:rsidR="00C41883">
        <w:t>.</w:t>
      </w:r>
      <w:r w:rsidR="00C41883">
        <w:tab/>
      </w:r>
      <w:r w:rsidR="00D11E4C">
        <w:t>Ai fini dell</w:t>
      </w:r>
      <w:r w:rsidR="000878EC">
        <w:t>'</w:t>
      </w:r>
      <w:r w:rsidR="00D11E4C">
        <w:t>associazione dei fattori applicabili pertinenti e del calcolo dei requisiti di copertura minima, gli enti classificano la parte garantita delle NPE in funzione del tipo di protezione del credito conformemente all</w:t>
      </w:r>
      <w:r w:rsidR="000878EC">
        <w:t>'</w:t>
      </w:r>
      <w:r w:rsidR="00D11E4C">
        <w:t xml:space="preserve">articolo 47 quater, paragrafo 3, del CRR come segue: i) </w:t>
      </w:r>
      <w:r w:rsidR="000878EC">
        <w:t>"</w:t>
      </w:r>
      <w:r w:rsidR="00D11E4C">
        <w:t>garantita da beni immobili o prestito su immobili residenziali garantito da un fornitore di protezione ammissibile di cui all</w:t>
      </w:r>
      <w:r w:rsidR="000878EC">
        <w:t>'</w:t>
      </w:r>
      <w:r w:rsidR="00D11E4C">
        <w:t>articolo 201</w:t>
      </w:r>
      <w:r w:rsidR="000878EC">
        <w:t>"</w:t>
      </w:r>
      <w:r w:rsidR="00D11E4C">
        <w:t xml:space="preserve">, ii) </w:t>
      </w:r>
      <w:r w:rsidR="000878EC">
        <w:t>"</w:t>
      </w:r>
      <w:r w:rsidR="00D11E4C">
        <w:t>garantita da altra protezione del credito di tipo personale o di tipo reale</w:t>
      </w:r>
      <w:r w:rsidR="000878EC">
        <w:t>"</w:t>
      </w:r>
      <w:r w:rsidR="00D11E4C">
        <w:t xml:space="preserve"> o iii) </w:t>
      </w:r>
      <w:r w:rsidR="000878EC">
        <w:t>"</w:t>
      </w:r>
      <w:r w:rsidR="00D11E4C">
        <w:t>garantita o assicurata da un</w:t>
      </w:r>
      <w:r w:rsidR="000878EC">
        <w:t>'</w:t>
      </w:r>
      <w:r w:rsidR="00D11E4C">
        <w:t>agenzia ufficiale per il credito all</w:t>
      </w:r>
      <w:r w:rsidR="000878EC">
        <w:t>'</w:t>
      </w:r>
      <w:r w:rsidR="00D11E4C">
        <w:t>esportazione</w:t>
      </w:r>
      <w:r w:rsidR="000878EC">
        <w:t>"</w:t>
      </w:r>
      <w:r w:rsidR="00D11E4C">
        <w:t>. Quando un</w:t>
      </w:r>
      <w:r w:rsidR="000878EC">
        <w:t>'</w:t>
      </w:r>
      <w:r w:rsidR="00D11E4C">
        <w:t xml:space="preserve">esposizione deteriorata è garantita da più di un tipo di protezione del credito, il suo valore è assegnato in base alla qualità della protezione del credito, a partire da quella con la migliore qualità. </w:t>
      </w:r>
    </w:p>
    <w:p w:rsidR="00DD00B4" w:rsidRPr="00661595" w:rsidRDefault="00DD00B4" w:rsidP="00DD00B4">
      <w:pPr>
        <w:pStyle w:val="Instructionsberschrift2"/>
        <w:numPr>
          <w:ilvl w:val="0"/>
          <w:numId w:val="0"/>
        </w:numPr>
        <w:ind w:left="357" w:hanging="357"/>
        <w:rPr>
          <w:rFonts w:ascii="Times New Roman" w:hAnsi="Times New Roman" w:cs="Times New Roman"/>
          <w:sz w:val="24"/>
          <w:u w:val="none"/>
        </w:rPr>
      </w:pPr>
      <w:bookmarkStart w:id="776" w:name="_Toc19715888"/>
      <w:bookmarkStart w:id="777" w:name="_Toc58915881"/>
      <w:r>
        <w:rPr>
          <w:rFonts w:ascii="Times New Roman" w:hAnsi="Times New Roman"/>
          <w:sz w:val="24"/>
          <w:u w:val="none"/>
        </w:rPr>
        <w:t xml:space="preserve">8.2 C 35.01 – </w:t>
      </w:r>
      <w:bookmarkEnd w:id="772"/>
      <w:r>
        <w:rPr>
          <w:rFonts w:ascii="Times New Roman" w:hAnsi="Times New Roman"/>
          <w:sz w:val="24"/>
          <w:u w:val="none"/>
        </w:rPr>
        <w:t>IL CALCOLO DELLE DEDUZIONI PER ESPOSIZIONI DETERIORATE (NPE LC1)</w:t>
      </w:r>
      <w:bookmarkEnd w:id="776"/>
      <w:bookmarkEnd w:id="777"/>
    </w:p>
    <w:p w:rsidR="00DD00B4" w:rsidRPr="00661595" w:rsidRDefault="00DD00B4" w:rsidP="002F29AF">
      <w:pPr>
        <w:pStyle w:val="Instructionsberschrift2"/>
        <w:numPr>
          <w:ilvl w:val="2"/>
          <w:numId w:val="38"/>
        </w:numPr>
        <w:rPr>
          <w:rFonts w:ascii="Times New Roman" w:hAnsi="Times New Roman" w:cs="Times New Roman"/>
          <w:sz w:val="24"/>
        </w:rPr>
      </w:pPr>
      <w:bookmarkStart w:id="778" w:name="_Toc58915882"/>
      <w:r>
        <w:rPr>
          <w:rFonts w:ascii="Times New Roman" w:hAnsi="Times New Roman"/>
          <w:sz w:val="24"/>
        </w:rPr>
        <w:t>Istruzioni relative a posizioni specifiche</w:t>
      </w:r>
      <w:bookmarkEnd w:id="778"/>
    </w:p>
    <w:p w:rsidR="00DD00B4" w:rsidRPr="00661595" w:rsidRDefault="00DD00B4" w:rsidP="00DD00B4">
      <w:pPr>
        <w:pStyle w:val="body"/>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bookmarkStart w:id="779" w:name="_Toc19715889"/>
            <w:r>
              <w:rPr>
                <w:rFonts w:ascii="Times New Roman" w:hAnsi="Times New Roman"/>
                <w:sz w:val="24"/>
              </w:rPr>
              <w:t>Colonne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C41883">
            <w:pPr>
              <w:suppressAutoHyphens/>
              <w:rPr>
                <w:rFonts w:ascii="Times New Roman" w:hAnsi="Times New Roman"/>
                <w:sz w:val="24"/>
              </w:rPr>
            </w:pPr>
            <w:r>
              <w:rPr>
                <w:rFonts w:ascii="Times New Roman" w:hAnsi="Times New Roman"/>
                <w:sz w:val="24"/>
              </w:rPr>
              <w:t>Istruzioni</w:t>
            </w:r>
          </w:p>
        </w:tc>
      </w:tr>
      <w:tr w:rsidR="00DD00B4" w:rsidRPr="00661595" w:rsidTr="00751FBE">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C41883">
            <w:pPr>
              <w:suppressAutoHyphens/>
              <w:rPr>
                <w:rFonts w:ascii="Times New Roman" w:hAnsi="Times New Roman"/>
                <w:b/>
                <w:sz w:val="24"/>
                <w:u w:val="single"/>
              </w:rPr>
            </w:pPr>
            <w:r>
              <w:rPr>
                <w:rFonts w:ascii="Times New Roman" w:hAnsi="Times New Roman"/>
                <w:b/>
                <w:sz w:val="24"/>
                <w:u w:val="single"/>
              </w:rPr>
              <w:t>Tempo trascorso dalla classificazione delle esposizioni come deteriorate</w:t>
            </w:r>
          </w:p>
          <w:p w:rsidR="00DD00B4" w:rsidRPr="00661595" w:rsidRDefault="00DD00B4" w:rsidP="00C41883">
            <w:pPr>
              <w:suppressAutoHyphens/>
              <w:rPr>
                <w:rFonts w:ascii="Times New Roman" w:hAnsi="Times New Roman"/>
                <w:sz w:val="24"/>
              </w:rPr>
            </w:pPr>
            <w:r>
              <w:rPr>
                <w:rFonts w:ascii="Times New Roman" w:hAnsi="Times New Roman"/>
                <w:sz w:val="24"/>
              </w:rPr>
              <w:t xml:space="preserve">Per </w:t>
            </w:r>
            <w:r w:rsidR="000878EC">
              <w:rPr>
                <w:rFonts w:ascii="Times New Roman" w:hAnsi="Times New Roman"/>
                <w:sz w:val="24"/>
              </w:rPr>
              <w:t>"</w:t>
            </w:r>
            <w:r>
              <w:rPr>
                <w:rFonts w:ascii="Times New Roman" w:hAnsi="Times New Roman"/>
                <w:sz w:val="24"/>
              </w:rPr>
              <w:t>tempo trascorso dalla classificazione delle esposizioni come deteriorate</w:t>
            </w:r>
            <w:r w:rsidR="000878EC">
              <w:rPr>
                <w:rFonts w:ascii="Times New Roman" w:hAnsi="Times New Roman"/>
                <w:sz w:val="24"/>
              </w:rPr>
              <w:t>"</w:t>
            </w:r>
            <w:r>
              <w:rPr>
                <w:rFonts w:ascii="Times New Roman" w:hAnsi="Times New Roman"/>
                <w:sz w:val="24"/>
              </w:rPr>
              <w:t xml:space="preserve"> si intende il tempo trascorso in anni, alla data di riferimento, dal momento che l</w:t>
            </w:r>
            <w:r w:rsidR="000878EC">
              <w:rPr>
                <w:rFonts w:ascii="Times New Roman" w:hAnsi="Times New Roman"/>
                <w:sz w:val="24"/>
              </w:rPr>
              <w:t>'</w:t>
            </w:r>
            <w:r>
              <w:rPr>
                <w:rFonts w:ascii="Times New Roman" w:hAnsi="Times New Roman"/>
                <w:sz w:val="24"/>
              </w:rPr>
              <w:t xml:space="preserve">esposizione è stata classificata come deteriorata. Per le esposizioni deteriorate acquistate, il periodo in anni inizia a decorrere dalla data in cui le esposizioni sono state originariamente classificate come deteriorate e non dalla data del loro acquisto. </w:t>
            </w:r>
          </w:p>
          <w:p w:rsidR="00DD00B4" w:rsidRPr="00661595" w:rsidRDefault="00DD00B4" w:rsidP="00C41883">
            <w:pPr>
              <w:suppressAutoHyphens/>
              <w:rPr>
                <w:rFonts w:ascii="Times New Roman" w:hAnsi="Times New Roman"/>
                <w:sz w:val="24"/>
              </w:rPr>
            </w:pPr>
            <w:r>
              <w:rPr>
                <w:rFonts w:ascii="Times New Roman" w:hAnsi="Times New Roman"/>
                <w:sz w:val="24"/>
              </w:rPr>
              <w:t>Gli enti segnalano i dati sulle esposizioni la cui data di riferimento rientra nell</w:t>
            </w:r>
            <w:r w:rsidR="000878EC">
              <w:rPr>
                <w:rFonts w:ascii="Times New Roman" w:hAnsi="Times New Roman"/>
                <w:sz w:val="24"/>
              </w:rPr>
              <w:t>'</w:t>
            </w:r>
            <w:r>
              <w:rPr>
                <w:rFonts w:ascii="Times New Roman" w:hAnsi="Times New Roman"/>
                <w:sz w:val="24"/>
              </w:rPr>
              <w:t>intervallo di tempo corrispondente indicando il periodo in anni successivo alla classificazione delle esposizioni come deteriorate, a prescindere dall</w:t>
            </w:r>
            <w:r w:rsidR="000878EC">
              <w:rPr>
                <w:rFonts w:ascii="Times New Roman" w:hAnsi="Times New Roman"/>
                <w:sz w:val="24"/>
              </w:rPr>
              <w:t>'</w:t>
            </w:r>
            <w:r>
              <w:rPr>
                <w:rFonts w:ascii="Times New Roman" w:hAnsi="Times New Roman"/>
                <w:sz w:val="24"/>
              </w:rPr>
              <w:t>applicazione di misure di concessione.</w:t>
            </w:r>
          </w:p>
          <w:p w:rsidR="00DD00B4" w:rsidRPr="00661595" w:rsidRDefault="00DD00B4" w:rsidP="00C41883">
            <w:pPr>
              <w:suppressAutoHyphens/>
              <w:rPr>
                <w:rFonts w:ascii="Times New Roman" w:hAnsi="Times New Roman"/>
                <w:sz w:val="24"/>
              </w:rPr>
            </w:pPr>
            <w:r>
              <w:rPr>
                <w:rFonts w:ascii="Times New Roman" w:hAnsi="Times New Roman"/>
                <w:sz w:val="24"/>
              </w:rPr>
              <w:t>Per l</w:t>
            </w:r>
            <w:r w:rsidR="000878EC">
              <w:rPr>
                <w:rFonts w:ascii="Times New Roman" w:hAnsi="Times New Roman"/>
                <w:sz w:val="24"/>
              </w:rPr>
              <w:t>'</w:t>
            </w:r>
            <w:r>
              <w:rPr>
                <w:rFonts w:ascii="Times New Roman" w:hAnsi="Times New Roman"/>
                <w:sz w:val="24"/>
              </w:rPr>
              <w:t xml:space="preserve">intervallo di tempo </w:t>
            </w:r>
            <w:r w:rsidR="000878EC">
              <w:rPr>
                <w:rFonts w:ascii="Times New Roman" w:hAnsi="Times New Roman"/>
                <w:sz w:val="24"/>
              </w:rPr>
              <w:t>"</w:t>
            </w:r>
            <w:r>
              <w:rPr>
                <w:rFonts w:ascii="Times New Roman" w:hAnsi="Times New Roman"/>
                <w:sz w:val="24"/>
              </w:rPr>
              <w:t>&gt; X anno/i, &lt;= Y anno/i</w:t>
            </w:r>
            <w:r w:rsidR="000878EC">
              <w:rPr>
                <w:rFonts w:ascii="Times New Roman" w:hAnsi="Times New Roman"/>
                <w:sz w:val="24"/>
              </w:rPr>
              <w:t>"</w:t>
            </w:r>
            <w:r>
              <w:rPr>
                <w:rFonts w:ascii="Times New Roman" w:hAnsi="Times New Roman"/>
                <w:sz w:val="24"/>
              </w:rPr>
              <w:t>, gli enti segnalano i dati sulle esposizioni la cui data di riferimento corrisponde al periodo compreso tra il primo e l</w:t>
            </w:r>
            <w:r w:rsidR="000878EC">
              <w:rPr>
                <w:rFonts w:ascii="Times New Roman" w:hAnsi="Times New Roman"/>
                <w:sz w:val="24"/>
              </w:rPr>
              <w:t>'</w:t>
            </w:r>
            <w:r>
              <w:rPr>
                <w:rFonts w:ascii="Times New Roman" w:hAnsi="Times New Roman"/>
                <w:sz w:val="24"/>
              </w:rPr>
              <w:t>ultimo giorno del Y° anno successivo alla classificazione di tali esposizioni come deteriorate.</w:t>
            </w:r>
          </w:p>
        </w:tc>
      </w:tr>
      <w:tr w:rsidR="00DD00B4" w:rsidRPr="00661595" w:rsidTr="00886C47">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C41883">
            <w:pPr>
              <w:suppressAutoHyphens/>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TOTALE</w:t>
            </w:r>
          </w:p>
          <w:p w:rsidR="00DD00B4" w:rsidRPr="00661595" w:rsidRDefault="00DD00B4" w:rsidP="00C41883">
            <w:pPr>
              <w:suppressAutoHyphens/>
              <w:rPr>
                <w:rFonts w:ascii="Times New Roman" w:hAnsi="Times New Roman"/>
                <w:sz w:val="24"/>
              </w:rPr>
            </w:pPr>
            <w:r>
              <w:rPr>
                <w:rFonts w:ascii="Times New Roman" w:hAnsi="Times New Roman"/>
                <w:sz w:val="24"/>
              </w:rPr>
              <w:lastRenderedPageBreak/>
              <w:t>Gli enti segnalano la somma di tutte le colonne da 0010 a 0100.</w:t>
            </w:r>
          </w:p>
        </w:tc>
      </w:tr>
      <w:bookmarkEnd w:id="779"/>
      <w:tr w:rsidR="00DD00B4" w:rsidRPr="00661595" w:rsidTr="00751FBE">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C41883">
            <w:pPr>
              <w:keepNext/>
              <w:keepLines/>
              <w:rPr>
                <w:rFonts w:ascii="Times New Roman" w:hAnsi="Times New Roman"/>
                <w:sz w:val="24"/>
              </w:rPr>
            </w:pPr>
            <w:r>
              <w:rPr>
                <w:rFonts w:ascii="Times New Roman" w:hAnsi="Times New Roman"/>
                <w:sz w:val="24"/>
              </w:rPr>
              <w:lastRenderedPageBreak/>
              <w:t>Righe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C41883">
            <w:pPr>
              <w:keepNext/>
              <w:keepLines/>
              <w:suppressAutoHyphens/>
              <w:rPr>
                <w:rFonts w:ascii="Times New Roman" w:hAnsi="Times New Roman"/>
                <w:sz w:val="24"/>
              </w:rPr>
            </w:pPr>
            <w:r>
              <w:rPr>
                <w:rFonts w:ascii="Times New Roman" w:hAnsi="Times New Roman"/>
                <w:sz w:val="24"/>
              </w:rPr>
              <w:t>Istruzioni</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C41883">
            <w:pPr>
              <w:keepNext/>
              <w:keepLines/>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C41883">
            <w:pPr>
              <w:keepNext/>
              <w:keepLines/>
              <w:suppressAutoHyphens/>
              <w:rPr>
                <w:rFonts w:ascii="Times New Roman" w:hAnsi="Times New Roman"/>
                <w:b/>
                <w:sz w:val="24"/>
                <w:u w:val="single"/>
              </w:rPr>
            </w:pPr>
            <w:r>
              <w:rPr>
                <w:rFonts w:ascii="Times New Roman" w:hAnsi="Times New Roman"/>
                <w:b/>
                <w:sz w:val="24"/>
                <w:u w:val="single"/>
              </w:rPr>
              <w:t>Importo applicabile della copertura insufficiente</w:t>
            </w:r>
          </w:p>
          <w:p w:rsidR="00DD00B4" w:rsidRPr="00661595" w:rsidRDefault="002327CE" w:rsidP="00C41883">
            <w:pPr>
              <w:keepNext/>
              <w:keepLines/>
              <w:suppressAutoHyphens/>
              <w:rPr>
                <w:rFonts w:ascii="Times New Roman" w:hAnsi="Times New Roman"/>
                <w:sz w:val="24"/>
              </w:rPr>
            </w:pPr>
            <w:r>
              <w:rPr>
                <w:rFonts w:ascii="Times New Roman" w:hAnsi="Times New Roman"/>
                <w:sz w:val="24"/>
              </w:rPr>
              <w:t>Articolo 47 quater, paragrafo 1, del CRR</w:t>
            </w:r>
          </w:p>
          <w:p w:rsidR="00DD00B4" w:rsidRPr="00661595" w:rsidRDefault="00DD00B4" w:rsidP="00C41883">
            <w:pPr>
              <w:keepNext/>
              <w:keepLines/>
              <w:suppressAutoHyphens/>
              <w:rPr>
                <w:rFonts w:ascii="Times New Roman" w:hAnsi="Times New Roman"/>
                <w:sz w:val="24"/>
              </w:rPr>
            </w:pPr>
            <w:r>
              <w:rPr>
                <w:rFonts w:ascii="Times New Roman" w:hAnsi="Times New Roman"/>
                <w:sz w:val="24"/>
              </w:rPr>
              <w:t>Ai fini del calcolo dell</w:t>
            </w:r>
            <w:r w:rsidR="000878EC">
              <w:rPr>
                <w:rFonts w:ascii="Times New Roman" w:hAnsi="Times New Roman"/>
                <w:sz w:val="24"/>
              </w:rPr>
              <w:t>'</w:t>
            </w:r>
            <w:r>
              <w:rPr>
                <w:rFonts w:ascii="Times New Roman" w:hAnsi="Times New Roman"/>
                <w:sz w:val="24"/>
              </w:rPr>
              <w:t>importo applicabile della copertura insufficiente, gli enti deducono il totale degli accantonamenti e delle rettifiche o deduzioni (massimale) (riga 0080) dal requisito di copertura minima totale per le esposizioni deteriorate (riga 0020).</w:t>
            </w:r>
          </w:p>
          <w:p w:rsidR="00DD00B4" w:rsidRPr="00661595" w:rsidRDefault="00DD00B4" w:rsidP="00C41883">
            <w:pPr>
              <w:keepNext/>
              <w:keepLines/>
              <w:suppressAutoHyphens/>
              <w:rPr>
                <w:rFonts w:ascii="Times New Roman" w:hAnsi="Times New Roman"/>
                <w:sz w:val="24"/>
              </w:rPr>
            </w:pPr>
            <w:r>
              <w:rPr>
                <w:rFonts w:ascii="Times New Roman" w:hAnsi="Times New Roman"/>
                <w:sz w:val="24"/>
              </w:rPr>
              <w:t>L</w:t>
            </w:r>
            <w:r w:rsidR="000878EC">
              <w:rPr>
                <w:rFonts w:ascii="Times New Roman" w:hAnsi="Times New Roman"/>
                <w:sz w:val="24"/>
              </w:rPr>
              <w:t>'</w:t>
            </w:r>
            <w:r>
              <w:rPr>
                <w:rFonts w:ascii="Times New Roman" w:hAnsi="Times New Roman"/>
                <w:sz w:val="24"/>
              </w:rPr>
              <w:t>importo applicabile della copertura insufficiente (ossia la carenza nel requisito di copertura minima totale per le esposizioni deteriorate) è pari o superiore a zero.</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C41883">
            <w:pPr>
              <w:suppressAutoHyphens/>
              <w:rPr>
                <w:rFonts w:ascii="Times New Roman" w:hAnsi="Times New Roman"/>
                <w:b/>
                <w:sz w:val="24"/>
                <w:u w:val="single"/>
              </w:rPr>
            </w:pPr>
            <w:r>
              <w:rPr>
                <w:rFonts w:ascii="Times New Roman" w:hAnsi="Times New Roman"/>
                <w:b/>
                <w:sz w:val="24"/>
                <w:u w:val="single"/>
              </w:rPr>
              <w:t>Requisito di copertura minima totale per le esposizioni deteriorate</w:t>
            </w:r>
          </w:p>
          <w:p w:rsidR="00DD00B4" w:rsidRPr="00661595" w:rsidRDefault="00DD00B4" w:rsidP="00C41883">
            <w:pPr>
              <w:suppressAutoHyphens/>
              <w:rPr>
                <w:rFonts w:ascii="Times New Roman" w:hAnsi="Times New Roman"/>
                <w:sz w:val="24"/>
              </w:rPr>
            </w:pPr>
            <w:r>
              <w:rPr>
                <w:rFonts w:ascii="Times New Roman" w:hAnsi="Times New Roman"/>
                <w:sz w:val="24"/>
              </w:rPr>
              <w:t>Articolo 47 quater, paragrafo 1, lettera a), del CRR</w:t>
            </w:r>
          </w:p>
          <w:p w:rsidR="00DD00B4" w:rsidRPr="00661595" w:rsidRDefault="00DD00B4" w:rsidP="00C41883">
            <w:pPr>
              <w:suppressAutoHyphens/>
              <w:rPr>
                <w:rFonts w:ascii="Times New Roman" w:hAnsi="Times New Roman"/>
                <w:sz w:val="24"/>
              </w:rPr>
            </w:pPr>
            <w:r>
              <w:rPr>
                <w:rFonts w:ascii="Times New Roman" w:hAnsi="Times New Roman"/>
                <w:sz w:val="24"/>
              </w:rPr>
              <w:t xml:space="preserve">Ai fini del calcolo del requisito di copertura minima totale per le esposizioni deteriorate, gli enti sommano il requisito di copertura minima per la parte non garantita delle NPE (riga 0030) e per la parte garantita delle NPE (riga 0040).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C41883">
            <w:pPr>
              <w:suppressAutoHyphens/>
              <w:rPr>
                <w:rFonts w:ascii="Times New Roman" w:hAnsi="Times New Roman"/>
                <w:sz w:val="24"/>
              </w:rPr>
            </w:pPr>
            <w:r>
              <w:rPr>
                <w:rFonts w:ascii="Times New Roman" w:hAnsi="Times New Roman"/>
                <w:b/>
                <w:sz w:val="24"/>
                <w:u w:val="single"/>
              </w:rPr>
              <w:t>Parte non garantita delle NPE</w:t>
            </w:r>
            <w:r>
              <w:rPr>
                <w:rFonts w:ascii="Times New Roman" w:hAnsi="Times New Roman"/>
                <w:sz w:val="24"/>
              </w:rPr>
              <w:t xml:space="preserve"> </w:t>
            </w:r>
          </w:p>
          <w:p w:rsidR="00DD00B4" w:rsidRPr="00661595" w:rsidRDefault="00DD00B4" w:rsidP="00C41883">
            <w:pPr>
              <w:suppressAutoHyphens/>
              <w:rPr>
                <w:rFonts w:ascii="Times New Roman" w:hAnsi="Times New Roman"/>
                <w:sz w:val="24"/>
              </w:rPr>
            </w:pPr>
            <w:r>
              <w:rPr>
                <w:rFonts w:ascii="Times New Roman" w:hAnsi="Times New Roman"/>
                <w:sz w:val="24"/>
              </w:rPr>
              <w:t>Articolo 47 quater, paragrafo 1, lettera a), punto i), articolo 47 quater, paragrafo 2, articolo 47 quater, paragrafo 6, del CRR</w:t>
            </w:r>
          </w:p>
          <w:p w:rsidR="00DD00B4" w:rsidRPr="00661595" w:rsidRDefault="00A532F5" w:rsidP="00C41883">
            <w:pPr>
              <w:suppressAutoHyphens/>
              <w:rPr>
                <w:rFonts w:ascii="Times New Roman" w:hAnsi="Times New Roman"/>
                <w:sz w:val="24"/>
              </w:rPr>
            </w:pPr>
            <w:r>
              <w:rPr>
                <w:rFonts w:ascii="Times New Roman" w:hAnsi="Times New Roman"/>
                <w:sz w:val="24"/>
              </w:rPr>
              <w:t>L</w:t>
            </w:r>
            <w:r w:rsidR="000878EC">
              <w:rPr>
                <w:rFonts w:ascii="Times New Roman" w:hAnsi="Times New Roman"/>
                <w:sz w:val="24"/>
              </w:rPr>
              <w:t>'</w:t>
            </w:r>
            <w:r>
              <w:rPr>
                <w:rFonts w:ascii="Times New Roman" w:hAnsi="Times New Roman"/>
                <w:sz w:val="24"/>
              </w:rPr>
              <w:t>ente segnala il requisito di copertura minima totale per la parte non garantita delle NPE, ossia l</w:t>
            </w:r>
            <w:r w:rsidR="000878EC">
              <w:rPr>
                <w:rFonts w:ascii="Times New Roman" w:hAnsi="Times New Roman"/>
                <w:sz w:val="24"/>
              </w:rPr>
              <w:t>'</w:t>
            </w:r>
            <w:r>
              <w:rPr>
                <w:rFonts w:ascii="Times New Roman" w:hAnsi="Times New Roman"/>
                <w:sz w:val="24"/>
              </w:rPr>
              <w:t xml:space="preserve">aggregato dei calcoli a livello di esposizione. </w:t>
            </w:r>
          </w:p>
          <w:p w:rsidR="00DD00B4" w:rsidRPr="00661595" w:rsidRDefault="00DD00B4" w:rsidP="00C41883">
            <w:pPr>
              <w:suppressAutoHyphens/>
              <w:rPr>
                <w:rFonts w:ascii="Times New Roman" w:hAnsi="Times New Roman"/>
                <w:sz w:val="24"/>
              </w:rPr>
            </w:pPr>
            <w:r>
              <w:rPr>
                <w:rFonts w:ascii="Times New Roman" w:hAnsi="Times New Roman"/>
                <w:sz w:val="24"/>
              </w:rPr>
              <w:t>L</w:t>
            </w:r>
            <w:r w:rsidR="000878EC">
              <w:rPr>
                <w:rFonts w:ascii="Times New Roman" w:hAnsi="Times New Roman"/>
                <w:sz w:val="24"/>
              </w:rPr>
              <w:t>'</w:t>
            </w:r>
            <w:r>
              <w:rPr>
                <w:rFonts w:ascii="Times New Roman" w:hAnsi="Times New Roman"/>
                <w:sz w:val="24"/>
              </w:rPr>
              <w:t xml:space="preserve">importo segnalato in ciascuna colonna è uguale alla somma degli importi segnalati nella riga 0020 del C 35.02 e nella riga 0020 del C 35.03 (se del caso) nelle rispettive colonne.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C41883">
            <w:pPr>
              <w:suppressAutoHyphens/>
              <w:rPr>
                <w:rFonts w:ascii="Times New Roman" w:hAnsi="Times New Roman"/>
                <w:b/>
                <w:sz w:val="24"/>
                <w:u w:val="single"/>
              </w:rPr>
            </w:pPr>
            <w:r>
              <w:rPr>
                <w:rFonts w:ascii="Times New Roman" w:hAnsi="Times New Roman"/>
                <w:b/>
                <w:sz w:val="24"/>
                <w:u w:val="single"/>
              </w:rPr>
              <w:t>Parte garantita delle NPE</w:t>
            </w:r>
          </w:p>
          <w:p w:rsidR="00DD00B4" w:rsidRPr="00661595" w:rsidRDefault="00DD00B4" w:rsidP="00C41883">
            <w:pPr>
              <w:suppressAutoHyphens/>
              <w:rPr>
                <w:rFonts w:ascii="Times New Roman" w:hAnsi="Times New Roman"/>
                <w:sz w:val="24"/>
              </w:rPr>
            </w:pPr>
            <w:r>
              <w:rPr>
                <w:rFonts w:ascii="Times New Roman" w:hAnsi="Times New Roman"/>
                <w:sz w:val="24"/>
              </w:rPr>
              <w:t>Articolo 47 quater, paragrafo 1, lettera a), punto ii), articolo 47 quater, paragrafo 3, articolo 47 quater, paragrafo 4, articolo 47 quater, paragrafo 6, del CRR.</w:t>
            </w:r>
          </w:p>
          <w:p w:rsidR="00DD00B4" w:rsidRPr="00661595" w:rsidRDefault="00A532F5" w:rsidP="00C41883">
            <w:pPr>
              <w:suppressAutoHyphens/>
              <w:rPr>
                <w:rFonts w:ascii="Times New Roman" w:hAnsi="Times New Roman"/>
                <w:sz w:val="24"/>
              </w:rPr>
            </w:pPr>
            <w:r>
              <w:rPr>
                <w:rFonts w:ascii="Times New Roman" w:hAnsi="Times New Roman"/>
                <w:sz w:val="24"/>
              </w:rPr>
              <w:t>L</w:t>
            </w:r>
            <w:r w:rsidR="000878EC">
              <w:rPr>
                <w:rFonts w:ascii="Times New Roman" w:hAnsi="Times New Roman"/>
                <w:sz w:val="24"/>
              </w:rPr>
              <w:t>'</w:t>
            </w:r>
            <w:r>
              <w:rPr>
                <w:rFonts w:ascii="Times New Roman" w:hAnsi="Times New Roman"/>
                <w:sz w:val="24"/>
              </w:rPr>
              <w:t>ente segnala il requisito di copertura minima totale per la parte garantita delle NPE, ossia l</w:t>
            </w:r>
            <w:r w:rsidR="000878EC">
              <w:rPr>
                <w:rFonts w:ascii="Times New Roman" w:hAnsi="Times New Roman"/>
                <w:sz w:val="24"/>
              </w:rPr>
              <w:t>'</w:t>
            </w:r>
            <w:r>
              <w:rPr>
                <w:rFonts w:ascii="Times New Roman" w:hAnsi="Times New Roman"/>
                <w:sz w:val="24"/>
              </w:rPr>
              <w:t>aggregato dei calcoli a livello di esposizione.</w:t>
            </w:r>
          </w:p>
          <w:p w:rsidR="00DD00B4" w:rsidRPr="00661595" w:rsidRDefault="00DD00B4" w:rsidP="00C41883">
            <w:pPr>
              <w:suppressAutoHyphens/>
              <w:rPr>
                <w:rFonts w:ascii="Times New Roman" w:hAnsi="Times New Roman"/>
                <w:b/>
                <w:sz w:val="24"/>
                <w:u w:val="single"/>
              </w:rPr>
            </w:pPr>
            <w:r>
              <w:rPr>
                <w:rFonts w:ascii="Times New Roman" w:hAnsi="Times New Roman"/>
                <w:sz w:val="24"/>
              </w:rPr>
              <w:t>L</w:t>
            </w:r>
            <w:r w:rsidR="000878EC">
              <w:rPr>
                <w:rFonts w:ascii="Times New Roman" w:hAnsi="Times New Roman"/>
                <w:sz w:val="24"/>
              </w:rPr>
              <w:t>'</w:t>
            </w:r>
            <w:r>
              <w:rPr>
                <w:rFonts w:ascii="Times New Roman" w:hAnsi="Times New Roman"/>
                <w:sz w:val="24"/>
              </w:rPr>
              <w:t>importo segnalato in ciascuna colonna è uguale alla somma degli importi segnalati nelle righe da 0030 a 0050 del C 35.02 e nelle righe 0030-0040 del C 35.03 (se del caso) nelle rispettive colonne.</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C41883">
            <w:pPr>
              <w:suppressAutoHyphens/>
              <w:rPr>
                <w:rFonts w:ascii="Times New Roman" w:hAnsi="Times New Roman"/>
                <w:b/>
                <w:sz w:val="24"/>
                <w:u w:val="single"/>
              </w:rPr>
            </w:pPr>
            <w:r>
              <w:rPr>
                <w:rFonts w:ascii="Times New Roman" w:hAnsi="Times New Roman"/>
                <w:b/>
                <w:sz w:val="24"/>
                <w:u w:val="single"/>
              </w:rPr>
              <w:t>Valore dell</w:t>
            </w:r>
            <w:r w:rsidR="000878EC">
              <w:rPr>
                <w:rFonts w:ascii="Times New Roman" w:hAnsi="Times New Roman"/>
                <w:b/>
                <w:sz w:val="24"/>
                <w:u w:val="single"/>
              </w:rPr>
              <w:t>'</w:t>
            </w:r>
            <w:r>
              <w:rPr>
                <w:rFonts w:ascii="Times New Roman" w:hAnsi="Times New Roman"/>
                <w:b/>
                <w:sz w:val="24"/>
                <w:u w:val="single"/>
              </w:rPr>
              <w:t>esposizione</w:t>
            </w:r>
          </w:p>
          <w:p w:rsidR="00DD00B4" w:rsidRPr="00661595" w:rsidRDefault="00DD00B4" w:rsidP="00C41883">
            <w:pPr>
              <w:suppressAutoHyphens/>
              <w:rPr>
                <w:rFonts w:ascii="Times New Roman" w:hAnsi="Times New Roman"/>
                <w:sz w:val="24"/>
              </w:rPr>
            </w:pPr>
            <w:r>
              <w:rPr>
                <w:rFonts w:ascii="Times New Roman" w:hAnsi="Times New Roman"/>
                <w:sz w:val="24"/>
              </w:rPr>
              <w:t>Articolo 47 bis, paragrafo 2, del CRR</w:t>
            </w:r>
          </w:p>
          <w:p w:rsidR="00DD00B4" w:rsidRPr="00661595" w:rsidRDefault="00DD00B4" w:rsidP="00C41883">
            <w:pPr>
              <w:suppressAutoHyphens/>
              <w:rPr>
                <w:rFonts w:ascii="Times New Roman" w:hAnsi="Times New Roman"/>
                <w:sz w:val="24"/>
              </w:rPr>
            </w:pPr>
            <w:r>
              <w:rPr>
                <w:rFonts w:ascii="Times New Roman" w:hAnsi="Times New Roman"/>
                <w:sz w:val="24"/>
              </w:rPr>
              <w:t>Gli enti segnalano il valore dell</w:t>
            </w:r>
            <w:r w:rsidR="000878EC">
              <w:rPr>
                <w:rFonts w:ascii="Times New Roman" w:hAnsi="Times New Roman"/>
                <w:sz w:val="24"/>
              </w:rPr>
              <w:t>'</w:t>
            </w:r>
            <w:r>
              <w:rPr>
                <w:rFonts w:ascii="Times New Roman" w:hAnsi="Times New Roman"/>
                <w:sz w:val="24"/>
              </w:rPr>
              <w:t xml:space="preserve">esposizione complessiva delle NPE, garantite e non. Si tratta della somma delle righe 0060 e 0070.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C41883">
            <w:pPr>
              <w:suppressAutoHyphens/>
              <w:rPr>
                <w:rFonts w:ascii="Times New Roman" w:hAnsi="Times New Roman"/>
                <w:sz w:val="24"/>
              </w:rPr>
            </w:pPr>
            <w:r>
              <w:rPr>
                <w:rFonts w:ascii="Times New Roman" w:hAnsi="Times New Roman"/>
                <w:b/>
                <w:sz w:val="24"/>
                <w:u w:val="single"/>
              </w:rPr>
              <w:t>Parte non garantita delle NPE</w:t>
            </w:r>
            <w:r>
              <w:rPr>
                <w:rFonts w:ascii="Times New Roman" w:hAnsi="Times New Roman"/>
                <w:sz w:val="24"/>
              </w:rPr>
              <w:t xml:space="preserve"> </w:t>
            </w:r>
          </w:p>
          <w:p w:rsidR="00DD00B4" w:rsidRPr="00661595" w:rsidRDefault="00623EAD" w:rsidP="00C41883">
            <w:pPr>
              <w:suppressAutoHyphens/>
              <w:rPr>
                <w:rFonts w:ascii="Times New Roman" w:hAnsi="Times New Roman"/>
                <w:sz w:val="24"/>
              </w:rPr>
            </w:pPr>
            <w:r>
              <w:rPr>
                <w:rFonts w:ascii="Times New Roman" w:hAnsi="Times New Roman"/>
                <w:sz w:val="24"/>
              </w:rPr>
              <w:t>Articolo 47 bis, paragrafo 2, e articolo 47 ter, paragrafo 1, del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0070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C41883">
            <w:pPr>
              <w:suppressAutoHyphens/>
              <w:rPr>
                <w:rFonts w:ascii="Times New Roman" w:hAnsi="Times New Roman"/>
                <w:b/>
                <w:sz w:val="24"/>
                <w:u w:val="single"/>
              </w:rPr>
            </w:pPr>
            <w:r>
              <w:rPr>
                <w:rFonts w:ascii="Times New Roman" w:hAnsi="Times New Roman"/>
                <w:b/>
                <w:sz w:val="24"/>
                <w:u w:val="single"/>
              </w:rPr>
              <w:t>Parte garantita delle NPE</w:t>
            </w:r>
          </w:p>
          <w:p w:rsidR="00DD00B4" w:rsidRPr="00661595" w:rsidRDefault="00623EAD" w:rsidP="00C41883">
            <w:pPr>
              <w:suppressAutoHyphens/>
              <w:rPr>
                <w:rFonts w:ascii="Times New Roman" w:hAnsi="Times New Roman"/>
                <w:b/>
                <w:sz w:val="24"/>
                <w:u w:val="single"/>
              </w:rPr>
            </w:pPr>
            <w:r>
              <w:rPr>
                <w:rFonts w:ascii="Times New Roman" w:hAnsi="Times New Roman"/>
                <w:sz w:val="24"/>
              </w:rPr>
              <w:t>Articolo 47 bis, paragrafo 2, e articolo 47 ter, paragrafo 1, del CRR</w:t>
            </w:r>
          </w:p>
        </w:tc>
      </w:tr>
      <w:tr w:rsidR="00DD00B4" w:rsidRPr="00661595" w:rsidTr="00DD00B4">
        <w:trPr>
          <w:trHeight w:val="699"/>
        </w:trPr>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C41883">
            <w:pPr>
              <w:suppressAutoHyphens/>
              <w:rPr>
                <w:rFonts w:ascii="Times New Roman" w:hAnsi="Times New Roman"/>
                <w:b/>
                <w:sz w:val="24"/>
                <w:u w:val="single"/>
              </w:rPr>
            </w:pPr>
            <w:r>
              <w:rPr>
                <w:rFonts w:ascii="Times New Roman" w:hAnsi="Times New Roman"/>
                <w:b/>
                <w:sz w:val="24"/>
                <w:u w:val="single"/>
              </w:rPr>
              <w:t>Totale accantonamenti e rettifiche o deduzioni (massimale)</w:t>
            </w:r>
          </w:p>
          <w:p w:rsidR="00DD00B4" w:rsidRPr="00661595" w:rsidRDefault="00DD00B4" w:rsidP="00C41883">
            <w:pPr>
              <w:suppressAutoHyphens/>
              <w:rPr>
                <w:rFonts w:ascii="Times New Roman" w:hAnsi="Times New Roman"/>
                <w:sz w:val="24"/>
              </w:rPr>
            </w:pPr>
            <w:r>
              <w:rPr>
                <w:rFonts w:ascii="Times New Roman" w:hAnsi="Times New Roman"/>
                <w:sz w:val="24"/>
              </w:rPr>
              <w:t>L</w:t>
            </w:r>
            <w:r w:rsidR="000878EC">
              <w:rPr>
                <w:rFonts w:ascii="Times New Roman" w:hAnsi="Times New Roman"/>
                <w:sz w:val="24"/>
              </w:rPr>
              <w:t>'</w:t>
            </w:r>
            <w:r>
              <w:rPr>
                <w:rFonts w:ascii="Times New Roman" w:hAnsi="Times New Roman"/>
                <w:sz w:val="24"/>
              </w:rPr>
              <w:t>ente segnala l</w:t>
            </w:r>
            <w:r w:rsidR="000878EC">
              <w:rPr>
                <w:rFonts w:ascii="Times New Roman" w:hAnsi="Times New Roman"/>
                <w:sz w:val="24"/>
              </w:rPr>
              <w:t>'</w:t>
            </w:r>
            <w:r>
              <w:rPr>
                <w:rFonts w:ascii="Times New Roman" w:hAnsi="Times New Roman"/>
                <w:sz w:val="24"/>
              </w:rPr>
              <w:t>importo soggetto a massimale della somma degli elementi elencati nelle righe da 0100 a 0150 conformemente all</w:t>
            </w:r>
            <w:r w:rsidR="000878EC">
              <w:rPr>
                <w:rFonts w:ascii="Times New Roman" w:hAnsi="Times New Roman"/>
                <w:sz w:val="24"/>
              </w:rPr>
              <w:t>'</w:t>
            </w:r>
            <w:r>
              <w:rPr>
                <w:rFonts w:ascii="Times New Roman" w:hAnsi="Times New Roman"/>
                <w:sz w:val="24"/>
              </w:rPr>
              <w:t>articolo 47 quater, paragrafo 1, lettera b), del CRR. Il limite massimo per gli accantonamenti e le rettifiche o deduzioni soggetti a massimale è l</w:t>
            </w:r>
            <w:r w:rsidR="000878EC">
              <w:rPr>
                <w:rFonts w:ascii="Times New Roman" w:hAnsi="Times New Roman"/>
                <w:sz w:val="24"/>
              </w:rPr>
              <w:t>'</w:t>
            </w:r>
            <w:r>
              <w:rPr>
                <w:rFonts w:ascii="Times New Roman" w:hAnsi="Times New Roman"/>
                <w:sz w:val="24"/>
              </w:rPr>
              <w:t>importo del requisito di copertura minima a livello di esposizione.</w:t>
            </w:r>
          </w:p>
          <w:p w:rsidR="00DD00B4" w:rsidRPr="00661595" w:rsidRDefault="00DD00B4" w:rsidP="00C41883">
            <w:pPr>
              <w:suppressAutoHyphens/>
              <w:rPr>
                <w:rFonts w:ascii="Times New Roman" w:hAnsi="Times New Roman"/>
                <w:sz w:val="24"/>
              </w:rPr>
            </w:pPr>
            <w:r>
              <w:rPr>
                <w:rFonts w:ascii="Times New Roman" w:hAnsi="Times New Roman"/>
                <w:sz w:val="24"/>
              </w:rPr>
              <w:t>L</w:t>
            </w:r>
            <w:r w:rsidR="000878EC">
              <w:rPr>
                <w:rFonts w:ascii="Times New Roman" w:hAnsi="Times New Roman"/>
                <w:sz w:val="24"/>
              </w:rPr>
              <w:t>'</w:t>
            </w:r>
            <w:r>
              <w:rPr>
                <w:rFonts w:ascii="Times New Roman" w:hAnsi="Times New Roman"/>
                <w:sz w:val="24"/>
              </w:rPr>
              <w:t>importo soggetto a massimale è calcolato separatamente per ciascuna esposizione come l</w:t>
            </w:r>
            <w:r w:rsidR="000878EC">
              <w:rPr>
                <w:rFonts w:ascii="Times New Roman" w:hAnsi="Times New Roman"/>
                <w:sz w:val="24"/>
              </w:rPr>
              <w:t>'</w:t>
            </w:r>
            <w:r>
              <w:rPr>
                <w:rFonts w:ascii="Times New Roman" w:hAnsi="Times New Roman"/>
                <w:sz w:val="24"/>
              </w:rPr>
              <w:t>importo inferiore tra il requisito di copertura minima per tale esposizione e il totale degli accantonamenti e rettifiche o deduzioni per la stessa esposizione.</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C41883">
            <w:pPr>
              <w:suppressAutoHyphens/>
              <w:jc w:val="left"/>
              <w:rPr>
                <w:rFonts w:ascii="Times New Roman" w:hAnsi="Times New Roman"/>
                <w:b/>
                <w:sz w:val="24"/>
                <w:u w:val="single"/>
              </w:rPr>
            </w:pPr>
            <w:r>
              <w:rPr>
                <w:rFonts w:ascii="Times New Roman" w:hAnsi="Times New Roman"/>
                <w:b/>
                <w:sz w:val="24"/>
                <w:u w:val="single"/>
              </w:rPr>
              <w:t>Totale accantonamenti e rettifiche o deduzioni (senza massimale)</w:t>
            </w:r>
          </w:p>
          <w:p w:rsidR="00DD00B4" w:rsidRPr="00C4623C" w:rsidRDefault="00DD00B4" w:rsidP="00C41883">
            <w:pPr>
              <w:suppressAutoHyphens/>
              <w:jc w:val="left"/>
              <w:rPr>
                <w:rFonts w:ascii="Times New Roman" w:hAnsi="Times New Roman"/>
                <w:sz w:val="24"/>
              </w:rPr>
            </w:pPr>
            <w:r>
              <w:rPr>
                <w:rFonts w:ascii="Times New Roman" w:hAnsi="Times New Roman"/>
                <w:sz w:val="24"/>
              </w:rPr>
              <w:t>L</w:t>
            </w:r>
            <w:r w:rsidR="000878EC">
              <w:rPr>
                <w:rFonts w:ascii="Times New Roman" w:hAnsi="Times New Roman"/>
                <w:sz w:val="24"/>
              </w:rPr>
              <w:t>'</w:t>
            </w:r>
            <w:r>
              <w:rPr>
                <w:rFonts w:ascii="Times New Roman" w:hAnsi="Times New Roman"/>
                <w:sz w:val="24"/>
              </w:rPr>
              <w:t>ente segnala la somma dell</w:t>
            </w:r>
            <w:r w:rsidR="000878EC">
              <w:rPr>
                <w:rFonts w:ascii="Times New Roman" w:hAnsi="Times New Roman"/>
                <w:sz w:val="24"/>
              </w:rPr>
              <w:t>'</w:t>
            </w:r>
            <w:r>
              <w:rPr>
                <w:rFonts w:ascii="Times New Roman" w:hAnsi="Times New Roman"/>
                <w:sz w:val="24"/>
              </w:rPr>
              <w:t>importo non soggetto a massimale degli elementi elencati nelle righe da 0100 a 0150 conformemente all</w:t>
            </w:r>
            <w:r w:rsidR="000878EC">
              <w:rPr>
                <w:rFonts w:ascii="Times New Roman" w:hAnsi="Times New Roman"/>
                <w:sz w:val="24"/>
              </w:rPr>
              <w:t>'</w:t>
            </w:r>
            <w:r>
              <w:rPr>
                <w:rFonts w:ascii="Times New Roman" w:hAnsi="Times New Roman"/>
                <w:sz w:val="24"/>
              </w:rPr>
              <w:t>articolo 47 quater, paragrafo 1, lettera b), del CRR. Gli accantonamenti e le rettifiche o deduzioni (senza massimale) non sono limitati all</w:t>
            </w:r>
            <w:r w:rsidR="000878EC">
              <w:rPr>
                <w:rFonts w:ascii="Times New Roman" w:hAnsi="Times New Roman"/>
                <w:sz w:val="24"/>
              </w:rPr>
              <w:t>'</w:t>
            </w:r>
            <w:r>
              <w:rPr>
                <w:rFonts w:ascii="Times New Roman" w:hAnsi="Times New Roman"/>
                <w:sz w:val="24"/>
              </w:rPr>
              <w:t>importo del requisito di copertura minima a livello di esposizione.</w:t>
            </w:r>
            <w:r w:rsidR="000878EC">
              <w:rPr>
                <w:rFonts w:ascii="Times New Roman" w:hAnsi="Times New Roman"/>
                <w:sz w:val="24"/>
              </w:rPr>
              <w:t xml:space="preserve">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C41883">
            <w:pPr>
              <w:suppressAutoHyphens/>
              <w:jc w:val="left"/>
              <w:rPr>
                <w:rFonts w:ascii="Times New Roman" w:hAnsi="Times New Roman"/>
                <w:b/>
                <w:sz w:val="24"/>
                <w:u w:val="single"/>
              </w:rPr>
            </w:pPr>
            <w:r>
              <w:rPr>
                <w:rFonts w:ascii="Times New Roman" w:hAnsi="Times New Roman"/>
                <w:b/>
                <w:sz w:val="24"/>
                <w:u w:val="single"/>
              </w:rPr>
              <w:t>Rettifiche di valore su crediti specifiche</w:t>
            </w:r>
          </w:p>
          <w:p w:rsidR="00DD00B4" w:rsidRPr="00661595" w:rsidRDefault="00DD00B4" w:rsidP="00C41883">
            <w:pPr>
              <w:suppressAutoHyphens/>
              <w:jc w:val="left"/>
              <w:rPr>
                <w:rFonts w:ascii="Times New Roman" w:hAnsi="Times New Roman"/>
                <w:sz w:val="24"/>
              </w:rPr>
            </w:pPr>
            <w:r>
              <w:rPr>
                <w:rFonts w:ascii="Times New Roman" w:hAnsi="Times New Roman"/>
                <w:sz w:val="24"/>
              </w:rPr>
              <w:t>Articolo 47 quater, paragrafo 1, lettera b), punto i), del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C41883">
            <w:pPr>
              <w:suppressAutoHyphens/>
              <w:jc w:val="left"/>
              <w:rPr>
                <w:rFonts w:ascii="Times New Roman" w:hAnsi="Times New Roman"/>
                <w:b/>
                <w:sz w:val="24"/>
                <w:u w:val="single"/>
              </w:rPr>
            </w:pPr>
            <w:r>
              <w:rPr>
                <w:rFonts w:ascii="Times New Roman" w:hAnsi="Times New Roman"/>
                <w:b/>
                <w:sz w:val="24"/>
                <w:u w:val="single"/>
              </w:rPr>
              <w:t>Rettifiche di valore supplementari</w:t>
            </w:r>
          </w:p>
          <w:p w:rsidR="00DD00B4" w:rsidRPr="00661595" w:rsidRDefault="00DD00B4" w:rsidP="00C41883">
            <w:pPr>
              <w:suppressAutoHyphens/>
              <w:jc w:val="left"/>
              <w:rPr>
                <w:rFonts w:ascii="Times New Roman" w:hAnsi="Times New Roman"/>
                <w:b/>
                <w:sz w:val="24"/>
                <w:u w:val="single"/>
              </w:rPr>
            </w:pPr>
            <w:r>
              <w:rPr>
                <w:rFonts w:ascii="Times New Roman" w:hAnsi="Times New Roman"/>
                <w:sz w:val="24"/>
              </w:rPr>
              <w:t>Articolo 47 quater, paragrafo 1, lettera b), punto ii), del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C41883">
            <w:pPr>
              <w:suppressAutoHyphens/>
              <w:jc w:val="left"/>
              <w:rPr>
                <w:rFonts w:ascii="Times New Roman" w:hAnsi="Times New Roman"/>
                <w:b/>
                <w:sz w:val="24"/>
                <w:u w:val="single"/>
              </w:rPr>
            </w:pPr>
            <w:r>
              <w:rPr>
                <w:rFonts w:ascii="Times New Roman" w:hAnsi="Times New Roman"/>
                <w:b/>
                <w:sz w:val="24"/>
                <w:u w:val="single"/>
              </w:rPr>
              <w:t>Altre riduzioni dei fondi propri</w:t>
            </w:r>
          </w:p>
          <w:p w:rsidR="00DD00B4" w:rsidRPr="00661595" w:rsidRDefault="00DD00B4" w:rsidP="00C41883">
            <w:pPr>
              <w:suppressAutoHyphens/>
              <w:jc w:val="left"/>
              <w:rPr>
                <w:rFonts w:ascii="Times New Roman" w:hAnsi="Times New Roman"/>
                <w:b/>
                <w:sz w:val="24"/>
                <w:u w:val="single"/>
              </w:rPr>
            </w:pPr>
            <w:r>
              <w:rPr>
                <w:rFonts w:ascii="Times New Roman" w:hAnsi="Times New Roman"/>
                <w:sz w:val="24"/>
              </w:rPr>
              <w:t>Articolo 47 quater, paragrafo 1, lettera b), punto iii), del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C41883">
            <w:pPr>
              <w:suppressAutoHyphens/>
              <w:jc w:val="left"/>
              <w:rPr>
                <w:rFonts w:ascii="Times New Roman" w:hAnsi="Times New Roman"/>
                <w:b/>
                <w:sz w:val="24"/>
                <w:u w:val="single"/>
              </w:rPr>
            </w:pPr>
            <w:r>
              <w:rPr>
                <w:rFonts w:ascii="Times New Roman" w:hAnsi="Times New Roman"/>
                <w:b/>
                <w:sz w:val="24"/>
                <w:u w:val="single"/>
              </w:rPr>
              <w:t>Deduzioni in base al metodo IRB</w:t>
            </w:r>
          </w:p>
          <w:p w:rsidR="00DD00B4" w:rsidRPr="00661595" w:rsidRDefault="00DD00B4" w:rsidP="00C41883">
            <w:pPr>
              <w:suppressAutoHyphens/>
              <w:jc w:val="left"/>
              <w:rPr>
                <w:rFonts w:ascii="Times New Roman" w:hAnsi="Times New Roman"/>
                <w:b/>
                <w:sz w:val="24"/>
                <w:u w:val="single"/>
              </w:rPr>
            </w:pPr>
            <w:r>
              <w:rPr>
                <w:rFonts w:ascii="Times New Roman" w:hAnsi="Times New Roman"/>
                <w:sz w:val="24"/>
              </w:rPr>
              <w:t>Articolo 47 quater, paragrafo 1, lettera b), punto iv), del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C41883">
            <w:pPr>
              <w:suppressAutoHyphens/>
              <w:jc w:val="left"/>
              <w:rPr>
                <w:rFonts w:ascii="Times New Roman" w:hAnsi="Times New Roman"/>
                <w:b/>
                <w:sz w:val="24"/>
                <w:u w:val="single"/>
              </w:rPr>
            </w:pPr>
            <w:r>
              <w:rPr>
                <w:rFonts w:ascii="Times New Roman" w:hAnsi="Times New Roman"/>
                <w:b/>
                <w:sz w:val="24"/>
                <w:u w:val="single"/>
              </w:rPr>
              <w:t>Differenza tra il prezzo di acquisto e l</w:t>
            </w:r>
            <w:r w:rsidR="000878EC">
              <w:rPr>
                <w:rFonts w:ascii="Times New Roman" w:hAnsi="Times New Roman"/>
                <w:b/>
                <w:sz w:val="24"/>
                <w:u w:val="single"/>
              </w:rPr>
              <w:t>'</w:t>
            </w:r>
            <w:r>
              <w:rPr>
                <w:rFonts w:ascii="Times New Roman" w:hAnsi="Times New Roman"/>
                <w:b/>
                <w:sz w:val="24"/>
                <w:u w:val="single"/>
              </w:rPr>
              <w:t>importo dovuto dal debitore</w:t>
            </w:r>
          </w:p>
          <w:p w:rsidR="00DD00B4" w:rsidRPr="00661595" w:rsidRDefault="00DD00B4" w:rsidP="00C41883">
            <w:pPr>
              <w:suppressAutoHyphens/>
              <w:jc w:val="left"/>
              <w:rPr>
                <w:rFonts w:ascii="Times New Roman" w:hAnsi="Times New Roman"/>
                <w:b/>
                <w:sz w:val="24"/>
                <w:u w:val="single"/>
              </w:rPr>
            </w:pPr>
            <w:r>
              <w:rPr>
                <w:rFonts w:ascii="Times New Roman" w:hAnsi="Times New Roman"/>
                <w:sz w:val="24"/>
              </w:rPr>
              <w:t>Articolo 47 quater, paragrafo 1, lettera b), punto v), del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C41883">
            <w:pPr>
              <w:suppressAutoHyphens/>
              <w:jc w:val="left"/>
              <w:rPr>
                <w:rFonts w:ascii="Times New Roman" w:hAnsi="Times New Roman"/>
                <w:b/>
                <w:sz w:val="24"/>
                <w:u w:val="single"/>
              </w:rPr>
            </w:pPr>
            <w:r>
              <w:rPr>
                <w:rFonts w:ascii="Times New Roman" w:hAnsi="Times New Roman"/>
                <w:b/>
                <w:sz w:val="24"/>
                <w:u w:val="single"/>
              </w:rPr>
              <w:t>Importi cancellati dall</w:t>
            </w:r>
            <w:r w:rsidR="000878EC">
              <w:rPr>
                <w:rFonts w:ascii="Times New Roman" w:hAnsi="Times New Roman"/>
                <w:b/>
                <w:sz w:val="24"/>
                <w:u w:val="single"/>
              </w:rPr>
              <w:t>'</w:t>
            </w:r>
            <w:r>
              <w:rPr>
                <w:rFonts w:ascii="Times New Roman" w:hAnsi="Times New Roman"/>
                <w:b/>
                <w:sz w:val="24"/>
                <w:u w:val="single"/>
              </w:rPr>
              <w:t>ente da quando l</w:t>
            </w:r>
            <w:r w:rsidR="000878EC">
              <w:rPr>
                <w:rFonts w:ascii="Times New Roman" w:hAnsi="Times New Roman"/>
                <w:b/>
                <w:sz w:val="24"/>
                <w:u w:val="single"/>
              </w:rPr>
              <w:t>'</w:t>
            </w:r>
            <w:r>
              <w:rPr>
                <w:rFonts w:ascii="Times New Roman" w:hAnsi="Times New Roman"/>
                <w:b/>
                <w:sz w:val="24"/>
                <w:u w:val="single"/>
              </w:rPr>
              <w:t>esposizione è stata classificata come deteriorata.</w:t>
            </w:r>
          </w:p>
          <w:p w:rsidR="00DD00B4" w:rsidRPr="00661595" w:rsidRDefault="00DD00B4" w:rsidP="00C41883">
            <w:pPr>
              <w:suppressAutoHyphens/>
              <w:jc w:val="left"/>
              <w:rPr>
                <w:rFonts w:ascii="Times New Roman" w:hAnsi="Times New Roman"/>
                <w:b/>
                <w:sz w:val="24"/>
                <w:u w:val="single"/>
              </w:rPr>
            </w:pPr>
            <w:r>
              <w:rPr>
                <w:rFonts w:ascii="Times New Roman" w:hAnsi="Times New Roman"/>
                <w:sz w:val="24"/>
              </w:rPr>
              <w:t>Articolo 47 quater, paragrafo 1, lettera b), punto vi), del CRR</w:t>
            </w:r>
          </w:p>
        </w:tc>
      </w:tr>
    </w:tbl>
    <w:p w:rsidR="00DD00B4" w:rsidRPr="00661595" w:rsidRDefault="00DD00B4" w:rsidP="00A87A97">
      <w:pPr>
        <w:pStyle w:val="Instructionsberschrift2"/>
        <w:keepLines/>
        <w:numPr>
          <w:ilvl w:val="1"/>
          <w:numId w:val="38"/>
        </w:numPr>
        <w:rPr>
          <w:rFonts w:ascii="Times New Roman" w:hAnsi="Times New Roman" w:cs="Times New Roman"/>
          <w:sz w:val="24"/>
        </w:rPr>
      </w:pPr>
      <w:bookmarkStart w:id="780" w:name="_Toc19715890"/>
      <w:bookmarkStart w:id="781" w:name="_Toc58915883"/>
      <w:r>
        <w:rPr>
          <w:rFonts w:ascii="Times New Roman" w:hAnsi="Times New Roman"/>
          <w:sz w:val="24"/>
        </w:rPr>
        <w:t>C 35.02 — REQUISITI DI COPERTURA MINIMA E VALORI DELL</w:t>
      </w:r>
      <w:r w:rsidR="000878EC">
        <w:rPr>
          <w:rFonts w:ascii="Times New Roman" w:hAnsi="Times New Roman"/>
          <w:sz w:val="24"/>
        </w:rPr>
        <w:t>'</w:t>
      </w:r>
      <w:r>
        <w:rPr>
          <w:rFonts w:ascii="Times New Roman" w:hAnsi="Times New Roman"/>
          <w:sz w:val="24"/>
        </w:rPr>
        <w:t>ESPOSIZIONE DELLE ESPOSIZIONI DETERIORATE ESCLUSE QUELLE OGGETTO DI MISURE DI CONCESSIONE SOGGETTE ALL</w:t>
      </w:r>
      <w:r w:rsidR="000878EC">
        <w:rPr>
          <w:rFonts w:ascii="Times New Roman" w:hAnsi="Times New Roman"/>
          <w:sz w:val="24"/>
        </w:rPr>
        <w:t>'</w:t>
      </w:r>
      <w:r>
        <w:rPr>
          <w:rFonts w:ascii="Times New Roman" w:hAnsi="Times New Roman"/>
          <w:sz w:val="24"/>
        </w:rPr>
        <w:t>ARTICOLO 47 QUATER, PARAGRAFO 6, DEL CRR (NPE LC2)</w:t>
      </w:r>
      <w:bookmarkStart w:id="782" w:name="_Toc19715891"/>
      <w:bookmarkEnd w:id="780"/>
      <w:bookmarkEnd w:id="782"/>
      <w:bookmarkEnd w:id="781"/>
    </w:p>
    <w:p w:rsidR="00DD00B4" w:rsidRPr="00661595" w:rsidRDefault="00DD00B4" w:rsidP="002D571F">
      <w:pPr>
        <w:pStyle w:val="Instructionsberschrift2"/>
        <w:keepLines/>
        <w:numPr>
          <w:ilvl w:val="2"/>
          <w:numId w:val="38"/>
        </w:numPr>
        <w:rPr>
          <w:rFonts w:ascii="Times New Roman" w:hAnsi="Times New Roman" w:cs="Times New Roman"/>
          <w:sz w:val="24"/>
        </w:rPr>
      </w:pPr>
      <w:bookmarkStart w:id="783" w:name="_Toc19715892"/>
      <w:bookmarkStart w:id="784" w:name="_Toc58915884"/>
      <w:r>
        <w:rPr>
          <w:rFonts w:ascii="Times New Roman" w:hAnsi="Times New Roman"/>
          <w:sz w:val="24"/>
        </w:rPr>
        <w:t>Istruzioni relative a posizioni specifiche</w:t>
      </w:r>
      <w:bookmarkEnd w:id="783"/>
      <w:bookmarkEnd w:id="784"/>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2D571F">
            <w:pPr>
              <w:keepNext/>
              <w:keepLines/>
              <w:rPr>
                <w:rFonts w:ascii="Times New Roman" w:hAnsi="Times New Roman"/>
                <w:sz w:val="24"/>
              </w:rPr>
            </w:pPr>
            <w:r>
              <w:rPr>
                <w:rFonts w:ascii="Times New Roman" w:hAnsi="Times New Roman"/>
                <w:sz w:val="24"/>
              </w:rPr>
              <w:t>Colonne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2D571F">
            <w:pPr>
              <w:keepNext/>
              <w:keepLines/>
              <w:suppressAutoHyphens/>
              <w:rPr>
                <w:rFonts w:ascii="Times New Roman" w:hAnsi="Times New Roman"/>
                <w:sz w:val="24"/>
              </w:rPr>
            </w:pPr>
            <w:r>
              <w:rPr>
                <w:rFonts w:ascii="Times New Roman" w:hAnsi="Times New Roman"/>
                <w:sz w:val="24"/>
              </w:rPr>
              <w:t>Istruzioni</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2D571F">
            <w:pPr>
              <w:keepNext/>
              <w:keepLines/>
              <w:rPr>
                <w:rFonts w:ascii="Times New Roman" w:hAnsi="Times New Roman"/>
                <w:sz w:val="24"/>
              </w:rPr>
            </w:pPr>
            <w:r>
              <w:rPr>
                <w:rFonts w:ascii="Times New Roman" w:hAnsi="Times New Roman"/>
                <w:sz w:val="24"/>
              </w:rPr>
              <w:lastRenderedPageBreak/>
              <w:t>0010-0100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2D571F">
            <w:pPr>
              <w:keepNext/>
              <w:keepLines/>
              <w:suppressAutoHyphens/>
              <w:rPr>
                <w:rFonts w:ascii="Times New Roman" w:hAnsi="Times New Roman"/>
                <w:b/>
                <w:sz w:val="24"/>
                <w:u w:val="single"/>
              </w:rPr>
            </w:pPr>
            <w:r>
              <w:rPr>
                <w:rFonts w:ascii="Times New Roman" w:hAnsi="Times New Roman"/>
                <w:b/>
                <w:sz w:val="24"/>
                <w:u w:val="single"/>
              </w:rPr>
              <w:t>Tempo trascorso dalla classificazione delle esposizioni come deteriorate</w:t>
            </w:r>
          </w:p>
          <w:p w:rsidR="00DD00B4" w:rsidRPr="00661595" w:rsidRDefault="00DD00B4" w:rsidP="002D571F">
            <w:pPr>
              <w:keepNext/>
              <w:keepLines/>
              <w:suppressAutoHyphens/>
              <w:rPr>
                <w:rFonts w:ascii="Times New Roman" w:hAnsi="Times New Roman"/>
                <w:sz w:val="24"/>
              </w:rPr>
            </w:pPr>
            <w:r>
              <w:rPr>
                <w:rFonts w:ascii="Times New Roman" w:hAnsi="Times New Roman"/>
                <w:sz w:val="24"/>
              </w:rPr>
              <w:t xml:space="preserve">Per </w:t>
            </w:r>
            <w:r w:rsidR="000878EC">
              <w:rPr>
                <w:rFonts w:ascii="Times New Roman" w:hAnsi="Times New Roman"/>
                <w:sz w:val="24"/>
              </w:rPr>
              <w:t>"</w:t>
            </w:r>
            <w:r>
              <w:rPr>
                <w:rFonts w:ascii="Times New Roman" w:hAnsi="Times New Roman"/>
                <w:sz w:val="24"/>
              </w:rPr>
              <w:t>tempo trascorso dal momento in cui le esposizioni sono classificate come deteriorate</w:t>
            </w:r>
            <w:r w:rsidR="000878EC">
              <w:rPr>
                <w:rFonts w:ascii="Times New Roman" w:hAnsi="Times New Roman"/>
                <w:sz w:val="24"/>
              </w:rPr>
              <w:t>"</w:t>
            </w:r>
            <w:r>
              <w:rPr>
                <w:rFonts w:ascii="Times New Roman" w:hAnsi="Times New Roman"/>
                <w:sz w:val="24"/>
              </w:rPr>
              <w:t xml:space="preserve"> si intende il tempo trascorso in anni da quando l</w:t>
            </w:r>
            <w:r w:rsidR="000878EC">
              <w:rPr>
                <w:rFonts w:ascii="Times New Roman" w:hAnsi="Times New Roman"/>
                <w:sz w:val="24"/>
              </w:rPr>
              <w:t>'</w:t>
            </w:r>
            <w:r>
              <w:rPr>
                <w:rFonts w:ascii="Times New Roman" w:hAnsi="Times New Roman"/>
                <w:sz w:val="24"/>
              </w:rPr>
              <w:t>esposizione è stata classificata come deteriorata. Gli enti segnalano i dati sulle esposizioni la cui data di riferimento rientra nell</w:t>
            </w:r>
            <w:r w:rsidR="000878EC">
              <w:rPr>
                <w:rFonts w:ascii="Times New Roman" w:hAnsi="Times New Roman"/>
                <w:sz w:val="24"/>
              </w:rPr>
              <w:t>'</w:t>
            </w:r>
            <w:r>
              <w:rPr>
                <w:rFonts w:ascii="Times New Roman" w:hAnsi="Times New Roman"/>
                <w:sz w:val="24"/>
              </w:rPr>
              <w:t>intervallo di tempo corrispondente indicando il periodo in anni successivo alla classificazione delle esposizioni come deteriorate, a prescindere dall</w:t>
            </w:r>
            <w:r w:rsidR="000878EC">
              <w:rPr>
                <w:rFonts w:ascii="Times New Roman" w:hAnsi="Times New Roman"/>
                <w:sz w:val="24"/>
              </w:rPr>
              <w:t>'</w:t>
            </w:r>
            <w:r>
              <w:rPr>
                <w:rFonts w:ascii="Times New Roman" w:hAnsi="Times New Roman"/>
                <w:sz w:val="24"/>
              </w:rPr>
              <w:t>applicazione di misure di concessione.</w:t>
            </w:r>
          </w:p>
          <w:p w:rsidR="00DD00B4" w:rsidRPr="00661595" w:rsidRDefault="00DD00B4" w:rsidP="002D571F">
            <w:pPr>
              <w:keepNext/>
              <w:keepLines/>
              <w:suppressAutoHyphens/>
              <w:rPr>
                <w:rFonts w:ascii="Times New Roman" w:hAnsi="Times New Roman"/>
                <w:sz w:val="24"/>
              </w:rPr>
            </w:pPr>
            <w:r>
              <w:rPr>
                <w:rFonts w:ascii="Times New Roman" w:hAnsi="Times New Roman"/>
                <w:sz w:val="24"/>
              </w:rPr>
              <w:t>Per l</w:t>
            </w:r>
            <w:r w:rsidR="000878EC">
              <w:rPr>
                <w:rFonts w:ascii="Times New Roman" w:hAnsi="Times New Roman"/>
                <w:sz w:val="24"/>
              </w:rPr>
              <w:t>'</w:t>
            </w:r>
            <w:r>
              <w:rPr>
                <w:rFonts w:ascii="Times New Roman" w:hAnsi="Times New Roman"/>
                <w:sz w:val="24"/>
              </w:rPr>
              <w:t xml:space="preserve">intervallo di tempo </w:t>
            </w:r>
            <w:r w:rsidR="000878EC">
              <w:rPr>
                <w:rFonts w:ascii="Times New Roman" w:hAnsi="Times New Roman"/>
                <w:sz w:val="24"/>
              </w:rPr>
              <w:t>"</w:t>
            </w:r>
            <w:r>
              <w:rPr>
                <w:rFonts w:ascii="Times New Roman" w:hAnsi="Times New Roman"/>
                <w:sz w:val="24"/>
              </w:rPr>
              <w:t>&gt; X anno/i, &lt;= Y anno/i</w:t>
            </w:r>
            <w:r w:rsidR="000878EC">
              <w:rPr>
                <w:rFonts w:ascii="Times New Roman" w:hAnsi="Times New Roman"/>
                <w:sz w:val="24"/>
              </w:rPr>
              <w:t>"</w:t>
            </w:r>
            <w:r>
              <w:rPr>
                <w:rFonts w:ascii="Times New Roman" w:hAnsi="Times New Roman"/>
                <w:sz w:val="24"/>
              </w:rPr>
              <w:t>, gli enti segnalano i dati sulle esposizioni la cui data di riferimento corrisponde al periodo compreso tra il primo e l</w:t>
            </w:r>
            <w:r w:rsidR="000878EC">
              <w:rPr>
                <w:rFonts w:ascii="Times New Roman" w:hAnsi="Times New Roman"/>
                <w:sz w:val="24"/>
              </w:rPr>
              <w:t>'</w:t>
            </w:r>
            <w:r>
              <w:rPr>
                <w:rFonts w:ascii="Times New Roman" w:hAnsi="Times New Roman"/>
                <w:sz w:val="24"/>
              </w:rPr>
              <w:t>ultimo giorno del Y° anno successivo alla classificazione di tali esposizioni come deteriorate.</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2D571F">
            <w:pPr>
              <w:suppressAutoHyphens/>
              <w:rPr>
                <w:rFonts w:ascii="Times New Roman" w:hAnsi="Times New Roman"/>
                <w:b/>
                <w:sz w:val="24"/>
                <w:u w:val="single"/>
              </w:rPr>
            </w:pPr>
            <w:r>
              <w:rPr>
                <w:rFonts w:ascii="Times New Roman" w:hAnsi="Times New Roman"/>
                <w:b/>
                <w:sz w:val="24"/>
                <w:u w:val="single"/>
              </w:rPr>
              <w:t>TOTALE</w:t>
            </w:r>
          </w:p>
          <w:p w:rsidR="00DD00B4" w:rsidRPr="00661595" w:rsidRDefault="00DD00B4" w:rsidP="002D571F">
            <w:pPr>
              <w:suppressAutoHyphens/>
              <w:rPr>
                <w:rFonts w:ascii="Times New Roman" w:hAnsi="Times New Roman"/>
                <w:sz w:val="24"/>
                <w:u w:val="single"/>
              </w:rPr>
            </w:pPr>
            <w:r>
              <w:rPr>
                <w:rFonts w:ascii="Times New Roman" w:hAnsi="Times New Roman"/>
                <w:sz w:val="24"/>
              </w:rPr>
              <w:t>Gli enti segnalano la somma di tutte le colonne da 0010 a 0100.</w:t>
            </w:r>
          </w:p>
        </w:tc>
      </w:tr>
    </w:tbl>
    <w:p w:rsidR="00DD00B4" w:rsidRPr="00661595" w:rsidRDefault="00DD00B4" w:rsidP="00DD00B4">
      <w:pPr>
        <w:jc w:val="left"/>
        <w:rPr>
          <w:rFonts w:ascii="Times New Roman" w:hAnsi="Times New Roman"/>
          <w:sz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Righe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2D571F">
            <w:pPr>
              <w:suppressAutoHyphens/>
              <w:rPr>
                <w:rFonts w:ascii="Times New Roman" w:hAnsi="Times New Roman"/>
                <w:sz w:val="24"/>
              </w:rPr>
            </w:pPr>
            <w:r>
              <w:rPr>
                <w:rFonts w:ascii="Times New Roman" w:hAnsi="Times New Roman"/>
                <w:sz w:val="24"/>
              </w:rPr>
              <w:t>Istruzioni</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2D571F">
            <w:pPr>
              <w:suppressAutoHyphens/>
              <w:rPr>
                <w:rFonts w:ascii="Times New Roman" w:hAnsi="Times New Roman"/>
                <w:b/>
                <w:sz w:val="24"/>
                <w:u w:val="single"/>
              </w:rPr>
            </w:pPr>
            <w:r>
              <w:rPr>
                <w:rFonts w:ascii="Times New Roman" w:hAnsi="Times New Roman"/>
                <w:b/>
                <w:sz w:val="24"/>
                <w:u w:val="single"/>
              </w:rPr>
              <w:t>Requisito di copertura minima totale</w:t>
            </w:r>
          </w:p>
          <w:p w:rsidR="00DD00B4" w:rsidRPr="00661595" w:rsidRDefault="00DD00B4" w:rsidP="002D571F">
            <w:pPr>
              <w:suppressAutoHyphens/>
              <w:rPr>
                <w:rFonts w:ascii="Times New Roman" w:hAnsi="Times New Roman"/>
                <w:sz w:val="24"/>
              </w:rPr>
            </w:pPr>
            <w:r>
              <w:rPr>
                <w:rFonts w:ascii="Times New Roman" w:hAnsi="Times New Roman"/>
                <w:sz w:val="24"/>
              </w:rPr>
              <w:t>Articolo 47 quater, paragrafo 1, lettera a), del CRR</w:t>
            </w:r>
          </w:p>
          <w:p w:rsidR="00DD00B4" w:rsidRPr="00661595" w:rsidRDefault="00DD00B4" w:rsidP="002D571F">
            <w:pPr>
              <w:suppressAutoHyphens/>
              <w:rPr>
                <w:rFonts w:ascii="Times New Roman" w:hAnsi="Times New Roman"/>
                <w:sz w:val="24"/>
              </w:rPr>
            </w:pPr>
            <w:r>
              <w:rPr>
                <w:rFonts w:ascii="Times New Roman" w:hAnsi="Times New Roman"/>
                <w:sz w:val="24"/>
              </w:rPr>
              <w:t>Ai fini del calcolo del requisito di copertura minima totale per le esposizioni deteriorate, escluse quelle oggetto di misure di concessione soggette all</w:t>
            </w:r>
            <w:r w:rsidR="000878EC">
              <w:rPr>
                <w:rFonts w:ascii="Times New Roman" w:hAnsi="Times New Roman"/>
                <w:sz w:val="24"/>
              </w:rPr>
              <w:t>'</w:t>
            </w:r>
            <w:r>
              <w:rPr>
                <w:rFonts w:ascii="Times New Roman" w:hAnsi="Times New Roman"/>
                <w:sz w:val="24"/>
              </w:rPr>
              <w:t>articolo 47 quater, paragrafo 6, del CRR, gli enti sommano il requisito di copertura minima per la parte non garantita delle NPE (riga 0020) e il requisito di copertura minima per la parte garantita delle NPE (righe 0030-0050).</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2D571F">
            <w:pPr>
              <w:suppressAutoHyphens/>
              <w:rPr>
                <w:rFonts w:ascii="Times New Roman" w:hAnsi="Times New Roman"/>
                <w:b/>
                <w:sz w:val="24"/>
                <w:u w:val="single"/>
              </w:rPr>
            </w:pPr>
            <w:r>
              <w:rPr>
                <w:rFonts w:ascii="Times New Roman" w:hAnsi="Times New Roman"/>
                <w:b/>
                <w:sz w:val="24"/>
                <w:u w:val="single"/>
              </w:rPr>
              <w:t>Parte non garantita delle NPE</w:t>
            </w:r>
          </w:p>
          <w:p w:rsidR="00DD00B4" w:rsidRPr="00661595" w:rsidRDefault="00DD00B4" w:rsidP="002D571F">
            <w:pPr>
              <w:suppressAutoHyphens/>
              <w:rPr>
                <w:rFonts w:ascii="Times New Roman" w:hAnsi="Times New Roman"/>
                <w:sz w:val="24"/>
              </w:rPr>
            </w:pPr>
            <w:r>
              <w:rPr>
                <w:rFonts w:ascii="Times New Roman" w:hAnsi="Times New Roman"/>
                <w:sz w:val="24"/>
              </w:rPr>
              <w:t>Articolo 47 quater, paragrafo 1, lettera a), punto i), articolo 47 quater, paragrafo 2, del CRR</w:t>
            </w:r>
          </w:p>
          <w:p w:rsidR="00DD00B4" w:rsidRPr="00661595" w:rsidRDefault="00DD00B4" w:rsidP="002D571F">
            <w:pPr>
              <w:suppressAutoHyphens/>
              <w:rPr>
                <w:rFonts w:ascii="Times New Roman" w:hAnsi="Times New Roman"/>
                <w:sz w:val="24"/>
              </w:rPr>
            </w:pPr>
            <w:r>
              <w:rPr>
                <w:rFonts w:ascii="Times New Roman" w:hAnsi="Times New Roman"/>
                <w:sz w:val="24"/>
              </w:rPr>
              <w:t>Il requisito di copertura minima è calcolato moltiplicando i valori aggregati dell</w:t>
            </w:r>
            <w:r w:rsidR="000878EC">
              <w:rPr>
                <w:rFonts w:ascii="Times New Roman" w:hAnsi="Times New Roman"/>
                <w:sz w:val="24"/>
              </w:rPr>
              <w:t>'</w:t>
            </w:r>
            <w:r>
              <w:rPr>
                <w:rFonts w:ascii="Times New Roman" w:hAnsi="Times New Roman"/>
                <w:sz w:val="24"/>
              </w:rPr>
              <w:t>esposizione di cui alla riga 0070 per il corrispondente fattore per colonna.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2D571F">
            <w:pPr>
              <w:suppressAutoHyphens/>
              <w:rPr>
                <w:rFonts w:ascii="Times New Roman" w:hAnsi="Times New Roman"/>
                <w:b/>
                <w:sz w:val="24"/>
                <w:u w:val="single"/>
              </w:rPr>
            </w:pPr>
            <w:r>
              <w:rPr>
                <w:rFonts w:ascii="Times New Roman" w:hAnsi="Times New Roman"/>
                <w:b/>
                <w:sz w:val="24"/>
                <w:u w:val="single"/>
              </w:rPr>
              <w:t>Parte delle NPE garantita da beni immobili o prestiti su immobili residenziali garantiti da un fornitore di protezione ammissibile</w:t>
            </w:r>
            <w:r w:rsidR="000878EC">
              <w:rPr>
                <w:rFonts w:ascii="Times New Roman" w:hAnsi="Times New Roman"/>
                <w:b/>
                <w:sz w:val="24"/>
                <w:u w:val="single"/>
              </w:rPr>
              <w:t xml:space="preserve"> </w:t>
            </w:r>
          </w:p>
          <w:p w:rsidR="00DD00B4" w:rsidRPr="00661595" w:rsidRDefault="00DD00B4" w:rsidP="002D571F">
            <w:pPr>
              <w:suppressAutoHyphens/>
              <w:rPr>
                <w:rFonts w:ascii="Times New Roman" w:hAnsi="Times New Roman"/>
                <w:sz w:val="24"/>
              </w:rPr>
            </w:pPr>
            <w:r>
              <w:rPr>
                <w:rFonts w:ascii="Times New Roman" w:hAnsi="Times New Roman"/>
                <w:sz w:val="24"/>
              </w:rPr>
              <w:t>Articolo 47 quater, paragrafo 1, lettera a), punto ii), articolo 47 quater, paragrafo 3, lettere a), b), c), d), f), h) e i), del CRR.</w:t>
            </w:r>
          </w:p>
          <w:p w:rsidR="00DD00B4" w:rsidRPr="00661595" w:rsidRDefault="00DD00B4" w:rsidP="002D571F">
            <w:pPr>
              <w:suppressAutoHyphens/>
              <w:rPr>
                <w:rFonts w:ascii="Times New Roman" w:hAnsi="Times New Roman"/>
                <w:b/>
                <w:sz w:val="24"/>
                <w:u w:val="single"/>
              </w:rPr>
            </w:pPr>
            <w:r>
              <w:rPr>
                <w:rFonts w:ascii="Times New Roman" w:hAnsi="Times New Roman"/>
                <w:sz w:val="24"/>
              </w:rPr>
              <w:t>Il requisito di copertura minima è calcolato moltiplicando i valori aggregati dell</w:t>
            </w:r>
            <w:r w:rsidR="000878EC">
              <w:rPr>
                <w:rFonts w:ascii="Times New Roman" w:hAnsi="Times New Roman"/>
                <w:sz w:val="24"/>
              </w:rPr>
              <w:t>'</w:t>
            </w:r>
            <w:r>
              <w:rPr>
                <w:rFonts w:ascii="Times New Roman" w:hAnsi="Times New Roman"/>
                <w:sz w:val="24"/>
              </w:rPr>
              <w:t>esposizione di cui alla riga 0080 per il corrispondente fattore per colonna.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2D571F">
            <w:pPr>
              <w:suppressAutoHyphens/>
              <w:jc w:val="left"/>
              <w:rPr>
                <w:rFonts w:ascii="Times New Roman" w:hAnsi="Times New Roman"/>
                <w:b/>
                <w:sz w:val="24"/>
                <w:u w:val="single"/>
              </w:rPr>
            </w:pPr>
            <w:r>
              <w:rPr>
                <w:rFonts w:ascii="Times New Roman" w:hAnsi="Times New Roman"/>
                <w:b/>
                <w:sz w:val="24"/>
                <w:u w:val="single"/>
              </w:rPr>
              <w:t>Parte delle NPE garantita da altra protezione del credito di tipo reale o di tipo personale</w:t>
            </w:r>
          </w:p>
          <w:p w:rsidR="00DD00B4" w:rsidRPr="00661595" w:rsidRDefault="00DD00B4" w:rsidP="002D571F">
            <w:pPr>
              <w:suppressAutoHyphens/>
              <w:rPr>
                <w:rFonts w:ascii="Times New Roman" w:hAnsi="Times New Roman"/>
                <w:sz w:val="24"/>
              </w:rPr>
            </w:pPr>
            <w:r>
              <w:rPr>
                <w:rFonts w:ascii="Times New Roman" w:hAnsi="Times New Roman"/>
                <w:sz w:val="24"/>
              </w:rPr>
              <w:t>Articolo 47 quater, paragrafo 1, lettera a), punto ii), articolo 47 quater, paragrafo 3, lettere a), b), c), e) e g), del CRR.</w:t>
            </w:r>
          </w:p>
          <w:p w:rsidR="00DD00B4" w:rsidRPr="00661595" w:rsidRDefault="00DD00B4" w:rsidP="002D571F">
            <w:pPr>
              <w:suppressAutoHyphens/>
              <w:rPr>
                <w:rFonts w:ascii="Times New Roman" w:hAnsi="Times New Roman"/>
                <w:b/>
                <w:sz w:val="24"/>
                <w:u w:val="single"/>
              </w:rPr>
            </w:pPr>
            <w:r>
              <w:rPr>
                <w:rFonts w:ascii="Times New Roman" w:hAnsi="Times New Roman"/>
                <w:sz w:val="24"/>
              </w:rPr>
              <w:t>Il requisito di copertura minima è calcolato moltiplicando i valori aggregati dell</w:t>
            </w:r>
            <w:r w:rsidR="000878EC">
              <w:rPr>
                <w:rFonts w:ascii="Times New Roman" w:hAnsi="Times New Roman"/>
                <w:sz w:val="24"/>
              </w:rPr>
              <w:t>'</w:t>
            </w:r>
            <w:r>
              <w:rPr>
                <w:rFonts w:ascii="Times New Roman" w:hAnsi="Times New Roman"/>
                <w:sz w:val="24"/>
              </w:rPr>
              <w:t>esposizione di cui alla riga 0090 per il corrispondente fattore per colonna.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0050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2D571F">
            <w:pPr>
              <w:suppressAutoHyphens/>
              <w:jc w:val="left"/>
              <w:rPr>
                <w:rFonts w:ascii="Times New Roman" w:hAnsi="Times New Roman"/>
                <w:b/>
                <w:sz w:val="24"/>
                <w:u w:val="single"/>
              </w:rPr>
            </w:pPr>
            <w:r>
              <w:rPr>
                <w:rFonts w:ascii="Times New Roman" w:hAnsi="Times New Roman"/>
                <w:b/>
                <w:sz w:val="24"/>
                <w:u w:val="single"/>
              </w:rPr>
              <w:t>Parte delle NPE garantita o assicurata da un</w:t>
            </w:r>
            <w:r w:rsidR="000878EC">
              <w:rPr>
                <w:rFonts w:ascii="Times New Roman" w:hAnsi="Times New Roman"/>
                <w:b/>
                <w:sz w:val="24"/>
                <w:u w:val="single"/>
              </w:rPr>
              <w:t>'</w:t>
            </w:r>
            <w:r>
              <w:rPr>
                <w:rFonts w:ascii="Times New Roman" w:hAnsi="Times New Roman"/>
                <w:b/>
                <w:sz w:val="24"/>
                <w:u w:val="single"/>
              </w:rPr>
              <w:t>agenzia ufficiale per il credito all</w:t>
            </w:r>
            <w:r w:rsidR="000878EC">
              <w:rPr>
                <w:rFonts w:ascii="Times New Roman" w:hAnsi="Times New Roman"/>
                <w:b/>
                <w:sz w:val="24"/>
                <w:u w:val="single"/>
              </w:rPr>
              <w:t>'</w:t>
            </w:r>
            <w:r>
              <w:rPr>
                <w:rFonts w:ascii="Times New Roman" w:hAnsi="Times New Roman"/>
                <w:b/>
                <w:sz w:val="24"/>
                <w:u w:val="single"/>
              </w:rPr>
              <w:t>esportazione</w:t>
            </w:r>
          </w:p>
          <w:p w:rsidR="00DD00B4" w:rsidRPr="00661595" w:rsidRDefault="00A14679" w:rsidP="002D571F">
            <w:pPr>
              <w:suppressAutoHyphens/>
              <w:jc w:val="left"/>
              <w:rPr>
                <w:rFonts w:ascii="Times New Roman" w:hAnsi="Times New Roman"/>
                <w:sz w:val="24"/>
              </w:rPr>
            </w:pPr>
            <w:r>
              <w:rPr>
                <w:rFonts w:ascii="Times New Roman" w:hAnsi="Times New Roman"/>
                <w:sz w:val="24"/>
              </w:rPr>
              <w:t>Articolo 47 quater, paragrafo 4, del CRR</w:t>
            </w:r>
          </w:p>
          <w:p w:rsidR="00DD00B4" w:rsidRPr="00661595" w:rsidRDefault="00DD00B4" w:rsidP="002D571F">
            <w:pPr>
              <w:suppressAutoHyphens/>
              <w:jc w:val="left"/>
              <w:rPr>
                <w:rFonts w:ascii="Times New Roman" w:hAnsi="Times New Roman"/>
                <w:b/>
                <w:sz w:val="24"/>
                <w:u w:val="single"/>
              </w:rPr>
            </w:pPr>
            <w:r>
              <w:rPr>
                <w:rFonts w:ascii="Times New Roman" w:hAnsi="Times New Roman"/>
                <w:sz w:val="24"/>
              </w:rPr>
              <w:t>Il requisito di copertura minima è calcolato moltiplicando i valori aggregati dell</w:t>
            </w:r>
            <w:r w:rsidR="000878EC">
              <w:rPr>
                <w:rFonts w:ascii="Times New Roman" w:hAnsi="Times New Roman"/>
                <w:sz w:val="24"/>
              </w:rPr>
              <w:t>'</w:t>
            </w:r>
            <w:r>
              <w:rPr>
                <w:rFonts w:ascii="Times New Roman" w:hAnsi="Times New Roman"/>
                <w:sz w:val="24"/>
              </w:rPr>
              <w:t>esposizione di cui alla riga 0100 per il corrispondente fattore per colonna.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2D571F">
            <w:pPr>
              <w:suppressAutoHyphens/>
              <w:rPr>
                <w:rFonts w:ascii="Times New Roman" w:hAnsi="Times New Roman"/>
                <w:b/>
                <w:sz w:val="24"/>
                <w:u w:val="single"/>
              </w:rPr>
            </w:pPr>
            <w:r>
              <w:rPr>
                <w:rFonts w:ascii="Times New Roman" w:hAnsi="Times New Roman"/>
                <w:b/>
                <w:sz w:val="24"/>
                <w:u w:val="single"/>
              </w:rPr>
              <w:t>Valore dell</w:t>
            </w:r>
            <w:r w:rsidR="000878EC">
              <w:rPr>
                <w:rFonts w:ascii="Times New Roman" w:hAnsi="Times New Roman"/>
                <w:b/>
                <w:sz w:val="24"/>
                <w:u w:val="single"/>
              </w:rPr>
              <w:t>'</w:t>
            </w:r>
            <w:r>
              <w:rPr>
                <w:rFonts w:ascii="Times New Roman" w:hAnsi="Times New Roman"/>
                <w:b/>
                <w:sz w:val="24"/>
                <w:u w:val="single"/>
              </w:rPr>
              <w:t>esposizione</w:t>
            </w:r>
          </w:p>
          <w:p w:rsidR="00DD00B4" w:rsidRPr="00661595" w:rsidRDefault="00A14679" w:rsidP="002D571F">
            <w:pPr>
              <w:suppressAutoHyphens/>
              <w:jc w:val="left"/>
              <w:rPr>
                <w:rFonts w:ascii="Times New Roman" w:hAnsi="Times New Roman"/>
                <w:sz w:val="24"/>
              </w:rPr>
            </w:pPr>
            <w:r>
              <w:rPr>
                <w:rFonts w:ascii="Times New Roman" w:hAnsi="Times New Roman"/>
                <w:sz w:val="24"/>
              </w:rPr>
              <w:t>Articolo 47 bis, paragrafo 2, del CRR</w:t>
            </w:r>
          </w:p>
          <w:p w:rsidR="00DD00B4" w:rsidRPr="00661595" w:rsidRDefault="00DD00B4" w:rsidP="002D571F">
            <w:pPr>
              <w:suppressAutoHyphens/>
              <w:jc w:val="left"/>
              <w:rPr>
                <w:rFonts w:ascii="Times New Roman" w:hAnsi="Times New Roman"/>
                <w:b/>
                <w:sz w:val="24"/>
                <w:u w:val="single"/>
              </w:rPr>
            </w:pPr>
            <w:r>
              <w:rPr>
                <w:rFonts w:ascii="Times New Roman" w:hAnsi="Times New Roman"/>
                <w:sz w:val="24"/>
              </w:rPr>
              <w:t>Ai fini del calcolo della riga 0060, gli enti sommano i valori dell</w:t>
            </w:r>
            <w:r w:rsidR="000878EC">
              <w:rPr>
                <w:rFonts w:ascii="Times New Roman" w:hAnsi="Times New Roman"/>
                <w:sz w:val="24"/>
              </w:rPr>
              <w:t>'</w:t>
            </w:r>
            <w:r>
              <w:rPr>
                <w:rFonts w:ascii="Times New Roman" w:hAnsi="Times New Roman"/>
                <w:sz w:val="24"/>
              </w:rPr>
              <w:t>esposizione segnalati per la parte non garantita delle NPE (riga 0070), la parte delle NPE garantita da immobili o prestiti su immobili residenziali garantiti da un fornitore di protezione ammissibile (riga 0080), la parte delle NPE garantita da altra protezione del credito di tipo reale o personale (riga 0090) e la parte delle NPE garantita o assicurata da un</w:t>
            </w:r>
            <w:r w:rsidR="000878EC">
              <w:rPr>
                <w:rFonts w:ascii="Times New Roman" w:hAnsi="Times New Roman"/>
                <w:sz w:val="24"/>
              </w:rPr>
              <w:t>'</w:t>
            </w:r>
            <w:r>
              <w:rPr>
                <w:rFonts w:ascii="Times New Roman" w:hAnsi="Times New Roman"/>
                <w:sz w:val="24"/>
              </w:rPr>
              <w:t>agenzia ufficiale per il credito all</w:t>
            </w:r>
            <w:r w:rsidR="000878EC">
              <w:rPr>
                <w:rFonts w:ascii="Times New Roman" w:hAnsi="Times New Roman"/>
                <w:sz w:val="24"/>
              </w:rPr>
              <w:t>'</w:t>
            </w:r>
            <w:r>
              <w:rPr>
                <w:rFonts w:ascii="Times New Roman" w:hAnsi="Times New Roman"/>
                <w:sz w:val="24"/>
              </w:rPr>
              <w:t>esportazione (riga 0100).</w:t>
            </w:r>
          </w:p>
        </w:tc>
      </w:tr>
      <w:tr w:rsidR="00DD00B4" w:rsidRPr="00661595" w:rsidTr="00DD00B4">
        <w:trPr>
          <w:trHeight w:val="800"/>
        </w:trPr>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2D571F">
            <w:pPr>
              <w:suppressAutoHyphens/>
              <w:rPr>
                <w:rFonts w:ascii="Times New Roman" w:hAnsi="Times New Roman"/>
                <w:b/>
                <w:sz w:val="24"/>
                <w:u w:val="single"/>
              </w:rPr>
            </w:pPr>
            <w:r>
              <w:rPr>
                <w:rFonts w:ascii="Times New Roman" w:hAnsi="Times New Roman"/>
                <w:b/>
                <w:sz w:val="24"/>
                <w:u w:val="single"/>
              </w:rPr>
              <w:t>Parte non garantita delle NPE</w:t>
            </w:r>
          </w:p>
          <w:p w:rsidR="00DD00B4" w:rsidRPr="00661595" w:rsidRDefault="009D30AF" w:rsidP="002D571F">
            <w:pPr>
              <w:suppressAutoHyphens/>
              <w:jc w:val="left"/>
              <w:rPr>
                <w:rFonts w:ascii="Times New Roman" w:hAnsi="Times New Roman"/>
                <w:sz w:val="24"/>
              </w:rPr>
            </w:pPr>
            <w:r>
              <w:rPr>
                <w:rFonts w:ascii="Times New Roman" w:hAnsi="Times New Roman"/>
                <w:sz w:val="24"/>
              </w:rPr>
              <w:t>Articolo 47 bis, paragrafo 2, articolo 47 quater, paragrafi 1 e 2, del CRR</w:t>
            </w:r>
          </w:p>
          <w:p w:rsidR="00DD00B4" w:rsidRPr="00661595" w:rsidRDefault="00EA2AFF" w:rsidP="002D571F">
            <w:pPr>
              <w:suppressAutoHyphens/>
              <w:jc w:val="left"/>
              <w:rPr>
                <w:rFonts w:ascii="Times New Roman" w:hAnsi="Times New Roman"/>
                <w:sz w:val="24"/>
              </w:rPr>
            </w:pPr>
            <w:r>
              <w:rPr>
                <w:rFonts w:ascii="Times New Roman" w:hAnsi="Times New Roman"/>
                <w:sz w:val="24"/>
              </w:rPr>
              <w:t>Gli enti segnalano il valore dell</w:t>
            </w:r>
            <w:r w:rsidR="000878EC">
              <w:rPr>
                <w:rFonts w:ascii="Times New Roman" w:hAnsi="Times New Roman"/>
                <w:sz w:val="24"/>
              </w:rPr>
              <w:t>'</w:t>
            </w:r>
            <w:r>
              <w:rPr>
                <w:rFonts w:ascii="Times New Roman" w:hAnsi="Times New Roman"/>
                <w:sz w:val="24"/>
              </w:rPr>
              <w:t>esposizione</w:t>
            </w:r>
            <w:r w:rsidR="000878EC">
              <w:rPr>
                <w:rFonts w:ascii="Times New Roman" w:hAnsi="Times New Roman"/>
                <w:sz w:val="24"/>
              </w:rPr>
              <w:t xml:space="preserve"> </w:t>
            </w:r>
            <w:r>
              <w:rPr>
                <w:rFonts w:ascii="Times New Roman" w:hAnsi="Times New Roman"/>
                <w:sz w:val="24"/>
              </w:rPr>
              <w:t>complessiva della parte non garantita delle NPE ripartite in base al tempo trascorso dal momento in cui le esposizioni sono state classificate come deteriorate.</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2D571F">
            <w:pPr>
              <w:suppressAutoHyphens/>
              <w:rPr>
                <w:rFonts w:ascii="Times New Roman" w:hAnsi="Times New Roman"/>
                <w:b/>
                <w:sz w:val="24"/>
                <w:u w:val="single"/>
              </w:rPr>
            </w:pPr>
            <w:r>
              <w:rPr>
                <w:rFonts w:ascii="Times New Roman" w:hAnsi="Times New Roman"/>
                <w:b/>
                <w:sz w:val="24"/>
                <w:u w:val="single"/>
              </w:rPr>
              <w:t>Parte delle NPE garantita da beni immobili o prestiti su immobili residenziali garantiti da un fornitore di protezione ammissibile</w:t>
            </w:r>
          </w:p>
          <w:p w:rsidR="00DD00B4" w:rsidRPr="00661595" w:rsidRDefault="00DD00B4" w:rsidP="002D571F">
            <w:pPr>
              <w:suppressAutoHyphens/>
              <w:rPr>
                <w:rFonts w:ascii="Times New Roman" w:hAnsi="Times New Roman"/>
                <w:sz w:val="24"/>
              </w:rPr>
            </w:pPr>
            <w:r>
              <w:rPr>
                <w:rFonts w:ascii="Times New Roman" w:hAnsi="Times New Roman"/>
                <w:sz w:val="24"/>
              </w:rPr>
              <w:t>Articolo 47 bis, paragrafo 2, articolo 47 quater, paragrafo 1</w:t>
            </w:r>
            <w:r w:rsidR="002D571F">
              <w:rPr>
                <w:rFonts w:ascii="Times New Roman" w:hAnsi="Times New Roman"/>
                <w:sz w:val="24"/>
              </w:rPr>
              <w:t>, articolo 47 quater, paragrafo </w:t>
            </w:r>
            <w:r>
              <w:rPr>
                <w:rFonts w:ascii="Times New Roman" w:hAnsi="Times New Roman"/>
                <w:sz w:val="24"/>
              </w:rPr>
              <w:t>3, lettere a), b), c), d), f), h) e i), del CRR.</w:t>
            </w:r>
          </w:p>
          <w:p w:rsidR="00DD00B4" w:rsidRPr="00661595" w:rsidRDefault="00441F78" w:rsidP="002D571F">
            <w:pPr>
              <w:suppressAutoHyphens/>
              <w:rPr>
                <w:rFonts w:ascii="Times New Roman" w:hAnsi="Times New Roman"/>
                <w:b/>
                <w:sz w:val="24"/>
                <w:u w:val="single"/>
              </w:rPr>
            </w:pPr>
            <w:r>
              <w:rPr>
                <w:rFonts w:ascii="Times New Roman" w:hAnsi="Times New Roman"/>
                <w:sz w:val="24"/>
              </w:rPr>
              <w:t>Gli enti segnalano il valore dell</w:t>
            </w:r>
            <w:r w:rsidR="000878EC">
              <w:rPr>
                <w:rFonts w:ascii="Times New Roman" w:hAnsi="Times New Roman"/>
                <w:sz w:val="24"/>
              </w:rPr>
              <w:t>'</w:t>
            </w:r>
            <w:r>
              <w:rPr>
                <w:rFonts w:ascii="Times New Roman" w:hAnsi="Times New Roman"/>
                <w:sz w:val="24"/>
              </w:rPr>
              <w:t>esposizione</w:t>
            </w:r>
            <w:r w:rsidR="000878EC">
              <w:rPr>
                <w:rFonts w:ascii="Times New Roman" w:hAnsi="Times New Roman"/>
                <w:sz w:val="24"/>
              </w:rPr>
              <w:t xml:space="preserve"> </w:t>
            </w:r>
            <w:r>
              <w:rPr>
                <w:rFonts w:ascii="Times New Roman" w:hAnsi="Times New Roman"/>
                <w:sz w:val="24"/>
              </w:rPr>
              <w:t>complessiva delle parti delle NPE garantite da immobili a norma della parte tre, titolo II, del CRR o di un prestito su immobili residenziali garantito da un fornitore di protezione ammissibile di cui all</w:t>
            </w:r>
            <w:r w:rsidR="000878EC">
              <w:rPr>
                <w:rFonts w:ascii="Times New Roman" w:hAnsi="Times New Roman"/>
                <w:sz w:val="24"/>
              </w:rPr>
              <w:t>'</w:t>
            </w:r>
            <w:r>
              <w:rPr>
                <w:rFonts w:ascii="Times New Roman" w:hAnsi="Times New Roman"/>
                <w:sz w:val="24"/>
              </w:rPr>
              <w:t>articolo 201 del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0090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2D571F">
            <w:pPr>
              <w:suppressAutoHyphens/>
              <w:jc w:val="left"/>
              <w:rPr>
                <w:rFonts w:ascii="Times New Roman" w:hAnsi="Times New Roman"/>
                <w:b/>
                <w:sz w:val="24"/>
                <w:u w:val="single"/>
              </w:rPr>
            </w:pPr>
            <w:r>
              <w:rPr>
                <w:rFonts w:ascii="Times New Roman" w:hAnsi="Times New Roman"/>
                <w:b/>
                <w:sz w:val="24"/>
                <w:u w:val="single"/>
              </w:rPr>
              <w:t>Parte delle NPE garantita da altra protezione del credito di tipo reale o di tipo personale</w:t>
            </w:r>
          </w:p>
          <w:p w:rsidR="00DD00B4" w:rsidRPr="00661595" w:rsidRDefault="00C259E2" w:rsidP="002D571F">
            <w:pPr>
              <w:suppressAutoHyphens/>
              <w:jc w:val="left"/>
              <w:rPr>
                <w:rFonts w:ascii="Times New Roman" w:hAnsi="Times New Roman"/>
                <w:sz w:val="24"/>
              </w:rPr>
            </w:pPr>
            <w:r>
              <w:rPr>
                <w:rFonts w:ascii="Times New Roman" w:hAnsi="Times New Roman"/>
                <w:sz w:val="24"/>
              </w:rPr>
              <w:t>Articolo 47 bis, paragrafo 2, articolo 47 quater, paragrafo 1</w:t>
            </w:r>
            <w:r w:rsidR="002D571F">
              <w:rPr>
                <w:rFonts w:ascii="Times New Roman" w:hAnsi="Times New Roman"/>
                <w:sz w:val="24"/>
              </w:rPr>
              <w:t>, articolo 47 quater, paragrafo </w:t>
            </w:r>
            <w:r>
              <w:rPr>
                <w:rFonts w:ascii="Times New Roman" w:hAnsi="Times New Roman"/>
                <w:sz w:val="24"/>
              </w:rPr>
              <w:t xml:space="preserve">3, lettere a), b), c), e) e g), del CRR. </w:t>
            </w:r>
          </w:p>
          <w:p w:rsidR="00DD00B4" w:rsidRPr="00661595" w:rsidRDefault="00441F78" w:rsidP="002D571F">
            <w:pPr>
              <w:suppressAutoHyphens/>
              <w:jc w:val="left"/>
              <w:rPr>
                <w:rFonts w:ascii="Times New Roman" w:hAnsi="Times New Roman"/>
                <w:sz w:val="24"/>
              </w:rPr>
            </w:pPr>
            <w:r>
              <w:rPr>
                <w:rFonts w:ascii="Times New Roman" w:hAnsi="Times New Roman"/>
                <w:sz w:val="24"/>
              </w:rPr>
              <w:t>Gli enti segnalano il valore dell</w:t>
            </w:r>
            <w:r w:rsidR="000878EC">
              <w:rPr>
                <w:rFonts w:ascii="Times New Roman" w:hAnsi="Times New Roman"/>
                <w:sz w:val="24"/>
              </w:rPr>
              <w:t>'</w:t>
            </w:r>
            <w:r>
              <w:rPr>
                <w:rFonts w:ascii="Times New Roman" w:hAnsi="Times New Roman"/>
                <w:sz w:val="24"/>
              </w:rPr>
              <w:t>esposizione complessiva delle parti delle NPE garantite da altre forme di protezione del credito di tipo reale o personale ai sensi della parte tre, titolo II, del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2D571F">
            <w:pPr>
              <w:keepNext/>
              <w:keepLines/>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2D571F">
            <w:pPr>
              <w:keepNext/>
              <w:keepLines/>
              <w:suppressAutoHyphens/>
              <w:jc w:val="left"/>
              <w:rPr>
                <w:rFonts w:ascii="Times New Roman" w:hAnsi="Times New Roman"/>
                <w:b/>
                <w:sz w:val="24"/>
                <w:u w:val="single"/>
              </w:rPr>
            </w:pPr>
            <w:r>
              <w:rPr>
                <w:rFonts w:ascii="Times New Roman" w:hAnsi="Times New Roman"/>
                <w:b/>
                <w:sz w:val="24"/>
                <w:u w:val="single"/>
              </w:rPr>
              <w:t>Parte delle NPE garantita o assicurata da un</w:t>
            </w:r>
            <w:r w:rsidR="000878EC">
              <w:rPr>
                <w:rFonts w:ascii="Times New Roman" w:hAnsi="Times New Roman"/>
                <w:b/>
                <w:sz w:val="24"/>
                <w:u w:val="single"/>
              </w:rPr>
              <w:t>'</w:t>
            </w:r>
            <w:r>
              <w:rPr>
                <w:rFonts w:ascii="Times New Roman" w:hAnsi="Times New Roman"/>
                <w:b/>
                <w:sz w:val="24"/>
                <w:u w:val="single"/>
              </w:rPr>
              <w:t>agenzia ufficiale per il credito all</w:t>
            </w:r>
            <w:r w:rsidR="000878EC">
              <w:rPr>
                <w:rFonts w:ascii="Times New Roman" w:hAnsi="Times New Roman"/>
                <w:b/>
                <w:sz w:val="24"/>
                <w:u w:val="single"/>
              </w:rPr>
              <w:t>'</w:t>
            </w:r>
            <w:r>
              <w:rPr>
                <w:rFonts w:ascii="Times New Roman" w:hAnsi="Times New Roman"/>
                <w:b/>
                <w:sz w:val="24"/>
                <w:u w:val="single"/>
              </w:rPr>
              <w:t>esportazione</w:t>
            </w:r>
          </w:p>
          <w:p w:rsidR="00DD00B4" w:rsidRPr="00661595" w:rsidRDefault="00BD5F43" w:rsidP="002D571F">
            <w:pPr>
              <w:keepNext/>
              <w:keepLines/>
              <w:suppressAutoHyphens/>
              <w:jc w:val="left"/>
              <w:rPr>
                <w:rFonts w:ascii="Times New Roman" w:hAnsi="Times New Roman"/>
                <w:sz w:val="24"/>
              </w:rPr>
            </w:pPr>
            <w:r>
              <w:rPr>
                <w:rFonts w:ascii="Times New Roman" w:hAnsi="Times New Roman"/>
                <w:sz w:val="24"/>
              </w:rPr>
              <w:t>Articolo 47 bis, paragrafo 2, e articolo 47 ter, paragrafo 4, del CRR</w:t>
            </w:r>
          </w:p>
          <w:p w:rsidR="00DD00B4" w:rsidRPr="00661595" w:rsidRDefault="00441F78" w:rsidP="002D571F">
            <w:pPr>
              <w:keepNext/>
              <w:keepLines/>
              <w:suppressAutoHyphens/>
              <w:jc w:val="left"/>
              <w:rPr>
                <w:rFonts w:ascii="Times New Roman" w:hAnsi="Times New Roman"/>
                <w:b/>
                <w:sz w:val="24"/>
                <w:u w:val="single"/>
              </w:rPr>
            </w:pPr>
            <w:r>
              <w:rPr>
                <w:rFonts w:ascii="Times New Roman" w:hAnsi="Times New Roman"/>
                <w:sz w:val="24"/>
              </w:rPr>
              <w:t>Gli enti segnalano il valore dell</w:t>
            </w:r>
            <w:r w:rsidR="000878EC">
              <w:rPr>
                <w:rFonts w:ascii="Times New Roman" w:hAnsi="Times New Roman"/>
                <w:sz w:val="24"/>
              </w:rPr>
              <w:t>'</w:t>
            </w:r>
            <w:r>
              <w:rPr>
                <w:rFonts w:ascii="Times New Roman" w:hAnsi="Times New Roman"/>
                <w:sz w:val="24"/>
              </w:rPr>
              <w:t>esposizione complessiva delle parti delle NPE garantite o assicurate da agenzie ufficiali per il credito all</w:t>
            </w:r>
            <w:r w:rsidR="000878EC">
              <w:rPr>
                <w:rFonts w:ascii="Times New Roman" w:hAnsi="Times New Roman"/>
                <w:sz w:val="24"/>
              </w:rPr>
              <w:t>'</w:t>
            </w:r>
            <w:r>
              <w:rPr>
                <w:rFonts w:ascii="Times New Roman" w:hAnsi="Times New Roman"/>
                <w:sz w:val="24"/>
              </w:rPr>
              <w:t>esportazione o garantite o controgarantite da un altro fornitore di protezione ammissibile di cui all</w:t>
            </w:r>
            <w:r w:rsidR="000878EC">
              <w:rPr>
                <w:rFonts w:ascii="Times New Roman" w:hAnsi="Times New Roman"/>
                <w:sz w:val="24"/>
              </w:rPr>
              <w:t>'</w:t>
            </w:r>
            <w:r>
              <w:rPr>
                <w:rFonts w:ascii="Times New Roman" w:hAnsi="Times New Roman"/>
                <w:sz w:val="24"/>
              </w:rPr>
              <w:t>articolo 47 quater, paragrafo 4, del CRR.</w:t>
            </w:r>
          </w:p>
        </w:tc>
      </w:tr>
    </w:tbl>
    <w:p w:rsidR="00DD00B4" w:rsidRPr="00661595" w:rsidRDefault="00DD00B4" w:rsidP="00DD00B4">
      <w:pPr>
        <w:spacing w:before="0" w:after="160" w:line="259" w:lineRule="auto"/>
        <w:jc w:val="left"/>
        <w:rPr>
          <w:rFonts w:ascii="Times New Roman" w:hAnsi="Times New Roman"/>
          <w:sz w:val="24"/>
        </w:rPr>
      </w:pPr>
    </w:p>
    <w:p w:rsidR="00DD00B4" w:rsidRPr="00661595" w:rsidRDefault="00DD00B4" w:rsidP="002F29AF">
      <w:pPr>
        <w:pStyle w:val="Instructionsberschrift2"/>
        <w:numPr>
          <w:ilvl w:val="1"/>
          <w:numId w:val="38"/>
        </w:numPr>
        <w:rPr>
          <w:rFonts w:ascii="Times New Roman" w:hAnsi="Times New Roman" w:cs="Times New Roman"/>
          <w:sz w:val="24"/>
        </w:rPr>
      </w:pPr>
      <w:bookmarkStart w:id="785" w:name="_Toc19715893"/>
      <w:bookmarkStart w:id="786" w:name="_Toc58915885"/>
      <w:r>
        <w:rPr>
          <w:rFonts w:ascii="Times New Roman" w:hAnsi="Times New Roman"/>
          <w:sz w:val="24"/>
        </w:rPr>
        <w:t>C 35.03 — REQUISITI DI COPERTURA MINIMA E VALORI DELL</w:t>
      </w:r>
      <w:r w:rsidR="000878EC">
        <w:rPr>
          <w:rFonts w:ascii="Times New Roman" w:hAnsi="Times New Roman"/>
          <w:sz w:val="24"/>
        </w:rPr>
        <w:t>'</w:t>
      </w:r>
      <w:r>
        <w:rPr>
          <w:rFonts w:ascii="Times New Roman" w:hAnsi="Times New Roman"/>
          <w:sz w:val="24"/>
        </w:rPr>
        <w:t>ESPOSIZIONE DELLE ESPOSIZIONI DETERIORATE OGGETTO DI MISURE DI CONCESSIONE SOGGETTE ALL</w:t>
      </w:r>
      <w:r w:rsidR="000878EC">
        <w:rPr>
          <w:rFonts w:ascii="Times New Roman" w:hAnsi="Times New Roman"/>
          <w:sz w:val="24"/>
        </w:rPr>
        <w:t>'</w:t>
      </w:r>
      <w:r>
        <w:rPr>
          <w:rFonts w:ascii="Times New Roman" w:hAnsi="Times New Roman"/>
          <w:sz w:val="24"/>
        </w:rPr>
        <w:t>ARTICOLO 47 QUATER, PARAGRAFO 6, DEL CRR (NPE LC3)</w:t>
      </w:r>
      <w:bookmarkStart w:id="787" w:name="_Toc19715894"/>
      <w:bookmarkEnd w:id="785"/>
      <w:bookmarkEnd w:id="787"/>
      <w:bookmarkEnd w:id="786"/>
    </w:p>
    <w:p w:rsidR="00DD00B4" w:rsidRPr="00661595" w:rsidRDefault="00DD00B4" w:rsidP="002F29AF">
      <w:pPr>
        <w:pStyle w:val="Instructionsberschrift2"/>
        <w:numPr>
          <w:ilvl w:val="2"/>
          <w:numId w:val="38"/>
        </w:numPr>
        <w:rPr>
          <w:rFonts w:ascii="Times New Roman" w:hAnsi="Times New Roman" w:cs="Times New Roman"/>
          <w:sz w:val="24"/>
        </w:rPr>
      </w:pPr>
      <w:bookmarkStart w:id="788" w:name="_Toc19715895"/>
      <w:bookmarkStart w:id="789" w:name="_Toc58915886"/>
      <w:r>
        <w:rPr>
          <w:rFonts w:ascii="Times New Roman" w:hAnsi="Times New Roman"/>
          <w:sz w:val="24"/>
        </w:rPr>
        <w:t>Istruzioni relative a posizioni specifiche</w:t>
      </w:r>
      <w:bookmarkEnd w:id="788"/>
      <w:bookmarkEnd w:id="789"/>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Colonne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2D571F">
            <w:pPr>
              <w:suppressAutoHyphens/>
              <w:rPr>
                <w:rFonts w:ascii="Times New Roman" w:hAnsi="Times New Roman"/>
                <w:sz w:val="24"/>
              </w:rPr>
            </w:pPr>
            <w:r>
              <w:rPr>
                <w:rFonts w:ascii="Times New Roman" w:hAnsi="Times New Roman"/>
                <w:sz w:val="24"/>
              </w:rPr>
              <w:t>Istruzioni</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2D571F">
            <w:pPr>
              <w:suppressAutoHyphens/>
              <w:rPr>
                <w:rFonts w:ascii="Times New Roman" w:hAnsi="Times New Roman"/>
                <w:b/>
                <w:sz w:val="24"/>
                <w:u w:val="single"/>
              </w:rPr>
            </w:pPr>
            <w:r>
              <w:rPr>
                <w:rFonts w:ascii="Times New Roman" w:hAnsi="Times New Roman"/>
                <w:b/>
                <w:sz w:val="24"/>
                <w:u w:val="single"/>
              </w:rPr>
              <w:t>Tempo trascorso dalla classificazione delle esposizioni come deteriorate</w:t>
            </w:r>
          </w:p>
          <w:p w:rsidR="00DD00B4" w:rsidRPr="00661595" w:rsidRDefault="00DD00B4" w:rsidP="002D571F">
            <w:pPr>
              <w:suppressAutoHyphens/>
              <w:rPr>
                <w:rFonts w:ascii="Times New Roman" w:hAnsi="Times New Roman"/>
                <w:sz w:val="24"/>
              </w:rPr>
            </w:pPr>
            <w:r>
              <w:rPr>
                <w:rFonts w:ascii="Times New Roman" w:hAnsi="Times New Roman"/>
                <w:sz w:val="24"/>
              </w:rPr>
              <w:t xml:space="preserve">Per </w:t>
            </w:r>
            <w:r w:rsidR="000878EC">
              <w:rPr>
                <w:rFonts w:ascii="Times New Roman" w:hAnsi="Times New Roman"/>
                <w:sz w:val="24"/>
              </w:rPr>
              <w:t>"</w:t>
            </w:r>
            <w:r>
              <w:rPr>
                <w:rFonts w:ascii="Times New Roman" w:hAnsi="Times New Roman"/>
                <w:sz w:val="24"/>
              </w:rPr>
              <w:t>tempo trascorso dal momento in cui le esposizioni sono classificate come deteriorate</w:t>
            </w:r>
            <w:r w:rsidR="000878EC">
              <w:rPr>
                <w:rFonts w:ascii="Times New Roman" w:hAnsi="Times New Roman"/>
                <w:sz w:val="24"/>
              </w:rPr>
              <w:t>"</w:t>
            </w:r>
            <w:r>
              <w:rPr>
                <w:rFonts w:ascii="Times New Roman" w:hAnsi="Times New Roman"/>
                <w:sz w:val="24"/>
              </w:rPr>
              <w:t xml:space="preserve"> si intende il tempo trascorso in anni da quando l</w:t>
            </w:r>
            <w:r w:rsidR="000878EC">
              <w:rPr>
                <w:rFonts w:ascii="Times New Roman" w:hAnsi="Times New Roman"/>
                <w:sz w:val="24"/>
              </w:rPr>
              <w:t>'</w:t>
            </w:r>
            <w:r>
              <w:rPr>
                <w:rFonts w:ascii="Times New Roman" w:hAnsi="Times New Roman"/>
                <w:sz w:val="24"/>
              </w:rPr>
              <w:t>esposizione è stata classificata come deteriorata. Gli enti segnalano i dati sulle esposizioni la cui data di riferimento rientra nell</w:t>
            </w:r>
            <w:r w:rsidR="000878EC">
              <w:rPr>
                <w:rFonts w:ascii="Times New Roman" w:hAnsi="Times New Roman"/>
                <w:sz w:val="24"/>
              </w:rPr>
              <w:t>'</w:t>
            </w:r>
            <w:r>
              <w:rPr>
                <w:rFonts w:ascii="Times New Roman" w:hAnsi="Times New Roman"/>
                <w:sz w:val="24"/>
              </w:rPr>
              <w:t>intervallo di tempo corrispondente indicando il periodo in anni successivo alla classificazione delle esposizioni come deteriorate, a prescindere dall</w:t>
            </w:r>
            <w:r w:rsidR="000878EC">
              <w:rPr>
                <w:rFonts w:ascii="Times New Roman" w:hAnsi="Times New Roman"/>
                <w:sz w:val="24"/>
              </w:rPr>
              <w:t>'</w:t>
            </w:r>
            <w:r>
              <w:rPr>
                <w:rFonts w:ascii="Times New Roman" w:hAnsi="Times New Roman"/>
                <w:sz w:val="24"/>
              </w:rPr>
              <w:t>applicazione di misure di concessione.</w:t>
            </w:r>
          </w:p>
          <w:p w:rsidR="00DD00B4" w:rsidRPr="00661595" w:rsidRDefault="00DD00B4" w:rsidP="002D571F">
            <w:pPr>
              <w:suppressAutoHyphens/>
              <w:rPr>
                <w:rFonts w:ascii="Times New Roman" w:hAnsi="Times New Roman"/>
                <w:sz w:val="24"/>
              </w:rPr>
            </w:pPr>
            <w:r>
              <w:rPr>
                <w:rFonts w:ascii="Times New Roman" w:hAnsi="Times New Roman"/>
                <w:sz w:val="24"/>
              </w:rPr>
              <w:t>Per l</w:t>
            </w:r>
            <w:r w:rsidR="000878EC">
              <w:rPr>
                <w:rFonts w:ascii="Times New Roman" w:hAnsi="Times New Roman"/>
                <w:sz w:val="24"/>
              </w:rPr>
              <w:t>'</w:t>
            </w:r>
            <w:r>
              <w:rPr>
                <w:rFonts w:ascii="Times New Roman" w:hAnsi="Times New Roman"/>
                <w:sz w:val="24"/>
              </w:rPr>
              <w:t xml:space="preserve">intervallo di tempo </w:t>
            </w:r>
            <w:r w:rsidR="000878EC">
              <w:rPr>
                <w:rFonts w:ascii="Times New Roman" w:hAnsi="Times New Roman"/>
                <w:sz w:val="24"/>
              </w:rPr>
              <w:t>"</w:t>
            </w:r>
            <w:r>
              <w:rPr>
                <w:rFonts w:ascii="Times New Roman" w:hAnsi="Times New Roman"/>
                <w:sz w:val="24"/>
              </w:rPr>
              <w:t>&gt; X anno/i, &lt;= Y anno/i</w:t>
            </w:r>
            <w:r w:rsidR="000878EC">
              <w:rPr>
                <w:rFonts w:ascii="Times New Roman" w:hAnsi="Times New Roman"/>
                <w:sz w:val="24"/>
              </w:rPr>
              <w:t>"</w:t>
            </w:r>
            <w:r>
              <w:rPr>
                <w:rFonts w:ascii="Times New Roman" w:hAnsi="Times New Roman"/>
                <w:sz w:val="24"/>
              </w:rPr>
              <w:t>, gli enti segnalano i dati sulle esposizioni la cui data di riferimento corrisponde al periodo compreso tra il primo e l</w:t>
            </w:r>
            <w:r w:rsidR="000878EC">
              <w:rPr>
                <w:rFonts w:ascii="Times New Roman" w:hAnsi="Times New Roman"/>
                <w:sz w:val="24"/>
              </w:rPr>
              <w:t>'</w:t>
            </w:r>
            <w:r>
              <w:rPr>
                <w:rFonts w:ascii="Times New Roman" w:hAnsi="Times New Roman"/>
                <w:sz w:val="24"/>
              </w:rPr>
              <w:t>ultimo giorno del Y° anno successivo alla classificazione di tali esposizioni come deteriorate.</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2D571F">
            <w:pPr>
              <w:suppressAutoHyphens/>
              <w:rPr>
                <w:rFonts w:ascii="Times New Roman" w:hAnsi="Times New Roman"/>
                <w:b/>
                <w:sz w:val="24"/>
                <w:u w:val="single"/>
              </w:rPr>
            </w:pPr>
            <w:r>
              <w:rPr>
                <w:rFonts w:ascii="Times New Roman" w:hAnsi="Times New Roman"/>
                <w:sz w:val="24"/>
              </w:rPr>
              <w:t xml:space="preserve"> </w:t>
            </w:r>
            <w:r>
              <w:rPr>
                <w:rFonts w:ascii="Times New Roman" w:hAnsi="Times New Roman"/>
                <w:b/>
                <w:sz w:val="24"/>
                <w:u w:val="single"/>
              </w:rPr>
              <w:t>TOTALE</w:t>
            </w:r>
          </w:p>
          <w:p w:rsidR="00DD00B4" w:rsidRPr="00661595" w:rsidRDefault="00DD00B4" w:rsidP="002D571F">
            <w:pPr>
              <w:suppressAutoHyphens/>
              <w:rPr>
                <w:rFonts w:ascii="Times New Roman" w:hAnsi="Times New Roman"/>
                <w:b/>
                <w:sz w:val="24"/>
                <w:u w:val="single"/>
              </w:rPr>
            </w:pPr>
            <w:r>
              <w:rPr>
                <w:rFonts w:ascii="Times New Roman" w:hAnsi="Times New Roman"/>
                <w:sz w:val="24"/>
              </w:rPr>
              <w:t>Gli enti segnalano la somma di tutte le colonne da 0010 a 0100.</w:t>
            </w:r>
          </w:p>
        </w:tc>
      </w:tr>
    </w:tbl>
    <w:p w:rsidR="00DD00B4" w:rsidRPr="00661595" w:rsidRDefault="00DD00B4" w:rsidP="00DD00B4">
      <w:pPr>
        <w:jc w:val="left"/>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843"/>
      </w:tblGrid>
      <w:tr w:rsidR="00DD00B4" w:rsidRPr="00661595" w:rsidTr="00DD00B4">
        <w:tc>
          <w:tcPr>
            <w:tcW w:w="1188"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DD00B4">
            <w:pPr>
              <w:rPr>
                <w:rFonts w:ascii="Times New Roman" w:hAnsi="Times New Roman"/>
                <w:sz w:val="24"/>
              </w:rPr>
            </w:pPr>
            <w:r>
              <w:rPr>
                <w:rFonts w:ascii="Times New Roman" w:hAnsi="Times New Roman"/>
                <w:sz w:val="24"/>
              </w:rPr>
              <w:t>Righe</w:t>
            </w:r>
          </w:p>
        </w:tc>
        <w:tc>
          <w:tcPr>
            <w:tcW w:w="8843" w:type="dxa"/>
            <w:tcBorders>
              <w:top w:val="single" w:sz="4" w:space="0" w:color="auto"/>
              <w:left w:val="single" w:sz="4" w:space="0" w:color="auto"/>
              <w:bottom w:val="single" w:sz="4" w:space="0" w:color="auto"/>
              <w:right w:val="single" w:sz="4" w:space="0" w:color="auto"/>
            </w:tcBorders>
            <w:shd w:val="clear" w:color="auto" w:fill="CCCCCC"/>
            <w:hideMark/>
          </w:tcPr>
          <w:p w:rsidR="00DD00B4" w:rsidRPr="00661595" w:rsidRDefault="00DD00B4" w:rsidP="002D571F">
            <w:pPr>
              <w:suppressAutoHyphens/>
              <w:rPr>
                <w:rFonts w:ascii="Times New Roman" w:hAnsi="Times New Roman"/>
                <w:sz w:val="24"/>
              </w:rPr>
            </w:pPr>
            <w:r>
              <w:rPr>
                <w:rFonts w:ascii="Times New Roman" w:hAnsi="Times New Roman"/>
                <w:sz w:val="24"/>
              </w:rPr>
              <w:t>Istruzioni</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hideMark/>
          </w:tcPr>
          <w:p w:rsidR="00DD00B4" w:rsidRPr="00661595" w:rsidRDefault="00DD00B4" w:rsidP="00DD00B4">
            <w:pPr>
              <w:rPr>
                <w:rFonts w:ascii="Times New Roman" w:hAnsi="Times New Roman"/>
                <w:sz w:val="24"/>
              </w:rPr>
            </w:pPr>
            <w:r>
              <w:rPr>
                <w:rFonts w:ascii="Times New Roman" w:hAnsi="Times New Roman"/>
                <w:sz w:val="24"/>
              </w:rPr>
              <w:t>0010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2D571F">
            <w:pPr>
              <w:suppressAutoHyphens/>
              <w:rPr>
                <w:rFonts w:ascii="Times New Roman" w:hAnsi="Times New Roman"/>
                <w:b/>
                <w:sz w:val="24"/>
                <w:u w:val="single"/>
              </w:rPr>
            </w:pPr>
            <w:r>
              <w:rPr>
                <w:rFonts w:ascii="Times New Roman" w:hAnsi="Times New Roman"/>
                <w:b/>
                <w:sz w:val="24"/>
                <w:u w:val="single"/>
              </w:rPr>
              <w:t>Requisito di copertura minima totale</w:t>
            </w:r>
          </w:p>
          <w:p w:rsidR="00DD00B4" w:rsidRPr="00661595" w:rsidRDefault="00DD00B4" w:rsidP="002D571F">
            <w:pPr>
              <w:suppressAutoHyphens/>
              <w:rPr>
                <w:rFonts w:ascii="Times New Roman" w:hAnsi="Times New Roman"/>
                <w:sz w:val="24"/>
              </w:rPr>
            </w:pPr>
            <w:r>
              <w:rPr>
                <w:rFonts w:ascii="Times New Roman" w:hAnsi="Times New Roman"/>
                <w:sz w:val="24"/>
              </w:rPr>
              <w:t>Articolo 47 quater, paragrafo 1, lettera a), e articolo 47 quater, paragrafo 6, del CRR</w:t>
            </w:r>
          </w:p>
          <w:p w:rsidR="00DD00B4" w:rsidRPr="00661595" w:rsidRDefault="00DD00B4" w:rsidP="002D571F">
            <w:pPr>
              <w:suppressAutoHyphens/>
              <w:rPr>
                <w:rFonts w:ascii="Times New Roman" w:hAnsi="Times New Roman"/>
                <w:sz w:val="24"/>
              </w:rPr>
            </w:pPr>
            <w:r>
              <w:rPr>
                <w:rFonts w:ascii="Times New Roman" w:hAnsi="Times New Roman"/>
                <w:sz w:val="24"/>
              </w:rPr>
              <w:t>Ai fini del calcolo del requisito di copertura minima totale delle esposizioni deteriorate oggetto di misure di concessione soggette all</w:t>
            </w:r>
            <w:r w:rsidR="000878EC">
              <w:rPr>
                <w:rFonts w:ascii="Times New Roman" w:hAnsi="Times New Roman"/>
                <w:sz w:val="24"/>
              </w:rPr>
              <w:t>'</w:t>
            </w:r>
            <w:r>
              <w:rPr>
                <w:rFonts w:ascii="Times New Roman" w:hAnsi="Times New Roman"/>
                <w:sz w:val="24"/>
              </w:rPr>
              <w:t>articolo 47 quater, paragrafo 6, del CRR, gli enti sommano i requisiti di copertura minima per la parte non garantita delle NPE oggetto di misure di concessione (riga 0020), la parte delle NPE oggetto di misure di concessione garantita da immobili o prestiti su immobili residenziali garantiti da un fornitore di protezione ammissibile (riga 0030) e la parte delle NPE oggetto di misure di concessione garantita da altre forme di protezione del credito di tipo reale o personale (riga 0040).</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A87A97">
            <w:pPr>
              <w:keepNext/>
              <w:keepLines/>
              <w:rPr>
                <w:rFonts w:ascii="Times New Roman" w:hAnsi="Times New Roman"/>
                <w:sz w:val="24"/>
              </w:rPr>
            </w:pPr>
            <w:r>
              <w:rPr>
                <w:rFonts w:ascii="Times New Roman" w:hAnsi="Times New Roman"/>
                <w:sz w:val="24"/>
              </w:rPr>
              <w:t>0020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A87A97">
            <w:pPr>
              <w:keepNext/>
              <w:keepLines/>
              <w:suppressAutoHyphens/>
              <w:rPr>
                <w:rFonts w:ascii="Times New Roman" w:hAnsi="Times New Roman"/>
                <w:b/>
                <w:sz w:val="24"/>
                <w:u w:val="single"/>
              </w:rPr>
            </w:pPr>
            <w:r>
              <w:rPr>
                <w:rFonts w:ascii="Times New Roman" w:hAnsi="Times New Roman"/>
                <w:b/>
                <w:sz w:val="24"/>
                <w:u w:val="single"/>
              </w:rPr>
              <w:t>Parte non garantita delle NPE</w:t>
            </w:r>
          </w:p>
          <w:p w:rsidR="00DD00B4" w:rsidRPr="00661595" w:rsidRDefault="00DD00B4" w:rsidP="00A87A97">
            <w:pPr>
              <w:keepNext/>
              <w:keepLines/>
              <w:suppressAutoHyphens/>
              <w:rPr>
                <w:rFonts w:ascii="Times New Roman" w:hAnsi="Times New Roman"/>
                <w:sz w:val="24"/>
              </w:rPr>
            </w:pPr>
            <w:r>
              <w:rPr>
                <w:rFonts w:ascii="Times New Roman" w:hAnsi="Times New Roman"/>
                <w:sz w:val="24"/>
              </w:rPr>
              <w:t>Articolo 47 quater, paragrafo 1, lettera a), punto i), articolo 47 quater, paragrafo 2, articolo 47 quater, paragrafo 6, del CRR</w:t>
            </w:r>
          </w:p>
          <w:p w:rsidR="00DD00B4" w:rsidRPr="00661595" w:rsidRDefault="00303974" w:rsidP="00A87A97">
            <w:pPr>
              <w:keepNext/>
              <w:keepLines/>
              <w:suppressAutoHyphens/>
              <w:rPr>
                <w:rFonts w:ascii="Times New Roman" w:hAnsi="Times New Roman"/>
                <w:sz w:val="24"/>
              </w:rPr>
            </w:pPr>
            <w:r>
              <w:rPr>
                <w:rFonts w:ascii="Times New Roman" w:hAnsi="Times New Roman"/>
                <w:sz w:val="24"/>
              </w:rPr>
              <w:t>Gli enti segnalano il requisito di copertura minima totale per la parte non garantita delle esposizioni deteriorate oggetto di misure di concessione soggette all</w:t>
            </w:r>
            <w:r w:rsidR="000878EC">
              <w:rPr>
                <w:rFonts w:ascii="Times New Roman" w:hAnsi="Times New Roman"/>
                <w:sz w:val="24"/>
              </w:rPr>
              <w:t>'</w:t>
            </w:r>
            <w:r>
              <w:rPr>
                <w:rFonts w:ascii="Times New Roman" w:hAnsi="Times New Roman"/>
                <w:sz w:val="24"/>
              </w:rPr>
              <w:t>articolo 47 quater, paragrafo 6, del CRR, ossia l</w:t>
            </w:r>
            <w:r w:rsidR="000878EC">
              <w:rPr>
                <w:rFonts w:ascii="Times New Roman" w:hAnsi="Times New Roman"/>
                <w:sz w:val="24"/>
              </w:rPr>
              <w:t>'</w:t>
            </w:r>
            <w:r>
              <w:rPr>
                <w:rFonts w:ascii="Times New Roman" w:hAnsi="Times New Roman"/>
                <w:sz w:val="24"/>
              </w:rPr>
              <w:t>aggregato dei calcoli a livello di esposizione.</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2D571F">
            <w:pPr>
              <w:suppressAutoHyphens/>
              <w:rPr>
                <w:rFonts w:ascii="Times New Roman" w:hAnsi="Times New Roman"/>
                <w:b/>
                <w:sz w:val="24"/>
                <w:u w:val="single"/>
              </w:rPr>
            </w:pPr>
            <w:r>
              <w:rPr>
                <w:rFonts w:ascii="Times New Roman" w:hAnsi="Times New Roman"/>
                <w:b/>
                <w:sz w:val="24"/>
                <w:u w:val="single"/>
              </w:rPr>
              <w:t>Parte delle NPE garantita da beni immobili o prestiti su immobili residenziali garantiti da un fornitore di protezione ammissibile</w:t>
            </w:r>
          </w:p>
          <w:p w:rsidR="00DD00B4" w:rsidRPr="00661595" w:rsidRDefault="00DD00B4" w:rsidP="002D571F">
            <w:pPr>
              <w:suppressAutoHyphens/>
              <w:rPr>
                <w:rFonts w:ascii="Times New Roman" w:hAnsi="Times New Roman"/>
                <w:sz w:val="24"/>
              </w:rPr>
            </w:pPr>
            <w:r>
              <w:rPr>
                <w:rFonts w:ascii="Times New Roman" w:hAnsi="Times New Roman"/>
                <w:sz w:val="24"/>
              </w:rPr>
              <w:lastRenderedPageBreak/>
              <w:t>Articolo 47 quater, paragrafo 1, lettera a), punto ii), articolo 47 quater, paragrafo 3, lettere a), b), c), d), f), h) e i), articolo 47 quater, paragrafo 6, del CRR.</w:t>
            </w:r>
          </w:p>
          <w:p w:rsidR="00DD00B4" w:rsidRPr="00661595" w:rsidRDefault="00303974" w:rsidP="002D571F">
            <w:pPr>
              <w:suppressAutoHyphens/>
              <w:rPr>
                <w:rFonts w:ascii="Times New Roman" w:hAnsi="Times New Roman"/>
                <w:b/>
                <w:sz w:val="24"/>
                <w:u w:val="single"/>
              </w:rPr>
            </w:pPr>
            <w:r>
              <w:rPr>
                <w:rFonts w:ascii="Times New Roman" w:hAnsi="Times New Roman"/>
                <w:sz w:val="24"/>
              </w:rPr>
              <w:t>Gli enti segnalano il requisito totale di copertura minima per le parti delle esposizioni deteriorate oggetto di misure di concessione garantite da immobili a norma della parte tre, titolo II, del CRR o che sono prestiti su immobili residenziali garantiti da un fornitore di protezione ammissibile di cui all</w:t>
            </w:r>
            <w:r w:rsidR="000878EC">
              <w:rPr>
                <w:rFonts w:ascii="Times New Roman" w:hAnsi="Times New Roman"/>
                <w:sz w:val="24"/>
              </w:rPr>
              <w:t>'</w:t>
            </w:r>
            <w:r>
              <w:rPr>
                <w:rFonts w:ascii="Times New Roman" w:hAnsi="Times New Roman"/>
                <w:sz w:val="24"/>
              </w:rPr>
              <w:t>articolo 201 del CRR, soggette all</w:t>
            </w:r>
            <w:r w:rsidR="000878EC">
              <w:rPr>
                <w:rFonts w:ascii="Times New Roman" w:hAnsi="Times New Roman"/>
                <w:sz w:val="24"/>
              </w:rPr>
              <w:t>'</w:t>
            </w:r>
            <w:r>
              <w:rPr>
                <w:rFonts w:ascii="Times New Roman" w:hAnsi="Times New Roman"/>
                <w:sz w:val="24"/>
              </w:rPr>
              <w:t>articolo 47 quater, paragrafo 6, del CRR, ossia l</w:t>
            </w:r>
            <w:r w:rsidR="000878EC">
              <w:rPr>
                <w:rFonts w:ascii="Times New Roman" w:hAnsi="Times New Roman"/>
                <w:sz w:val="24"/>
              </w:rPr>
              <w:t>'</w:t>
            </w:r>
            <w:r>
              <w:rPr>
                <w:rFonts w:ascii="Times New Roman" w:hAnsi="Times New Roman"/>
                <w:sz w:val="24"/>
              </w:rPr>
              <w:t xml:space="preserve">aggregato dei calcoli a livello di esposizione.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0040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2D571F">
            <w:pPr>
              <w:suppressAutoHyphens/>
              <w:jc w:val="left"/>
              <w:rPr>
                <w:rFonts w:ascii="Times New Roman" w:hAnsi="Times New Roman"/>
                <w:b/>
                <w:sz w:val="24"/>
                <w:u w:val="single"/>
              </w:rPr>
            </w:pPr>
            <w:r>
              <w:rPr>
                <w:rFonts w:ascii="Times New Roman" w:hAnsi="Times New Roman"/>
                <w:b/>
                <w:sz w:val="24"/>
                <w:u w:val="single"/>
              </w:rPr>
              <w:t>Parte delle NPE garantita da altra protezione del credito di tipo reale o di tipo personale</w:t>
            </w:r>
          </w:p>
          <w:p w:rsidR="00DD00B4" w:rsidRPr="00661595" w:rsidRDefault="00DD00B4" w:rsidP="002D571F">
            <w:pPr>
              <w:suppressAutoHyphens/>
              <w:rPr>
                <w:rFonts w:ascii="Times New Roman" w:hAnsi="Times New Roman"/>
                <w:sz w:val="24"/>
              </w:rPr>
            </w:pPr>
            <w:r>
              <w:rPr>
                <w:rFonts w:ascii="Times New Roman" w:hAnsi="Times New Roman"/>
                <w:sz w:val="24"/>
              </w:rPr>
              <w:t>Articolo 47 quater, paragrafo 1, lettera a), punto ii), articolo 47 quater, paragrafo 3, lettere a), b), c), e) e g), articolo 47 quater, paragrafo 6, del CRR.</w:t>
            </w:r>
          </w:p>
          <w:p w:rsidR="00DD00B4" w:rsidRPr="00661595" w:rsidRDefault="00303974" w:rsidP="002D571F">
            <w:pPr>
              <w:suppressAutoHyphens/>
              <w:rPr>
                <w:rFonts w:ascii="Times New Roman" w:hAnsi="Times New Roman"/>
                <w:sz w:val="24"/>
              </w:rPr>
            </w:pPr>
            <w:r>
              <w:rPr>
                <w:rFonts w:ascii="Times New Roman" w:hAnsi="Times New Roman"/>
                <w:sz w:val="24"/>
              </w:rPr>
              <w:t>Gli enti segnalano il requisito di copertura minima totale per le parti delle esposizioni deteriorate oggetto di misure di concessione garantite da altre forme di protezione del credito di tipo reale o di tipo personale soggette all</w:t>
            </w:r>
            <w:r w:rsidR="000878EC">
              <w:rPr>
                <w:rFonts w:ascii="Times New Roman" w:hAnsi="Times New Roman"/>
                <w:sz w:val="24"/>
              </w:rPr>
              <w:t>'</w:t>
            </w:r>
            <w:r>
              <w:rPr>
                <w:rFonts w:ascii="Times New Roman" w:hAnsi="Times New Roman"/>
                <w:sz w:val="24"/>
              </w:rPr>
              <w:t>articolo 47 quater, paragrafo 6, del CRR, ossia l</w:t>
            </w:r>
            <w:r w:rsidR="000878EC">
              <w:rPr>
                <w:rFonts w:ascii="Times New Roman" w:hAnsi="Times New Roman"/>
                <w:sz w:val="24"/>
              </w:rPr>
              <w:t>'</w:t>
            </w:r>
            <w:r>
              <w:rPr>
                <w:rFonts w:ascii="Times New Roman" w:hAnsi="Times New Roman"/>
                <w:sz w:val="24"/>
              </w:rPr>
              <w:t>aggregato dei calcoli a livello di esposizione.</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2D571F">
            <w:pPr>
              <w:suppressAutoHyphens/>
              <w:rPr>
                <w:rFonts w:ascii="Times New Roman" w:hAnsi="Times New Roman"/>
                <w:b/>
                <w:sz w:val="24"/>
                <w:u w:val="single"/>
              </w:rPr>
            </w:pPr>
            <w:r>
              <w:rPr>
                <w:rFonts w:ascii="Times New Roman" w:hAnsi="Times New Roman"/>
                <w:b/>
                <w:sz w:val="24"/>
                <w:u w:val="single"/>
              </w:rPr>
              <w:t>Valore dell</w:t>
            </w:r>
            <w:r w:rsidR="000878EC">
              <w:rPr>
                <w:rFonts w:ascii="Times New Roman" w:hAnsi="Times New Roman"/>
                <w:b/>
                <w:sz w:val="24"/>
                <w:u w:val="single"/>
              </w:rPr>
              <w:t>'</w:t>
            </w:r>
            <w:r>
              <w:rPr>
                <w:rFonts w:ascii="Times New Roman" w:hAnsi="Times New Roman"/>
                <w:b/>
                <w:sz w:val="24"/>
                <w:u w:val="single"/>
              </w:rPr>
              <w:t>esposizione</w:t>
            </w:r>
          </w:p>
          <w:p w:rsidR="00DD00B4" w:rsidRPr="00661595" w:rsidRDefault="00233577" w:rsidP="002D571F">
            <w:pPr>
              <w:suppressAutoHyphens/>
              <w:rPr>
                <w:rFonts w:ascii="Times New Roman" w:hAnsi="Times New Roman"/>
                <w:sz w:val="24"/>
              </w:rPr>
            </w:pPr>
            <w:r>
              <w:rPr>
                <w:rFonts w:ascii="Times New Roman" w:hAnsi="Times New Roman"/>
                <w:sz w:val="24"/>
              </w:rPr>
              <w:t>Articolo 47 bis, paragrafo 2, e articolo 47 ter, paragrafo 6, del CRR</w:t>
            </w:r>
          </w:p>
          <w:p w:rsidR="00DD00B4" w:rsidRPr="00661595" w:rsidRDefault="00DD00B4" w:rsidP="002D571F">
            <w:pPr>
              <w:suppressAutoHyphens/>
              <w:rPr>
                <w:rFonts w:ascii="Times New Roman" w:hAnsi="Times New Roman"/>
                <w:b/>
                <w:sz w:val="24"/>
                <w:u w:val="single"/>
              </w:rPr>
            </w:pPr>
            <w:r>
              <w:rPr>
                <w:rFonts w:ascii="Times New Roman" w:hAnsi="Times New Roman"/>
                <w:sz w:val="24"/>
              </w:rPr>
              <w:t>Ai fini del calcolo del valore dell</w:t>
            </w:r>
            <w:r w:rsidR="000878EC">
              <w:rPr>
                <w:rFonts w:ascii="Times New Roman" w:hAnsi="Times New Roman"/>
                <w:sz w:val="24"/>
              </w:rPr>
              <w:t>'</w:t>
            </w:r>
            <w:r>
              <w:rPr>
                <w:rFonts w:ascii="Times New Roman" w:hAnsi="Times New Roman"/>
                <w:sz w:val="24"/>
              </w:rPr>
              <w:t>esposizione, gli enti sommano i valori dell</w:t>
            </w:r>
            <w:r w:rsidR="000878EC">
              <w:rPr>
                <w:rFonts w:ascii="Times New Roman" w:hAnsi="Times New Roman"/>
                <w:sz w:val="24"/>
              </w:rPr>
              <w:t>'</w:t>
            </w:r>
            <w:r>
              <w:rPr>
                <w:rFonts w:ascii="Times New Roman" w:hAnsi="Times New Roman"/>
                <w:sz w:val="24"/>
              </w:rPr>
              <w:t xml:space="preserve">esposizione per la parte non garantita delle NPE (riga 0060), la parte delle NPE garantita da immobili o costituita da prestiti su immobili residenziali garantiti da un fornitore di protezione ammissibile (riga 0070) e la parte delle NPE garantita da altra protezione del credito di tipo reale o personale (riga 0120), ove applicabile. </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2D571F">
            <w:pPr>
              <w:suppressAutoHyphens/>
              <w:rPr>
                <w:rFonts w:ascii="Times New Roman" w:hAnsi="Times New Roman"/>
                <w:b/>
                <w:sz w:val="24"/>
                <w:u w:val="single"/>
              </w:rPr>
            </w:pPr>
            <w:r>
              <w:rPr>
                <w:rFonts w:ascii="Times New Roman" w:hAnsi="Times New Roman"/>
                <w:b/>
                <w:sz w:val="24"/>
                <w:u w:val="single"/>
              </w:rPr>
              <w:t>Parte non garantita delle NPE</w:t>
            </w:r>
          </w:p>
          <w:p w:rsidR="00DD00B4" w:rsidRPr="00661595" w:rsidRDefault="00233577" w:rsidP="002D571F">
            <w:pPr>
              <w:suppressAutoHyphens/>
              <w:jc w:val="left"/>
              <w:rPr>
                <w:rFonts w:ascii="Times New Roman" w:hAnsi="Times New Roman"/>
                <w:sz w:val="24"/>
              </w:rPr>
            </w:pPr>
            <w:r>
              <w:rPr>
                <w:rFonts w:ascii="Times New Roman" w:hAnsi="Times New Roman"/>
                <w:sz w:val="24"/>
              </w:rPr>
              <w:t>Articolo 47 bis, paragrafo 2, articolo 47 quater, paragrafo 1, articolo 47 quater, paragrafo 2, e articolo 47 quater, paragrafo 6, del CRR</w:t>
            </w:r>
          </w:p>
          <w:p w:rsidR="00DD00B4" w:rsidRPr="00661595" w:rsidRDefault="00303974" w:rsidP="002D571F">
            <w:pPr>
              <w:suppressAutoHyphens/>
              <w:rPr>
                <w:rFonts w:ascii="Times New Roman" w:hAnsi="Times New Roman"/>
                <w:b/>
                <w:sz w:val="24"/>
                <w:u w:val="single"/>
              </w:rPr>
            </w:pPr>
            <w:r>
              <w:rPr>
                <w:rFonts w:ascii="Times New Roman" w:hAnsi="Times New Roman"/>
                <w:sz w:val="24"/>
              </w:rPr>
              <w:t>Gli enti segnalano il valore dell</w:t>
            </w:r>
            <w:r w:rsidR="000878EC">
              <w:rPr>
                <w:rFonts w:ascii="Times New Roman" w:hAnsi="Times New Roman"/>
                <w:sz w:val="24"/>
              </w:rPr>
              <w:t>'</w:t>
            </w:r>
            <w:r>
              <w:rPr>
                <w:rFonts w:ascii="Times New Roman" w:hAnsi="Times New Roman"/>
                <w:sz w:val="24"/>
              </w:rPr>
              <w:t>esposizione complessiva della parte non garantita delle NPE oggetto di misure di concessione soggette all</w:t>
            </w:r>
            <w:r w:rsidR="000878EC">
              <w:rPr>
                <w:rFonts w:ascii="Times New Roman" w:hAnsi="Times New Roman"/>
                <w:sz w:val="24"/>
              </w:rPr>
              <w:t>'</w:t>
            </w:r>
            <w:r>
              <w:rPr>
                <w:rFonts w:ascii="Times New Roman" w:hAnsi="Times New Roman"/>
                <w:sz w:val="24"/>
              </w:rPr>
              <w:t>articolo 47 quater, paragrafo 6, del CRR se la prima misura di concessione è stata accordata tra il primo e l</w:t>
            </w:r>
            <w:r w:rsidR="000878EC">
              <w:rPr>
                <w:rFonts w:ascii="Times New Roman" w:hAnsi="Times New Roman"/>
                <w:sz w:val="24"/>
              </w:rPr>
              <w:t>'</w:t>
            </w:r>
            <w:r>
              <w:rPr>
                <w:rFonts w:ascii="Times New Roman" w:hAnsi="Times New Roman"/>
                <w:sz w:val="24"/>
              </w:rPr>
              <w:t>ultimo giorno del secondo anno dopo la classificazione dell</w:t>
            </w:r>
            <w:r w:rsidR="000878EC">
              <w:rPr>
                <w:rFonts w:ascii="Times New Roman" w:hAnsi="Times New Roman"/>
                <w:sz w:val="24"/>
              </w:rPr>
              <w:t>'</w:t>
            </w:r>
            <w:r>
              <w:rPr>
                <w:rFonts w:ascii="Times New Roman" w:hAnsi="Times New Roman"/>
                <w:sz w:val="24"/>
              </w:rPr>
              <w:t>esposizione come esposizione deteriorata (&gt; 1 anno; &lt; = 2 anni).</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0070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2D571F">
            <w:pPr>
              <w:suppressAutoHyphens/>
              <w:rPr>
                <w:rFonts w:ascii="Times New Roman" w:hAnsi="Times New Roman"/>
                <w:b/>
                <w:sz w:val="24"/>
                <w:u w:val="single"/>
              </w:rPr>
            </w:pPr>
            <w:r>
              <w:rPr>
                <w:rFonts w:ascii="Times New Roman" w:hAnsi="Times New Roman"/>
                <w:b/>
                <w:sz w:val="24"/>
                <w:u w:val="single"/>
              </w:rPr>
              <w:t>Parte delle NPE garantita da beni immobili o prestiti su immobili residenziali garantiti da un fornitore di protezione ammissibile</w:t>
            </w:r>
          </w:p>
          <w:p w:rsidR="00DD00B4" w:rsidRPr="00661595" w:rsidRDefault="006C0EF3" w:rsidP="002D571F">
            <w:pPr>
              <w:suppressAutoHyphens/>
              <w:rPr>
                <w:rFonts w:ascii="Times New Roman" w:hAnsi="Times New Roman"/>
                <w:sz w:val="24"/>
              </w:rPr>
            </w:pPr>
            <w:r>
              <w:rPr>
                <w:rFonts w:ascii="Times New Roman" w:hAnsi="Times New Roman"/>
                <w:sz w:val="24"/>
              </w:rPr>
              <w:t>Articolo 47 bis, paragrafo 2, articolo 47 quater, paragrafo 1, articolo 47 quater, paragrafo 3, lettere a), b), c), d), f), h) e i), e articolo 47 quater, paragrafo 6, del CRR</w:t>
            </w:r>
          </w:p>
          <w:p w:rsidR="00DD00B4" w:rsidRPr="00661595" w:rsidRDefault="00303974" w:rsidP="002D571F">
            <w:pPr>
              <w:suppressAutoHyphens/>
              <w:rPr>
                <w:rFonts w:ascii="Times New Roman" w:hAnsi="Times New Roman"/>
                <w:b/>
                <w:sz w:val="24"/>
                <w:u w:val="single"/>
              </w:rPr>
            </w:pPr>
            <w:r>
              <w:rPr>
                <w:rFonts w:ascii="Times New Roman" w:hAnsi="Times New Roman"/>
                <w:sz w:val="24"/>
              </w:rPr>
              <w:t>Gli enti segnalano il valore dell</w:t>
            </w:r>
            <w:r w:rsidR="000878EC">
              <w:rPr>
                <w:rFonts w:ascii="Times New Roman" w:hAnsi="Times New Roman"/>
                <w:sz w:val="24"/>
              </w:rPr>
              <w:t>'</w:t>
            </w:r>
            <w:r>
              <w:rPr>
                <w:rFonts w:ascii="Times New Roman" w:hAnsi="Times New Roman"/>
                <w:sz w:val="24"/>
              </w:rPr>
              <w:t>esposizione</w:t>
            </w:r>
            <w:r w:rsidR="000878EC">
              <w:rPr>
                <w:rFonts w:ascii="Times New Roman" w:hAnsi="Times New Roman"/>
                <w:sz w:val="24"/>
              </w:rPr>
              <w:t xml:space="preserve"> </w:t>
            </w:r>
            <w:r>
              <w:rPr>
                <w:rFonts w:ascii="Times New Roman" w:hAnsi="Times New Roman"/>
                <w:sz w:val="24"/>
              </w:rPr>
              <w:t>complessiva delle parti delle NPE oggetto di misure di concessione garantite da immobili a norma della parte tre, titolo II, del CRR o che sono prestiti su immobili residenziali garantiti da un fornitore di protezione ammissibile di cui all</w:t>
            </w:r>
            <w:r w:rsidR="000878EC">
              <w:rPr>
                <w:rFonts w:ascii="Times New Roman" w:hAnsi="Times New Roman"/>
                <w:sz w:val="24"/>
              </w:rPr>
              <w:t>'</w:t>
            </w:r>
            <w:r>
              <w:rPr>
                <w:rFonts w:ascii="Times New Roman" w:hAnsi="Times New Roman"/>
                <w:sz w:val="24"/>
              </w:rPr>
              <w:t>articolo 201 del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0080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2D571F">
            <w:pPr>
              <w:suppressAutoHyphens/>
              <w:rPr>
                <w:rFonts w:ascii="Times New Roman" w:hAnsi="Times New Roman"/>
                <w:b/>
                <w:sz w:val="24"/>
                <w:u w:val="single"/>
              </w:rPr>
            </w:pPr>
            <w:r>
              <w:rPr>
                <w:rFonts w:ascii="Times New Roman" w:hAnsi="Times New Roman"/>
                <w:b/>
                <w:sz w:val="24"/>
                <w:u w:val="single"/>
              </w:rPr>
              <w:t>&gt;2 e &lt; = 3 anni dopo la classificazione come NPE</w:t>
            </w:r>
          </w:p>
          <w:p w:rsidR="00DD00B4" w:rsidRPr="00661595" w:rsidRDefault="00DD00B4" w:rsidP="002D571F">
            <w:pPr>
              <w:suppressAutoHyphens/>
              <w:rPr>
                <w:rFonts w:ascii="Times New Roman" w:hAnsi="Times New Roman"/>
                <w:b/>
                <w:sz w:val="24"/>
                <w:u w:val="single"/>
              </w:rPr>
            </w:pPr>
            <w:r>
              <w:rPr>
                <w:rFonts w:ascii="Times New Roman" w:hAnsi="Times New Roman"/>
                <w:sz w:val="24"/>
              </w:rPr>
              <w:lastRenderedPageBreak/>
              <w:t>Gli enti segnalano il valore dell</w:t>
            </w:r>
            <w:r w:rsidR="000878EC">
              <w:rPr>
                <w:rFonts w:ascii="Times New Roman" w:hAnsi="Times New Roman"/>
                <w:sz w:val="24"/>
              </w:rPr>
              <w:t>'</w:t>
            </w:r>
            <w:r>
              <w:rPr>
                <w:rFonts w:ascii="Times New Roman" w:hAnsi="Times New Roman"/>
                <w:sz w:val="24"/>
              </w:rPr>
              <w:t>esposizione delle NPE oggetto di misure di concessione soggette all</w:t>
            </w:r>
            <w:r w:rsidR="000878EC">
              <w:rPr>
                <w:rFonts w:ascii="Times New Roman" w:hAnsi="Times New Roman"/>
                <w:sz w:val="24"/>
              </w:rPr>
              <w:t>'</w:t>
            </w:r>
            <w:r>
              <w:rPr>
                <w:rFonts w:ascii="Times New Roman" w:hAnsi="Times New Roman"/>
                <w:sz w:val="24"/>
              </w:rPr>
              <w:t>articolo 47 quater, paragrafo 6, del CRR garantite da immobili o prestiti su immobili residenziali garantiti da un fornitore di protezione ammissibile se la prima misura di concessione è stata accordata tra il primo e l</w:t>
            </w:r>
            <w:r w:rsidR="000878EC">
              <w:rPr>
                <w:rFonts w:ascii="Times New Roman" w:hAnsi="Times New Roman"/>
                <w:sz w:val="24"/>
              </w:rPr>
              <w:t>'</w:t>
            </w:r>
            <w:r>
              <w:rPr>
                <w:rFonts w:ascii="Times New Roman" w:hAnsi="Times New Roman"/>
                <w:sz w:val="24"/>
              </w:rPr>
              <w:t>ultimo giorno del terzo anno dopo la classificazione dell</w:t>
            </w:r>
            <w:r w:rsidR="000878EC">
              <w:rPr>
                <w:rFonts w:ascii="Times New Roman" w:hAnsi="Times New Roman"/>
                <w:sz w:val="24"/>
              </w:rPr>
              <w:t>'</w:t>
            </w:r>
            <w:r>
              <w:rPr>
                <w:rFonts w:ascii="Times New Roman" w:hAnsi="Times New Roman"/>
                <w:sz w:val="24"/>
              </w:rPr>
              <w:t>esposizione come esposizione deteriorata.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0090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2D571F">
            <w:pPr>
              <w:suppressAutoHyphens/>
              <w:rPr>
                <w:rFonts w:ascii="Times New Roman" w:hAnsi="Times New Roman"/>
                <w:b/>
                <w:sz w:val="24"/>
                <w:u w:val="single"/>
              </w:rPr>
            </w:pPr>
            <w:r>
              <w:rPr>
                <w:rFonts w:ascii="Times New Roman" w:hAnsi="Times New Roman"/>
                <w:b/>
                <w:sz w:val="24"/>
                <w:u w:val="single"/>
              </w:rPr>
              <w:t>&gt;3 e &lt; = 4 anni dopo la classificazione come NPE</w:t>
            </w:r>
          </w:p>
          <w:p w:rsidR="00DD00B4" w:rsidRPr="00661595" w:rsidRDefault="00DD00B4" w:rsidP="002D571F">
            <w:pPr>
              <w:suppressAutoHyphens/>
              <w:rPr>
                <w:rFonts w:ascii="Times New Roman" w:hAnsi="Times New Roman"/>
                <w:b/>
                <w:sz w:val="24"/>
                <w:u w:val="single"/>
              </w:rPr>
            </w:pPr>
            <w:r>
              <w:rPr>
                <w:rFonts w:ascii="Times New Roman" w:hAnsi="Times New Roman"/>
                <w:sz w:val="24"/>
              </w:rPr>
              <w:t>Gli enti segnalano il valore dell</w:t>
            </w:r>
            <w:r w:rsidR="000878EC">
              <w:rPr>
                <w:rFonts w:ascii="Times New Roman" w:hAnsi="Times New Roman"/>
                <w:sz w:val="24"/>
              </w:rPr>
              <w:t>'</w:t>
            </w:r>
            <w:r>
              <w:rPr>
                <w:rFonts w:ascii="Times New Roman" w:hAnsi="Times New Roman"/>
                <w:sz w:val="24"/>
              </w:rPr>
              <w:t>esposizione delle NPE oggetto di misure di concessione soggette all</w:t>
            </w:r>
            <w:r w:rsidR="000878EC">
              <w:rPr>
                <w:rFonts w:ascii="Times New Roman" w:hAnsi="Times New Roman"/>
                <w:sz w:val="24"/>
              </w:rPr>
              <w:t>'</w:t>
            </w:r>
            <w:r>
              <w:rPr>
                <w:rFonts w:ascii="Times New Roman" w:hAnsi="Times New Roman"/>
                <w:sz w:val="24"/>
              </w:rPr>
              <w:t>articolo 47 quater, paragrafo 6, del CRR garantite da immobili o prestiti su immobili residenziali garantiti da un fornitore di protezione ammissibile se la prima misura di concessione è stata accordata tra il primo e l</w:t>
            </w:r>
            <w:r w:rsidR="000878EC">
              <w:rPr>
                <w:rFonts w:ascii="Times New Roman" w:hAnsi="Times New Roman"/>
                <w:sz w:val="24"/>
              </w:rPr>
              <w:t>'</w:t>
            </w:r>
            <w:r>
              <w:rPr>
                <w:rFonts w:ascii="Times New Roman" w:hAnsi="Times New Roman"/>
                <w:sz w:val="24"/>
              </w:rPr>
              <w:t>ultimo giorno del quarto anno dopo la classificazione dell</w:t>
            </w:r>
            <w:r w:rsidR="000878EC">
              <w:rPr>
                <w:rFonts w:ascii="Times New Roman" w:hAnsi="Times New Roman"/>
                <w:sz w:val="24"/>
              </w:rPr>
              <w:t>'</w:t>
            </w:r>
            <w:r>
              <w:rPr>
                <w:rFonts w:ascii="Times New Roman" w:hAnsi="Times New Roman"/>
                <w:sz w:val="24"/>
              </w:rPr>
              <w:t>esposizione come esposizione deteriorata.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0100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2D571F">
            <w:pPr>
              <w:suppressAutoHyphens/>
              <w:rPr>
                <w:rFonts w:ascii="Times New Roman" w:hAnsi="Times New Roman"/>
                <w:b/>
                <w:sz w:val="24"/>
                <w:u w:val="single"/>
              </w:rPr>
            </w:pPr>
            <w:r>
              <w:rPr>
                <w:rFonts w:ascii="Times New Roman" w:hAnsi="Times New Roman"/>
                <w:b/>
                <w:sz w:val="24"/>
                <w:u w:val="single"/>
              </w:rPr>
              <w:t>&gt;4 e &lt; = 5 anni dopo la classificazione come NPE</w:t>
            </w:r>
          </w:p>
          <w:p w:rsidR="00DD00B4" w:rsidRPr="00661595" w:rsidRDefault="00DD00B4" w:rsidP="002D571F">
            <w:pPr>
              <w:suppressAutoHyphens/>
              <w:rPr>
                <w:rFonts w:ascii="Times New Roman" w:hAnsi="Times New Roman"/>
                <w:b/>
                <w:sz w:val="24"/>
                <w:u w:val="single"/>
              </w:rPr>
            </w:pPr>
            <w:r>
              <w:rPr>
                <w:rFonts w:ascii="Times New Roman" w:hAnsi="Times New Roman"/>
                <w:sz w:val="24"/>
              </w:rPr>
              <w:t>Gli enti segnalano il valore dell</w:t>
            </w:r>
            <w:r w:rsidR="000878EC">
              <w:rPr>
                <w:rFonts w:ascii="Times New Roman" w:hAnsi="Times New Roman"/>
                <w:sz w:val="24"/>
              </w:rPr>
              <w:t>'</w:t>
            </w:r>
            <w:r>
              <w:rPr>
                <w:rFonts w:ascii="Times New Roman" w:hAnsi="Times New Roman"/>
                <w:sz w:val="24"/>
              </w:rPr>
              <w:t>esposizione delle NPE oggetto di misure di concessione soggette all</w:t>
            </w:r>
            <w:r w:rsidR="000878EC">
              <w:rPr>
                <w:rFonts w:ascii="Times New Roman" w:hAnsi="Times New Roman"/>
                <w:sz w:val="24"/>
              </w:rPr>
              <w:t>'</w:t>
            </w:r>
            <w:r>
              <w:rPr>
                <w:rFonts w:ascii="Times New Roman" w:hAnsi="Times New Roman"/>
                <w:sz w:val="24"/>
              </w:rPr>
              <w:t>articolo 47 quater, paragrafo 6, del CRR garantite da immobili o prestiti su immobili residenziali garantiti da un fornitore di protezione ammissibile se la prima misura di concessione è stata accordata tra il primo e l</w:t>
            </w:r>
            <w:r w:rsidR="000878EC">
              <w:rPr>
                <w:rFonts w:ascii="Times New Roman" w:hAnsi="Times New Roman"/>
                <w:sz w:val="24"/>
              </w:rPr>
              <w:t>'</w:t>
            </w:r>
            <w:r>
              <w:rPr>
                <w:rFonts w:ascii="Times New Roman" w:hAnsi="Times New Roman"/>
                <w:sz w:val="24"/>
              </w:rPr>
              <w:t>ultimo giorno del quinto anno dopo la classificazione dell</w:t>
            </w:r>
            <w:r w:rsidR="000878EC">
              <w:rPr>
                <w:rFonts w:ascii="Times New Roman" w:hAnsi="Times New Roman"/>
                <w:sz w:val="24"/>
              </w:rPr>
              <w:t>'</w:t>
            </w:r>
            <w:r>
              <w:rPr>
                <w:rFonts w:ascii="Times New Roman" w:hAnsi="Times New Roman"/>
                <w:sz w:val="24"/>
              </w:rPr>
              <w:t>esposizione come esposizione deteriorata.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0110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2D571F">
            <w:pPr>
              <w:suppressAutoHyphens/>
              <w:rPr>
                <w:rFonts w:ascii="Times New Roman" w:hAnsi="Times New Roman"/>
                <w:b/>
                <w:sz w:val="24"/>
                <w:u w:val="single"/>
              </w:rPr>
            </w:pPr>
            <w:r>
              <w:rPr>
                <w:rFonts w:ascii="Times New Roman" w:hAnsi="Times New Roman"/>
                <w:b/>
                <w:sz w:val="24"/>
                <w:u w:val="single"/>
              </w:rPr>
              <w:t>&gt;5 e &lt; = 6 anni dopo la classificazione come NPE</w:t>
            </w:r>
          </w:p>
          <w:p w:rsidR="00DD00B4" w:rsidRPr="00661595" w:rsidRDefault="00DD00B4" w:rsidP="002D571F">
            <w:pPr>
              <w:suppressAutoHyphens/>
              <w:rPr>
                <w:rFonts w:ascii="Times New Roman" w:hAnsi="Times New Roman"/>
                <w:b/>
                <w:sz w:val="24"/>
                <w:u w:val="single"/>
              </w:rPr>
            </w:pPr>
            <w:r>
              <w:rPr>
                <w:rFonts w:ascii="Times New Roman" w:hAnsi="Times New Roman"/>
                <w:sz w:val="24"/>
              </w:rPr>
              <w:t>Gli enti segnalano il valore dell</w:t>
            </w:r>
            <w:r w:rsidR="000878EC">
              <w:rPr>
                <w:rFonts w:ascii="Times New Roman" w:hAnsi="Times New Roman"/>
                <w:sz w:val="24"/>
              </w:rPr>
              <w:t>'</w:t>
            </w:r>
            <w:r>
              <w:rPr>
                <w:rFonts w:ascii="Times New Roman" w:hAnsi="Times New Roman"/>
                <w:sz w:val="24"/>
              </w:rPr>
              <w:t>esposizione delle NPE oggetto di misure di concessione soggette all</w:t>
            </w:r>
            <w:r w:rsidR="000878EC">
              <w:rPr>
                <w:rFonts w:ascii="Times New Roman" w:hAnsi="Times New Roman"/>
                <w:sz w:val="24"/>
              </w:rPr>
              <w:t>'</w:t>
            </w:r>
            <w:r>
              <w:rPr>
                <w:rFonts w:ascii="Times New Roman" w:hAnsi="Times New Roman"/>
                <w:sz w:val="24"/>
              </w:rPr>
              <w:t>articolo 47 quater, paragrafo 6, del CRR garantite da immobili o prestiti su immobili residenziali garantiti da un fornitore di protezione ammissibile se la prima misura di concessione è stata accordata tra il primo e l</w:t>
            </w:r>
            <w:r w:rsidR="000878EC">
              <w:rPr>
                <w:rFonts w:ascii="Times New Roman" w:hAnsi="Times New Roman"/>
                <w:sz w:val="24"/>
              </w:rPr>
              <w:t>'</w:t>
            </w:r>
            <w:r>
              <w:rPr>
                <w:rFonts w:ascii="Times New Roman" w:hAnsi="Times New Roman"/>
                <w:sz w:val="24"/>
              </w:rPr>
              <w:t>ultimo giorno del sesto anno dopo la classificazione dell</w:t>
            </w:r>
            <w:r w:rsidR="000878EC">
              <w:rPr>
                <w:rFonts w:ascii="Times New Roman" w:hAnsi="Times New Roman"/>
                <w:sz w:val="24"/>
              </w:rPr>
              <w:t>'</w:t>
            </w:r>
            <w:r>
              <w:rPr>
                <w:rFonts w:ascii="Times New Roman" w:hAnsi="Times New Roman"/>
                <w:sz w:val="24"/>
              </w:rPr>
              <w:t>esposizione come esposizione deteriorata.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0120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2D571F">
            <w:pPr>
              <w:suppressAutoHyphens/>
              <w:rPr>
                <w:rFonts w:ascii="Times New Roman" w:hAnsi="Times New Roman"/>
                <w:b/>
                <w:sz w:val="24"/>
              </w:rPr>
            </w:pPr>
            <w:r>
              <w:rPr>
                <w:rFonts w:ascii="Times New Roman" w:hAnsi="Times New Roman"/>
                <w:b/>
                <w:sz w:val="24"/>
              </w:rPr>
              <w:t>Parte delle NPE garantita da altra protezione del credito di tipo reale o di tipo personale</w:t>
            </w:r>
          </w:p>
          <w:p w:rsidR="00DD00B4" w:rsidRPr="00661595" w:rsidRDefault="00DD00B4" w:rsidP="002D571F">
            <w:pPr>
              <w:suppressAutoHyphens/>
              <w:jc w:val="left"/>
              <w:rPr>
                <w:rFonts w:ascii="Times New Roman" w:hAnsi="Times New Roman"/>
                <w:sz w:val="24"/>
              </w:rPr>
            </w:pPr>
            <w:r>
              <w:rPr>
                <w:rFonts w:ascii="Times New Roman" w:hAnsi="Times New Roman"/>
                <w:sz w:val="24"/>
              </w:rPr>
              <w:t>Articolo 47 quater, paragrafo 1, articolo 47 quater, paragrafo 3, lettere a), b), c), e) e g), articolo 47 quater, paragrafo 6, del CRR.</w:t>
            </w:r>
          </w:p>
          <w:p w:rsidR="00DD00B4" w:rsidRPr="00661595" w:rsidRDefault="00303974" w:rsidP="002D571F">
            <w:pPr>
              <w:suppressAutoHyphens/>
              <w:rPr>
                <w:rFonts w:ascii="Times New Roman" w:hAnsi="Times New Roman"/>
                <w:b/>
                <w:sz w:val="24"/>
                <w:u w:val="single"/>
              </w:rPr>
            </w:pPr>
            <w:r>
              <w:rPr>
                <w:rFonts w:ascii="Times New Roman" w:hAnsi="Times New Roman"/>
                <w:sz w:val="24"/>
              </w:rPr>
              <w:t>Gli enti segnalano il valore dell</w:t>
            </w:r>
            <w:r w:rsidR="000878EC">
              <w:rPr>
                <w:rFonts w:ascii="Times New Roman" w:hAnsi="Times New Roman"/>
                <w:sz w:val="24"/>
              </w:rPr>
              <w:t>'</w:t>
            </w:r>
            <w:r>
              <w:rPr>
                <w:rFonts w:ascii="Times New Roman" w:hAnsi="Times New Roman"/>
                <w:sz w:val="24"/>
              </w:rPr>
              <w:t>esposizione complessiva delle parti delle NPE oggetto di misure di concessione soggette all</w:t>
            </w:r>
            <w:r w:rsidR="000878EC">
              <w:rPr>
                <w:rFonts w:ascii="Times New Roman" w:hAnsi="Times New Roman"/>
                <w:sz w:val="24"/>
              </w:rPr>
              <w:t>'</w:t>
            </w:r>
            <w:r>
              <w:rPr>
                <w:rFonts w:ascii="Times New Roman" w:hAnsi="Times New Roman"/>
                <w:sz w:val="24"/>
              </w:rPr>
              <w:t>articolo 47 quater, paragrafo 6, del CRR garantite da altra protezione del credito di tipo reale o di tipo personale ai sensi della parte tre, titolo II, del CRR.</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0130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2D571F">
            <w:pPr>
              <w:suppressAutoHyphens/>
              <w:rPr>
                <w:rFonts w:ascii="Times New Roman" w:hAnsi="Times New Roman"/>
                <w:b/>
                <w:sz w:val="24"/>
                <w:u w:val="single"/>
              </w:rPr>
            </w:pPr>
            <w:r>
              <w:rPr>
                <w:rFonts w:ascii="Times New Roman" w:hAnsi="Times New Roman"/>
                <w:b/>
                <w:sz w:val="24"/>
                <w:u w:val="single"/>
              </w:rPr>
              <w:t>&gt;2 e &lt; = 3 anni dopo la classificazione come NPE</w:t>
            </w:r>
          </w:p>
          <w:p w:rsidR="00DD00B4" w:rsidRPr="00661595" w:rsidRDefault="00DD00B4" w:rsidP="002D571F">
            <w:pPr>
              <w:suppressAutoHyphens/>
              <w:rPr>
                <w:rFonts w:ascii="Times New Roman" w:hAnsi="Times New Roman"/>
                <w:b/>
                <w:sz w:val="24"/>
              </w:rPr>
            </w:pPr>
            <w:r>
              <w:rPr>
                <w:rFonts w:ascii="Times New Roman" w:hAnsi="Times New Roman"/>
                <w:sz w:val="24"/>
              </w:rPr>
              <w:t>Gli enti segnalano il valore dell</w:t>
            </w:r>
            <w:r w:rsidR="000878EC">
              <w:rPr>
                <w:rFonts w:ascii="Times New Roman" w:hAnsi="Times New Roman"/>
                <w:sz w:val="24"/>
              </w:rPr>
              <w:t>'</w:t>
            </w:r>
            <w:r>
              <w:rPr>
                <w:rFonts w:ascii="Times New Roman" w:hAnsi="Times New Roman"/>
                <w:sz w:val="24"/>
              </w:rPr>
              <w:t>esposizione delle NPE oggetto di misure di concessione soggette all</w:t>
            </w:r>
            <w:r w:rsidR="000878EC">
              <w:rPr>
                <w:rFonts w:ascii="Times New Roman" w:hAnsi="Times New Roman"/>
                <w:sz w:val="24"/>
              </w:rPr>
              <w:t>'</w:t>
            </w:r>
            <w:r>
              <w:rPr>
                <w:rFonts w:ascii="Times New Roman" w:hAnsi="Times New Roman"/>
                <w:sz w:val="24"/>
              </w:rPr>
              <w:t>articolo 47 quater, paragrafo 6, del CRR garantite da altra protezione del credito di tipo reale o personale, se la prima misura di concessione è stata accordata tra il primo e l</w:t>
            </w:r>
            <w:r w:rsidR="000878EC">
              <w:rPr>
                <w:rFonts w:ascii="Times New Roman" w:hAnsi="Times New Roman"/>
                <w:sz w:val="24"/>
              </w:rPr>
              <w:t>'</w:t>
            </w:r>
            <w:r>
              <w:rPr>
                <w:rFonts w:ascii="Times New Roman" w:hAnsi="Times New Roman"/>
                <w:sz w:val="24"/>
              </w:rPr>
              <w:t>ultimo giorno del terzo anno dopo la classificazione dell</w:t>
            </w:r>
            <w:r w:rsidR="000878EC">
              <w:rPr>
                <w:rFonts w:ascii="Times New Roman" w:hAnsi="Times New Roman"/>
                <w:sz w:val="24"/>
              </w:rPr>
              <w:t>'</w:t>
            </w:r>
            <w:r>
              <w:rPr>
                <w:rFonts w:ascii="Times New Roman" w:hAnsi="Times New Roman"/>
                <w:sz w:val="24"/>
              </w:rPr>
              <w:t>esposizione come esposizione deteriorata.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0140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2D571F">
            <w:pPr>
              <w:suppressAutoHyphens/>
              <w:rPr>
                <w:rFonts w:ascii="Times New Roman" w:hAnsi="Times New Roman"/>
                <w:b/>
                <w:sz w:val="24"/>
                <w:u w:val="single"/>
              </w:rPr>
            </w:pPr>
            <w:r>
              <w:rPr>
                <w:rFonts w:ascii="Times New Roman" w:hAnsi="Times New Roman"/>
                <w:b/>
                <w:sz w:val="24"/>
                <w:u w:val="single"/>
              </w:rPr>
              <w:t>&gt;3 e &lt; = 4 anni dopo la classificazione come NPE</w:t>
            </w:r>
          </w:p>
          <w:p w:rsidR="00DD00B4" w:rsidRPr="00661595" w:rsidRDefault="00DD00B4" w:rsidP="002D571F">
            <w:pPr>
              <w:suppressAutoHyphens/>
              <w:rPr>
                <w:rFonts w:ascii="Times New Roman" w:hAnsi="Times New Roman"/>
                <w:b/>
                <w:sz w:val="24"/>
                <w:u w:val="single"/>
              </w:rPr>
            </w:pPr>
            <w:r>
              <w:rPr>
                <w:rFonts w:ascii="Times New Roman" w:hAnsi="Times New Roman"/>
                <w:sz w:val="24"/>
              </w:rPr>
              <w:t>Gli enti segnalano il valore dell</w:t>
            </w:r>
            <w:r w:rsidR="000878EC">
              <w:rPr>
                <w:rFonts w:ascii="Times New Roman" w:hAnsi="Times New Roman"/>
                <w:sz w:val="24"/>
              </w:rPr>
              <w:t>'</w:t>
            </w:r>
            <w:r>
              <w:rPr>
                <w:rFonts w:ascii="Times New Roman" w:hAnsi="Times New Roman"/>
                <w:sz w:val="24"/>
              </w:rPr>
              <w:t>esposizione delle NPE oggetto di misure di concessione soggette all</w:t>
            </w:r>
            <w:r w:rsidR="000878EC">
              <w:rPr>
                <w:rFonts w:ascii="Times New Roman" w:hAnsi="Times New Roman"/>
                <w:sz w:val="24"/>
              </w:rPr>
              <w:t>'</w:t>
            </w:r>
            <w:r>
              <w:rPr>
                <w:rFonts w:ascii="Times New Roman" w:hAnsi="Times New Roman"/>
                <w:sz w:val="24"/>
              </w:rPr>
              <w:t xml:space="preserve">articolo 47 quater, paragrafo 6, del CRR garantite da altra protezione del credito di tipo reale o personale, se la prima misura di concessione è stata accordata tra il </w:t>
            </w:r>
            <w:r>
              <w:rPr>
                <w:rFonts w:ascii="Times New Roman" w:hAnsi="Times New Roman"/>
                <w:sz w:val="24"/>
              </w:rPr>
              <w:lastRenderedPageBreak/>
              <w:t>primo e l</w:t>
            </w:r>
            <w:r w:rsidR="000878EC">
              <w:rPr>
                <w:rFonts w:ascii="Times New Roman" w:hAnsi="Times New Roman"/>
                <w:sz w:val="24"/>
              </w:rPr>
              <w:t>'</w:t>
            </w:r>
            <w:r>
              <w:rPr>
                <w:rFonts w:ascii="Times New Roman" w:hAnsi="Times New Roman"/>
                <w:sz w:val="24"/>
              </w:rPr>
              <w:t>ultimo giorno del quarto anno dopo la classificazione dell</w:t>
            </w:r>
            <w:r w:rsidR="000878EC">
              <w:rPr>
                <w:rFonts w:ascii="Times New Roman" w:hAnsi="Times New Roman"/>
                <w:sz w:val="24"/>
              </w:rPr>
              <w:t>'</w:t>
            </w:r>
            <w:r>
              <w:rPr>
                <w:rFonts w:ascii="Times New Roman" w:hAnsi="Times New Roman"/>
                <w:sz w:val="24"/>
              </w:rPr>
              <w:t>esposizione come esposizione deteriorata.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lastRenderedPageBreak/>
              <w:t>0150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2D571F">
            <w:pPr>
              <w:suppressAutoHyphens/>
              <w:rPr>
                <w:rFonts w:ascii="Times New Roman" w:hAnsi="Times New Roman"/>
                <w:b/>
                <w:sz w:val="24"/>
                <w:u w:val="single"/>
              </w:rPr>
            </w:pPr>
            <w:r>
              <w:rPr>
                <w:rFonts w:ascii="Times New Roman" w:hAnsi="Times New Roman"/>
                <w:b/>
                <w:sz w:val="24"/>
                <w:u w:val="single"/>
              </w:rPr>
              <w:t>&gt;4 e &lt; = 5 anni dopo la classificazione come NPE</w:t>
            </w:r>
          </w:p>
          <w:p w:rsidR="00DD00B4" w:rsidRPr="00661595" w:rsidRDefault="00DD00B4" w:rsidP="002D571F">
            <w:pPr>
              <w:suppressAutoHyphens/>
              <w:rPr>
                <w:rFonts w:ascii="Times New Roman" w:hAnsi="Times New Roman"/>
                <w:b/>
                <w:sz w:val="24"/>
                <w:u w:val="single"/>
              </w:rPr>
            </w:pPr>
            <w:r>
              <w:rPr>
                <w:rFonts w:ascii="Times New Roman" w:hAnsi="Times New Roman"/>
                <w:sz w:val="24"/>
              </w:rPr>
              <w:t>Gli enti segnalano il valore dell</w:t>
            </w:r>
            <w:r w:rsidR="000878EC">
              <w:rPr>
                <w:rFonts w:ascii="Times New Roman" w:hAnsi="Times New Roman"/>
                <w:sz w:val="24"/>
              </w:rPr>
              <w:t>'</w:t>
            </w:r>
            <w:r>
              <w:rPr>
                <w:rFonts w:ascii="Times New Roman" w:hAnsi="Times New Roman"/>
                <w:sz w:val="24"/>
              </w:rPr>
              <w:t>esposizione delle NPE oggetto di misure di concessione soggette all</w:t>
            </w:r>
            <w:r w:rsidR="000878EC">
              <w:rPr>
                <w:rFonts w:ascii="Times New Roman" w:hAnsi="Times New Roman"/>
                <w:sz w:val="24"/>
              </w:rPr>
              <w:t>'</w:t>
            </w:r>
            <w:r>
              <w:rPr>
                <w:rFonts w:ascii="Times New Roman" w:hAnsi="Times New Roman"/>
                <w:sz w:val="24"/>
              </w:rPr>
              <w:t>articolo 47 quater, paragrafo 6, del CRR garantite da altra protezione del credito di tipo reale o personale, se la prima misura di concessione è stata accordata tra il primo e l</w:t>
            </w:r>
            <w:r w:rsidR="000878EC">
              <w:rPr>
                <w:rFonts w:ascii="Times New Roman" w:hAnsi="Times New Roman"/>
                <w:sz w:val="24"/>
              </w:rPr>
              <w:t>'</w:t>
            </w:r>
            <w:r>
              <w:rPr>
                <w:rFonts w:ascii="Times New Roman" w:hAnsi="Times New Roman"/>
                <w:sz w:val="24"/>
              </w:rPr>
              <w:t>ultimo giorno del quinto anno dopo la classificazione dell</w:t>
            </w:r>
            <w:r w:rsidR="000878EC">
              <w:rPr>
                <w:rFonts w:ascii="Times New Roman" w:hAnsi="Times New Roman"/>
                <w:sz w:val="24"/>
              </w:rPr>
              <w:t>'</w:t>
            </w:r>
            <w:r>
              <w:rPr>
                <w:rFonts w:ascii="Times New Roman" w:hAnsi="Times New Roman"/>
                <w:sz w:val="24"/>
              </w:rPr>
              <w:t>esposizione come esposizione deteriorata.</w:t>
            </w:r>
          </w:p>
        </w:tc>
      </w:tr>
      <w:tr w:rsidR="00DD00B4" w:rsidRPr="00661595" w:rsidTr="00DD00B4">
        <w:tc>
          <w:tcPr>
            <w:tcW w:w="1188" w:type="dxa"/>
            <w:tcBorders>
              <w:top w:val="single" w:sz="4" w:space="0" w:color="auto"/>
              <w:left w:val="single" w:sz="4" w:space="0" w:color="auto"/>
              <w:bottom w:val="single" w:sz="4" w:space="0" w:color="auto"/>
              <w:right w:val="single" w:sz="4" w:space="0" w:color="auto"/>
            </w:tcBorders>
          </w:tcPr>
          <w:p w:rsidR="00DD00B4" w:rsidRPr="00661595" w:rsidRDefault="00DD00B4" w:rsidP="00DD00B4">
            <w:pPr>
              <w:rPr>
                <w:rFonts w:ascii="Times New Roman" w:hAnsi="Times New Roman"/>
                <w:sz w:val="24"/>
              </w:rPr>
            </w:pPr>
            <w:r>
              <w:rPr>
                <w:rFonts w:ascii="Times New Roman" w:hAnsi="Times New Roman"/>
                <w:sz w:val="24"/>
              </w:rPr>
              <w:t>0160</w:t>
            </w:r>
          </w:p>
        </w:tc>
        <w:tc>
          <w:tcPr>
            <w:tcW w:w="8843" w:type="dxa"/>
            <w:tcBorders>
              <w:top w:val="single" w:sz="4" w:space="0" w:color="auto"/>
              <w:left w:val="single" w:sz="4" w:space="0" w:color="auto"/>
              <w:bottom w:val="single" w:sz="4" w:space="0" w:color="auto"/>
              <w:right w:val="single" w:sz="4" w:space="0" w:color="auto"/>
            </w:tcBorders>
          </w:tcPr>
          <w:p w:rsidR="00DD00B4" w:rsidRPr="00661595" w:rsidRDefault="00DD00B4" w:rsidP="002D571F">
            <w:pPr>
              <w:suppressAutoHyphens/>
              <w:rPr>
                <w:rFonts w:ascii="Times New Roman" w:hAnsi="Times New Roman"/>
                <w:b/>
                <w:sz w:val="24"/>
                <w:u w:val="single"/>
              </w:rPr>
            </w:pPr>
            <w:r>
              <w:rPr>
                <w:rFonts w:ascii="Times New Roman" w:hAnsi="Times New Roman"/>
                <w:b/>
                <w:sz w:val="24"/>
                <w:u w:val="single"/>
              </w:rPr>
              <w:t>&gt;5 e &lt; = 6 anni dopo la classificazione come NPE</w:t>
            </w:r>
          </w:p>
          <w:p w:rsidR="00DD00B4" w:rsidRPr="00661595" w:rsidRDefault="00DD00B4" w:rsidP="002D571F">
            <w:pPr>
              <w:suppressAutoHyphens/>
              <w:rPr>
                <w:rFonts w:ascii="Times New Roman" w:hAnsi="Times New Roman"/>
                <w:b/>
                <w:sz w:val="24"/>
                <w:u w:val="single"/>
              </w:rPr>
            </w:pPr>
            <w:r>
              <w:rPr>
                <w:rFonts w:ascii="Times New Roman" w:hAnsi="Times New Roman"/>
                <w:sz w:val="24"/>
              </w:rPr>
              <w:t>Gli enti segnalano il valore dell</w:t>
            </w:r>
            <w:r w:rsidR="000878EC">
              <w:rPr>
                <w:rFonts w:ascii="Times New Roman" w:hAnsi="Times New Roman"/>
                <w:sz w:val="24"/>
              </w:rPr>
              <w:t>'</w:t>
            </w:r>
            <w:r>
              <w:rPr>
                <w:rFonts w:ascii="Times New Roman" w:hAnsi="Times New Roman"/>
                <w:sz w:val="24"/>
              </w:rPr>
              <w:t>esposizione delle NPE oggetto di misure di concessione soggette all</w:t>
            </w:r>
            <w:r w:rsidR="000878EC">
              <w:rPr>
                <w:rFonts w:ascii="Times New Roman" w:hAnsi="Times New Roman"/>
                <w:sz w:val="24"/>
              </w:rPr>
              <w:t>'</w:t>
            </w:r>
            <w:r>
              <w:rPr>
                <w:rFonts w:ascii="Times New Roman" w:hAnsi="Times New Roman"/>
                <w:sz w:val="24"/>
              </w:rPr>
              <w:t>articolo 47 quater, paragrafo 6, del CRR garantite da altra protezione del credito di tipo reale o personale, se la prima misura di concessione è stata accordata tra il primo e l</w:t>
            </w:r>
            <w:r w:rsidR="000878EC">
              <w:rPr>
                <w:rFonts w:ascii="Times New Roman" w:hAnsi="Times New Roman"/>
                <w:sz w:val="24"/>
              </w:rPr>
              <w:t>'</w:t>
            </w:r>
            <w:r>
              <w:rPr>
                <w:rFonts w:ascii="Times New Roman" w:hAnsi="Times New Roman"/>
                <w:sz w:val="24"/>
              </w:rPr>
              <w:t>ultimo giorno del sesto anno dopo la classificazione dell</w:t>
            </w:r>
            <w:r w:rsidR="000878EC">
              <w:rPr>
                <w:rFonts w:ascii="Times New Roman" w:hAnsi="Times New Roman"/>
                <w:sz w:val="24"/>
              </w:rPr>
              <w:t>'</w:t>
            </w:r>
            <w:r>
              <w:rPr>
                <w:rFonts w:ascii="Times New Roman" w:hAnsi="Times New Roman"/>
                <w:sz w:val="24"/>
              </w:rPr>
              <w:t>esposizione come esposizione deteriorata.</w:t>
            </w:r>
          </w:p>
        </w:tc>
      </w:tr>
    </w:tbl>
    <w:p w:rsidR="00DD00B4" w:rsidRPr="00661595" w:rsidRDefault="00DD00B4" w:rsidP="00DD00B4">
      <w:pPr>
        <w:spacing w:after="0"/>
        <w:rPr>
          <w:rStyle w:val="InstructionsTabelleText"/>
          <w:rFonts w:ascii="Times New Roman" w:hAnsi="Times New Roman"/>
          <w:sz w:val="24"/>
        </w:rPr>
      </w:pPr>
    </w:p>
    <w:p w:rsidR="00DD00B4" w:rsidRPr="00661595" w:rsidRDefault="00DD00B4" w:rsidP="006452A4">
      <w:pPr>
        <w:spacing w:after="0"/>
        <w:rPr>
          <w:rStyle w:val="InstructionsTabelleText"/>
          <w:rFonts w:ascii="Times New Roman" w:hAnsi="Times New Roman"/>
          <w:sz w:val="24"/>
        </w:rPr>
      </w:pPr>
    </w:p>
    <w:sectPr w:rsidR="00DD00B4" w:rsidRPr="00661595" w:rsidSect="00B51F42">
      <w:footerReference w:type="even" r:id="rId18"/>
      <w:footerReference w:type="default" r:id="rId19"/>
      <w:headerReference w:type="first" r:id="rId20"/>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78EC" w:rsidRDefault="000878EC" w:rsidP="00D946DB">
      <w:pPr>
        <w:spacing w:before="0" w:after="0"/>
      </w:pPr>
      <w:r>
        <w:separator/>
      </w:r>
    </w:p>
  </w:endnote>
  <w:endnote w:type="continuationSeparator" w:id="0">
    <w:p w:rsidR="000878EC" w:rsidRDefault="000878EC" w:rsidP="00D946DB">
      <w:pPr>
        <w:spacing w:before="0" w:after="0"/>
      </w:pPr>
      <w:r>
        <w:continuationSeparator/>
      </w:r>
    </w:p>
  </w:endnote>
  <w:endnote w:type="continuationNotice" w:id="1">
    <w:p w:rsidR="000878EC" w:rsidRDefault="000878E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8EC" w:rsidRDefault="000878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8EC" w:rsidRPr="00ED1956" w:rsidRDefault="000878EC">
    <w:pPr>
      <w:pStyle w:val="Footer"/>
      <w:jc w:val="right"/>
      <w:rPr>
        <w:rFonts w:ascii="Times New Roman" w:hAnsi="Times New Roman"/>
        <w:sz w:val="22"/>
        <w:szCs w:val="22"/>
      </w:rPr>
    </w:pPr>
    <w:r>
      <w:rPr>
        <w:rFonts w:ascii="Times New Roman" w:hAnsi="Times New Roman"/>
        <w:sz w:val="22"/>
        <w:szCs w:val="22"/>
      </w:rPr>
      <w:fldChar w:fldCharType="begin"/>
    </w:r>
    <w:r>
      <w:rPr>
        <w:rFonts w:ascii="Times New Roman" w:hAnsi="Times New Roman"/>
        <w:sz w:val="22"/>
        <w:szCs w:val="22"/>
      </w:rPr>
      <w:instrText xml:space="preserve"> PAGE   \* MERGEFORMAT </w:instrText>
    </w:r>
    <w:r>
      <w:rPr>
        <w:rFonts w:ascii="Times New Roman" w:hAnsi="Times New Roman"/>
        <w:sz w:val="22"/>
        <w:szCs w:val="22"/>
      </w:rPr>
      <w:fldChar w:fldCharType="separate"/>
    </w:r>
    <w:r w:rsidR="00231838">
      <w:rPr>
        <w:rFonts w:ascii="Times New Roman" w:hAnsi="Times New Roman"/>
        <w:noProof/>
        <w:sz w:val="22"/>
        <w:szCs w:val="22"/>
      </w:rPr>
      <w:t>8</w:t>
    </w:r>
    <w:r>
      <w:rPr>
        <w:rFonts w:ascii="Times New Roman" w:hAnsi="Times New Roman"/>
        <w:sz w:val="22"/>
        <w:szCs w:val="22"/>
      </w:rPr>
      <w:fldChar w:fldCharType="end"/>
    </w:r>
  </w:p>
  <w:p w:rsidR="000878EC" w:rsidRDefault="000878E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8EC" w:rsidRPr="00E85358" w:rsidRDefault="000878EC">
    <w:pPr>
      <w:pStyle w:val="Footer"/>
      <w:jc w:val="right"/>
      <w:rPr>
        <w:sz w:val="22"/>
        <w:szCs w:val="22"/>
      </w:rPr>
    </w:pPr>
    <w:r>
      <w:rPr>
        <w:sz w:val="22"/>
        <w:szCs w:val="22"/>
      </w:rPr>
      <w:fldChar w:fldCharType="begin"/>
    </w:r>
    <w:r>
      <w:rPr>
        <w:sz w:val="22"/>
        <w:szCs w:val="22"/>
      </w:rPr>
      <w:instrText xml:space="preserve"> PAGE   \* MERGEFORMAT </w:instrText>
    </w:r>
    <w:r>
      <w:rPr>
        <w:sz w:val="22"/>
        <w:szCs w:val="22"/>
      </w:rPr>
      <w:fldChar w:fldCharType="separate"/>
    </w:r>
    <w:r w:rsidR="00231838">
      <w:rPr>
        <w:noProof/>
        <w:sz w:val="22"/>
        <w:szCs w:val="22"/>
      </w:rPr>
      <w:t>1</w:t>
    </w:r>
    <w:r>
      <w:rPr>
        <w:sz w:val="22"/>
        <w:szCs w:val="22"/>
      </w:rPr>
      <w:fldChar w:fldCharType="end"/>
    </w:r>
  </w:p>
  <w:p w:rsidR="000878EC" w:rsidRDefault="000878E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8EC" w:rsidRDefault="000878EC">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rsidR="000878EC" w:rsidRDefault="000878EC">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8EC" w:rsidRPr="00ED1956" w:rsidRDefault="000878EC">
    <w:pPr>
      <w:pStyle w:val="Footer"/>
      <w:jc w:val="right"/>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231838">
      <w:rPr>
        <w:rFonts w:ascii="Times New Roman" w:hAnsi="Times New Roman"/>
        <w:noProof/>
        <w:sz w:val="20"/>
        <w:szCs w:val="20"/>
      </w:rPr>
      <w:t>11</w:t>
    </w:r>
    <w:r>
      <w:rPr>
        <w:rFonts w:ascii="Times New Roman" w:hAnsi="Times New Roman"/>
        <w:sz w:val="20"/>
        <w:szCs w:val="20"/>
      </w:rPr>
      <w:fldChar w:fldCharType="end"/>
    </w:r>
  </w:p>
  <w:p w:rsidR="000878EC" w:rsidRPr="00A772B4" w:rsidRDefault="000878E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78EC" w:rsidRDefault="000878EC" w:rsidP="00D946DB">
      <w:pPr>
        <w:spacing w:before="0" w:after="0"/>
      </w:pPr>
      <w:r>
        <w:separator/>
      </w:r>
    </w:p>
  </w:footnote>
  <w:footnote w:type="continuationSeparator" w:id="0">
    <w:p w:rsidR="000878EC" w:rsidRDefault="000878EC" w:rsidP="00D946DB">
      <w:pPr>
        <w:spacing w:before="0" w:after="0"/>
      </w:pPr>
      <w:r>
        <w:continuationSeparator/>
      </w:r>
    </w:p>
  </w:footnote>
  <w:footnote w:type="continuationNotice" w:id="1">
    <w:p w:rsidR="000878EC" w:rsidRDefault="000878EC">
      <w:pPr>
        <w:spacing w:before="0" w:after="0"/>
      </w:pPr>
    </w:p>
  </w:footnote>
  <w:footnote w:id="2">
    <w:p w:rsidR="000878EC" w:rsidRPr="00535792" w:rsidRDefault="000878EC" w:rsidP="00C7103D">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lang w:val="en-GB"/>
        </w:rPr>
        <w:footnoteRef/>
      </w:r>
      <w:r>
        <w:tab/>
      </w:r>
      <w:r>
        <w:rPr>
          <w:rStyle w:val="FootnoteReference"/>
          <w:rFonts w:ascii="Times New Roman" w:hAnsi="Times New Roman"/>
          <w:sz w:val="20"/>
          <w:szCs w:val="20"/>
        </w:rPr>
        <w:t>Regolamento (UE) n. 575/2013 del Parlamento europeo e del Consiglio, del 26 giugno 2013, relativo ai requisiti prudenziali per gli enti creditizi e le imprese di investimento e che modifica il regolamento (UE) n. 648/2012 (GU L 176 del 27.6.2013, pag. 1).</w:t>
      </w:r>
    </w:p>
  </w:footnote>
  <w:footnote w:id="3">
    <w:p w:rsidR="000878EC" w:rsidRPr="00535792" w:rsidRDefault="000878EC" w:rsidP="00C7103D">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tab/>
      </w:r>
      <w:r>
        <w:rPr>
          <w:rStyle w:val="FootnoteReference"/>
          <w:rFonts w:ascii="Times New Roman" w:hAnsi="Times New Roman"/>
          <w:sz w:val="20"/>
          <w:szCs w:val="20"/>
        </w:rPr>
        <w:t>Direttiva 2013/36/UE del Parlamento europeo e del Consiglio, del 26 giugno 2013, sull'accesso all'attività degli enti creditizi e sulla vigilanza prudenziale sugli enti creditizi e sulle imprese di investimento, che modifica la direttiva 2002/87/CE e abroga le direttive 2006/48/CE e 2006/49/CE (GU L 176 del 27.6.2013, pag. 338).</w:t>
      </w:r>
    </w:p>
  </w:footnote>
  <w:footnote w:id="4">
    <w:p w:rsidR="000878EC" w:rsidRPr="00535792" w:rsidRDefault="000878EC" w:rsidP="002C66A4">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vertAlign w:val="superscript"/>
        </w:rPr>
        <w:t xml:space="preserve"> </w:t>
      </w:r>
      <w:r>
        <w:tab/>
      </w:r>
      <w:r>
        <w:rPr>
          <w:rStyle w:val="FootnoteReference"/>
          <w:rFonts w:ascii="Times New Roman" w:hAnsi="Times New Roman"/>
          <w:sz w:val="20"/>
          <w:szCs w:val="20"/>
        </w:rPr>
        <w:t>Direttiva 2013/34/UE del Parlamento europeo e del Consiglio, del 26 giugno 2013, relativa ai bilanci d'esercizio, ai bilanci consolidati e alle relative relazioni di talune tipologie di imprese, recante modifica della direttiva 2006/43/CE del Parlamento europeo e del Consiglio e abrogazione delle direttive 78/660/CEE e 83/349/CEE del Consiglio (GU L 182 del 29.6.2013, pag. 19).</w:t>
      </w:r>
    </w:p>
  </w:footnote>
  <w:footnote w:id="5">
    <w:p w:rsidR="000878EC" w:rsidRPr="00535792" w:rsidRDefault="000878EC" w:rsidP="002C66A4">
      <w:pPr>
        <w:pStyle w:val="FootnoteText"/>
        <w:spacing w:before="0" w:after="0" w:line="240" w:lineRule="auto"/>
        <w:ind w:left="567" w:hanging="567"/>
        <w:rPr>
          <w:rStyle w:val="FootnoteReference"/>
          <w:rFonts w:ascii="Times New Roman" w:hAnsi="Times New Roman"/>
          <w:sz w:val="20"/>
          <w:szCs w:val="20"/>
        </w:rPr>
      </w:pPr>
      <w:r>
        <w:rPr>
          <w:rStyle w:val="FootnoteReference"/>
          <w:rFonts w:ascii="Times New Roman" w:hAnsi="Times New Roman"/>
          <w:sz w:val="20"/>
          <w:szCs w:val="20"/>
          <w:vertAlign w:val="superscript"/>
        </w:rPr>
        <w:footnoteRef/>
      </w:r>
      <w:r>
        <w:rPr>
          <w:rStyle w:val="FootnoteReference"/>
          <w:rFonts w:ascii="Times New Roman" w:hAnsi="Times New Roman"/>
          <w:sz w:val="20"/>
          <w:szCs w:val="20"/>
          <w:vertAlign w:val="superscript"/>
        </w:rPr>
        <w:t xml:space="preserve"> </w:t>
      </w:r>
      <w:r>
        <w:tab/>
      </w:r>
      <w:r>
        <w:rPr>
          <w:rStyle w:val="FootnoteReference"/>
          <w:rFonts w:ascii="Times New Roman" w:hAnsi="Times New Roman"/>
          <w:sz w:val="20"/>
          <w:szCs w:val="20"/>
        </w:rPr>
        <w:t>Direttiva 86/635/CEE del Consiglio dell'8 dicembre 1986 relativa ai conti annuali ed ai conti consolidati delle banche e degli altri istituti finanziari (GU L 372 del 31.12.1986, pag. 1).</w:t>
      </w:r>
    </w:p>
  </w:footnote>
  <w:footnote w:id="6">
    <w:p w:rsidR="000878EC" w:rsidRPr="00535792" w:rsidRDefault="000878EC" w:rsidP="00535792">
      <w:pPr>
        <w:pStyle w:val="FootnoteText"/>
        <w:spacing w:before="0" w:after="0" w:line="240" w:lineRule="auto"/>
        <w:ind w:left="567" w:hanging="567"/>
        <w:rPr>
          <w:rStyle w:val="FootnoteReference"/>
          <w:rFonts w:ascii="Times New Roman" w:hAnsi="Times New Roman"/>
          <w:sz w:val="20"/>
          <w:szCs w:val="20"/>
        </w:rPr>
      </w:pPr>
      <w:r>
        <w:rPr>
          <w:rStyle w:val="FootnoteReference"/>
        </w:rPr>
        <w:footnoteRef/>
      </w:r>
      <w:r>
        <w:t xml:space="preserve"> </w:t>
      </w:r>
      <w:r>
        <w:tab/>
      </w:r>
      <w:r>
        <w:rPr>
          <w:rStyle w:val="FootnoteReference"/>
          <w:rFonts w:ascii="Times New Roman" w:hAnsi="Times New Roman"/>
          <w:sz w:val="20"/>
          <w:szCs w:val="20"/>
        </w:rPr>
        <w:t>Direttiva 2014/59/UE del Parlamento europeo e del Consiglio, del 15 maggio 2014, che istituisce un quadro di risanamento e risoluzione degli enti creditizi e delle imprese di investimento e che modifica la direttiva 82/891/CEE del Consiglio, e le direttive 2001/24/CE, 2002/47/CE, 2004/25/CE, 2005/56/CE, 2007/36/CE, 2011/35/UE, 2012/30/UE e 2013/36/UE e i regolamenti (UE) n. 1093/2010 e (UE) n. 648/2012, del Parlamento europeo e del Consiglio (GU L 173 del 12.6.2014, pag. 190).</w:t>
      </w:r>
    </w:p>
  </w:footnote>
  <w:footnote w:id="7">
    <w:p w:rsidR="000878EC" w:rsidRPr="005B592F" w:rsidRDefault="000878EC" w:rsidP="00821208">
      <w:pPr>
        <w:pStyle w:val="NormalWeb"/>
        <w:suppressAutoHyphens/>
        <w:spacing w:before="0" w:beforeAutospacing="0" w:after="0" w:afterAutospacing="0"/>
        <w:ind w:left="567" w:hanging="567"/>
        <w:jc w:val="both"/>
        <w:rPr>
          <w:sz w:val="20"/>
          <w:szCs w:val="20"/>
        </w:rPr>
      </w:pPr>
      <w:r>
        <w:rPr>
          <w:rStyle w:val="FootnoteReference"/>
          <w:rFonts w:ascii="Times New Roman" w:hAnsi="Times New Roman"/>
          <w:sz w:val="20"/>
          <w:szCs w:val="20"/>
        </w:rPr>
        <w:footnoteRef/>
      </w:r>
      <w:r>
        <w:t xml:space="preserve"> </w:t>
      </w:r>
      <w:r>
        <w:tab/>
      </w:r>
      <w:r w:rsidRPr="006A4B4F">
        <w:rPr>
          <w:sz w:val="20"/>
          <w:szCs w:val="20"/>
        </w:rPr>
        <w:t>R</w:t>
      </w:r>
      <w:r>
        <w:rPr>
          <w:sz w:val="20"/>
          <w:szCs w:val="20"/>
        </w:rPr>
        <w:t>egolamento delegato (UE) n. </w:t>
      </w:r>
      <w:r w:rsidRPr="006A4B4F">
        <w:rPr>
          <w:sz w:val="20"/>
          <w:szCs w:val="20"/>
        </w:rPr>
        <w:t>241/2014 della Commissione, del 7 gennaio 2014, che</w:t>
      </w:r>
      <w:r>
        <w:rPr>
          <w:sz w:val="20"/>
          <w:szCs w:val="20"/>
        </w:rPr>
        <w:t xml:space="preserve"> integra il regolamento (UE) n. </w:t>
      </w:r>
      <w:r w:rsidRPr="006A4B4F">
        <w:rPr>
          <w:sz w:val="20"/>
          <w:szCs w:val="20"/>
        </w:rPr>
        <w:t xml:space="preserve">575/2013 del Parlamento europeo e del Consiglio per quanto riguarda le norme tecniche di regolamentazione sui requisiti di </w:t>
      </w:r>
      <w:r>
        <w:rPr>
          <w:sz w:val="20"/>
          <w:szCs w:val="20"/>
        </w:rPr>
        <w:t>fondi propri per gli enti (GU L 74 del 14.3.2014, pag. </w:t>
      </w:r>
      <w:r w:rsidRPr="006A4B4F">
        <w:rPr>
          <w:sz w:val="20"/>
          <w:szCs w:val="20"/>
        </w:rPr>
        <w:t>8).</w:t>
      </w:r>
    </w:p>
  </w:footnote>
  <w:footnote w:id="8">
    <w:p w:rsidR="000878EC" w:rsidRPr="005B592F" w:rsidRDefault="000878EC" w:rsidP="008A2D23">
      <w:pPr>
        <w:pStyle w:val="FootnoteText"/>
        <w:suppressAutoHyphens/>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tab/>
      </w:r>
      <w:r>
        <w:rPr>
          <w:rFonts w:ascii="Times New Roman" w:hAnsi="Times New Roman"/>
          <w:color w:val="444444"/>
          <w:sz w:val="20"/>
          <w:szCs w:val="20"/>
        </w:rPr>
        <w:t>Settima direttiva 83/349/CEE del Consiglio, del 13 giugno 1983, basata sull'articolo 54, paragrafo 3, lettera g), del Trattato e relativa ai conti consolidati (GU L 193 del 18.7.1983, pag. 1).</w:t>
      </w:r>
    </w:p>
  </w:footnote>
  <w:footnote w:id="9">
    <w:p w:rsidR="000878EC" w:rsidRPr="005B592F" w:rsidRDefault="000878EC" w:rsidP="008A2D23">
      <w:pPr>
        <w:pStyle w:val="FootnoteText"/>
        <w:suppressAutoHyphens/>
        <w:ind w:left="567" w:hanging="567"/>
        <w:rPr>
          <w:rFonts w:ascii="Times New Roman" w:hAnsi="Times New Roman"/>
          <w:sz w:val="20"/>
          <w:szCs w:val="20"/>
        </w:rPr>
      </w:pPr>
      <w:r>
        <w:rPr>
          <w:rStyle w:val="FootnoteReference"/>
          <w:rFonts w:ascii="Times New Roman" w:hAnsi="Times New Roman"/>
          <w:sz w:val="20"/>
          <w:szCs w:val="20"/>
        </w:rPr>
        <w:footnoteRef/>
      </w:r>
      <w:r>
        <w:rPr>
          <w:rFonts w:ascii="Times New Roman" w:hAnsi="Times New Roman"/>
          <w:sz w:val="20"/>
          <w:szCs w:val="20"/>
        </w:rPr>
        <w:t xml:space="preserve"> </w:t>
      </w:r>
      <w:r>
        <w:tab/>
      </w:r>
      <w:r>
        <w:rPr>
          <w:rFonts w:ascii="Times New Roman" w:hAnsi="Times New Roman"/>
          <w:color w:val="444444"/>
          <w:sz w:val="20"/>
          <w:szCs w:val="20"/>
        </w:rPr>
        <w:t>Direttiva 2009/65/CE del Parlamento europeo e del Consiglio del 13 luglio 2009 concernente il coordinamento delle disposizioni legislative, regolamentari e amministrative in materia di taluni organismi d'investimento collettivo in valori mobiliari (OICVM) (GU L 302 del 17.11.2009, pag. 32).</w:t>
      </w:r>
    </w:p>
  </w:footnote>
  <w:footnote w:id="10">
    <w:p w:rsidR="000878EC" w:rsidRPr="0002267E" w:rsidRDefault="000878EC" w:rsidP="007F0EBF">
      <w:pPr>
        <w:pStyle w:val="FootnoteText"/>
        <w:suppressAutoHyphens/>
        <w:ind w:left="567" w:hanging="567"/>
        <w:rPr>
          <w:rFonts w:ascii="Times New Roman" w:hAnsi="Times New Roman"/>
          <w:sz w:val="20"/>
          <w:szCs w:val="20"/>
        </w:rPr>
      </w:pPr>
      <w:r>
        <w:rPr>
          <w:rStyle w:val="FootnoteReference"/>
          <w:rFonts w:ascii="Times New Roman" w:hAnsi="Times New Roman"/>
          <w:sz w:val="20"/>
          <w:szCs w:val="20"/>
        </w:rPr>
        <w:footnoteRef/>
      </w:r>
      <w:r>
        <w:tab/>
      </w:r>
      <w:r>
        <w:rPr>
          <w:rFonts w:ascii="Times New Roman" w:hAnsi="Times New Roman"/>
          <w:color w:val="444444"/>
          <w:sz w:val="20"/>
          <w:szCs w:val="20"/>
        </w:rPr>
        <w:t>Regolamento delegato (UE) n. 1152/2014 della Commissione, del 4 giugno 2014, che integra la direttiva 2013/36/UE del Parlamento europeo e del Consiglio per quanto riguarda le norme tecniche di regolamentazione sull'identificazione della localizzazione geografica delle esposizioni creditizie rilevanti ai fini del calcolo dei coefficienti anticiclici specifici dell'ente (</w:t>
      </w:r>
      <w:r>
        <w:rPr>
          <w:rFonts w:ascii="Times New Roman" w:hAnsi="Times New Roman"/>
          <w:iCs/>
          <w:color w:val="444444"/>
          <w:sz w:val="20"/>
          <w:szCs w:val="20"/>
        </w:rPr>
        <w:t>GU L 309 del 30.10.2014, pag. 5).</w:t>
      </w:r>
    </w:p>
  </w:footnote>
  <w:footnote w:id="11">
    <w:p w:rsidR="000878EC" w:rsidRPr="0002267E" w:rsidRDefault="000878EC" w:rsidP="00DE1A1A">
      <w:pPr>
        <w:pStyle w:val="FootnoteText"/>
        <w:suppressAutoHyphens/>
        <w:ind w:left="567" w:hanging="567"/>
        <w:rPr>
          <w:rFonts w:ascii="Times New Roman" w:hAnsi="Times New Roman"/>
          <w:sz w:val="20"/>
          <w:szCs w:val="20"/>
        </w:rPr>
      </w:pPr>
      <w:r>
        <w:rPr>
          <w:rStyle w:val="FootnoteReference"/>
        </w:rPr>
        <w:footnoteRef/>
      </w:r>
      <w:r>
        <w:t xml:space="preserve"> </w:t>
      </w:r>
      <w:r>
        <w:tab/>
      </w:r>
      <w:r>
        <w:rPr>
          <w:rFonts w:ascii="Times New Roman" w:hAnsi="Times New Roman"/>
          <w:color w:val="444444"/>
          <w:sz w:val="20"/>
          <w:szCs w:val="20"/>
        </w:rPr>
        <w:t>Regolamento (UE) 2017/2402 del Parlamento europeo e del Consiglio, del 12 dicembre 2017, che stabilisce un quadro generale per la cartolarizzazione, instaura un quadro specifico per cartolarizzazioni semplici, trasparenti e standardizzate e modifica le direttive 2009/65/CE, 2009/138/CE e 2011/61/UE e i regolamenti (CE) n. 1060/2009 e (UE) n. 648/2012 (</w:t>
      </w:r>
      <w:r>
        <w:rPr>
          <w:rFonts w:ascii="Times New Roman" w:hAnsi="Times New Roman"/>
          <w:iCs/>
          <w:color w:val="444444"/>
          <w:sz w:val="20"/>
          <w:szCs w:val="20"/>
        </w:rPr>
        <w:t>GU L 347 del 28.12.2017, pag. 35).</w:t>
      </w:r>
    </w:p>
  </w:footnote>
  <w:footnote w:id="12">
    <w:p w:rsidR="000878EC" w:rsidRPr="002409C1" w:rsidRDefault="000878EC" w:rsidP="002409C1">
      <w:pPr>
        <w:pStyle w:val="FootnoteText"/>
        <w:ind w:left="567" w:hanging="567"/>
        <w:rPr>
          <w:rFonts w:ascii="Times New Roman" w:hAnsi="Times New Roman"/>
          <w:sz w:val="20"/>
          <w:szCs w:val="20"/>
        </w:rPr>
      </w:pPr>
      <w:r>
        <w:rPr>
          <w:rStyle w:val="FootnoteReference"/>
          <w:rFonts w:ascii="Times New Roman" w:hAnsi="Times New Roman"/>
        </w:rPr>
        <w:footnoteRef/>
      </w:r>
      <w:r>
        <w:rPr>
          <w:rFonts w:ascii="Times New Roman" w:hAnsi="Times New Roman"/>
        </w:rPr>
        <w:t xml:space="preserve"> </w:t>
      </w:r>
      <w:r>
        <w:tab/>
      </w:r>
      <w:r>
        <w:rPr>
          <w:rFonts w:ascii="Times New Roman" w:hAnsi="Times New Roman"/>
          <w:sz w:val="20"/>
          <w:szCs w:val="20"/>
        </w:rPr>
        <w:t>Gli «enti autonomi» non fanno parte di un gruppo né si consolidano nello stesso paese in cui sono soggetti ai requisiti di fondi propri.</w:t>
      </w:r>
    </w:p>
  </w:footnote>
  <w:footnote w:id="13">
    <w:p w:rsidR="000878EC" w:rsidRPr="00B828CC" w:rsidRDefault="000878EC" w:rsidP="00F2281A">
      <w:pPr>
        <w:pStyle w:val="FootnoteText"/>
        <w:suppressAutoHyphens/>
      </w:pPr>
      <w:r>
        <w:rPr>
          <w:rStyle w:val="FootnoteReference"/>
        </w:rPr>
        <w:footnoteRef/>
      </w:r>
      <w:r>
        <w:tab/>
      </w:r>
      <w:r>
        <w:tab/>
      </w:r>
      <w:r>
        <w:rPr>
          <w:rFonts w:ascii="Times New Roman" w:hAnsi="Times New Roman"/>
          <w:sz w:val="20"/>
          <w:szCs w:val="20"/>
        </w:rPr>
        <w:t>Regolamento delegato (UE) n. 525/2014 della Commissione, del 12 marzo 2014, che integra il regolamento (UE) n. 575/2013 del Parlamento europeo e del Consiglio per quanto riguarda le norme tecniche di regolamentazione relative alla definizione del termine «mercato» (</w:t>
      </w:r>
      <w:r>
        <w:rPr>
          <w:rFonts w:ascii="Times New Roman" w:hAnsi="Times New Roman"/>
          <w:iCs/>
          <w:sz w:val="20"/>
          <w:szCs w:val="20"/>
        </w:rPr>
        <w:t>GU L 148 del 20.5.2014, pag. 15)</w:t>
      </w:r>
      <w:r>
        <w:rPr>
          <w:rFonts w:ascii="Times New Roman" w:hAnsi="Times New Roman"/>
          <w:i/>
          <w:iCs/>
          <w:sz w:val="20"/>
          <w:szCs w:val="20"/>
        </w:rPr>
        <w:t>.</w:t>
      </w:r>
    </w:p>
  </w:footnote>
  <w:footnote w:id="14">
    <w:p w:rsidR="000878EC" w:rsidRPr="00A11C6E" w:rsidRDefault="000878EC">
      <w:pPr>
        <w:pStyle w:val="FootnoteText"/>
      </w:pPr>
      <w:r>
        <w:rPr>
          <w:rStyle w:val="FootnoteReference"/>
        </w:rPr>
        <w:footnoteRef/>
      </w:r>
      <w:r>
        <w:t xml:space="preserve"> </w:t>
      </w:r>
      <w:r w:rsidRPr="00F2281A">
        <w:rPr>
          <w:rFonts w:ascii="Times New Roman" w:hAnsi="Times New Roman"/>
          <w:sz w:val="20"/>
        </w:rPr>
        <w:t>Re</w:t>
      </w:r>
      <w:r>
        <w:rPr>
          <w:rFonts w:ascii="Times New Roman" w:hAnsi="Times New Roman"/>
          <w:sz w:val="20"/>
        </w:rPr>
        <w:t>golamento di esecuzione (UE) n. </w:t>
      </w:r>
      <w:r w:rsidRPr="00F2281A">
        <w:rPr>
          <w:rFonts w:ascii="Times New Roman" w:hAnsi="Times New Roman"/>
          <w:sz w:val="20"/>
        </w:rPr>
        <w:t>945/2014 della Commissione, del 4 settembre 2014, che stabilisce norme tecniche di attuazione per quanto riguarda gli indici pertinenti adeguatamente diversificati confo</w:t>
      </w:r>
      <w:r>
        <w:rPr>
          <w:rFonts w:ascii="Times New Roman" w:hAnsi="Times New Roman"/>
          <w:sz w:val="20"/>
        </w:rPr>
        <w:t>rmemente al regolamento (UE) n. </w:t>
      </w:r>
      <w:r w:rsidRPr="00F2281A">
        <w:rPr>
          <w:rFonts w:ascii="Times New Roman" w:hAnsi="Times New Roman"/>
          <w:sz w:val="20"/>
        </w:rPr>
        <w:t>575/2013 del Parlamento europeo e del Consiglio</w:t>
      </w:r>
    </w:p>
  </w:footnote>
  <w:footnote w:id="15">
    <w:p w:rsidR="000878EC" w:rsidRPr="00B828CC" w:rsidRDefault="000878EC">
      <w:pPr>
        <w:pStyle w:val="FootnoteText"/>
      </w:pPr>
      <w:r>
        <w:rPr>
          <w:rStyle w:val="FootnoteReference"/>
        </w:rPr>
        <w:footnoteRef/>
      </w:r>
      <w:r>
        <w:tab/>
      </w:r>
      <w:r w:rsidRPr="00A44D06">
        <w:rPr>
          <w:rFonts w:ascii="Times New Roman" w:hAnsi="Times New Roman"/>
          <w:sz w:val="20"/>
          <w:szCs w:val="20"/>
        </w:rPr>
        <w:t>Regolamento delegato (UE) 2016/101 della Commissione, del 26 ottobre 2015, che integra il</w:t>
      </w:r>
      <w:r>
        <w:rPr>
          <w:rFonts w:ascii="Times New Roman" w:hAnsi="Times New Roman"/>
          <w:sz w:val="20"/>
          <w:szCs w:val="20"/>
        </w:rPr>
        <w:t xml:space="preserve"> regolamento (UE) n. </w:t>
      </w:r>
      <w:r w:rsidRPr="00A44D06">
        <w:rPr>
          <w:rFonts w:ascii="Times New Roman" w:hAnsi="Times New Roman"/>
          <w:sz w:val="20"/>
          <w:szCs w:val="20"/>
        </w:rPr>
        <w:t>575/2013 del Parlamento europeo e del Consiglio per quanto riguarda le norme tecniche di regolamentazione per la valutazione prudente a norma dell</w:t>
      </w:r>
      <w:r>
        <w:rPr>
          <w:rFonts w:ascii="Times New Roman" w:hAnsi="Times New Roman"/>
          <w:sz w:val="20"/>
          <w:szCs w:val="20"/>
        </w:rPr>
        <w:t>'</w:t>
      </w:r>
      <w:r w:rsidRPr="00A44D06">
        <w:rPr>
          <w:rFonts w:ascii="Times New Roman" w:hAnsi="Times New Roman"/>
          <w:sz w:val="20"/>
          <w:szCs w:val="20"/>
        </w:rPr>
        <w:t>a</w:t>
      </w:r>
      <w:r>
        <w:rPr>
          <w:rFonts w:ascii="Times New Roman" w:hAnsi="Times New Roman"/>
          <w:sz w:val="20"/>
          <w:szCs w:val="20"/>
        </w:rPr>
        <w:t>rticolo 105, paragrafo 14 (GU L 21 del 28.1.2016, pag. </w:t>
      </w:r>
      <w:r w:rsidRPr="00A44D06">
        <w:rPr>
          <w:rFonts w:ascii="Times New Roman" w:hAnsi="Times New Roman"/>
          <w:sz w:val="20"/>
          <w:szCs w:val="20"/>
        </w:rPr>
        <w:t>54).</w:t>
      </w:r>
    </w:p>
  </w:footnote>
  <w:footnote w:id="16">
    <w:p w:rsidR="000878EC" w:rsidRPr="009B688D" w:rsidRDefault="000878EC" w:rsidP="0016282F">
      <w:pPr>
        <w:pStyle w:val="NormalWeb"/>
        <w:spacing w:before="0" w:beforeAutospacing="0" w:after="75" w:afterAutospacing="0"/>
        <w:ind w:left="567" w:hanging="567"/>
        <w:rPr>
          <w:sz w:val="20"/>
          <w:szCs w:val="20"/>
        </w:rPr>
      </w:pPr>
      <w:r>
        <w:rPr>
          <w:rStyle w:val="FootnoteReference"/>
          <w:rFonts w:ascii="Times New Roman" w:hAnsi="Times New Roman"/>
          <w:sz w:val="20"/>
          <w:szCs w:val="20"/>
        </w:rPr>
        <w:footnoteRef/>
      </w:r>
      <w:r>
        <w:rPr>
          <w:sz w:val="20"/>
          <w:szCs w:val="20"/>
        </w:rPr>
        <w:t xml:space="preserve"> </w:t>
      </w:r>
      <w:r>
        <w:tab/>
      </w:r>
      <w:r>
        <w:rPr>
          <w:sz w:val="20"/>
          <w:szCs w:val="20"/>
        </w:rPr>
        <w:t>Regolamento (CE) n. 1606/2002 del Parlamento europeo e del Consiglio, del 19 luglio 2002, relativo all'applicazione di principi contabili internazionali (GU L 243 dell'11.9.2002, pag. 1).</w:t>
      </w:r>
    </w:p>
    <w:p w:rsidR="000878EC" w:rsidRPr="0016282F" w:rsidRDefault="000878EC" w:rsidP="0016282F">
      <w:pPr>
        <w:pStyle w:val="FootnoteText"/>
        <w:ind w:left="567" w:hanging="567"/>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8EC" w:rsidRDefault="000878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8EC" w:rsidRDefault="000878E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8EC" w:rsidRPr="00631405" w:rsidRDefault="000878EC" w:rsidP="0063140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78EC" w:rsidRDefault="000878EC">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E70D5F"/>
    <w:multiLevelType w:val="multilevel"/>
    <w:tmpl w:val="FA74CB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7F386A"/>
    <w:multiLevelType w:val="hybridMultilevel"/>
    <w:tmpl w:val="EC0C0FB2"/>
    <w:lvl w:ilvl="0" w:tplc="46582110">
      <w:numFmt w:val="bullet"/>
      <w:lvlText w:val="-"/>
      <w:lvlJc w:val="left"/>
      <w:pPr>
        <w:ind w:left="720" w:hanging="360"/>
      </w:pPr>
      <w:rPr>
        <w:rFonts w:ascii="Verdana" w:eastAsia="Arial"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7"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AF56781"/>
    <w:multiLevelType w:val="hybridMultilevel"/>
    <w:tmpl w:val="136C5D58"/>
    <w:lvl w:ilvl="0" w:tplc="8D14D12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0"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15:restartNumberingAfterBreak="0">
    <w:nsid w:val="222179FB"/>
    <w:multiLevelType w:val="hybridMultilevel"/>
    <w:tmpl w:val="6B24D0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5"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F7D7F02"/>
    <w:multiLevelType w:val="multilevel"/>
    <w:tmpl w:val="0407001D"/>
    <w:numStyleLink w:val="Formatvorlage3"/>
  </w:abstractNum>
  <w:abstractNum w:abstractNumId="17" w15:restartNumberingAfterBreak="0">
    <w:nsid w:val="33057CB8"/>
    <w:multiLevelType w:val="hybridMultilevel"/>
    <w:tmpl w:val="760C1692"/>
    <w:lvl w:ilvl="0" w:tplc="236EA62C">
      <w:start w:val="1"/>
      <w:numFmt w:val="decimal"/>
      <w:pStyle w:val="InstructionsText2"/>
      <w:lvlText w:val="%1."/>
      <w:lvlJc w:val="left"/>
      <w:pPr>
        <w:ind w:left="1800" w:hanging="360"/>
      </w:pPr>
      <w:rPr>
        <w:rFonts w:cs="Times New Roman"/>
      </w:rPr>
    </w:lvl>
    <w:lvl w:ilvl="1" w:tplc="5F56F3B6">
      <w:start w:val="1"/>
      <w:numFmt w:val="lowerLetter"/>
      <w:lvlText w:val="(%2)"/>
      <w:lvlJc w:val="left"/>
      <w:pPr>
        <w:ind w:left="1680" w:hanging="360"/>
      </w:pPr>
      <w:rPr>
        <w:rFonts w:cs="Times New Roman" w:hint="default"/>
      </w:rPr>
    </w:lvl>
    <w:lvl w:ilvl="2" w:tplc="04070005">
      <w:start w:val="1"/>
      <w:numFmt w:val="lowerRoman"/>
      <w:lvlText w:val="%3."/>
      <w:lvlJc w:val="right"/>
      <w:pPr>
        <w:ind w:left="2400" w:hanging="180"/>
      </w:pPr>
      <w:rPr>
        <w:rFonts w:cs="Times New Roman"/>
      </w:rPr>
    </w:lvl>
    <w:lvl w:ilvl="3" w:tplc="04070001">
      <w:start w:val="1"/>
      <w:numFmt w:val="decimal"/>
      <w:lvlText w:val="%4."/>
      <w:lvlJc w:val="left"/>
      <w:pPr>
        <w:ind w:left="3120" w:hanging="360"/>
      </w:pPr>
      <w:rPr>
        <w:rFonts w:cs="Times New Roman"/>
      </w:rPr>
    </w:lvl>
    <w:lvl w:ilvl="4" w:tplc="04070003" w:tentative="1">
      <w:start w:val="1"/>
      <w:numFmt w:val="lowerLetter"/>
      <w:lvlText w:val="%5."/>
      <w:lvlJc w:val="left"/>
      <w:pPr>
        <w:ind w:left="3840" w:hanging="360"/>
      </w:pPr>
      <w:rPr>
        <w:rFonts w:cs="Times New Roman"/>
      </w:rPr>
    </w:lvl>
    <w:lvl w:ilvl="5" w:tplc="04070005" w:tentative="1">
      <w:start w:val="1"/>
      <w:numFmt w:val="lowerRoman"/>
      <w:lvlText w:val="%6."/>
      <w:lvlJc w:val="right"/>
      <w:pPr>
        <w:ind w:left="4560" w:hanging="180"/>
      </w:pPr>
      <w:rPr>
        <w:rFonts w:cs="Times New Roman"/>
      </w:rPr>
    </w:lvl>
    <w:lvl w:ilvl="6" w:tplc="04070001" w:tentative="1">
      <w:start w:val="1"/>
      <w:numFmt w:val="decimal"/>
      <w:lvlText w:val="%7."/>
      <w:lvlJc w:val="left"/>
      <w:pPr>
        <w:ind w:left="5280" w:hanging="360"/>
      </w:pPr>
      <w:rPr>
        <w:rFonts w:cs="Times New Roman"/>
      </w:rPr>
    </w:lvl>
    <w:lvl w:ilvl="7" w:tplc="04070003" w:tentative="1">
      <w:start w:val="1"/>
      <w:numFmt w:val="lowerLetter"/>
      <w:lvlText w:val="%8."/>
      <w:lvlJc w:val="left"/>
      <w:pPr>
        <w:ind w:left="6000" w:hanging="360"/>
      </w:pPr>
      <w:rPr>
        <w:rFonts w:cs="Times New Roman"/>
      </w:rPr>
    </w:lvl>
    <w:lvl w:ilvl="8" w:tplc="04070005" w:tentative="1">
      <w:start w:val="1"/>
      <w:numFmt w:val="lowerRoman"/>
      <w:lvlText w:val="%9."/>
      <w:lvlJc w:val="right"/>
      <w:pPr>
        <w:ind w:left="6720" w:hanging="180"/>
      </w:pPr>
      <w:rPr>
        <w:rFonts w:cs="Times New Roman"/>
      </w:rPr>
    </w:lvl>
  </w:abstractNum>
  <w:abstractNum w:abstractNumId="18"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2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0D45D9"/>
    <w:multiLevelType w:val="hybridMultilevel"/>
    <w:tmpl w:val="C424388C"/>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22"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6" w15:restartNumberingAfterBreak="0">
    <w:nsid w:val="487150C0"/>
    <w:multiLevelType w:val="multilevel"/>
    <w:tmpl w:val="83F27A4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9"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30"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2"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3"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4"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5"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9"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1"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2"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3" w15:restartNumberingAfterBreak="0">
    <w:nsid w:val="6F346567"/>
    <w:multiLevelType w:val="hybridMultilevel"/>
    <w:tmpl w:val="E17A8CF8"/>
    <w:lvl w:ilvl="0" w:tplc="08090017">
      <w:start w:val="1"/>
      <w:numFmt w:val="lowerLetter"/>
      <w:lvlText w:val="%1)"/>
      <w:lvlJc w:val="left"/>
      <w:pPr>
        <w:ind w:left="1794" w:hanging="360"/>
      </w:pPr>
    </w:lvl>
    <w:lvl w:ilvl="1" w:tplc="08090019" w:tentative="1">
      <w:start w:val="1"/>
      <w:numFmt w:val="lowerLetter"/>
      <w:lvlText w:val="%2."/>
      <w:lvlJc w:val="left"/>
      <w:pPr>
        <w:ind w:left="2514" w:hanging="360"/>
      </w:pPr>
    </w:lvl>
    <w:lvl w:ilvl="2" w:tplc="0809001B" w:tentative="1">
      <w:start w:val="1"/>
      <w:numFmt w:val="lowerRoman"/>
      <w:lvlText w:val="%3."/>
      <w:lvlJc w:val="right"/>
      <w:pPr>
        <w:ind w:left="3234" w:hanging="180"/>
      </w:pPr>
    </w:lvl>
    <w:lvl w:ilvl="3" w:tplc="0809000F" w:tentative="1">
      <w:start w:val="1"/>
      <w:numFmt w:val="decimal"/>
      <w:lvlText w:val="%4."/>
      <w:lvlJc w:val="left"/>
      <w:pPr>
        <w:ind w:left="3954" w:hanging="360"/>
      </w:pPr>
    </w:lvl>
    <w:lvl w:ilvl="4" w:tplc="08090019" w:tentative="1">
      <w:start w:val="1"/>
      <w:numFmt w:val="lowerLetter"/>
      <w:lvlText w:val="%5."/>
      <w:lvlJc w:val="left"/>
      <w:pPr>
        <w:ind w:left="4674" w:hanging="360"/>
      </w:pPr>
    </w:lvl>
    <w:lvl w:ilvl="5" w:tplc="0809001B" w:tentative="1">
      <w:start w:val="1"/>
      <w:numFmt w:val="lowerRoman"/>
      <w:lvlText w:val="%6."/>
      <w:lvlJc w:val="right"/>
      <w:pPr>
        <w:ind w:left="5394" w:hanging="180"/>
      </w:pPr>
    </w:lvl>
    <w:lvl w:ilvl="6" w:tplc="0809000F" w:tentative="1">
      <w:start w:val="1"/>
      <w:numFmt w:val="decimal"/>
      <w:lvlText w:val="%7."/>
      <w:lvlJc w:val="left"/>
      <w:pPr>
        <w:ind w:left="6114" w:hanging="360"/>
      </w:pPr>
    </w:lvl>
    <w:lvl w:ilvl="7" w:tplc="08090019" w:tentative="1">
      <w:start w:val="1"/>
      <w:numFmt w:val="lowerLetter"/>
      <w:lvlText w:val="%8."/>
      <w:lvlJc w:val="left"/>
      <w:pPr>
        <w:ind w:left="6834" w:hanging="360"/>
      </w:pPr>
    </w:lvl>
    <w:lvl w:ilvl="8" w:tplc="0809001B" w:tentative="1">
      <w:start w:val="1"/>
      <w:numFmt w:val="lowerRoman"/>
      <w:lvlText w:val="%9."/>
      <w:lvlJc w:val="right"/>
      <w:pPr>
        <w:ind w:left="7554" w:hanging="180"/>
      </w:pPr>
    </w:lvl>
  </w:abstractNum>
  <w:abstractNum w:abstractNumId="44"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6"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499543B"/>
    <w:multiLevelType w:val="multilevel"/>
    <w:tmpl w:val="FA74CB02"/>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77FD6839"/>
    <w:multiLevelType w:val="hybridMultilevel"/>
    <w:tmpl w:val="4CE8BEBA"/>
    <w:lvl w:ilvl="0" w:tplc="E1168B16">
      <w:start w:val="5"/>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34"/>
  </w:num>
  <w:num w:numId="3">
    <w:abstractNumId w:val="46"/>
  </w:num>
  <w:num w:numId="4">
    <w:abstractNumId w:val="27"/>
  </w:num>
  <w:num w:numId="5">
    <w:abstractNumId w:val="39"/>
  </w:num>
  <w:num w:numId="6">
    <w:abstractNumId w:val="22"/>
  </w:num>
  <w:num w:numId="7">
    <w:abstractNumId w:val="45"/>
  </w:num>
  <w:num w:numId="8">
    <w:abstractNumId w:val="11"/>
  </w:num>
  <w:num w:numId="9">
    <w:abstractNumId w:val="37"/>
  </w:num>
  <w:num w:numId="10">
    <w:abstractNumId w:val="19"/>
  </w:num>
  <w:num w:numId="11">
    <w:abstractNumId w:val="29"/>
  </w:num>
  <w:num w:numId="12">
    <w:abstractNumId w:val="13"/>
  </w:num>
  <w:num w:numId="13">
    <w:abstractNumId w:val="38"/>
  </w:num>
  <w:num w:numId="14">
    <w:abstractNumId w:val="33"/>
  </w:num>
  <w:num w:numId="15">
    <w:abstractNumId w:val="17"/>
  </w:num>
  <w:num w:numId="16">
    <w:abstractNumId w:val="28"/>
  </w:num>
  <w:num w:numId="17">
    <w:abstractNumId w:val="16"/>
  </w:num>
  <w:num w:numId="18">
    <w:abstractNumId w:val="40"/>
  </w:num>
  <w:num w:numId="19">
    <w:abstractNumId w:val="6"/>
  </w:num>
  <w:num w:numId="20">
    <w:abstractNumId w:val="9"/>
  </w:num>
  <w:num w:numId="21">
    <w:abstractNumId w:val="18"/>
  </w:num>
  <w:num w:numId="22">
    <w:abstractNumId w:val="25"/>
  </w:num>
  <w:num w:numId="23">
    <w:abstractNumId w:val="32"/>
  </w:num>
  <w:num w:numId="24">
    <w:abstractNumId w:val="41"/>
  </w:num>
  <w:num w:numId="25">
    <w:abstractNumId w:val="10"/>
  </w:num>
  <w:num w:numId="26">
    <w:abstractNumId w:val="23"/>
  </w:num>
  <w:num w:numId="27">
    <w:abstractNumId w:val="31"/>
  </w:num>
  <w:num w:numId="28">
    <w:abstractNumId w:val="7"/>
  </w:num>
  <w:num w:numId="29">
    <w:abstractNumId w:val="8"/>
  </w:num>
  <w:num w:numId="30">
    <w:abstractNumId w:val="35"/>
  </w:num>
  <w:num w:numId="31">
    <w:abstractNumId w:val="48"/>
  </w:num>
  <w:num w:numId="32">
    <w:abstractNumId w:val="12"/>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 w:numId="35">
    <w:abstractNumId w:val="49"/>
  </w:num>
  <w:num w:numId="36">
    <w:abstractNumId w:val="4"/>
  </w:num>
  <w:num w:numId="37">
    <w:abstractNumId w:val="43"/>
  </w:num>
  <w:num w:numId="38">
    <w:abstractNumId w:val="47"/>
  </w:num>
  <w:num w:numId="39">
    <w:abstractNumId w:val="24"/>
  </w:num>
  <w:num w:numId="40">
    <w:abstractNumId w:val="2"/>
  </w:num>
  <w:num w:numId="41">
    <w:abstractNumId w:val="20"/>
  </w:num>
  <w:num w:numId="42">
    <w:abstractNumId w:val="44"/>
  </w:num>
  <w:num w:numId="43">
    <w:abstractNumId w:val="1"/>
  </w:num>
  <w:num w:numId="44">
    <w:abstractNumId w:val="42"/>
  </w:num>
  <w:num w:numId="45">
    <w:abstractNumId w:val="30"/>
  </w:num>
  <w:num w:numId="46">
    <w:abstractNumId w:val="0"/>
  </w:num>
  <w:num w:numId="47">
    <w:abstractNumId w:val="14"/>
  </w:num>
  <w:num w:numId="48">
    <w:abstractNumId w:val="26"/>
  </w:num>
  <w:num w:numId="49">
    <w:abstractNumId w:val="21"/>
  </w:num>
  <w:num w:numId="50">
    <w:abstractNumId w:val="38"/>
  </w:num>
  <w:num w:numId="51">
    <w:abstractNumId w:val="17"/>
  </w:num>
  <w:num w:numId="52">
    <w:abstractNumId w:val="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it-IT" w:vendorID="64" w:dllVersion="131078" w:nlCheck="1" w:checkStyle="0"/>
  <w:activeWritingStyle w:appName="MSWord" w:lang="en-IE" w:vendorID="64" w:dllVersion="131078" w:nlCheck="1" w:checkStyle="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978"/>
    <w:rsid w:val="00004D21"/>
    <w:rsid w:val="00004FE8"/>
    <w:rsid w:val="00005078"/>
    <w:rsid w:val="00005765"/>
    <w:rsid w:val="00005FFC"/>
    <w:rsid w:val="00007605"/>
    <w:rsid w:val="00007D0D"/>
    <w:rsid w:val="00010124"/>
    <w:rsid w:val="00011AFA"/>
    <w:rsid w:val="00011BD0"/>
    <w:rsid w:val="000120EB"/>
    <w:rsid w:val="00014890"/>
    <w:rsid w:val="00014DC3"/>
    <w:rsid w:val="0001693F"/>
    <w:rsid w:val="00020200"/>
    <w:rsid w:val="00020516"/>
    <w:rsid w:val="00020857"/>
    <w:rsid w:val="00020AF9"/>
    <w:rsid w:val="000212B7"/>
    <w:rsid w:val="0002157C"/>
    <w:rsid w:val="00021A05"/>
    <w:rsid w:val="0002267E"/>
    <w:rsid w:val="00023102"/>
    <w:rsid w:val="000232E2"/>
    <w:rsid w:val="00023383"/>
    <w:rsid w:val="000242CC"/>
    <w:rsid w:val="000243CE"/>
    <w:rsid w:val="0002604C"/>
    <w:rsid w:val="0002657F"/>
    <w:rsid w:val="00027235"/>
    <w:rsid w:val="00030E48"/>
    <w:rsid w:val="000326C1"/>
    <w:rsid w:val="00033B7C"/>
    <w:rsid w:val="00033C55"/>
    <w:rsid w:val="00034431"/>
    <w:rsid w:val="00034834"/>
    <w:rsid w:val="000359E1"/>
    <w:rsid w:val="000364CE"/>
    <w:rsid w:val="00037093"/>
    <w:rsid w:val="000377CC"/>
    <w:rsid w:val="00037FCC"/>
    <w:rsid w:val="00041480"/>
    <w:rsid w:val="000433C4"/>
    <w:rsid w:val="00045036"/>
    <w:rsid w:val="0004590F"/>
    <w:rsid w:val="00046031"/>
    <w:rsid w:val="00052CAE"/>
    <w:rsid w:val="000530BC"/>
    <w:rsid w:val="0005400A"/>
    <w:rsid w:val="000548A2"/>
    <w:rsid w:val="0005609F"/>
    <w:rsid w:val="000565B6"/>
    <w:rsid w:val="00056C0F"/>
    <w:rsid w:val="00056C8D"/>
    <w:rsid w:val="00057154"/>
    <w:rsid w:val="00057362"/>
    <w:rsid w:val="0005746D"/>
    <w:rsid w:val="00061618"/>
    <w:rsid w:val="00061C24"/>
    <w:rsid w:val="00061E48"/>
    <w:rsid w:val="00062A1F"/>
    <w:rsid w:val="00063085"/>
    <w:rsid w:val="00063B3F"/>
    <w:rsid w:val="00064158"/>
    <w:rsid w:val="0006666B"/>
    <w:rsid w:val="00067DC1"/>
    <w:rsid w:val="00067EEA"/>
    <w:rsid w:val="00070AF9"/>
    <w:rsid w:val="00070E18"/>
    <w:rsid w:val="00071341"/>
    <w:rsid w:val="000716F4"/>
    <w:rsid w:val="00071D95"/>
    <w:rsid w:val="000758FE"/>
    <w:rsid w:val="00076091"/>
    <w:rsid w:val="00076880"/>
    <w:rsid w:val="00077C5F"/>
    <w:rsid w:val="00080A93"/>
    <w:rsid w:val="0008111C"/>
    <w:rsid w:val="0008126E"/>
    <w:rsid w:val="00082265"/>
    <w:rsid w:val="000828C6"/>
    <w:rsid w:val="000843B3"/>
    <w:rsid w:val="00084A4D"/>
    <w:rsid w:val="000858A9"/>
    <w:rsid w:val="00086C6E"/>
    <w:rsid w:val="00087700"/>
    <w:rsid w:val="000878EC"/>
    <w:rsid w:val="00087E1A"/>
    <w:rsid w:val="000903FA"/>
    <w:rsid w:val="000904F3"/>
    <w:rsid w:val="000911FE"/>
    <w:rsid w:val="0009195D"/>
    <w:rsid w:val="00092F67"/>
    <w:rsid w:val="00093686"/>
    <w:rsid w:val="00094D25"/>
    <w:rsid w:val="00095191"/>
    <w:rsid w:val="00096566"/>
    <w:rsid w:val="00096876"/>
    <w:rsid w:val="0009761E"/>
    <w:rsid w:val="00097A17"/>
    <w:rsid w:val="00097C81"/>
    <w:rsid w:val="00097E91"/>
    <w:rsid w:val="000A1955"/>
    <w:rsid w:val="000A3B1A"/>
    <w:rsid w:val="000A46E0"/>
    <w:rsid w:val="000A4B61"/>
    <w:rsid w:val="000A4C10"/>
    <w:rsid w:val="000A57BC"/>
    <w:rsid w:val="000A7D27"/>
    <w:rsid w:val="000B0B09"/>
    <w:rsid w:val="000B0E46"/>
    <w:rsid w:val="000B0EBE"/>
    <w:rsid w:val="000B13A1"/>
    <w:rsid w:val="000B3C33"/>
    <w:rsid w:val="000B3E00"/>
    <w:rsid w:val="000B6A14"/>
    <w:rsid w:val="000B70E1"/>
    <w:rsid w:val="000B73C4"/>
    <w:rsid w:val="000C0127"/>
    <w:rsid w:val="000C0A34"/>
    <w:rsid w:val="000C1E5D"/>
    <w:rsid w:val="000C24B5"/>
    <w:rsid w:val="000C30A6"/>
    <w:rsid w:val="000C4A6C"/>
    <w:rsid w:val="000C5A1A"/>
    <w:rsid w:val="000C5EA7"/>
    <w:rsid w:val="000C6938"/>
    <w:rsid w:val="000C7632"/>
    <w:rsid w:val="000C7EAA"/>
    <w:rsid w:val="000D04B6"/>
    <w:rsid w:val="000D0A23"/>
    <w:rsid w:val="000D194E"/>
    <w:rsid w:val="000D220D"/>
    <w:rsid w:val="000D3CBC"/>
    <w:rsid w:val="000D4352"/>
    <w:rsid w:val="000D5292"/>
    <w:rsid w:val="000D5958"/>
    <w:rsid w:val="000D6B9B"/>
    <w:rsid w:val="000E07B7"/>
    <w:rsid w:val="000E093A"/>
    <w:rsid w:val="000E1572"/>
    <w:rsid w:val="000E197A"/>
    <w:rsid w:val="000E2774"/>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5A75"/>
    <w:rsid w:val="0010605A"/>
    <w:rsid w:val="00106FC5"/>
    <w:rsid w:val="00110F40"/>
    <w:rsid w:val="00113E45"/>
    <w:rsid w:val="00113EA5"/>
    <w:rsid w:val="00115052"/>
    <w:rsid w:val="001151C1"/>
    <w:rsid w:val="0011539B"/>
    <w:rsid w:val="00115685"/>
    <w:rsid w:val="001170F2"/>
    <w:rsid w:val="0012049B"/>
    <w:rsid w:val="001219C2"/>
    <w:rsid w:val="00124A44"/>
    <w:rsid w:val="00124B85"/>
    <w:rsid w:val="001250CC"/>
    <w:rsid w:val="00125707"/>
    <w:rsid w:val="00125D44"/>
    <w:rsid w:val="00125DEE"/>
    <w:rsid w:val="00126395"/>
    <w:rsid w:val="001273B5"/>
    <w:rsid w:val="00127986"/>
    <w:rsid w:val="00127FEA"/>
    <w:rsid w:val="00130586"/>
    <w:rsid w:val="00130EEF"/>
    <w:rsid w:val="001323BF"/>
    <w:rsid w:val="00132778"/>
    <w:rsid w:val="00132C93"/>
    <w:rsid w:val="00133107"/>
    <w:rsid w:val="001331F5"/>
    <w:rsid w:val="00133396"/>
    <w:rsid w:val="00133AC1"/>
    <w:rsid w:val="00136316"/>
    <w:rsid w:val="00137AC5"/>
    <w:rsid w:val="001402DB"/>
    <w:rsid w:val="001409D9"/>
    <w:rsid w:val="00140F6E"/>
    <w:rsid w:val="00141DD1"/>
    <w:rsid w:val="0014210E"/>
    <w:rsid w:val="00142917"/>
    <w:rsid w:val="001432EE"/>
    <w:rsid w:val="00144F03"/>
    <w:rsid w:val="001452FC"/>
    <w:rsid w:val="0014657C"/>
    <w:rsid w:val="00146D50"/>
    <w:rsid w:val="001474E0"/>
    <w:rsid w:val="0015008C"/>
    <w:rsid w:val="00151071"/>
    <w:rsid w:val="00151B44"/>
    <w:rsid w:val="00151D8A"/>
    <w:rsid w:val="0015288B"/>
    <w:rsid w:val="00152B33"/>
    <w:rsid w:val="00153BEC"/>
    <w:rsid w:val="00154859"/>
    <w:rsid w:val="001550FA"/>
    <w:rsid w:val="00155114"/>
    <w:rsid w:val="00156555"/>
    <w:rsid w:val="001570C4"/>
    <w:rsid w:val="00157B19"/>
    <w:rsid w:val="0016072E"/>
    <w:rsid w:val="0016282F"/>
    <w:rsid w:val="001628F4"/>
    <w:rsid w:val="00162CCF"/>
    <w:rsid w:val="00163DBA"/>
    <w:rsid w:val="00164970"/>
    <w:rsid w:val="00164B62"/>
    <w:rsid w:val="00164F5A"/>
    <w:rsid w:val="00167619"/>
    <w:rsid w:val="00167E59"/>
    <w:rsid w:val="001721BD"/>
    <w:rsid w:val="001734AB"/>
    <w:rsid w:val="0017440D"/>
    <w:rsid w:val="00175957"/>
    <w:rsid w:val="001771A4"/>
    <w:rsid w:val="00181174"/>
    <w:rsid w:val="00181888"/>
    <w:rsid w:val="00181AC7"/>
    <w:rsid w:val="001822DF"/>
    <w:rsid w:val="0018236F"/>
    <w:rsid w:val="00183B7A"/>
    <w:rsid w:val="00184045"/>
    <w:rsid w:val="001840A5"/>
    <w:rsid w:val="001843F9"/>
    <w:rsid w:val="00184E8A"/>
    <w:rsid w:val="00184FE9"/>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217F"/>
    <w:rsid w:val="001A370B"/>
    <w:rsid w:val="001A3980"/>
    <w:rsid w:val="001A44B3"/>
    <w:rsid w:val="001A523B"/>
    <w:rsid w:val="001A531E"/>
    <w:rsid w:val="001A627D"/>
    <w:rsid w:val="001A6A3C"/>
    <w:rsid w:val="001A741B"/>
    <w:rsid w:val="001A7742"/>
    <w:rsid w:val="001B023A"/>
    <w:rsid w:val="001B140A"/>
    <w:rsid w:val="001B1531"/>
    <w:rsid w:val="001B1F77"/>
    <w:rsid w:val="001B21AE"/>
    <w:rsid w:val="001B43BD"/>
    <w:rsid w:val="001B44EE"/>
    <w:rsid w:val="001B4EA5"/>
    <w:rsid w:val="001B5499"/>
    <w:rsid w:val="001B5725"/>
    <w:rsid w:val="001B6D4D"/>
    <w:rsid w:val="001B7D0F"/>
    <w:rsid w:val="001B7F1A"/>
    <w:rsid w:val="001C1392"/>
    <w:rsid w:val="001C1571"/>
    <w:rsid w:val="001C24B0"/>
    <w:rsid w:val="001C2A41"/>
    <w:rsid w:val="001C2BA5"/>
    <w:rsid w:val="001C3443"/>
    <w:rsid w:val="001C36B0"/>
    <w:rsid w:val="001C3D30"/>
    <w:rsid w:val="001C5557"/>
    <w:rsid w:val="001C5CA8"/>
    <w:rsid w:val="001C6166"/>
    <w:rsid w:val="001C6416"/>
    <w:rsid w:val="001C7897"/>
    <w:rsid w:val="001C79CB"/>
    <w:rsid w:val="001C7AB7"/>
    <w:rsid w:val="001C7E7E"/>
    <w:rsid w:val="001C7F2A"/>
    <w:rsid w:val="001D0DD7"/>
    <w:rsid w:val="001D1D37"/>
    <w:rsid w:val="001D1F64"/>
    <w:rsid w:val="001D2FE6"/>
    <w:rsid w:val="001D3409"/>
    <w:rsid w:val="001D4848"/>
    <w:rsid w:val="001D4B9D"/>
    <w:rsid w:val="001D5403"/>
    <w:rsid w:val="001D6D7C"/>
    <w:rsid w:val="001D7382"/>
    <w:rsid w:val="001E01BA"/>
    <w:rsid w:val="001E0C80"/>
    <w:rsid w:val="001E332C"/>
    <w:rsid w:val="001E38FD"/>
    <w:rsid w:val="001E39E5"/>
    <w:rsid w:val="001E3EF1"/>
    <w:rsid w:val="001E5A75"/>
    <w:rsid w:val="001E6127"/>
    <w:rsid w:val="001E6B9D"/>
    <w:rsid w:val="001E6CD6"/>
    <w:rsid w:val="001E7AE4"/>
    <w:rsid w:val="001E7EA7"/>
    <w:rsid w:val="001F0111"/>
    <w:rsid w:val="001F0D60"/>
    <w:rsid w:val="001F1711"/>
    <w:rsid w:val="001F1B80"/>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1E"/>
    <w:rsid w:val="0022315F"/>
    <w:rsid w:val="00224016"/>
    <w:rsid w:val="00224828"/>
    <w:rsid w:val="002249DB"/>
    <w:rsid w:val="00224FE5"/>
    <w:rsid w:val="0022597E"/>
    <w:rsid w:val="00225D42"/>
    <w:rsid w:val="002300C6"/>
    <w:rsid w:val="002301C6"/>
    <w:rsid w:val="00230536"/>
    <w:rsid w:val="002305D2"/>
    <w:rsid w:val="002305FC"/>
    <w:rsid w:val="00230DA8"/>
    <w:rsid w:val="00230E1B"/>
    <w:rsid w:val="00231838"/>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0B06"/>
    <w:rsid w:val="00241190"/>
    <w:rsid w:val="00241845"/>
    <w:rsid w:val="00242134"/>
    <w:rsid w:val="002423CA"/>
    <w:rsid w:val="0024244E"/>
    <w:rsid w:val="0024258C"/>
    <w:rsid w:val="002446F1"/>
    <w:rsid w:val="002450B6"/>
    <w:rsid w:val="00245325"/>
    <w:rsid w:val="00245E37"/>
    <w:rsid w:val="00246BCA"/>
    <w:rsid w:val="00246F65"/>
    <w:rsid w:val="00250176"/>
    <w:rsid w:val="002506A3"/>
    <w:rsid w:val="00251CF4"/>
    <w:rsid w:val="00251F24"/>
    <w:rsid w:val="00252454"/>
    <w:rsid w:val="0025267A"/>
    <w:rsid w:val="0025290C"/>
    <w:rsid w:val="00253022"/>
    <w:rsid w:val="002530E8"/>
    <w:rsid w:val="002540B2"/>
    <w:rsid w:val="002547C1"/>
    <w:rsid w:val="00254DF6"/>
    <w:rsid w:val="00255BA9"/>
    <w:rsid w:val="0025607F"/>
    <w:rsid w:val="002562F9"/>
    <w:rsid w:val="002568B5"/>
    <w:rsid w:val="00257BF5"/>
    <w:rsid w:val="00257FBC"/>
    <w:rsid w:val="00260AA2"/>
    <w:rsid w:val="002618F4"/>
    <w:rsid w:val="00261B63"/>
    <w:rsid w:val="002625C0"/>
    <w:rsid w:val="00262B22"/>
    <w:rsid w:val="00262B48"/>
    <w:rsid w:val="00262C1B"/>
    <w:rsid w:val="002630FB"/>
    <w:rsid w:val="0026352F"/>
    <w:rsid w:val="002647D2"/>
    <w:rsid w:val="0026485D"/>
    <w:rsid w:val="002648B0"/>
    <w:rsid w:val="00264C8C"/>
    <w:rsid w:val="002664C7"/>
    <w:rsid w:val="002669F8"/>
    <w:rsid w:val="002678CE"/>
    <w:rsid w:val="00267A21"/>
    <w:rsid w:val="0027034D"/>
    <w:rsid w:val="00271C8B"/>
    <w:rsid w:val="00272F65"/>
    <w:rsid w:val="00273432"/>
    <w:rsid w:val="002735FE"/>
    <w:rsid w:val="002754C0"/>
    <w:rsid w:val="00276720"/>
    <w:rsid w:val="00276871"/>
    <w:rsid w:val="00276B41"/>
    <w:rsid w:val="00277058"/>
    <w:rsid w:val="002771C5"/>
    <w:rsid w:val="002805FD"/>
    <w:rsid w:val="0028072E"/>
    <w:rsid w:val="00280B99"/>
    <w:rsid w:val="00283B5F"/>
    <w:rsid w:val="00283C5E"/>
    <w:rsid w:val="00284A6D"/>
    <w:rsid w:val="00285E2F"/>
    <w:rsid w:val="0028628A"/>
    <w:rsid w:val="00290CAD"/>
    <w:rsid w:val="002917CA"/>
    <w:rsid w:val="002920FF"/>
    <w:rsid w:val="00292409"/>
    <w:rsid w:val="00292A20"/>
    <w:rsid w:val="00294B07"/>
    <w:rsid w:val="0029520F"/>
    <w:rsid w:val="00295225"/>
    <w:rsid w:val="0029630E"/>
    <w:rsid w:val="00297074"/>
    <w:rsid w:val="0029716F"/>
    <w:rsid w:val="0029726F"/>
    <w:rsid w:val="002A04D3"/>
    <w:rsid w:val="002A09D5"/>
    <w:rsid w:val="002A1B49"/>
    <w:rsid w:val="002A36BB"/>
    <w:rsid w:val="002A4B85"/>
    <w:rsid w:val="002A5969"/>
    <w:rsid w:val="002A5BC5"/>
    <w:rsid w:val="002A6913"/>
    <w:rsid w:val="002A7C84"/>
    <w:rsid w:val="002B004B"/>
    <w:rsid w:val="002B15B5"/>
    <w:rsid w:val="002B1600"/>
    <w:rsid w:val="002B2BA3"/>
    <w:rsid w:val="002B3E36"/>
    <w:rsid w:val="002B5403"/>
    <w:rsid w:val="002B5492"/>
    <w:rsid w:val="002B5704"/>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E5"/>
    <w:rsid w:val="002D3982"/>
    <w:rsid w:val="002D4561"/>
    <w:rsid w:val="002D4E10"/>
    <w:rsid w:val="002D4F6A"/>
    <w:rsid w:val="002D571F"/>
    <w:rsid w:val="002D6B9E"/>
    <w:rsid w:val="002D7779"/>
    <w:rsid w:val="002E0148"/>
    <w:rsid w:val="002E0174"/>
    <w:rsid w:val="002E053A"/>
    <w:rsid w:val="002E0DDB"/>
    <w:rsid w:val="002E136A"/>
    <w:rsid w:val="002E2061"/>
    <w:rsid w:val="002E2164"/>
    <w:rsid w:val="002E3720"/>
    <w:rsid w:val="002E4EB7"/>
    <w:rsid w:val="002E5096"/>
    <w:rsid w:val="002E587F"/>
    <w:rsid w:val="002F07EA"/>
    <w:rsid w:val="002F0FB3"/>
    <w:rsid w:val="002F1163"/>
    <w:rsid w:val="002F170E"/>
    <w:rsid w:val="002F1920"/>
    <w:rsid w:val="002F19BB"/>
    <w:rsid w:val="002F1E8D"/>
    <w:rsid w:val="002F2663"/>
    <w:rsid w:val="002F29AF"/>
    <w:rsid w:val="002F39A7"/>
    <w:rsid w:val="002F4A67"/>
    <w:rsid w:val="002F4A87"/>
    <w:rsid w:val="002F5571"/>
    <w:rsid w:val="002F5D75"/>
    <w:rsid w:val="002F72F8"/>
    <w:rsid w:val="002F78EA"/>
    <w:rsid w:val="002F79EA"/>
    <w:rsid w:val="002F7E28"/>
    <w:rsid w:val="00300224"/>
    <w:rsid w:val="00302C3F"/>
    <w:rsid w:val="00303974"/>
    <w:rsid w:val="00304CA5"/>
    <w:rsid w:val="0030572F"/>
    <w:rsid w:val="00306163"/>
    <w:rsid w:val="00306AD1"/>
    <w:rsid w:val="00306F71"/>
    <w:rsid w:val="00306F8E"/>
    <w:rsid w:val="003073B2"/>
    <w:rsid w:val="0031001C"/>
    <w:rsid w:val="003105C6"/>
    <w:rsid w:val="00310F05"/>
    <w:rsid w:val="00310F96"/>
    <w:rsid w:val="00311119"/>
    <w:rsid w:val="00311B2D"/>
    <w:rsid w:val="00312BA3"/>
    <w:rsid w:val="003132E6"/>
    <w:rsid w:val="003137B9"/>
    <w:rsid w:val="00313D20"/>
    <w:rsid w:val="003141F6"/>
    <w:rsid w:val="003172C8"/>
    <w:rsid w:val="00320BB4"/>
    <w:rsid w:val="00321A3B"/>
    <w:rsid w:val="003220BD"/>
    <w:rsid w:val="00325654"/>
    <w:rsid w:val="003259DA"/>
    <w:rsid w:val="0032635E"/>
    <w:rsid w:val="0032755B"/>
    <w:rsid w:val="003300FF"/>
    <w:rsid w:val="00330199"/>
    <w:rsid w:val="00331FE6"/>
    <w:rsid w:val="00333A44"/>
    <w:rsid w:val="00334093"/>
    <w:rsid w:val="003374C1"/>
    <w:rsid w:val="00337849"/>
    <w:rsid w:val="00337BEA"/>
    <w:rsid w:val="00340094"/>
    <w:rsid w:val="003400BB"/>
    <w:rsid w:val="00342261"/>
    <w:rsid w:val="00342B6A"/>
    <w:rsid w:val="00342C4B"/>
    <w:rsid w:val="003438E8"/>
    <w:rsid w:val="003459F8"/>
    <w:rsid w:val="00345A82"/>
    <w:rsid w:val="00345E53"/>
    <w:rsid w:val="0034682C"/>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66CAF"/>
    <w:rsid w:val="00370576"/>
    <w:rsid w:val="00370D79"/>
    <w:rsid w:val="00371593"/>
    <w:rsid w:val="00371653"/>
    <w:rsid w:val="00373E3E"/>
    <w:rsid w:val="00375C47"/>
    <w:rsid w:val="00380D47"/>
    <w:rsid w:val="003812AC"/>
    <w:rsid w:val="003813DF"/>
    <w:rsid w:val="0038147E"/>
    <w:rsid w:val="00381685"/>
    <w:rsid w:val="003826D9"/>
    <w:rsid w:val="00383D4B"/>
    <w:rsid w:val="00383FF2"/>
    <w:rsid w:val="00386492"/>
    <w:rsid w:val="00387E40"/>
    <w:rsid w:val="003908C5"/>
    <w:rsid w:val="00390DDA"/>
    <w:rsid w:val="00391406"/>
    <w:rsid w:val="003927BE"/>
    <w:rsid w:val="00392C11"/>
    <w:rsid w:val="00392FFD"/>
    <w:rsid w:val="0039346B"/>
    <w:rsid w:val="00393539"/>
    <w:rsid w:val="00393FF2"/>
    <w:rsid w:val="00394410"/>
    <w:rsid w:val="00394FF1"/>
    <w:rsid w:val="003953E6"/>
    <w:rsid w:val="00397314"/>
    <w:rsid w:val="00397A77"/>
    <w:rsid w:val="003A07D6"/>
    <w:rsid w:val="003A0835"/>
    <w:rsid w:val="003A0C05"/>
    <w:rsid w:val="003A1469"/>
    <w:rsid w:val="003A1B96"/>
    <w:rsid w:val="003A1F17"/>
    <w:rsid w:val="003A200A"/>
    <w:rsid w:val="003A3877"/>
    <w:rsid w:val="003A449C"/>
    <w:rsid w:val="003A497B"/>
    <w:rsid w:val="003A4C8B"/>
    <w:rsid w:val="003A5743"/>
    <w:rsid w:val="003A5D8C"/>
    <w:rsid w:val="003A7214"/>
    <w:rsid w:val="003B00F4"/>
    <w:rsid w:val="003B05AE"/>
    <w:rsid w:val="003B06B9"/>
    <w:rsid w:val="003B20D7"/>
    <w:rsid w:val="003B25F0"/>
    <w:rsid w:val="003B2712"/>
    <w:rsid w:val="003B3112"/>
    <w:rsid w:val="003B3533"/>
    <w:rsid w:val="003B3DBB"/>
    <w:rsid w:val="003B5CAE"/>
    <w:rsid w:val="003B7060"/>
    <w:rsid w:val="003C050A"/>
    <w:rsid w:val="003C0FB5"/>
    <w:rsid w:val="003C1BB1"/>
    <w:rsid w:val="003C2409"/>
    <w:rsid w:val="003C2566"/>
    <w:rsid w:val="003C3168"/>
    <w:rsid w:val="003C3AAB"/>
    <w:rsid w:val="003C3B79"/>
    <w:rsid w:val="003C3FD5"/>
    <w:rsid w:val="003C4307"/>
    <w:rsid w:val="003C60B9"/>
    <w:rsid w:val="003C655D"/>
    <w:rsid w:val="003C7853"/>
    <w:rsid w:val="003D07E3"/>
    <w:rsid w:val="003D10E9"/>
    <w:rsid w:val="003D14AE"/>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376A"/>
    <w:rsid w:val="003E47C5"/>
    <w:rsid w:val="003E4EF2"/>
    <w:rsid w:val="003E5145"/>
    <w:rsid w:val="003E52DA"/>
    <w:rsid w:val="003E7AEC"/>
    <w:rsid w:val="003F0298"/>
    <w:rsid w:val="003F05A0"/>
    <w:rsid w:val="003F1103"/>
    <w:rsid w:val="003F15BB"/>
    <w:rsid w:val="003F17BB"/>
    <w:rsid w:val="003F19BA"/>
    <w:rsid w:val="003F3523"/>
    <w:rsid w:val="003F3FDA"/>
    <w:rsid w:val="00401111"/>
    <w:rsid w:val="0040156B"/>
    <w:rsid w:val="0040521E"/>
    <w:rsid w:val="00405C0A"/>
    <w:rsid w:val="00407110"/>
    <w:rsid w:val="00407505"/>
    <w:rsid w:val="00407936"/>
    <w:rsid w:val="00410796"/>
    <w:rsid w:val="004120DF"/>
    <w:rsid w:val="004129D0"/>
    <w:rsid w:val="00412D44"/>
    <w:rsid w:val="004133D9"/>
    <w:rsid w:val="004134E6"/>
    <w:rsid w:val="00415A1B"/>
    <w:rsid w:val="00417984"/>
    <w:rsid w:val="00422449"/>
    <w:rsid w:val="00423556"/>
    <w:rsid w:val="004238B4"/>
    <w:rsid w:val="00423F7E"/>
    <w:rsid w:val="004255D6"/>
    <w:rsid w:val="0042594B"/>
    <w:rsid w:val="00425F4C"/>
    <w:rsid w:val="0042766A"/>
    <w:rsid w:val="0043001B"/>
    <w:rsid w:val="004304C0"/>
    <w:rsid w:val="00430F6F"/>
    <w:rsid w:val="004312D0"/>
    <w:rsid w:val="0043168D"/>
    <w:rsid w:val="004317F7"/>
    <w:rsid w:val="004319EB"/>
    <w:rsid w:val="0043231D"/>
    <w:rsid w:val="004350F2"/>
    <w:rsid w:val="004357B9"/>
    <w:rsid w:val="00436204"/>
    <w:rsid w:val="00436490"/>
    <w:rsid w:val="00436A46"/>
    <w:rsid w:val="00436BBC"/>
    <w:rsid w:val="004377DA"/>
    <w:rsid w:val="004377E2"/>
    <w:rsid w:val="004408E7"/>
    <w:rsid w:val="00441F78"/>
    <w:rsid w:val="00443003"/>
    <w:rsid w:val="00443DD0"/>
    <w:rsid w:val="0044539D"/>
    <w:rsid w:val="00445E06"/>
    <w:rsid w:val="0044639C"/>
    <w:rsid w:val="0045099E"/>
    <w:rsid w:val="00450A2E"/>
    <w:rsid w:val="00451220"/>
    <w:rsid w:val="00451B63"/>
    <w:rsid w:val="00452FEF"/>
    <w:rsid w:val="00453999"/>
    <w:rsid w:val="00454026"/>
    <w:rsid w:val="00454082"/>
    <w:rsid w:val="00454139"/>
    <w:rsid w:val="00454CFC"/>
    <w:rsid w:val="00455364"/>
    <w:rsid w:val="00455B49"/>
    <w:rsid w:val="004600E4"/>
    <w:rsid w:val="004603C7"/>
    <w:rsid w:val="00460A9C"/>
    <w:rsid w:val="00461A5A"/>
    <w:rsid w:val="004629A2"/>
    <w:rsid w:val="00462BAB"/>
    <w:rsid w:val="00463F88"/>
    <w:rsid w:val="00464DCB"/>
    <w:rsid w:val="00464F34"/>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45E"/>
    <w:rsid w:val="00483FC9"/>
    <w:rsid w:val="00484DDA"/>
    <w:rsid w:val="004852B9"/>
    <w:rsid w:val="00486DA5"/>
    <w:rsid w:val="00487597"/>
    <w:rsid w:val="00487A02"/>
    <w:rsid w:val="004901BE"/>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47BA"/>
    <w:rsid w:val="004A5880"/>
    <w:rsid w:val="004A6C52"/>
    <w:rsid w:val="004A6FAC"/>
    <w:rsid w:val="004A705D"/>
    <w:rsid w:val="004A7B60"/>
    <w:rsid w:val="004B031B"/>
    <w:rsid w:val="004B135C"/>
    <w:rsid w:val="004B2A17"/>
    <w:rsid w:val="004B38D3"/>
    <w:rsid w:val="004B38D7"/>
    <w:rsid w:val="004B3B58"/>
    <w:rsid w:val="004B4DF9"/>
    <w:rsid w:val="004B572C"/>
    <w:rsid w:val="004B584D"/>
    <w:rsid w:val="004B5870"/>
    <w:rsid w:val="004B67ED"/>
    <w:rsid w:val="004B7F4A"/>
    <w:rsid w:val="004C03BC"/>
    <w:rsid w:val="004C0508"/>
    <w:rsid w:val="004C15A0"/>
    <w:rsid w:val="004C1ACF"/>
    <w:rsid w:val="004C4478"/>
    <w:rsid w:val="004C6E6F"/>
    <w:rsid w:val="004C74EC"/>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068"/>
    <w:rsid w:val="004F0D16"/>
    <w:rsid w:val="004F0F3D"/>
    <w:rsid w:val="004F1DDB"/>
    <w:rsid w:val="004F2AB4"/>
    <w:rsid w:val="004F2B30"/>
    <w:rsid w:val="004F3766"/>
    <w:rsid w:val="004F458D"/>
    <w:rsid w:val="004F4775"/>
    <w:rsid w:val="004F4BB8"/>
    <w:rsid w:val="004F50AF"/>
    <w:rsid w:val="004F5C89"/>
    <w:rsid w:val="004F6B6B"/>
    <w:rsid w:val="004F71E5"/>
    <w:rsid w:val="00502363"/>
    <w:rsid w:val="00502FC6"/>
    <w:rsid w:val="0050394C"/>
    <w:rsid w:val="0050399F"/>
    <w:rsid w:val="00503F93"/>
    <w:rsid w:val="00504A16"/>
    <w:rsid w:val="005050CE"/>
    <w:rsid w:val="00505941"/>
    <w:rsid w:val="00505B5C"/>
    <w:rsid w:val="005067A1"/>
    <w:rsid w:val="005130D9"/>
    <w:rsid w:val="005135D6"/>
    <w:rsid w:val="00513822"/>
    <w:rsid w:val="00514158"/>
    <w:rsid w:val="00514783"/>
    <w:rsid w:val="00520B00"/>
    <w:rsid w:val="00521D56"/>
    <w:rsid w:val="00522F33"/>
    <w:rsid w:val="0052367C"/>
    <w:rsid w:val="00523DD6"/>
    <w:rsid w:val="0052490C"/>
    <w:rsid w:val="0053078D"/>
    <w:rsid w:val="00530BA1"/>
    <w:rsid w:val="00530FC7"/>
    <w:rsid w:val="00531FC9"/>
    <w:rsid w:val="00532026"/>
    <w:rsid w:val="0053327A"/>
    <w:rsid w:val="00533D6A"/>
    <w:rsid w:val="00533D84"/>
    <w:rsid w:val="00533E53"/>
    <w:rsid w:val="005342A5"/>
    <w:rsid w:val="00535350"/>
    <w:rsid w:val="00535792"/>
    <w:rsid w:val="00535A98"/>
    <w:rsid w:val="00536B6D"/>
    <w:rsid w:val="0053702D"/>
    <w:rsid w:val="00537219"/>
    <w:rsid w:val="0054122B"/>
    <w:rsid w:val="005429A0"/>
    <w:rsid w:val="00542C33"/>
    <w:rsid w:val="00542EAE"/>
    <w:rsid w:val="00543281"/>
    <w:rsid w:val="00543964"/>
    <w:rsid w:val="00543DBD"/>
    <w:rsid w:val="00544DA4"/>
    <w:rsid w:val="00544E37"/>
    <w:rsid w:val="00547047"/>
    <w:rsid w:val="005474CB"/>
    <w:rsid w:val="00550113"/>
    <w:rsid w:val="005511AD"/>
    <w:rsid w:val="00551271"/>
    <w:rsid w:val="0055245C"/>
    <w:rsid w:val="005528C1"/>
    <w:rsid w:val="00552A83"/>
    <w:rsid w:val="00552BF3"/>
    <w:rsid w:val="00552E3E"/>
    <w:rsid w:val="00554261"/>
    <w:rsid w:val="00554886"/>
    <w:rsid w:val="00554A32"/>
    <w:rsid w:val="005563DA"/>
    <w:rsid w:val="0055657F"/>
    <w:rsid w:val="0055791B"/>
    <w:rsid w:val="00557D09"/>
    <w:rsid w:val="0056002D"/>
    <w:rsid w:val="00560A14"/>
    <w:rsid w:val="005617F7"/>
    <w:rsid w:val="00562181"/>
    <w:rsid w:val="00563313"/>
    <w:rsid w:val="005643EA"/>
    <w:rsid w:val="00564A89"/>
    <w:rsid w:val="00565031"/>
    <w:rsid w:val="005666F4"/>
    <w:rsid w:val="00566A45"/>
    <w:rsid w:val="005723E9"/>
    <w:rsid w:val="00572C82"/>
    <w:rsid w:val="005730EA"/>
    <w:rsid w:val="0057350E"/>
    <w:rsid w:val="00573DB4"/>
    <w:rsid w:val="00576215"/>
    <w:rsid w:val="0057632A"/>
    <w:rsid w:val="005808DE"/>
    <w:rsid w:val="00581FA5"/>
    <w:rsid w:val="00582923"/>
    <w:rsid w:val="00583884"/>
    <w:rsid w:val="0058388F"/>
    <w:rsid w:val="00584165"/>
    <w:rsid w:val="00585466"/>
    <w:rsid w:val="0058617B"/>
    <w:rsid w:val="00590386"/>
    <w:rsid w:val="005911AC"/>
    <w:rsid w:val="0059138D"/>
    <w:rsid w:val="00593E1F"/>
    <w:rsid w:val="00595FAD"/>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B76D3"/>
    <w:rsid w:val="005C14B0"/>
    <w:rsid w:val="005C1BC9"/>
    <w:rsid w:val="005C287F"/>
    <w:rsid w:val="005C29CD"/>
    <w:rsid w:val="005C2A1D"/>
    <w:rsid w:val="005C5136"/>
    <w:rsid w:val="005C517E"/>
    <w:rsid w:val="005C6CF7"/>
    <w:rsid w:val="005C6DEB"/>
    <w:rsid w:val="005C7A91"/>
    <w:rsid w:val="005D2F62"/>
    <w:rsid w:val="005D3318"/>
    <w:rsid w:val="005D35A0"/>
    <w:rsid w:val="005D3A3F"/>
    <w:rsid w:val="005D3DD9"/>
    <w:rsid w:val="005D3E00"/>
    <w:rsid w:val="005D40D9"/>
    <w:rsid w:val="005D5914"/>
    <w:rsid w:val="005E0301"/>
    <w:rsid w:val="005E03B8"/>
    <w:rsid w:val="005E0917"/>
    <w:rsid w:val="005E0D2D"/>
    <w:rsid w:val="005E1B10"/>
    <w:rsid w:val="005E27EB"/>
    <w:rsid w:val="005E3471"/>
    <w:rsid w:val="005E4BEC"/>
    <w:rsid w:val="005E5070"/>
    <w:rsid w:val="005E59EB"/>
    <w:rsid w:val="005E7377"/>
    <w:rsid w:val="005E7DF2"/>
    <w:rsid w:val="005E7FAD"/>
    <w:rsid w:val="005F05ED"/>
    <w:rsid w:val="005F1095"/>
    <w:rsid w:val="005F12F9"/>
    <w:rsid w:val="005F1957"/>
    <w:rsid w:val="005F1EB8"/>
    <w:rsid w:val="005F3409"/>
    <w:rsid w:val="005F3BBE"/>
    <w:rsid w:val="005F5703"/>
    <w:rsid w:val="005F5B6B"/>
    <w:rsid w:val="005F5DF8"/>
    <w:rsid w:val="005F6354"/>
    <w:rsid w:val="005F6603"/>
    <w:rsid w:val="005F6FDF"/>
    <w:rsid w:val="0060043C"/>
    <w:rsid w:val="00600733"/>
    <w:rsid w:val="00601450"/>
    <w:rsid w:val="006015FF"/>
    <w:rsid w:val="0060179C"/>
    <w:rsid w:val="006022CB"/>
    <w:rsid w:val="00602FA5"/>
    <w:rsid w:val="00604D31"/>
    <w:rsid w:val="0060500C"/>
    <w:rsid w:val="00605A9A"/>
    <w:rsid w:val="00605F23"/>
    <w:rsid w:val="00606735"/>
    <w:rsid w:val="0060673F"/>
    <w:rsid w:val="00606885"/>
    <w:rsid w:val="0060723F"/>
    <w:rsid w:val="00607523"/>
    <w:rsid w:val="006108B8"/>
    <w:rsid w:val="00610920"/>
    <w:rsid w:val="00610B56"/>
    <w:rsid w:val="00611073"/>
    <w:rsid w:val="0061222C"/>
    <w:rsid w:val="0061248F"/>
    <w:rsid w:val="00612780"/>
    <w:rsid w:val="006128D7"/>
    <w:rsid w:val="0061382B"/>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0719"/>
    <w:rsid w:val="00631405"/>
    <w:rsid w:val="006317A9"/>
    <w:rsid w:val="0063337F"/>
    <w:rsid w:val="00633D3C"/>
    <w:rsid w:val="00633DEB"/>
    <w:rsid w:val="0063493E"/>
    <w:rsid w:val="006364E5"/>
    <w:rsid w:val="0063773C"/>
    <w:rsid w:val="00640475"/>
    <w:rsid w:val="006418A0"/>
    <w:rsid w:val="00643011"/>
    <w:rsid w:val="00643362"/>
    <w:rsid w:val="0064497A"/>
    <w:rsid w:val="006452A4"/>
    <w:rsid w:val="00645573"/>
    <w:rsid w:val="006455B0"/>
    <w:rsid w:val="00646287"/>
    <w:rsid w:val="00646D1B"/>
    <w:rsid w:val="006477B8"/>
    <w:rsid w:val="00647F9C"/>
    <w:rsid w:val="00650529"/>
    <w:rsid w:val="00650B6C"/>
    <w:rsid w:val="00650D5A"/>
    <w:rsid w:val="00650DB8"/>
    <w:rsid w:val="00651C18"/>
    <w:rsid w:val="00652460"/>
    <w:rsid w:val="00652DF7"/>
    <w:rsid w:val="00652F11"/>
    <w:rsid w:val="00652FA2"/>
    <w:rsid w:val="00653C4E"/>
    <w:rsid w:val="00654A02"/>
    <w:rsid w:val="00656BF0"/>
    <w:rsid w:val="00661595"/>
    <w:rsid w:val="0066173C"/>
    <w:rsid w:val="0066186C"/>
    <w:rsid w:val="00662545"/>
    <w:rsid w:val="00664361"/>
    <w:rsid w:val="006646B6"/>
    <w:rsid w:val="00664874"/>
    <w:rsid w:val="006660B9"/>
    <w:rsid w:val="00666996"/>
    <w:rsid w:val="006719EB"/>
    <w:rsid w:val="00672D2A"/>
    <w:rsid w:val="006746DB"/>
    <w:rsid w:val="00674BF5"/>
    <w:rsid w:val="006750B8"/>
    <w:rsid w:val="00676B42"/>
    <w:rsid w:val="00676B98"/>
    <w:rsid w:val="006771CE"/>
    <w:rsid w:val="006778A2"/>
    <w:rsid w:val="00677A91"/>
    <w:rsid w:val="00680478"/>
    <w:rsid w:val="00681382"/>
    <w:rsid w:val="00685182"/>
    <w:rsid w:val="0068594D"/>
    <w:rsid w:val="00690B40"/>
    <w:rsid w:val="00690D01"/>
    <w:rsid w:val="006916DC"/>
    <w:rsid w:val="00691F49"/>
    <w:rsid w:val="00691F9C"/>
    <w:rsid w:val="00692A55"/>
    <w:rsid w:val="00692B10"/>
    <w:rsid w:val="0069572F"/>
    <w:rsid w:val="00695A63"/>
    <w:rsid w:val="00696434"/>
    <w:rsid w:val="006966FF"/>
    <w:rsid w:val="00696F12"/>
    <w:rsid w:val="006972E8"/>
    <w:rsid w:val="006A01F5"/>
    <w:rsid w:val="006A14F6"/>
    <w:rsid w:val="006A20A0"/>
    <w:rsid w:val="006A3201"/>
    <w:rsid w:val="006A3A82"/>
    <w:rsid w:val="006A4B1B"/>
    <w:rsid w:val="006A4B4F"/>
    <w:rsid w:val="006A6049"/>
    <w:rsid w:val="006A66C9"/>
    <w:rsid w:val="006A6822"/>
    <w:rsid w:val="006A6CCF"/>
    <w:rsid w:val="006A7AEE"/>
    <w:rsid w:val="006B08A5"/>
    <w:rsid w:val="006B19A0"/>
    <w:rsid w:val="006B1A77"/>
    <w:rsid w:val="006B2333"/>
    <w:rsid w:val="006B2A31"/>
    <w:rsid w:val="006B2C9D"/>
    <w:rsid w:val="006B36C2"/>
    <w:rsid w:val="006B3BAE"/>
    <w:rsid w:val="006B42A7"/>
    <w:rsid w:val="006B4AC8"/>
    <w:rsid w:val="006B4E35"/>
    <w:rsid w:val="006B530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5A49"/>
    <w:rsid w:val="006C66DB"/>
    <w:rsid w:val="006C6D3F"/>
    <w:rsid w:val="006C6EE0"/>
    <w:rsid w:val="006C7201"/>
    <w:rsid w:val="006D35FC"/>
    <w:rsid w:val="006D3B1A"/>
    <w:rsid w:val="006D49F3"/>
    <w:rsid w:val="006D58B8"/>
    <w:rsid w:val="006D638D"/>
    <w:rsid w:val="006D665A"/>
    <w:rsid w:val="006D6AE0"/>
    <w:rsid w:val="006D7512"/>
    <w:rsid w:val="006E01DA"/>
    <w:rsid w:val="006E0809"/>
    <w:rsid w:val="006E0E76"/>
    <w:rsid w:val="006E3440"/>
    <w:rsid w:val="006E52E7"/>
    <w:rsid w:val="006E5D07"/>
    <w:rsid w:val="006E6778"/>
    <w:rsid w:val="006E6AEF"/>
    <w:rsid w:val="006F0968"/>
    <w:rsid w:val="006F20A4"/>
    <w:rsid w:val="006F2637"/>
    <w:rsid w:val="006F2989"/>
    <w:rsid w:val="006F3626"/>
    <w:rsid w:val="006F44CE"/>
    <w:rsid w:val="006F503D"/>
    <w:rsid w:val="006F53D7"/>
    <w:rsid w:val="0070056B"/>
    <w:rsid w:val="00700DE8"/>
    <w:rsid w:val="00700DFD"/>
    <w:rsid w:val="00703C87"/>
    <w:rsid w:val="00705025"/>
    <w:rsid w:val="007063EE"/>
    <w:rsid w:val="007065FE"/>
    <w:rsid w:val="00706D25"/>
    <w:rsid w:val="0070781A"/>
    <w:rsid w:val="007106FB"/>
    <w:rsid w:val="007111B3"/>
    <w:rsid w:val="00711F3A"/>
    <w:rsid w:val="007121C9"/>
    <w:rsid w:val="00712B6C"/>
    <w:rsid w:val="00712C8C"/>
    <w:rsid w:val="00712DE1"/>
    <w:rsid w:val="00712F56"/>
    <w:rsid w:val="0071377A"/>
    <w:rsid w:val="00713E91"/>
    <w:rsid w:val="007158B2"/>
    <w:rsid w:val="00720ADC"/>
    <w:rsid w:val="00721A22"/>
    <w:rsid w:val="00721CEA"/>
    <w:rsid w:val="0072265E"/>
    <w:rsid w:val="00722A10"/>
    <w:rsid w:val="007233B1"/>
    <w:rsid w:val="007241D3"/>
    <w:rsid w:val="007247ED"/>
    <w:rsid w:val="007248BD"/>
    <w:rsid w:val="007260DA"/>
    <w:rsid w:val="00727756"/>
    <w:rsid w:val="00730040"/>
    <w:rsid w:val="00731C8A"/>
    <w:rsid w:val="0073242B"/>
    <w:rsid w:val="007328DD"/>
    <w:rsid w:val="00732D6D"/>
    <w:rsid w:val="00733B77"/>
    <w:rsid w:val="007345D3"/>
    <w:rsid w:val="0073473E"/>
    <w:rsid w:val="0073527C"/>
    <w:rsid w:val="0073581C"/>
    <w:rsid w:val="00735F76"/>
    <w:rsid w:val="00736AD5"/>
    <w:rsid w:val="00736D27"/>
    <w:rsid w:val="00736F34"/>
    <w:rsid w:val="00741BA6"/>
    <w:rsid w:val="007420C6"/>
    <w:rsid w:val="007434D0"/>
    <w:rsid w:val="007445C4"/>
    <w:rsid w:val="00745142"/>
    <w:rsid w:val="00745369"/>
    <w:rsid w:val="00745395"/>
    <w:rsid w:val="007463E2"/>
    <w:rsid w:val="007466A4"/>
    <w:rsid w:val="00747FFA"/>
    <w:rsid w:val="007503D4"/>
    <w:rsid w:val="0075112B"/>
    <w:rsid w:val="00751FBE"/>
    <w:rsid w:val="00752B94"/>
    <w:rsid w:val="0075303E"/>
    <w:rsid w:val="00754ADC"/>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0F0C"/>
    <w:rsid w:val="00771068"/>
    <w:rsid w:val="007711E7"/>
    <w:rsid w:val="007715D6"/>
    <w:rsid w:val="00771DAB"/>
    <w:rsid w:val="00771E97"/>
    <w:rsid w:val="0077276E"/>
    <w:rsid w:val="007745EB"/>
    <w:rsid w:val="00774F99"/>
    <w:rsid w:val="0077559A"/>
    <w:rsid w:val="00777D3A"/>
    <w:rsid w:val="0078015D"/>
    <w:rsid w:val="00781160"/>
    <w:rsid w:val="007827A3"/>
    <w:rsid w:val="00783881"/>
    <w:rsid w:val="00783DA7"/>
    <w:rsid w:val="00784477"/>
    <w:rsid w:val="00784A19"/>
    <w:rsid w:val="0078506A"/>
    <w:rsid w:val="00785E60"/>
    <w:rsid w:val="00785F3E"/>
    <w:rsid w:val="007864CA"/>
    <w:rsid w:val="00787028"/>
    <w:rsid w:val="00787733"/>
    <w:rsid w:val="00787CDE"/>
    <w:rsid w:val="00790738"/>
    <w:rsid w:val="00790AA1"/>
    <w:rsid w:val="00791DA9"/>
    <w:rsid w:val="0079311D"/>
    <w:rsid w:val="00795EC6"/>
    <w:rsid w:val="007969A4"/>
    <w:rsid w:val="00797715"/>
    <w:rsid w:val="00797C89"/>
    <w:rsid w:val="007A00D6"/>
    <w:rsid w:val="007A1067"/>
    <w:rsid w:val="007A1D61"/>
    <w:rsid w:val="007A1E2E"/>
    <w:rsid w:val="007A212A"/>
    <w:rsid w:val="007A3184"/>
    <w:rsid w:val="007A40CB"/>
    <w:rsid w:val="007A49AC"/>
    <w:rsid w:val="007A4CFD"/>
    <w:rsid w:val="007B0068"/>
    <w:rsid w:val="007B025E"/>
    <w:rsid w:val="007B0AC3"/>
    <w:rsid w:val="007B16A3"/>
    <w:rsid w:val="007B2F85"/>
    <w:rsid w:val="007B4F0B"/>
    <w:rsid w:val="007B4FD3"/>
    <w:rsid w:val="007B5523"/>
    <w:rsid w:val="007C099C"/>
    <w:rsid w:val="007C2334"/>
    <w:rsid w:val="007C3B71"/>
    <w:rsid w:val="007C4C33"/>
    <w:rsid w:val="007C5DF2"/>
    <w:rsid w:val="007C64F7"/>
    <w:rsid w:val="007C6E13"/>
    <w:rsid w:val="007C6E66"/>
    <w:rsid w:val="007C795D"/>
    <w:rsid w:val="007C7C9C"/>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343"/>
    <w:rsid w:val="007F0442"/>
    <w:rsid w:val="007F0EBF"/>
    <w:rsid w:val="007F1856"/>
    <w:rsid w:val="007F1970"/>
    <w:rsid w:val="007F3089"/>
    <w:rsid w:val="007F360A"/>
    <w:rsid w:val="007F5225"/>
    <w:rsid w:val="007F5488"/>
    <w:rsid w:val="007F6D99"/>
    <w:rsid w:val="007F7831"/>
    <w:rsid w:val="007F7A60"/>
    <w:rsid w:val="008004DF"/>
    <w:rsid w:val="008015A0"/>
    <w:rsid w:val="00802421"/>
    <w:rsid w:val="008024B2"/>
    <w:rsid w:val="00802958"/>
    <w:rsid w:val="00804D12"/>
    <w:rsid w:val="00804D43"/>
    <w:rsid w:val="00805255"/>
    <w:rsid w:val="00810D73"/>
    <w:rsid w:val="00810F87"/>
    <w:rsid w:val="0081176B"/>
    <w:rsid w:val="00812582"/>
    <w:rsid w:val="008125D7"/>
    <w:rsid w:val="008136B4"/>
    <w:rsid w:val="008145C0"/>
    <w:rsid w:val="008151A6"/>
    <w:rsid w:val="00815EE9"/>
    <w:rsid w:val="00816B32"/>
    <w:rsid w:val="00816F2D"/>
    <w:rsid w:val="00820E23"/>
    <w:rsid w:val="0082105B"/>
    <w:rsid w:val="00821208"/>
    <w:rsid w:val="008221EB"/>
    <w:rsid w:val="00822727"/>
    <w:rsid w:val="008241B9"/>
    <w:rsid w:val="008248E0"/>
    <w:rsid w:val="00827C9A"/>
    <w:rsid w:val="008304E8"/>
    <w:rsid w:val="00830F86"/>
    <w:rsid w:val="0083278B"/>
    <w:rsid w:val="0083285E"/>
    <w:rsid w:val="00833EC0"/>
    <w:rsid w:val="008343BD"/>
    <w:rsid w:val="0083444D"/>
    <w:rsid w:val="00834E93"/>
    <w:rsid w:val="00836845"/>
    <w:rsid w:val="00837612"/>
    <w:rsid w:val="00840A22"/>
    <w:rsid w:val="00841322"/>
    <w:rsid w:val="00841645"/>
    <w:rsid w:val="008420D9"/>
    <w:rsid w:val="008427C5"/>
    <w:rsid w:val="00842A5C"/>
    <w:rsid w:val="00844689"/>
    <w:rsid w:val="00844D12"/>
    <w:rsid w:val="00845545"/>
    <w:rsid w:val="00845551"/>
    <w:rsid w:val="008469DF"/>
    <w:rsid w:val="008503E1"/>
    <w:rsid w:val="00850603"/>
    <w:rsid w:val="00850C75"/>
    <w:rsid w:val="00851278"/>
    <w:rsid w:val="00852CAD"/>
    <w:rsid w:val="00854146"/>
    <w:rsid w:val="00854E5A"/>
    <w:rsid w:val="0085520E"/>
    <w:rsid w:val="00855D5F"/>
    <w:rsid w:val="008564FF"/>
    <w:rsid w:val="00856854"/>
    <w:rsid w:val="0085692D"/>
    <w:rsid w:val="00856E42"/>
    <w:rsid w:val="0086119A"/>
    <w:rsid w:val="0086634C"/>
    <w:rsid w:val="00866C27"/>
    <w:rsid w:val="00867EDC"/>
    <w:rsid w:val="00870531"/>
    <w:rsid w:val="00871877"/>
    <w:rsid w:val="00871CAF"/>
    <w:rsid w:val="008726CA"/>
    <w:rsid w:val="008728EE"/>
    <w:rsid w:val="008737EA"/>
    <w:rsid w:val="00873855"/>
    <w:rsid w:val="00873BC6"/>
    <w:rsid w:val="0087411F"/>
    <w:rsid w:val="00874381"/>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2F0"/>
    <w:rsid w:val="0088630E"/>
    <w:rsid w:val="00886C47"/>
    <w:rsid w:val="00887637"/>
    <w:rsid w:val="00887A83"/>
    <w:rsid w:val="0089010B"/>
    <w:rsid w:val="00893133"/>
    <w:rsid w:val="008932B5"/>
    <w:rsid w:val="00894221"/>
    <w:rsid w:val="008968A4"/>
    <w:rsid w:val="00897812"/>
    <w:rsid w:val="008A05EC"/>
    <w:rsid w:val="008A0983"/>
    <w:rsid w:val="008A1A1E"/>
    <w:rsid w:val="008A1C51"/>
    <w:rsid w:val="008A2D23"/>
    <w:rsid w:val="008A301C"/>
    <w:rsid w:val="008A3152"/>
    <w:rsid w:val="008A3D96"/>
    <w:rsid w:val="008A49E8"/>
    <w:rsid w:val="008A509C"/>
    <w:rsid w:val="008A5DBC"/>
    <w:rsid w:val="008A61B3"/>
    <w:rsid w:val="008A7A5D"/>
    <w:rsid w:val="008B1A0F"/>
    <w:rsid w:val="008B2119"/>
    <w:rsid w:val="008B2F5E"/>
    <w:rsid w:val="008B37B1"/>
    <w:rsid w:val="008B3E8F"/>
    <w:rsid w:val="008B5B21"/>
    <w:rsid w:val="008B6066"/>
    <w:rsid w:val="008B695F"/>
    <w:rsid w:val="008B6B86"/>
    <w:rsid w:val="008B7267"/>
    <w:rsid w:val="008B73EE"/>
    <w:rsid w:val="008C017D"/>
    <w:rsid w:val="008C09FE"/>
    <w:rsid w:val="008C122C"/>
    <w:rsid w:val="008C2330"/>
    <w:rsid w:val="008C26F8"/>
    <w:rsid w:val="008C2DC4"/>
    <w:rsid w:val="008C5233"/>
    <w:rsid w:val="008C5886"/>
    <w:rsid w:val="008C624D"/>
    <w:rsid w:val="008C6A9B"/>
    <w:rsid w:val="008C6E0B"/>
    <w:rsid w:val="008D0D6A"/>
    <w:rsid w:val="008D1D6C"/>
    <w:rsid w:val="008D2210"/>
    <w:rsid w:val="008D230A"/>
    <w:rsid w:val="008D24A6"/>
    <w:rsid w:val="008D274F"/>
    <w:rsid w:val="008D30F0"/>
    <w:rsid w:val="008D4535"/>
    <w:rsid w:val="008D53B8"/>
    <w:rsid w:val="008D5CDE"/>
    <w:rsid w:val="008D6256"/>
    <w:rsid w:val="008D6581"/>
    <w:rsid w:val="008D7D83"/>
    <w:rsid w:val="008E0688"/>
    <w:rsid w:val="008E0E86"/>
    <w:rsid w:val="008E0F08"/>
    <w:rsid w:val="008E10EF"/>
    <w:rsid w:val="008E1776"/>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14623"/>
    <w:rsid w:val="00916197"/>
    <w:rsid w:val="00920491"/>
    <w:rsid w:val="00921700"/>
    <w:rsid w:val="00922F04"/>
    <w:rsid w:val="00923AB1"/>
    <w:rsid w:val="009247A0"/>
    <w:rsid w:val="00924EEF"/>
    <w:rsid w:val="00924FE7"/>
    <w:rsid w:val="009258A2"/>
    <w:rsid w:val="009265F9"/>
    <w:rsid w:val="009270FE"/>
    <w:rsid w:val="00927A7A"/>
    <w:rsid w:val="00927A8B"/>
    <w:rsid w:val="00927B49"/>
    <w:rsid w:val="00927F02"/>
    <w:rsid w:val="0093055F"/>
    <w:rsid w:val="00930817"/>
    <w:rsid w:val="009308DB"/>
    <w:rsid w:val="009310C6"/>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1E6"/>
    <w:rsid w:val="00972A1C"/>
    <w:rsid w:val="00973707"/>
    <w:rsid w:val="00973973"/>
    <w:rsid w:val="00973B8E"/>
    <w:rsid w:val="00974150"/>
    <w:rsid w:val="00974E3F"/>
    <w:rsid w:val="00974F0C"/>
    <w:rsid w:val="00975CA2"/>
    <w:rsid w:val="00975F7F"/>
    <w:rsid w:val="009769DE"/>
    <w:rsid w:val="009807C6"/>
    <w:rsid w:val="00981540"/>
    <w:rsid w:val="0098182F"/>
    <w:rsid w:val="0098245F"/>
    <w:rsid w:val="009843BA"/>
    <w:rsid w:val="00984A5C"/>
    <w:rsid w:val="00985397"/>
    <w:rsid w:val="00986FA9"/>
    <w:rsid w:val="0098757C"/>
    <w:rsid w:val="0098778D"/>
    <w:rsid w:val="00991C37"/>
    <w:rsid w:val="00991D59"/>
    <w:rsid w:val="009921F0"/>
    <w:rsid w:val="0099270E"/>
    <w:rsid w:val="00995A7F"/>
    <w:rsid w:val="00995B12"/>
    <w:rsid w:val="0099694B"/>
    <w:rsid w:val="009A0D39"/>
    <w:rsid w:val="009A1317"/>
    <w:rsid w:val="009A1A9B"/>
    <w:rsid w:val="009A2864"/>
    <w:rsid w:val="009A2E43"/>
    <w:rsid w:val="009A3874"/>
    <w:rsid w:val="009A4399"/>
    <w:rsid w:val="009A455A"/>
    <w:rsid w:val="009A47E2"/>
    <w:rsid w:val="009A4B3E"/>
    <w:rsid w:val="009A6E08"/>
    <w:rsid w:val="009A7A38"/>
    <w:rsid w:val="009B09F5"/>
    <w:rsid w:val="009B0E38"/>
    <w:rsid w:val="009B25C7"/>
    <w:rsid w:val="009B355E"/>
    <w:rsid w:val="009B4B8B"/>
    <w:rsid w:val="009B511B"/>
    <w:rsid w:val="009B526D"/>
    <w:rsid w:val="009B591B"/>
    <w:rsid w:val="009B5985"/>
    <w:rsid w:val="009B627A"/>
    <w:rsid w:val="009B688D"/>
    <w:rsid w:val="009B6CE4"/>
    <w:rsid w:val="009C001E"/>
    <w:rsid w:val="009C083D"/>
    <w:rsid w:val="009C2C58"/>
    <w:rsid w:val="009C3801"/>
    <w:rsid w:val="009C3D16"/>
    <w:rsid w:val="009C3DD6"/>
    <w:rsid w:val="009C4291"/>
    <w:rsid w:val="009C44E7"/>
    <w:rsid w:val="009C4702"/>
    <w:rsid w:val="009C5582"/>
    <w:rsid w:val="009C68BF"/>
    <w:rsid w:val="009C7899"/>
    <w:rsid w:val="009C7D6A"/>
    <w:rsid w:val="009D30AF"/>
    <w:rsid w:val="009D3244"/>
    <w:rsid w:val="009D498D"/>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E7DDE"/>
    <w:rsid w:val="009F0653"/>
    <w:rsid w:val="009F1084"/>
    <w:rsid w:val="009F1550"/>
    <w:rsid w:val="009F19E9"/>
    <w:rsid w:val="009F1F3F"/>
    <w:rsid w:val="009F2B54"/>
    <w:rsid w:val="009F362C"/>
    <w:rsid w:val="009F3AD0"/>
    <w:rsid w:val="009F45B7"/>
    <w:rsid w:val="009F5262"/>
    <w:rsid w:val="009F78B4"/>
    <w:rsid w:val="009F7C08"/>
    <w:rsid w:val="00A01C72"/>
    <w:rsid w:val="00A0239C"/>
    <w:rsid w:val="00A02850"/>
    <w:rsid w:val="00A03C89"/>
    <w:rsid w:val="00A03DC9"/>
    <w:rsid w:val="00A045D1"/>
    <w:rsid w:val="00A0483F"/>
    <w:rsid w:val="00A04CFA"/>
    <w:rsid w:val="00A07957"/>
    <w:rsid w:val="00A10C90"/>
    <w:rsid w:val="00A11C6E"/>
    <w:rsid w:val="00A12B66"/>
    <w:rsid w:val="00A136CD"/>
    <w:rsid w:val="00A14679"/>
    <w:rsid w:val="00A159E2"/>
    <w:rsid w:val="00A16FFF"/>
    <w:rsid w:val="00A201CF"/>
    <w:rsid w:val="00A20B73"/>
    <w:rsid w:val="00A2220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7988"/>
    <w:rsid w:val="00A37A04"/>
    <w:rsid w:val="00A402A8"/>
    <w:rsid w:val="00A41661"/>
    <w:rsid w:val="00A4281F"/>
    <w:rsid w:val="00A4309F"/>
    <w:rsid w:val="00A4319E"/>
    <w:rsid w:val="00A44410"/>
    <w:rsid w:val="00A44D06"/>
    <w:rsid w:val="00A50EB7"/>
    <w:rsid w:val="00A51AA9"/>
    <w:rsid w:val="00A5221E"/>
    <w:rsid w:val="00A53185"/>
    <w:rsid w:val="00A532F5"/>
    <w:rsid w:val="00A53C11"/>
    <w:rsid w:val="00A5427A"/>
    <w:rsid w:val="00A56F0F"/>
    <w:rsid w:val="00A60195"/>
    <w:rsid w:val="00A6394C"/>
    <w:rsid w:val="00A64421"/>
    <w:rsid w:val="00A648C2"/>
    <w:rsid w:val="00A65557"/>
    <w:rsid w:val="00A6683C"/>
    <w:rsid w:val="00A66EC6"/>
    <w:rsid w:val="00A6706B"/>
    <w:rsid w:val="00A675D9"/>
    <w:rsid w:val="00A700A3"/>
    <w:rsid w:val="00A70159"/>
    <w:rsid w:val="00A70245"/>
    <w:rsid w:val="00A707F3"/>
    <w:rsid w:val="00A71F79"/>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87A97"/>
    <w:rsid w:val="00A90BDF"/>
    <w:rsid w:val="00A92CFF"/>
    <w:rsid w:val="00A92F0D"/>
    <w:rsid w:val="00A94F5F"/>
    <w:rsid w:val="00A94FBC"/>
    <w:rsid w:val="00A9559C"/>
    <w:rsid w:val="00A95FD0"/>
    <w:rsid w:val="00A971CA"/>
    <w:rsid w:val="00AA02BE"/>
    <w:rsid w:val="00AA1B66"/>
    <w:rsid w:val="00AA3189"/>
    <w:rsid w:val="00AA629F"/>
    <w:rsid w:val="00AA6A66"/>
    <w:rsid w:val="00AA72D7"/>
    <w:rsid w:val="00AA7658"/>
    <w:rsid w:val="00AB01A1"/>
    <w:rsid w:val="00AB0412"/>
    <w:rsid w:val="00AB1C4B"/>
    <w:rsid w:val="00AB2389"/>
    <w:rsid w:val="00AB2C97"/>
    <w:rsid w:val="00AB2F46"/>
    <w:rsid w:val="00AB393F"/>
    <w:rsid w:val="00AB3FE1"/>
    <w:rsid w:val="00AB4E51"/>
    <w:rsid w:val="00AB5C94"/>
    <w:rsid w:val="00AB63E5"/>
    <w:rsid w:val="00AB6610"/>
    <w:rsid w:val="00AB67AA"/>
    <w:rsid w:val="00AB7B8D"/>
    <w:rsid w:val="00AB7EF6"/>
    <w:rsid w:val="00AC06B8"/>
    <w:rsid w:val="00AC0C9F"/>
    <w:rsid w:val="00AC0F2C"/>
    <w:rsid w:val="00AC14E2"/>
    <w:rsid w:val="00AC1B27"/>
    <w:rsid w:val="00AC3054"/>
    <w:rsid w:val="00AC4299"/>
    <w:rsid w:val="00AC4E3A"/>
    <w:rsid w:val="00AC5975"/>
    <w:rsid w:val="00AC5D72"/>
    <w:rsid w:val="00AC5F45"/>
    <w:rsid w:val="00AC6255"/>
    <w:rsid w:val="00AC654C"/>
    <w:rsid w:val="00AC6570"/>
    <w:rsid w:val="00AC6619"/>
    <w:rsid w:val="00AC7107"/>
    <w:rsid w:val="00AD061B"/>
    <w:rsid w:val="00AD0C6F"/>
    <w:rsid w:val="00AD121C"/>
    <w:rsid w:val="00AD1A08"/>
    <w:rsid w:val="00AD4571"/>
    <w:rsid w:val="00AD70F1"/>
    <w:rsid w:val="00AE0C1B"/>
    <w:rsid w:val="00AE1CD7"/>
    <w:rsid w:val="00AE3D79"/>
    <w:rsid w:val="00AE7CD3"/>
    <w:rsid w:val="00AF003B"/>
    <w:rsid w:val="00AF07E2"/>
    <w:rsid w:val="00AF1037"/>
    <w:rsid w:val="00AF1E50"/>
    <w:rsid w:val="00AF1F57"/>
    <w:rsid w:val="00AF3C10"/>
    <w:rsid w:val="00AF3C69"/>
    <w:rsid w:val="00AF3D7A"/>
    <w:rsid w:val="00AF4ED2"/>
    <w:rsid w:val="00AF6219"/>
    <w:rsid w:val="00AF62BC"/>
    <w:rsid w:val="00AF672F"/>
    <w:rsid w:val="00AF6F2C"/>
    <w:rsid w:val="00AF7FA5"/>
    <w:rsid w:val="00B006E9"/>
    <w:rsid w:val="00B00AE0"/>
    <w:rsid w:val="00B01163"/>
    <w:rsid w:val="00B024AD"/>
    <w:rsid w:val="00B024D7"/>
    <w:rsid w:val="00B02B23"/>
    <w:rsid w:val="00B035B8"/>
    <w:rsid w:val="00B048F1"/>
    <w:rsid w:val="00B049B4"/>
    <w:rsid w:val="00B04D23"/>
    <w:rsid w:val="00B057CA"/>
    <w:rsid w:val="00B11505"/>
    <w:rsid w:val="00B11D0D"/>
    <w:rsid w:val="00B12EA6"/>
    <w:rsid w:val="00B13F06"/>
    <w:rsid w:val="00B14253"/>
    <w:rsid w:val="00B145A2"/>
    <w:rsid w:val="00B15280"/>
    <w:rsid w:val="00B15761"/>
    <w:rsid w:val="00B15DB6"/>
    <w:rsid w:val="00B17100"/>
    <w:rsid w:val="00B171C0"/>
    <w:rsid w:val="00B17999"/>
    <w:rsid w:val="00B20317"/>
    <w:rsid w:val="00B20DCD"/>
    <w:rsid w:val="00B20E5D"/>
    <w:rsid w:val="00B212C5"/>
    <w:rsid w:val="00B215AE"/>
    <w:rsid w:val="00B21DE2"/>
    <w:rsid w:val="00B21E50"/>
    <w:rsid w:val="00B22110"/>
    <w:rsid w:val="00B22E27"/>
    <w:rsid w:val="00B23005"/>
    <w:rsid w:val="00B23E87"/>
    <w:rsid w:val="00B267A1"/>
    <w:rsid w:val="00B26927"/>
    <w:rsid w:val="00B30046"/>
    <w:rsid w:val="00B31D8A"/>
    <w:rsid w:val="00B32AFB"/>
    <w:rsid w:val="00B34001"/>
    <w:rsid w:val="00B34B0B"/>
    <w:rsid w:val="00B34B77"/>
    <w:rsid w:val="00B34DD6"/>
    <w:rsid w:val="00B35F80"/>
    <w:rsid w:val="00B3602B"/>
    <w:rsid w:val="00B36BA6"/>
    <w:rsid w:val="00B36EAA"/>
    <w:rsid w:val="00B4177D"/>
    <w:rsid w:val="00B431BD"/>
    <w:rsid w:val="00B439B1"/>
    <w:rsid w:val="00B43C2A"/>
    <w:rsid w:val="00B43F29"/>
    <w:rsid w:val="00B4423C"/>
    <w:rsid w:val="00B442BD"/>
    <w:rsid w:val="00B4512A"/>
    <w:rsid w:val="00B45BCF"/>
    <w:rsid w:val="00B47F0C"/>
    <w:rsid w:val="00B50194"/>
    <w:rsid w:val="00B50D11"/>
    <w:rsid w:val="00B51CC6"/>
    <w:rsid w:val="00B51F42"/>
    <w:rsid w:val="00B522A4"/>
    <w:rsid w:val="00B52872"/>
    <w:rsid w:val="00B53030"/>
    <w:rsid w:val="00B53847"/>
    <w:rsid w:val="00B53939"/>
    <w:rsid w:val="00B542AB"/>
    <w:rsid w:val="00B62635"/>
    <w:rsid w:val="00B71CD5"/>
    <w:rsid w:val="00B71DAC"/>
    <w:rsid w:val="00B72E87"/>
    <w:rsid w:val="00B730C7"/>
    <w:rsid w:val="00B7350E"/>
    <w:rsid w:val="00B74792"/>
    <w:rsid w:val="00B74827"/>
    <w:rsid w:val="00B7583B"/>
    <w:rsid w:val="00B759BA"/>
    <w:rsid w:val="00B80E5D"/>
    <w:rsid w:val="00B811B0"/>
    <w:rsid w:val="00B816A3"/>
    <w:rsid w:val="00B822A4"/>
    <w:rsid w:val="00B828CC"/>
    <w:rsid w:val="00B83834"/>
    <w:rsid w:val="00B846EC"/>
    <w:rsid w:val="00B8560C"/>
    <w:rsid w:val="00B8575F"/>
    <w:rsid w:val="00B85B8C"/>
    <w:rsid w:val="00B85F75"/>
    <w:rsid w:val="00B86114"/>
    <w:rsid w:val="00B86CA9"/>
    <w:rsid w:val="00B91440"/>
    <w:rsid w:val="00B918B1"/>
    <w:rsid w:val="00B93FA1"/>
    <w:rsid w:val="00B96FBD"/>
    <w:rsid w:val="00B976CF"/>
    <w:rsid w:val="00B97F1B"/>
    <w:rsid w:val="00BA05FE"/>
    <w:rsid w:val="00BA1BF6"/>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6B9C"/>
    <w:rsid w:val="00BB73C8"/>
    <w:rsid w:val="00BB7E19"/>
    <w:rsid w:val="00BC068F"/>
    <w:rsid w:val="00BC0A7F"/>
    <w:rsid w:val="00BC1220"/>
    <w:rsid w:val="00BC2C58"/>
    <w:rsid w:val="00BC3A29"/>
    <w:rsid w:val="00BC3F13"/>
    <w:rsid w:val="00BC40B5"/>
    <w:rsid w:val="00BC43FD"/>
    <w:rsid w:val="00BC47BF"/>
    <w:rsid w:val="00BC4F1C"/>
    <w:rsid w:val="00BC51F5"/>
    <w:rsid w:val="00BC61CD"/>
    <w:rsid w:val="00BC61F2"/>
    <w:rsid w:val="00BC67C0"/>
    <w:rsid w:val="00BC6F41"/>
    <w:rsid w:val="00BC793E"/>
    <w:rsid w:val="00BD1270"/>
    <w:rsid w:val="00BD1379"/>
    <w:rsid w:val="00BD1A14"/>
    <w:rsid w:val="00BD2FE7"/>
    <w:rsid w:val="00BD36DE"/>
    <w:rsid w:val="00BD4E13"/>
    <w:rsid w:val="00BD52C3"/>
    <w:rsid w:val="00BD5485"/>
    <w:rsid w:val="00BD5F43"/>
    <w:rsid w:val="00BD661B"/>
    <w:rsid w:val="00BD687C"/>
    <w:rsid w:val="00BD6DB9"/>
    <w:rsid w:val="00BD75D1"/>
    <w:rsid w:val="00BD77E8"/>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3C23"/>
    <w:rsid w:val="00BF4770"/>
    <w:rsid w:val="00BF540A"/>
    <w:rsid w:val="00BF67D7"/>
    <w:rsid w:val="00BF6EC1"/>
    <w:rsid w:val="00BF7257"/>
    <w:rsid w:val="00C017D1"/>
    <w:rsid w:val="00C029BC"/>
    <w:rsid w:val="00C04D37"/>
    <w:rsid w:val="00C05941"/>
    <w:rsid w:val="00C0657C"/>
    <w:rsid w:val="00C074C4"/>
    <w:rsid w:val="00C10CD4"/>
    <w:rsid w:val="00C11B8D"/>
    <w:rsid w:val="00C12AE0"/>
    <w:rsid w:val="00C12FEB"/>
    <w:rsid w:val="00C1357C"/>
    <w:rsid w:val="00C140C6"/>
    <w:rsid w:val="00C144EF"/>
    <w:rsid w:val="00C1534E"/>
    <w:rsid w:val="00C211DC"/>
    <w:rsid w:val="00C2135F"/>
    <w:rsid w:val="00C213E6"/>
    <w:rsid w:val="00C233C6"/>
    <w:rsid w:val="00C23D4E"/>
    <w:rsid w:val="00C24ED2"/>
    <w:rsid w:val="00C25670"/>
    <w:rsid w:val="00C259E2"/>
    <w:rsid w:val="00C2636B"/>
    <w:rsid w:val="00C26C3A"/>
    <w:rsid w:val="00C277FB"/>
    <w:rsid w:val="00C27CEA"/>
    <w:rsid w:val="00C30639"/>
    <w:rsid w:val="00C306B3"/>
    <w:rsid w:val="00C306F6"/>
    <w:rsid w:val="00C3194E"/>
    <w:rsid w:val="00C31BBB"/>
    <w:rsid w:val="00C3220C"/>
    <w:rsid w:val="00C345ED"/>
    <w:rsid w:val="00C34837"/>
    <w:rsid w:val="00C348B3"/>
    <w:rsid w:val="00C34F38"/>
    <w:rsid w:val="00C35276"/>
    <w:rsid w:val="00C3548F"/>
    <w:rsid w:val="00C356C8"/>
    <w:rsid w:val="00C367B4"/>
    <w:rsid w:val="00C36B2D"/>
    <w:rsid w:val="00C37615"/>
    <w:rsid w:val="00C37B29"/>
    <w:rsid w:val="00C40D60"/>
    <w:rsid w:val="00C41883"/>
    <w:rsid w:val="00C43A7D"/>
    <w:rsid w:val="00C4425F"/>
    <w:rsid w:val="00C44421"/>
    <w:rsid w:val="00C44A04"/>
    <w:rsid w:val="00C44C83"/>
    <w:rsid w:val="00C4623C"/>
    <w:rsid w:val="00C46DB1"/>
    <w:rsid w:val="00C4706F"/>
    <w:rsid w:val="00C47BD3"/>
    <w:rsid w:val="00C47E57"/>
    <w:rsid w:val="00C504D3"/>
    <w:rsid w:val="00C536B3"/>
    <w:rsid w:val="00C53B22"/>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3E"/>
    <w:rsid w:val="00C707EE"/>
    <w:rsid w:val="00C7103D"/>
    <w:rsid w:val="00C717C8"/>
    <w:rsid w:val="00C7187C"/>
    <w:rsid w:val="00C71AF2"/>
    <w:rsid w:val="00C71B86"/>
    <w:rsid w:val="00C71D62"/>
    <w:rsid w:val="00C723EA"/>
    <w:rsid w:val="00C731CE"/>
    <w:rsid w:val="00C7487D"/>
    <w:rsid w:val="00C76804"/>
    <w:rsid w:val="00C76E4A"/>
    <w:rsid w:val="00C80731"/>
    <w:rsid w:val="00C80811"/>
    <w:rsid w:val="00C84BAF"/>
    <w:rsid w:val="00C84C64"/>
    <w:rsid w:val="00C8571F"/>
    <w:rsid w:val="00C85EAB"/>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9D8"/>
    <w:rsid w:val="00CA2E80"/>
    <w:rsid w:val="00CA2E92"/>
    <w:rsid w:val="00CA4EB2"/>
    <w:rsid w:val="00CA61EE"/>
    <w:rsid w:val="00CA6F54"/>
    <w:rsid w:val="00CB1F27"/>
    <w:rsid w:val="00CB256D"/>
    <w:rsid w:val="00CB3146"/>
    <w:rsid w:val="00CB3C8D"/>
    <w:rsid w:val="00CB484B"/>
    <w:rsid w:val="00CB4E0C"/>
    <w:rsid w:val="00CB5059"/>
    <w:rsid w:val="00CB6C8D"/>
    <w:rsid w:val="00CB7F46"/>
    <w:rsid w:val="00CC2508"/>
    <w:rsid w:val="00CC26A6"/>
    <w:rsid w:val="00CC2B5B"/>
    <w:rsid w:val="00CC2F2F"/>
    <w:rsid w:val="00CC47A1"/>
    <w:rsid w:val="00CC4F4F"/>
    <w:rsid w:val="00CC4F94"/>
    <w:rsid w:val="00CC6811"/>
    <w:rsid w:val="00CC6A7B"/>
    <w:rsid w:val="00CC7195"/>
    <w:rsid w:val="00CD1420"/>
    <w:rsid w:val="00CD1B30"/>
    <w:rsid w:val="00CD3018"/>
    <w:rsid w:val="00CD35F2"/>
    <w:rsid w:val="00CD385E"/>
    <w:rsid w:val="00CD3F0E"/>
    <w:rsid w:val="00CD4356"/>
    <w:rsid w:val="00CD7D5B"/>
    <w:rsid w:val="00CD7ED8"/>
    <w:rsid w:val="00CE1093"/>
    <w:rsid w:val="00CE2B78"/>
    <w:rsid w:val="00CE31F7"/>
    <w:rsid w:val="00CE47AF"/>
    <w:rsid w:val="00CE4BEB"/>
    <w:rsid w:val="00CE4C49"/>
    <w:rsid w:val="00CE51FF"/>
    <w:rsid w:val="00CE5ACF"/>
    <w:rsid w:val="00CE7F91"/>
    <w:rsid w:val="00CF0568"/>
    <w:rsid w:val="00CF1093"/>
    <w:rsid w:val="00CF206F"/>
    <w:rsid w:val="00CF2D64"/>
    <w:rsid w:val="00CF4C30"/>
    <w:rsid w:val="00CF5466"/>
    <w:rsid w:val="00CF6D85"/>
    <w:rsid w:val="00CF6F63"/>
    <w:rsid w:val="00D021AF"/>
    <w:rsid w:val="00D024BD"/>
    <w:rsid w:val="00D02770"/>
    <w:rsid w:val="00D02E89"/>
    <w:rsid w:val="00D054C0"/>
    <w:rsid w:val="00D057A6"/>
    <w:rsid w:val="00D05A94"/>
    <w:rsid w:val="00D06F70"/>
    <w:rsid w:val="00D10700"/>
    <w:rsid w:val="00D11D41"/>
    <w:rsid w:val="00D11E4C"/>
    <w:rsid w:val="00D1223C"/>
    <w:rsid w:val="00D14A32"/>
    <w:rsid w:val="00D14EE0"/>
    <w:rsid w:val="00D15808"/>
    <w:rsid w:val="00D16380"/>
    <w:rsid w:val="00D1690D"/>
    <w:rsid w:val="00D16FBF"/>
    <w:rsid w:val="00D1786A"/>
    <w:rsid w:val="00D17DDA"/>
    <w:rsid w:val="00D2018B"/>
    <w:rsid w:val="00D20799"/>
    <w:rsid w:val="00D209AF"/>
    <w:rsid w:val="00D20C67"/>
    <w:rsid w:val="00D212FE"/>
    <w:rsid w:val="00D21B29"/>
    <w:rsid w:val="00D2209D"/>
    <w:rsid w:val="00D2428D"/>
    <w:rsid w:val="00D2506C"/>
    <w:rsid w:val="00D27D87"/>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36AB7"/>
    <w:rsid w:val="00D412C0"/>
    <w:rsid w:val="00D4194D"/>
    <w:rsid w:val="00D424CA"/>
    <w:rsid w:val="00D42EDE"/>
    <w:rsid w:val="00D4457C"/>
    <w:rsid w:val="00D44F8B"/>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89B"/>
    <w:rsid w:val="00D56AF5"/>
    <w:rsid w:val="00D60795"/>
    <w:rsid w:val="00D60F96"/>
    <w:rsid w:val="00D61651"/>
    <w:rsid w:val="00D618CD"/>
    <w:rsid w:val="00D634CB"/>
    <w:rsid w:val="00D6494A"/>
    <w:rsid w:val="00D64ADE"/>
    <w:rsid w:val="00D64B66"/>
    <w:rsid w:val="00D6607A"/>
    <w:rsid w:val="00D66CAA"/>
    <w:rsid w:val="00D66F87"/>
    <w:rsid w:val="00D67483"/>
    <w:rsid w:val="00D70AD1"/>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617F"/>
    <w:rsid w:val="00D87BAB"/>
    <w:rsid w:val="00D90713"/>
    <w:rsid w:val="00D90BFF"/>
    <w:rsid w:val="00D9100A"/>
    <w:rsid w:val="00D92396"/>
    <w:rsid w:val="00D93C68"/>
    <w:rsid w:val="00D946DB"/>
    <w:rsid w:val="00D95045"/>
    <w:rsid w:val="00D956C2"/>
    <w:rsid w:val="00D96E61"/>
    <w:rsid w:val="00DA040A"/>
    <w:rsid w:val="00DA0B84"/>
    <w:rsid w:val="00DA0BDB"/>
    <w:rsid w:val="00DA0DB4"/>
    <w:rsid w:val="00DA1253"/>
    <w:rsid w:val="00DA1525"/>
    <w:rsid w:val="00DA3B36"/>
    <w:rsid w:val="00DA3E72"/>
    <w:rsid w:val="00DA3FEB"/>
    <w:rsid w:val="00DA4727"/>
    <w:rsid w:val="00DA4A2F"/>
    <w:rsid w:val="00DA4AAA"/>
    <w:rsid w:val="00DA4AAE"/>
    <w:rsid w:val="00DA4D9D"/>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0A81"/>
    <w:rsid w:val="00DC1FD1"/>
    <w:rsid w:val="00DC2D05"/>
    <w:rsid w:val="00DC3A83"/>
    <w:rsid w:val="00DC3B38"/>
    <w:rsid w:val="00DC40DA"/>
    <w:rsid w:val="00DC4CE4"/>
    <w:rsid w:val="00DC54AF"/>
    <w:rsid w:val="00DD00B4"/>
    <w:rsid w:val="00DD07FF"/>
    <w:rsid w:val="00DD092D"/>
    <w:rsid w:val="00DD156E"/>
    <w:rsid w:val="00DD1906"/>
    <w:rsid w:val="00DD2C1E"/>
    <w:rsid w:val="00DD41BE"/>
    <w:rsid w:val="00DD4CFC"/>
    <w:rsid w:val="00DD5F87"/>
    <w:rsid w:val="00DD60DF"/>
    <w:rsid w:val="00DD6D54"/>
    <w:rsid w:val="00DD6F35"/>
    <w:rsid w:val="00DD72AA"/>
    <w:rsid w:val="00DD791B"/>
    <w:rsid w:val="00DE0157"/>
    <w:rsid w:val="00DE08E6"/>
    <w:rsid w:val="00DE0962"/>
    <w:rsid w:val="00DE1A1A"/>
    <w:rsid w:val="00DE21B5"/>
    <w:rsid w:val="00DE223B"/>
    <w:rsid w:val="00DE230A"/>
    <w:rsid w:val="00DE26F2"/>
    <w:rsid w:val="00DE3389"/>
    <w:rsid w:val="00DE4001"/>
    <w:rsid w:val="00DE489B"/>
    <w:rsid w:val="00DE48EF"/>
    <w:rsid w:val="00DE4EF2"/>
    <w:rsid w:val="00DE5A31"/>
    <w:rsid w:val="00DE73B4"/>
    <w:rsid w:val="00DE7B41"/>
    <w:rsid w:val="00DE7C81"/>
    <w:rsid w:val="00DF0BF5"/>
    <w:rsid w:val="00DF0EF2"/>
    <w:rsid w:val="00DF1E3B"/>
    <w:rsid w:val="00DF30EB"/>
    <w:rsid w:val="00DF65DF"/>
    <w:rsid w:val="00DF70AE"/>
    <w:rsid w:val="00DF7382"/>
    <w:rsid w:val="00E0175F"/>
    <w:rsid w:val="00E01F9D"/>
    <w:rsid w:val="00E026FB"/>
    <w:rsid w:val="00E02F76"/>
    <w:rsid w:val="00E03E51"/>
    <w:rsid w:val="00E03E93"/>
    <w:rsid w:val="00E050F3"/>
    <w:rsid w:val="00E052A9"/>
    <w:rsid w:val="00E0639C"/>
    <w:rsid w:val="00E06628"/>
    <w:rsid w:val="00E06E19"/>
    <w:rsid w:val="00E07C8E"/>
    <w:rsid w:val="00E10726"/>
    <w:rsid w:val="00E10B85"/>
    <w:rsid w:val="00E11F7B"/>
    <w:rsid w:val="00E120F4"/>
    <w:rsid w:val="00E1421C"/>
    <w:rsid w:val="00E143FD"/>
    <w:rsid w:val="00E14C4D"/>
    <w:rsid w:val="00E16498"/>
    <w:rsid w:val="00E1696D"/>
    <w:rsid w:val="00E1750A"/>
    <w:rsid w:val="00E20FAC"/>
    <w:rsid w:val="00E2178E"/>
    <w:rsid w:val="00E2447E"/>
    <w:rsid w:val="00E249EF"/>
    <w:rsid w:val="00E25862"/>
    <w:rsid w:val="00E26CB6"/>
    <w:rsid w:val="00E27969"/>
    <w:rsid w:val="00E30686"/>
    <w:rsid w:val="00E3279F"/>
    <w:rsid w:val="00E32BAE"/>
    <w:rsid w:val="00E32DA2"/>
    <w:rsid w:val="00E33BF7"/>
    <w:rsid w:val="00E340D7"/>
    <w:rsid w:val="00E34C96"/>
    <w:rsid w:val="00E41A58"/>
    <w:rsid w:val="00E41E4F"/>
    <w:rsid w:val="00E42A4D"/>
    <w:rsid w:val="00E43CD2"/>
    <w:rsid w:val="00E440D2"/>
    <w:rsid w:val="00E45F52"/>
    <w:rsid w:val="00E46936"/>
    <w:rsid w:val="00E46AC0"/>
    <w:rsid w:val="00E473B0"/>
    <w:rsid w:val="00E478C7"/>
    <w:rsid w:val="00E47B54"/>
    <w:rsid w:val="00E47CCD"/>
    <w:rsid w:val="00E50750"/>
    <w:rsid w:val="00E509EA"/>
    <w:rsid w:val="00E50E79"/>
    <w:rsid w:val="00E50FA0"/>
    <w:rsid w:val="00E52782"/>
    <w:rsid w:val="00E53E55"/>
    <w:rsid w:val="00E543B2"/>
    <w:rsid w:val="00E54B05"/>
    <w:rsid w:val="00E60B53"/>
    <w:rsid w:val="00E60C82"/>
    <w:rsid w:val="00E61840"/>
    <w:rsid w:val="00E6373B"/>
    <w:rsid w:val="00E63DC8"/>
    <w:rsid w:val="00E64990"/>
    <w:rsid w:val="00E64BFE"/>
    <w:rsid w:val="00E66040"/>
    <w:rsid w:val="00E6616A"/>
    <w:rsid w:val="00E67F16"/>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C04"/>
    <w:rsid w:val="00E92EE4"/>
    <w:rsid w:val="00E93AB5"/>
    <w:rsid w:val="00E94ED9"/>
    <w:rsid w:val="00E9572B"/>
    <w:rsid w:val="00E96A85"/>
    <w:rsid w:val="00E9758A"/>
    <w:rsid w:val="00E979E9"/>
    <w:rsid w:val="00E97CD2"/>
    <w:rsid w:val="00EA050A"/>
    <w:rsid w:val="00EA0754"/>
    <w:rsid w:val="00EA0BAB"/>
    <w:rsid w:val="00EA0F2F"/>
    <w:rsid w:val="00EA11F0"/>
    <w:rsid w:val="00EA1F5A"/>
    <w:rsid w:val="00EA2AFF"/>
    <w:rsid w:val="00EA3FEF"/>
    <w:rsid w:val="00EA4108"/>
    <w:rsid w:val="00EA419C"/>
    <w:rsid w:val="00EA45F4"/>
    <w:rsid w:val="00EA4F4F"/>
    <w:rsid w:val="00EA56D1"/>
    <w:rsid w:val="00EB154B"/>
    <w:rsid w:val="00EB183C"/>
    <w:rsid w:val="00EB1DBE"/>
    <w:rsid w:val="00EB5013"/>
    <w:rsid w:val="00EB53AD"/>
    <w:rsid w:val="00EB5804"/>
    <w:rsid w:val="00EB5C9A"/>
    <w:rsid w:val="00EB6224"/>
    <w:rsid w:val="00EB62C2"/>
    <w:rsid w:val="00EB6DEA"/>
    <w:rsid w:val="00EB6E04"/>
    <w:rsid w:val="00EB6FC2"/>
    <w:rsid w:val="00EC0B74"/>
    <w:rsid w:val="00EC19AE"/>
    <w:rsid w:val="00EC2E9B"/>
    <w:rsid w:val="00EC4E70"/>
    <w:rsid w:val="00EC5046"/>
    <w:rsid w:val="00EC53E0"/>
    <w:rsid w:val="00EC57C6"/>
    <w:rsid w:val="00EC5FA2"/>
    <w:rsid w:val="00EC7AB4"/>
    <w:rsid w:val="00ED048B"/>
    <w:rsid w:val="00ED1379"/>
    <w:rsid w:val="00ED1956"/>
    <w:rsid w:val="00ED20CB"/>
    <w:rsid w:val="00ED4629"/>
    <w:rsid w:val="00ED52BC"/>
    <w:rsid w:val="00ED55F7"/>
    <w:rsid w:val="00ED66A4"/>
    <w:rsid w:val="00ED6B63"/>
    <w:rsid w:val="00ED6D84"/>
    <w:rsid w:val="00ED78AD"/>
    <w:rsid w:val="00ED7C8E"/>
    <w:rsid w:val="00EE079A"/>
    <w:rsid w:val="00EE0B9D"/>
    <w:rsid w:val="00EE2205"/>
    <w:rsid w:val="00EE2BDA"/>
    <w:rsid w:val="00EE2BEA"/>
    <w:rsid w:val="00EE2CD5"/>
    <w:rsid w:val="00EE34F2"/>
    <w:rsid w:val="00EE5691"/>
    <w:rsid w:val="00EE63B4"/>
    <w:rsid w:val="00EE690D"/>
    <w:rsid w:val="00EE6F6C"/>
    <w:rsid w:val="00EF03E6"/>
    <w:rsid w:val="00EF0C0C"/>
    <w:rsid w:val="00EF0DA4"/>
    <w:rsid w:val="00EF36D2"/>
    <w:rsid w:val="00EF3F40"/>
    <w:rsid w:val="00EF6FD5"/>
    <w:rsid w:val="00F004BA"/>
    <w:rsid w:val="00F006CF"/>
    <w:rsid w:val="00F00A38"/>
    <w:rsid w:val="00F01456"/>
    <w:rsid w:val="00F015E6"/>
    <w:rsid w:val="00F0322C"/>
    <w:rsid w:val="00F04C31"/>
    <w:rsid w:val="00F052D1"/>
    <w:rsid w:val="00F1041F"/>
    <w:rsid w:val="00F1062E"/>
    <w:rsid w:val="00F11185"/>
    <w:rsid w:val="00F114E6"/>
    <w:rsid w:val="00F117D1"/>
    <w:rsid w:val="00F12EA3"/>
    <w:rsid w:val="00F1455C"/>
    <w:rsid w:val="00F14A91"/>
    <w:rsid w:val="00F14B07"/>
    <w:rsid w:val="00F163FF"/>
    <w:rsid w:val="00F176BA"/>
    <w:rsid w:val="00F177C6"/>
    <w:rsid w:val="00F17B2E"/>
    <w:rsid w:val="00F20C33"/>
    <w:rsid w:val="00F215C7"/>
    <w:rsid w:val="00F2228C"/>
    <w:rsid w:val="00F22648"/>
    <w:rsid w:val="00F2281A"/>
    <w:rsid w:val="00F23247"/>
    <w:rsid w:val="00F249CD"/>
    <w:rsid w:val="00F2521E"/>
    <w:rsid w:val="00F26B14"/>
    <w:rsid w:val="00F271B3"/>
    <w:rsid w:val="00F30076"/>
    <w:rsid w:val="00F315FD"/>
    <w:rsid w:val="00F325B9"/>
    <w:rsid w:val="00F3294B"/>
    <w:rsid w:val="00F32D09"/>
    <w:rsid w:val="00F332B0"/>
    <w:rsid w:val="00F33ABB"/>
    <w:rsid w:val="00F33EE0"/>
    <w:rsid w:val="00F356CE"/>
    <w:rsid w:val="00F358AF"/>
    <w:rsid w:val="00F36287"/>
    <w:rsid w:val="00F41508"/>
    <w:rsid w:val="00F423F0"/>
    <w:rsid w:val="00F4393C"/>
    <w:rsid w:val="00F45359"/>
    <w:rsid w:val="00F45413"/>
    <w:rsid w:val="00F46113"/>
    <w:rsid w:val="00F463F5"/>
    <w:rsid w:val="00F47628"/>
    <w:rsid w:val="00F47A9F"/>
    <w:rsid w:val="00F50709"/>
    <w:rsid w:val="00F5132F"/>
    <w:rsid w:val="00F519A4"/>
    <w:rsid w:val="00F52DF6"/>
    <w:rsid w:val="00F52FC6"/>
    <w:rsid w:val="00F535E7"/>
    <w:rsid w:val="00F5381F"/>
    <w:rsid w:val="00F5524C"/>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6DFB"/>
    <w:rsid w:val="00F67634"/>
    <w:rsid w:val="00F71DF2"/>
    <w:rsid w:val="00F75FD2"/>
    <w:rsid w:val="00F777C7"/>
    <w:rsid w:val="00F800B6"/>
    <w:rsid w:val="00F8071F"/>
    <w:rsid w:val="00F811C6"/>
    <w:rsid w:val="00F811F8"/>
    <w:rsid w:val="00F834C3"/>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7D6"/>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D06"/>
    <w:rsid w:val="00FC5515"/>
    <w:rsid w:val="00FC6275"/>
    <w:rsid w:val="00FC6D7A"/>
    <w:rsid w:val="00FC73F6"/>
    <w:rsid w:val="00FD0193"/>
    <w:rsid w:val="00FD0FAA"/>
    <w:rsid w:val="00FD16F5"/>
    <w:rsid w:val="00FD239F"/>
    <w:rsid w:val="00FD380B"/>
    <w:rsid w:val="00FD3883"/>
    <w:rsid w:val="00FD38B8"/>
    <w:rsid w:val="00FD457C"/>
    <w:rsid w:val="00FD54FC"/>
    <w:rsid w:val="00FD5ABD"/>
    <w:rsid w:val="00FD6675"/>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15C6"/>
    <w:rsid w:val="00FF208F"/>
    <w:rsid w:val="00FF2658"/>
    <w:rsid w:val="00FF2818"/>
    <w:rsid w:val="00FF2D0E"/>
    <w:rsid w:val="00FF36A5"/>
    <w:rsid w:val="00FF3B3B"/>
    <w:rsid w:val="00FF6590"/>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F74555A"/>
  <w15:docId w15:val="{0D001453-127C-4EC6-AD50-9F9302CB2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it-IT"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it-IT"/>
    </w:rPr>
  </w:style>
  <w:style w:type="character" w:customStyle="1" w:styleId="Heading2Char">
    <w:name w:val="Heading 2 Char"/>
    <w:link w:val="Heading2"/>
    <w:uiPriority w:val="99"/>
    <w:locked/>
    <w:rsid w:val="00EC5046"/>
    <w:rPr>
      <w:rFonts w:ascii="Verdana" w:hAnsi="Verdana" w:cs="Times New Roman"/>
      <w:b/>
      <w:sz w:val="24"/>
      <w:szCs w:val="24"/>
      <w:u w:val="single"/>
      <w:lang w:val="it-IT"/>
    </w:rPr>
  </w:style>
  <w:style w:type="character" w:customStyle="1" w:styleId="Heading3Char">
    <w:name w:val="Heading 3 Char"/>
    <w:aliases w:val="Title 2 Char"/>
    <w:uiPriority w:val="99"/>
    <w:locked/>
    <w:rsid w:val="00884FEB"/>
    <w:rPr>
      <w:rFonts w:cs="Times New Roman"/>
      <w:sz w:val="24"/>
      <w:szCs w:val="24"/>
      <w:lang w:val="it-IT"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it-I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it-I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it-IT"/>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115052"/>
    <w:pPr>
      <w:suppressAutoHyphens/>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it-IT"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115052"/>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it-IT"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it-IT"/>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it-IT"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it-IT"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it-IT"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44"/>
      </w:numPr>
    </w:pPr>
  </w:style>
  <w:style w:type="paragraph" w:customStyle="1" w:styleId="Numberedtitlelevel2">
    <w:name w:val="Numbered title level 2"/>
    <w:basedOn w:val="Titlelevel2"/>
    <w:next w:val="body"/>
    <w:qFormat/>
    <w:rsid w:val="00595FAD"/>
    <w:pPr>
      <w:numPr>
        <w:ilvl w:val="1"/>
        <w:numId w:val="44"/>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595FAD"/>
    <w:pPr>
      <w:numPr>
        <w:numId w:val="42"/>
      </w:numPr>
    </w:pPr>
    <w:rPr>
      <w:rFonts w:asciiTheme="minorHAnsi" w:eastAsiaTheme="minorEastAsia" w:hAnsiTheme="minorHAnsi" w:cstheme="minorBidi"/>
      <w:sz w:val="22"/>
      <w:szCs w:val="22"/>
      <w:lang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43"/>
      </w:numPr>
      <w:spacing w:before="240" w:after="120"/>
      <w:contextualSpacing/>
    </w:pPr>
    <w:rPr>
      <w:rFonts w:asciiTheme="minorHAnsi" w:eastAsiaTheme="minorEastAsia" w:hAnsiTheme="minorHAnsi" w:cstheme="minorBidi"/>
      <w:sz w:val="22"/>
      <w:szCs w:val="24"/>
      <w:lang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eastAsia="en-US" w:bidi="ar-SA"/>
    </w:rPr>
  </w:style>
  <w:style w:type="paragraph" w:customStyle="1" w:styleId="bullet1">
    <w:name w:val="bullet 1"/>
    <w:basedOn w:val="body"/>
    <w:next w:val="body"/>
    <w:qFormat/>
    <w:rsid w:val="00595FAD"/>
    <w:pPr>
      <w:numPr>
        <w:numId w:val="40"/>
      </w:numPr>
    </w:pPr>
    <w:rPr>
      <w:szCs w:val="22"/>
    </w:rPr>
  </w:style>
  <w:style w:type="paragraph" w:customStyle="1" w:styleId="bullet2">
    <w:name w:val="bullet 2"/>
    <w:basedOn w:val="body"/>
    <w:qFormat/>
    <w:rsid w:val="00595FAD"/>
    <w:pPr>
      <w:numPr>
        <w:numId w:val="39"/>
      </w:numPr>
    </w:pPr>
    <w:rPr>
      <w:szCs w:val="22"/>
    </w:rPr>
  </w:style>
  <w:style w:type="paragraph" w:customStyle="1" w:styleId="Numberedtitlelevel3">
    <w:name w:val="Numbered title level 3"/>
    <w:basedOn w:val="Titlelevel3"/>
    <w:next w:val="body"/>
    <w:qFormat/>
    <w:rsid w:val="00595FAD"/>
    <w:pPr>
      <w:numPr>
        <w:ilvl w:val="2"/>
        <w:numId w:val="44"/>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41"/>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it-IT"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eastAsia="en-GB"/>
    </w:rPr>
  </w:style>
  <w:style w:type="paragraph" w:styleId="ListBullet">
    <w:name w:val="List Bullet"/>
    <w:basedOn w:val="Normal"/>
    <w:semiHidden/>
    <w:qFormat/>
    <w:locked/>
    <w:rsid w:val="00595FAD"/>
    <w:pPr>
      <w:numPr>
        <w:numId w:val="46"/>
      </w:numPr>
      <w:spacing w:before="0" w:after="0"/>
      <w:contextualSpacing/>
      <w:jc w:val="left"/>
    </w:pPr>
    <w:rPr>
      <w:rFonts w:asciiTheme="minorHAnsi" w:eastAsiaTheme="minorEastAsia" w:hAnsiTheme="minorHAnsi" w:cstheme="minorBidi"/>
      <w:sz w:val="22"/>
    </w:rPr>
  </w:style>
  <w:style w:type="paragraph" w:customStyle="1" w:styleId="numberedparagraph">
    <w:name w:val="numbered paragraph"/>
    <w:basedOn w:val="body"/>
    <w:qFormat/>
    <w:rsid w:val="00595FAD"/>
    <w:pPr>
      <w:numPr>
        <w:numId w:val="45"/>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47"/>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iso.org/iso-4217-currency-codes.html" TargetMode="External"/><Relationship Id="rId2" Type="http://schemas.openxmlformats.org/officeDocument/2006/relationships/numbering" Target="numbering.xml"/><Relationship Id="rId16" Type="http://schemas.openxmlformats.org/officeDocument/2006/relationships/hyperlink" Target="https://www.iso.org/iso-4217-currency-codes.html"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9FFE57-0521-444A-8CDF-DE20567F3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285</Pages>
  <Words>98737</Words>
  <Characters>553918</Characters>
  <Application>Microsoft Office Word</Application>
  <DocSecurity>0</DocSecurity>
  <Lines>13188</Lines>
  <Paragraphs>7416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645239</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MOROSI Micol (DGT)</cp:lastModifiedBy>
  <cp:revision>133</cp:revision>
  <dcterms:created xsi:type="dcterms:W3CDTF">2020-12-02T17:37:00Z</dcterms:created>
  <dcterms:modified xsi:type="dcterms:W3CDTF">2020-12-15T11:58:00Z</dcterms:modified>
</cp:coreProperties>
</file>