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XXIII PIELIKUMS</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NORĀDES PĀRSKATU SNIEGŠANAI PAR TERMIŅU SADALĪJUMU</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0CB076DF" w14:textId="14F30500" w:rsidR="00034DE3"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923998" w:history="1">
        <w:r w:rsidR="00034DE3" w:rsidRPr="006C06D6">
          <w:rPr>
            <w:rStyle w:val="Hyperlink"/>
            <w:rFonts w:ascii="Times New Roman" w:hAnsi="Times New Roman"/>
            <w:b/>
          </w:rPr>
          <w:t>I DAĻA. VISPĀRĪGAS NORĀDES</w:t>
        </w:r>
        <w:r w:rsidR="00034DE3">
          <w:rPr>
            <w:webHidden/>
          </w:rPr>
          <w:tab/>
        </w:r>
        <w:r w:rsidR="00034DE3">
          <w:rPr>
            <w:webHidden/>
          </w:rPr>
          <w:fldChar w:fldCharType="begin"/>
        </w:r>
        <w:r w:rsidR="00034DE3">
          <w:rPr>
            <w:webHidden/>
          </w:rPr>
          <w:instrText xml:space="preserve"> PAGEREF _Toc58923998 \h </w:instrText>
        </w:r>
        <w:r w:rsidR="00034DE3">
          <w:rPr>
            <w:webHidden/>
          </w:rPr>
        </w:r>
        <w:r w:rsidR="00034DE3">
          <w:rPr>
            <w:webHidden/>
          </w:rPr>
          <w:fldChar w:fldCharType="separate"/>
        </w:r>
        <w:r w:rsidR="003E6F30">
          <w:rPr>
            <w:webHidden/>
          </w:rPr>
          <w:t>2</w:t>
        </w:r>
        <w:r w:rsidR="00034DE3">
          <w:rPr>
            <w:webHidden/>
          </w:rPr>
          <w:fldChar w:fldCharType="end"/>
        </w:r>
      </w:hyperlink>
    </w:p>
    <w:p w14:paraId="68CD11EA" w14:textId="45D93E85" w:rsidR="00034DE3" w:rsidRDefault="00841F11">
      <w:pPr>
        <w:pStyle w:val="TOC1"/>
        <w:rPr>
          <w:rFonts w:asciiTheme="minorHAnsi" w:eastAsiaTheme="minorEastAsia" w:hAnsiTheme="minorHAnsi" w:cstheme="minorBidi"/>
          <w:color w:val="auto"/>
          <w:sz w:val="22"/>
          <w:szCs w:val="22"/>
          <w:lang w:val="en-US"/>
        </w:rPr>
      </w:pPr>
      <w:hyperlink w:anchor="_Toc58923999" w:history="1">
        <w:r w:rsidR="00034DE3" w:rsidRPr="006C06D6">
          <w:rPr>
            <w:rStyle w:val="Hyperlink"/>
            <w:rFonts w:ascii="Times New Roman" w:hAnsi="Times New Roman"/>
            <w:b/>
          </w:rPr>
          <w:t>II DAĻA. NORĀDES PAR KONKRĒTĀM RINDĀM</w:t>
        </w:r>
        <w:r w:rsidR="00034DE3">
          <w:rPr>
            <w:webHidden/>
          </w:rPr>
          <w:tab/>
        </w:r>
        <w:r w:rsidR="00034DE3">
          <w:rPr>
            <w:webHidden/>
          </w:rPr>
          <w:fldChar w:fldCharType="begin"/>
        </w:r>
        <w:r w:rsidR="00034DE3">
          <w:rPr>
            <w:webHidden/>
          </w:rPr>
          <w:instrText xml:space="preserve"> PAGEREF _Toc58923999 \h </w:instrText>
        </w:r>
        <w:r w:rsidR="00034DE3">
          <w:rPr>
            <w:webHidden/>
          </w:rPr>
        </w:r>
        <w:r w:rsidR="00034DE3">
          <w:rPr>
            <w:webHidden/>
          </w:rPr>
          <w:fldChar w:fldCharType="separate"/>
        </w:r>
        <w:r w:rsidR="003E6F30">
          <w:rPr>
            <w:webHidden/>
          </w:rPr>
          <w:t>5</w:t>
        </w:r>
        <w:r w:rsidR="00034DE3">
          <w:rPr>
            <w:webHidden/>
          </w:rPr>
          <w:fldChar w:fldCharType="end"/>
        </w:r>
      </w:hyperlink>
    </w:p>
    <w:p w14:paraId="323DFBA7" w14:textId="0A021370"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58923998"/>
      <w:r>
        <w:rPr>
          <w:rFonts w:ascii="Times New Roman" w:hAnsi="Times New Roman"/>
          <w:b/>
          <w:sz w:val="24"/>
          <w:szCs w:val="24"/>
        </w:rPr>
        <w:lastRenderedPageBreak/>
        <w:t>I DAĻA.</w:t>
      </w:r>
      <w:bookmarkEnd w:id="0"/>
      <w:r>
        <w:rPr>
          <w:rFonts w:ascii="Times New Roman" w:hAnsi="Times New Roman"/>
          <w:b/>
          <w:sz w:val="24"/>
          <w:szCs w:val="24"/>
        </w:rPr>
        <w:t xml:space="preserve"> VISPĀRĪGAS NORĀDES</w:t>
      </w:r>
      <w:bookmarkEnd w:id="1"/>
      <w:bookmarkEnd w:id="2"/>
      <w:bookmarkEnd w:id="3"/>
      <w:bookmarkEnd w:id="4"/>
    </w:p>
    <w:p w14:paraId="2E158D77" w14:textId="77777777" w:rsidR="003A5275" w:rsidRPr="001A280E" w:rsidRDefault="003A5275" w:rsidP="00F52876">
      <w:pPr>
        <w:pStyle w:val="InstructionsText2"/>
        <w:ind w:left="720" w:hanging="360"/>
        <w:rPr>
          <w:rFonts w:eastAsia="Times New Roman"/>
          <w:bCs/>
          <w:sz w:val="24"/>
        </w:rPr>
      </w:pPr>
      <w:bookmarkStart w:id="5" w:name="_Toc264038399"/>
      <w:bookmarkStart w:id="6" w:name="_Toc294018834"/>
      <w:r>
        <w:rPr>
          <w:bCs/>
          <w:sz w:val="24"/>
        </w:rPr>
        <w:t>1.</w:t>
      </w:r>
      <w:r>
        <w:tab/>
      </w:r>
      <w:r>
        <w:rPr>
          <w:bCs/>
          <w:sz w:val="24"/>
        </w:rPr>
        <w:t>Lai ņemtu vērā termiņu nesakritību iestādes darbībās (“termiņu sadalījums”) XXII pielikuma veidnē, iestādes piemēro šajā pielikumā ietvertos norādījumus.</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Termiņa sadalījuma uzraudzības instruments ietver līgumiski noteiktās plūsmas un iespējamās izejošās plūsmas. Līgumiski noteiktās plūsmas, kas izriet no juridiski saistošiem nolīgumiem, un atlikušo termiņu no pārskata datuma uzrāda saskaņā ar minēto juridisko nolīgumu noteikumiem.</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Iestādes ienākošās plūsmas neuzskaita divreiz.</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Slejā “sākotnējais krājums” uzrāda posteņu krājumu pārskata sniegšanas datumā.</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XXII pielikuma veidnē aizpilda tikai tukšās, baltās šūnas.</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Termiņa sadalījuma veidnes iedaļa “Izejošās plūsmas un ienākošās plūsmas” ietver līgumiski noteiktas nākotnes naudas plūsmas no visiem bilances un ārpusbilances posteņiem. Uzrāda tikai tās izejošās plūsmas un ienākošās plūsmas, kas ir saskaņā ar pārskata sniegšanas datumā derīgiem līgumiem.</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Termiņa sadalījuma veidnes iedaļa “Kompensējošā kapacitāte” atspoguļo neapgrūtināto aktīvu krājumu vai citus finansējuma avotus, kas iestādei pārskata sniegšanas datumā ir juridiski un praktiski pieejami, lai segtu iespējamo līgumisko starpību. Uzrāda tikai tās izejošās plūsmas un ienākošās plūsmas, kas ir saskaņā ar pārskata sniegšanas datumā pastāvošiem līgumiem.</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Izejošās plūsmas un ienākošās plūsmas attiecīgajās iedaļās “Izejošās plūsmas” un “Ienākošās plūsmas” uzrāda bruto vērtībā ar plusa zīmi. Maksājamās un saņemamās summas attiecīgi uzrāda izejošās plūsmas un ienākošās plūsmas iedaļās.</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Termiņa sadalījuma veidnes iedaļā “Kompensējošā kapacitāte” izejošās plūsmas un ienākošās plūsmas uzrāda neto vērtībā ar plus zīmi, ja tā ir ienākošā plūsma, un ar negatīvu zīmi, ja tā ir izejošā plūsma. Attiecībā uz naudas plūsmām uzrāda maksājamās summas. Vērtspapīru plūsmas uzrāda pašreizējā tirgus vērtībā. Plūsmas, kas rodas no kredītlīnijām un likviditātes līnijām, uzrāda līgumiski noteiktajās pieejamajās summās.</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Līgumiski noteiktās plūsmas sadala pa 22 laika grupām atbilstīgi to atlikušajam termiņam, kur dienas nozīmē kalendārās dienas.</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 xml:space="preserve">Uzrāda visas līgumiski noteiktās plūsmas, tostarp visas būtiskās naudas plūsmas no </w:t>
      </w:r>
      <w:proofErr w:type="spellStart"/>
      <w:r>
        <w:rPr>
          <w:bCs/>
          <w:sz w:val="24"/>
        </w:rPr>
        <w:t>nefinanšu</w:t>
      </w:r>
      <w:proofErr w:type="spellEnd"/>
      <w:r>
        <w:rPr>
          <w:bCs/>
          <w:sz w:val="24"/>
        </w:rPr>
        <w:t xml:space="preserve"> darbībām, piemēram, nodokļus, piemaksas, dividendes un īres maksas.</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Lai iestādes piemērotu konservatīvu pieeju, nosakot plūsmu līgumiskos termiņus, tās nodrošina visu turpmāk minēto:</w:t>
      </w:r>
    </w:p>
    <w:p w14:paraId="3479641E" w14:textId="77777777" w:rsidR="003A5275" w:rsidRPr="001A280E" w:rsidRDefault="003A5275" w:rsidP="00F52876">
      <w:pPr>
        <w:pStyle w:val="InstructionsText2"/>
        <w:ind w:left="1440" w:hanging="360"/>
        <w:rPr>
          <w:rFonts w:eastAsia="Times New Roman"/>
          <w:bCs/>
          <w:sz w:val="24"/>
        </w:rPr>
      </w:pPr>
      <w:r>
        <w:rPr>
          <w:bCs/>
          <w:sz w:val="24"/>
        </w:rPr>
        <w:t>a)</w:t>
      </w:r>
      <w:r>
        <w:tab/>
      </w:r>
      <w:r>
        <w:rPr>
          <w:bCs/>
          <w:sz w:val="24"/>
        </w:rPr>
        <w:t>ja pastāv iespēja atlikt maksājumu vai saņemt avansa maksājumu, uzskata, ka iespēja ir izmantota, ja tā veicinātu izejošās plūsmas no iestādes vai atliktu ienākošās plūsmas iestādē;</w:t>
      </w:r>
    </w:p>
    <w:p w14:paraId="300291EA" w14:textId="77777777" w:rsidR="003A5275" w:rsidRPr="001A280E" w:rsidRDefault="003A5275" w:rsidP="00746E56">
      <w:pPr>
        <w:pStyle w:val="InstructionsText2"/>
        <w:ind w:left="1440" w:hanging="360"/>
        <w:rPr>
          <w:rFonts w:eastAsia="Times New Roman"/>
          <w:bCs/>
          <w:sz w:val="24"/>
        </w:rPr>
      </w:pPr>
      <w:r>
        <w:rPr>
          <w:bCs/>
          <w:sz w:val="24"/>
        </w:rPr>
        <w:lastRenderedPageBreak/>
        <w:t>b)</w:t>
      </w:r>
      <w:r>
        <w:tab/>
      </w:r>
      <w:r>
        <w:rPr>
          <w:bCs/>
          <w:sz w:val="24"/>
        </w:rPr>
        <w:t>ja iespēja veicināt izejošās plūsmas no iestādes ir tikai iestādes pašas ziņā, uzskata, ka iespēja ir izmantota tikai tādā gadījumā, ja tirgus sagaida, ka iestāde tā rīkosies. Uzskata, ka iespēja nav izmantota, ja tā veicinātu ienākošās plūsmas iestādē vai atliktu izejošās plūsmas no iestādes. Jebkuru izejošo naudas plūsmu, ko līgumiski izraisītu minētā ienākošā plūsma (kā pastarpinātā finansējuma gadījumā), uzrāda tajā pašā dienā, kad minēto ienākošo plūsmu;</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visus beztermiņa noguldījumus un noguldījumus, kuriem nebeidzas termiņš, uzrāda 020. slejā kā “uz nakti”;</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 xml:space="preserve">uzskata, ka beztermiņa </w:t>
      </w:r>
      <w:proofErr w:type="spellStart"/>
      <w:r>
        <w:rPr>
          <w:bCs/>
          <w:sz w:val="24"/>
        </w:rPr>
        <w:t>repo</w:t>
      </w:r>
      <w:proofErr w:type="spellEnd"/>
      <w:r>
        <w:rPr>
          <w:bCs/>
          <w:sz w:val="24"/>
        </w:rPr>
        <w:t xml:space="preserve"> vai aktīvu pirkšanas ar </w:t>
      </w:r>
      <w:proofErr w:type="spellStart"/>
      <w:r>
        <w:rPr>
          <w:bCs/>
          <w:sz w:val="24"/>
        </w:rPr>
        <w:t>atpārdošanu</w:t>
      </w:r>
      <w:proofErr w:type="spellEnd"/>
      <w:r>
        <w:rPr>
          <w:bCs/>
          <w:sz w:val="24"/>
        </w:rPr>
        <w:t xml:space="preserve"> darījumu un līdzīgu darījumu, ko jebkura puse var pārtraukt jebkurā dienā, termiņš ir uz nakti, ja vien paziņošanas periods nav ilgāks nekā viena diena; tādā gadījumā tos uzrāda attiecīgajā laika periodā saskaņā ar paziņošanas periodu;</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uzskata, ka privātpersonu vai MVU termiņa noguldījumu ar priekšlaicīgas izņemšanas iespēju termiņš ir laika posms, kurā noguldījuma priekšlaicīgai izņemšanai nepiemērotu sodu saskaņā ar Deleģētās regulas (ES) 2015/61 25. panta 4. punkta b) apakšpunktu;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ja iestāde nespēj noteikt minimālo līgumā noteiktā maksājuma grafiku attiecībā uz konkrētu posteni vai tā daļu, ievērojot šajā punktā paredzētos noteikumus, tā 220. slejā uzrāda posteni vai tā daļu kā 5 gadu laikposmu pārsniedzošu.</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Izejošās procentu plūsmas un ienākošās procentu plūsmas no visiem bilances un ārpusbilances instrumentiem ietver visos attiecīgajos “izejošās plūsmas” un “ienākošās plūsmas” iedaļu posteņos.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Ārvalstu valūtas mijmaiņas līgumi, kuru termiņš beidzas, piemērojamajos veidnes laika intervālos atspoguļo dažādu valūtu mijmaiņas līgumu, ārvalstu valūtas nākotnes darījumu un nenokārtotu ārvalstu valūtas tagadnes darījumu nosacīto vērtību, beidzoties termiņam.</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Naudas plūsmas no nenokārtotiem darījumiem īsu laiku pirms norēķina uzrāda attiecīgajās rindās un intervālos.</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Posteņus, kur iestādei nav darījumu, piemēram, nav noteiktas kategorijas noguldījumu, atstāj neizpildītus.</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Neuzrāda kavējumu posteņus un tos posteņus, par kuriem iestādei ir pamats sagaidīt, ka tie netiks izpildīti.</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 xml:space="preserve">Ja saņemtais nodrošinājums ir ticis </w:t>
      </w:r>
      <w:proofErr w:type="spellStart"/>
      <w:r>
        <w:rPr>
          <w:bCs/>
          <w:sz w:val="24"/>
        </w:rPr>
        <w:t>tālākieķīlāts</w:t>
      </w:r>
      <w:proofErr w:type="spellEnd"/>
      <w:r>
        <w:rPr>
          <w:bCs/>
          <w:sz w:val="24"/>
        </w:rPr>
        <w:t xml:space="preserve"> darījumā, kura termiņš ir pēc darījuma, kurā iestāde saņēma nodrošinājumu, vērtspapīru izejošo plūsmu saņemtā nodrošinājuma patiesās vērtības summā uzrāda kompensējošās kapacitātes iedaļā attiecīgajā grupā saskaņā ar tā darījuma termiņu, kurā tika saņemts nodrošinājums.</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Grupas iekšējie posteņi neietekmē pārskatu sniegšanu konsolidētā līmenī.</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7" w:name="_Toc359414277"/>
      <w:bookmarkStart w:id="8" w:name="_Toc322687869"/>
      <w:bookmarkEnd w:id="5"/>
      <w:bookmarkEnd w:id="6"/>
      <w:bookmarkEnd w:id="7"/>
      <w:r>
        <w:br w:type="page"/>
      </w:r>
      <w:bookmarkStart w:id="9" w:name="_Toc351048504"/>
      <w:bookmarkStart w:id="10" w:name="_Toc359414281"/>
      <w:bookmarkStart w:id="11" w:name="_Toc58923999"/>
      <w:r>
        <w:rPr>
          <w:rFonts w:ascii="Times New Roman" w:hAnsi="Times New Roman"/>
          <w:b/>
          <w:sz w:val="24"/>
          <w:szCs w:val="24"/>
        </w:rPr>
        <w:lastRenderedPageBreak/>
        <w:t>II DAĻA. NORĀDES PAR KONKRĒTĀM RINDĀM</w:t>
      </w:r>
      <w:bookmarkEnd w:id="8"/>
      <w:bookmarkEnd w:id="9"/>
      <w:bookmarkEnd w:id="10"/>
      <w:bookmarkEnd w:id="1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2" w:name="_Toc322687879"/>
            <w:bookmarkStart w:id="13" w:name="_Toc315961853"/>
            <w:r>
              <w:rPr>
                <w:rFonts w:ascii="Times New Roman" w:hAnsi="Times New Roman"/>
                <w:sz w:val="24"/>
                <w:szCs w:val="24"/>
              </w:rPr>
              <w:t>Rinda</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Atsauces uz tiesību aktiem un norādījumi</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līdz</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43FE04A6" w:rsidR="003A5275" w:rsidRPr="001A280E" w:rsidRDefault="003E6F30"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 xml:space="preserve">1. </w:t>
            </w:r>
            <w:r w:rsidR="003A5275">
              <w:rPr>
                <w:rFonts w:ascii="Times New Roman" w:hAnsi="Times New Roman"/>
                <w:b/>
                <w:sz w:val="24"/>
                <w:szCs w:val="24"/>
              </w:rPr>
              <w:t>IZEJOŠĀS PLŪSMAS</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 xml:space="preserve">Izejošo naudas plūsmu </w:t>
            </w:r>
            <w:r>
              <w:rPr>
                <w:rFonts w:ascii="Times New Roman" w:hAnsi="Times New Roman"/>
                <w:sz w:val="24"/>
                <w:szCs w:val="24"/>
              </w:rPr>
              <w:t>kopsummu</w:t>
            </w:r>
            <w:r>
              <w:rPr>
                <w:rFonts w:ascii="Times New Roman" w:hAnsi="Times New Roman"/>
                <w:bCs/>
                <w:sz w:val="24"/>
                <w:szCs w:val="24"/>
              </w:rPr>
              <w:t xml:space="preserve"> uzrāda šajās turpmāk norādītajās </w:t>
            </w:r>
            <w:proofErr w:type="spellStart"/>
            <w:r>
              <w:rPr>
                <w:rFonts w:ascii="Times New Roman" w:hAnsi="Times New Roman"/>
                <w:bCs/>
                <w:sz w:val="24"/>
                <w:szCs w:val="24"/>
              </w:rPr>
              <w:t>apakškategorijās</w:t>
            </w:r>
            <w:proofErr w:type="spellEnd"/>
            <w:r>
              <w:rPr>
                <w:rFonts w:ascii="Times New Roman" w:hAnsi="Times New Roman"/>
                <w:bCs/>
                <w:sz w:val="24"/>
                <w:szCs w:val="24"/>
              </w:rPr>
              <w:t>.</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saistības, kas izriet no emitētajiem vērtspapīriem</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Izejošās naudas plūsmas, kas ir no parāda vērtspapīriem, kurus emitējusi pārskatu sniedzošā iestāde, piemēram, pašu emisijas.</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nenodrošinātas obligācijas, kuru termiņš ir pienācis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010. rindā uzrādīto izejošo naudas plūsmu, kas izriet no emitētajiem vērtspapīriem, summa, kura ir nenodrošināts parāds, ko pārskatu sniedzošā iestāde emitējusi </w:t>
            </w:r>
            <w:proofErr w:type="spellStart"/>
            <w:r>
              <w:rPr>
                <w:rFonts w:ascii="Times New Roman" w:hAnsi="Times New Roman"/>
                <w:sz w:val="24"/>
                <w:szCs w:val="24"/>
              </w:rPr>
              <w:t>trešām</w:t>
            </w:r>
            <w:proofErr w:type="spellEnd"/>
            <w:r>
              <w:rPr>
                <w:rFonts w:ascii="Times New Roman" w:hAnsi="Times New Roman"/>
                <w:sz w:val="24"/>
                <w:szCs w:val="24"/>
              </w:rPr>
              <w:t xml:space="preserve"> personām.</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regulētas segtās obligācijas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010. rindā uzrādīto izejošo naudas plūsmu, kas izriet no emitētajiem vērtspapīriem, summa, kura ir obligācijas, kas ir atbilstošas, lai tām piemērotu Regulas (ES) Nr. 575/2013 129. panta 4. vai 5. punktā vai Direktīvas 2009/65/EK 52. panta 4. punktā noteikto procedūru.</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1.1.3. </w:t>
            </w:r>
            <w:proofErr w:type="spellStart"/>
            <w:r>
              <w:rPr>
                <w:rFonts w:ascii="Times New Roman" w:hAnsi="Times New Roman"/>
                <w:b/>
                <w:sz w:val="24"/>
                <w:szCs w:val="24"/>
                <w:u w:val="thick" w:color="000000"/>
              </w:rPr>
              <w:t>vērtspapīrošanas</w:t>
            </w:r>
            <w:proofErr w:type="spellEnd"/>
            <w:r>
              <w:rPr>
                <w:rFonts w:ascii="Times New Roman" w:hAnsi="Times New Roman"/>
                <w:b/>
                <w:sz w:val="24"/>
                <w:szCs w:val="24"/>
                <w:u w:val="thick" w:color="000000"/>
              </w:rPr>
              <w:t>, kuru termiņš ir pienācis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010. rindā uzrādīto izejošo naudas plūsmu, kas izriet no emitētajiem vērtspapīriem, summa, kura ir </w:t>
            </w:r>
            <w:proofErr w:type="spellStart"/>
            <w:r>
              <w:rPr>
                <w:rFonts w:ascii="Times New Roman" w:hAnsi="Times New Roman"/>
                <w:sz w:val="24"/>
                <w:szCs w:val="24"/>
              </w:rPr>
              <w:t>vērtspapīrošanas</w:t>
            </w:r>
            <w:proofErr w:type="spellEnd"/>
            <w:r>
              <w:rPr>
                <w:rFonts w:ascii="Times New Roman" w:hAnsi="Times New Roman"/>
                <w:sz w:val="24"/>
                <w:szCs w:val="24"/>
              </w:rPr>
              <w:t xml:space="preserve"> darījumi ar </w:t>
            </w:r>
            <w:proofErr w:type="spellStart"/>
            <w:r>
              <w:rPr>
                <w:rFonts w:ascii="Times New Roman" w:hAnsi="Times New Roman"/>
                <w:sz w:val="24"/>
                <w:szCs w:val="24"/>
              </w:rPr>
              <w:t>trešām</w:t>
            </w:r>
            <w:proofErr w:type="spellEnd"/>
            <w:r>
              <w:rPr>
                <w:rFonts w:ascii="Times New Roman" w:hAnsi="Times New Roman"/>
                <w:sz w:val="24"/>
                <w:szCs w:val="24"/>
              </w:rPr>
              <w:t xml:space="preserve"> personām atbilstīgi Regulas (ES) Nr. 575/2013 4. panta 1. punkta 61. apakšpunktam.</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cita veida</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010. rindā uzrādīto izejošo naudas plūsmu, kas izriet no emitētajiem vērtspapīriem, summa, kura nav uzrādīta iepriekš minētās </w:t>
            </w:r>
            <w:proofErr w:type="spellStart"/>
            <w:r>
              <w:rPr>
                <w:rFonts w:ascii="Times New Roman" w:hAnsi="Times New Roman"/>
                <w:sz w:val="24"/>
                <w:szCs w:val="24"/>
              </w:rPr>
              <w:t>apakškategorijās</w:t>
            </w:r>
            <w:proofErr w:type="spellEnd"/>
            <w:r>
              <w:rPr>
                <w:rFonts w:ascii="Times New Roman" w:hAnsi="Times New Roman"/>
                <w:sz w:val="24"/>
                <w:szCs w:val="24"/>
              </w:rPr>
              <w:t>.</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saistības, kas radušās no nodrošinātiem aizdevumiem un kapitāla tirgus</w:t>
            </w:r>
            <w:r>
              <w:rPr>
                <w:rFonts w:ascii="Times New Roman" w:hAnsi="Times New Roman"/>
                <w:b/>
                <w:sz w:val="24"/>
                <w:szCs w:val="24"/>
              </w:rPr>
              <w:t xml:space="preserve"> </w:t>
            </w:r>
            <w:r>
              <w:rPr>
                <w:rFonts w:ascii="Times New Roman" w:hAnsi="Times New Roman"/>
                <w:b/>
                <w:sz w:val="24"/>
                <w:szCs w:val="24"/>
                <w:u w:val="thick" w:color="000000"/>
              </w:rPr>
              <w:t>darījumiem, kas nodrošināti ar turpmāk minēto:</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visu to izejošo naudas plūsmu kopsumma, kas izriet no nodrošinātajiem aizdevumiem un kapitāla tirgus darījumiem, kā definēts Regulas (ES) </w:t>
            </w:r>
            <w:r>
              <w:rPr>
                <w:rFonts w:ascii="Times New Roman" w:hAnsi="Times New Roman"/>
                <w:sz w:val="24"/>
                <w:szCs w:val="24"/>
              </w:rPr>
              <w:lastRenderedPageBreak/>
              <w:t>Nr. 575/2013 192. pantā.</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Iestādes uzrāda tikai naudas plūsmas. Vērtspapīru plūsmas, kuras saistītas ar nodrošinātajiem aizdevumiem un kapitāla tirgus darījumiem, uzrāda iedaļā “Kompensējošā kapacitāte”.</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1.līmenis: tirgojami aktīvi</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070. rindā uzrādīto izejošo naudas plūsmu summa, kas nodrošināta ar tirgojamiem aktīviem, kuri atbilstu Deleģētās regulas (ES) 2015/61 7., 8. un 10. pantā noteiktajām prasībām, ja tie nenodrošinātu konkrēto darījumu.</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1.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1. līmenis: izņemot segtās obligācijas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070. rindā uzrādīto izejošo naudas plūsmu summa, kas nodrošināta ar aktīviem, kuri nav segtās obligācijas.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1. līmenis: centrālā banka</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080. rindā uzrādīto izejošo naudas plūsmu summa, kas nodrošināta ar aktīviem, kuri ir prasījumi pret centrālajām bankām vai kurus tās garantē.</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1. līmenis (1. KKP)</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080. rindā uzrādīto izejošo naudas plūsmu, kas nav norādītas 090. rindā, summa, kura nodrošināta ar aktīviem, kas ir prasījumi pret emitentu vai garantijas devēju vai ko garantē emitents vai garantijas devējs, kuram 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1. līmenis (2. KKP, 3. KKP)</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080. rindā uzrādīto izejošo naudas plūsmu, kas nav norādītas 090. rindā, summa, kura nodrošināta ar aktīviem, kas ir prasījumi pret emitentu vai garantijas devēju vai kuru garantē emitents vai garantijas devējs, kam norīkota ĀKNI ir piešķīrusi otro vai trešo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1. līmenis (4.+ KKP)</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080. rindā uzrādīto izejošo naudas plūsmu, kas nav norādītas 090. rindā, summa, kura nodrošināta ar aktīviem, kas ir prasījumi pret emitentu vai garantijas devēju vai ko garantē emitents vai garantijas devējs, kuram </w:t>
            </w:r>
            <w:r>
              <w:rPr>
                <w:rFonts w:ascii="Times New Roman" w:hAnsi="Times New Roman"/>
                <w:sz w:val="24"/>
                <w:szCs w:val="24"/>
              </w:rPr>
              <w:lastRenderedPageBreak/>
              <w:t xml:space="preserve">norīkota ĀKNI ir piešķīrusi ceturto vai zemāku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1. līmenis: segtās obligācijas (1. KKP)</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070. rindā uzrādīto izejošo naudas plūsmu summa, kas nodrošināta ar aktīviem, kuri ir segtās obligācijas.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Saskaņā ar Deleģētās regulas (ES) 2015/61 10. panta 1. punkta f) apakšpunktu tikai 1. KKP segtās obligācijas ir atbilstošas kā 1. līmeņa aktīvi.</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2.A līmenis: tirgojami aktīvi</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060. rindā uzrādīto izejošo naudas plūsmu summa, kas nodrošināta ar tirgojamiem aktīviem, kuri atbilstu Deleģētās regulas (ES) 2015/61 7., 8. un 11. pantā noteiktajām prasībām, ja tie nenodrošinātu konkrēto darījumu.</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2.A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2.A līmenis: uzņēmuma obligācijas (1. KKP)</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140. rindā uzrādīto izejošo naudas plūsmu summa, kas nodrošināta ar uzņēmuma obligācijām, kurām 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2.A līmenis: segtās obligācijas (1. KKP, 2. KKP)</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140. rindā uzrādīto izejošo naudas plūsmu summa, kas nodrošināta ar segtajām obligācijām, kurām norīkota ĀKNI ir piešķīrusi pirmo vai otro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2.A līmenis: publiskais sektors (1. KKP, 2. KKP)</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140. rindā uzrādīto izejošo naudas plūsmu summa, kas nodrošināta ar aktīviem, kuri ir prasījumi pret centrālajām valdībām, centrālajām bankām, reģionālajām pašvaldībām, vietējām pašpārvaldēm vai publiskā sektora struktūrām vai kurus tās garantē.</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Saskaņā ar Deleģētās regulas (ES) 2015/61 11. panta 1. punkta a) un b) apakšpunktu visiem 2.A līmenim atbilstošajiem publiskā sektora aktīviem ir vai nu pirmā vai otrā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pakāpe.</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2.B līmenis: tirgojami aktīvi</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lastRenderedPageBreak/>
              <w:t>060. rindā uzrādīto izejošo naudas plūsmu summa, kas nodrošināta ar tirgojamiem aktīviem, kuri atbilstu Deleģētās regulas (ES) 2015/61 7., 8. un 12. vai 13. pantā noteiktajām prasībām, ja tie nenodrošinātu konkrēto darījumu.</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KIU daļas vai ieguldījumu apliecības saskaņā ar Deleģētās regulas (ES) 2015/61 15. pantu, kuras uzskata par 2.B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2.B līmenis: ar aktīviem nodrošināti vērtspapīri (ABS) (1. KKP)</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180. rindā uzrādīto izejošo naudas plūsmu summa, kuras nodrošinājums ir ar aktīviem nodrošināti vērtspapīri, tostarp ar mājokļu hipotēkām nodrošināti vērtspapīri (</w:t>
            </w:r>
            <w:r>
              <w:rPr>
                <w:rFonts w:ascii="Times New Roman" w:hAnsi="Times New Roman"/>
                <w:i/>
                <w:sz w:val="24"/>
                <w:szCs w:val="24"/>
              </w:rPr>
              <w:t>RMBS</w:t>
            </w:r>
            <w:r>
              <w:rPr>
                <w:rFonts w:ascii="Times New Roman" w:hAnsi="Times New Roman"/>
                <w:sz w:val="24"/>
                <w:szCs w:val="24"/>
              </w:rPr>
              <w:t xml:space="preserve">).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 xml:space="preserve">Saskaņā ar Deleģētās regulas (ES) 2015/61 13. panta 2. punkta a) apakšpunktu visiem 2.B līmenim atbilstīgajiem ar aktīviem nodrošinātiem vērtspapīriem ir pirmā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pakāpe.</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2.B līmenis: segtās obligācijas (1.–6. KKP)</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180. rindā uzrādīto izejošo naudas plūsmu summa, kas nodrošināta ar segtajām obligācijām.</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2.B līmenis: uzņēmumu obligācijas (1.-3. KKP)</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180. rindā uzrādīto izejošo naudas plūsmu summa, kas nodrošināta ar uzņēmuma parāda vērtspapīriem.</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2.B līmenis: akcijas</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180. rindā uzrādīto izejošo naudas plūsmu summa, kas nodrošināta ar akcijām.</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2.B līmenis: publiskais sektors (3.–5. KKP)</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180. rindā uzrādīto izejošo naudas plūsmu summa, kas ir nodrošināta ar 2.B līmeņa aktīviem, kuri nav norādīti 190. līdz 220. rindā.</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citi tirgojami aktīvi</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060. rindā uzrādīto izejošo naudas plūsmu summa, kas nodrošināta ar tirgojamiem aktīviem, kuri nav uzrādīti 070., 140. vai 180. rindā.</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citi aktīvi</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lastRenderedPageBreak/>
              <w:t>060. rindā uzrādīto izejošo naudas plūsmu summa, kas nodrošināta ar aktīviem, kuri nav uzrādīti 070., 140., 180. vai 240. rindā.</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saistības, kas nav uzrādītas 1.2. postenī un kas izriet no saņemtajiem noguldījumiem, izņemot noguldījumus, kas saņemti</w:t>
            </w:r>
            <w:r>
              <w:rPr>
                <w:rFonts w:ascii="Times New Roman" w:hAnsi="Times New Roman"/>
                <w:b/>
                <w:sz w:val="24"/>
                <w:szCs w:val="24"/>
              </w:rPr>
              <w:t xml:space="preserve"> </w:t>
            </w:r>
            <w:r>
              <w:rPr>
                <w:rFonts w:ascii="Times New Roman" w:hAnsi="Times New Roman"/>
                <w:b/>
                <w:sz w:val="24"/>
                <w:szCs w:val="24"/>
                <w:u w:val="thick" w:color="000000"/>
              </w:rPr>
              <w:t>kā nodrošinājums</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Izejošās naudas plūsmas, kas ir no visiem saņemtajiem noguldījumiem, izņemot 060. rindā uzrādītās izejošās naudas plūsmas un noguldījumus, kas saņemti kā nodrošinājums.</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Izejošās naudas plūsmas, kas izriet no atvasināto instrumentu darījumiem, uzrāda 350. vai 360. rindā.</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Noguldījumus uzrāda atbilstīgi to agrākajai iespējamajai līgumiski noteiktajai termiņa dienai. Noguldījumus, ko var nekavējoties izņemt bez iepriekšēja paziņojuma (“pieprasījuma noguldījumi”), vai noguldījumus, kuriem netuvojas termiņš, uzrāda grupā “uz nakti”.</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stabili privātpersonu vai MVU noguldījumi</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260. rindā uzrādīto izejošo naudas plūsmu summa, kas ir no privātpersonu vai MVU noguldījumiem saskaņā ar Deleģētās regulas (ES) 2015/61 3. panta 8. punktu un 24. pantu.</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citi privātpersonu vai MVU noguldījumi</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rindā uzrādīto izejošo naudas plūsmu, kuras nav uzrādītas 270. rindā, summa, kas izriet no privātpersonu vai MVU noguldījumiem saskaņā ar Deleģētās regulas (ES) 2015/61 3. panta 8. punktu.</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operacionālie noguldījumi</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rindā uzrādīto izejošo naudas plūsmu summa, kas ir no operacionālajiem noguldījumiem saskaņā ar Deleģētās regulas (ES) 2015/61 27. pantu.</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kredītiestāžu noguldījumi, kas nav operacionālie noguldījumi</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rindā uzrādīto izejošo naudas plūsmu, kas nav uzrādītas 290. rindā, summa, kas izriet no kredītiestāžu noguldījumiem.</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citu finanšu klientu noguldījumi, kas nav operacionālie noguldījumi</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260. rindā uzrādīto izejošo naudas plūsmu, kas nav uzrādītas 290. un </w:t>
            </w:r>
            <w:r>
              <w:rPr>
                <w:rFonts w:ascii="Times New Roman" w:hAnsi="Times New Roman"/>
                <w:sz w:val="24"/>
                <w:szCs w:val="24"/>
              </w:rPr>
              <w:lastRenderedPageBreak/>
              <w:t>300. rindā, summa, kas izriet no finanšu klientu noguldījumiem.</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centrālo banku noguldījumi, kas nav operacionālie noguldījumi</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260. rindā uzrādītā izejošo naudas plūsmu summa, kas ir no centrālo banku noguldījumiem, kas nav operacionālie noguldījumi.</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1.3.7. </w:t>
            </w:r>
            <w:proofErr w:type="spellStart"/>
            <w:r>
              <w:rPr>
                <w:rFonts w:ascii="Times New Roman" w:hAnsi="Times New Roman"/>
                <w:b/>
                <w:sz w:val="24"/>
                <w:szCs w:val="24"/>
                <w:u w:val="thick" w:color="000000"/>
              </w:rPr>
              <w:t>nefinanšu</w:t>
            </w:r>
            <w:proofErr w:type="spellEnd"/>
            <w:r>
              <w:rPr>
                <w:rFonts w:ascii="Times New Roman" w:hAnsi="Times New Roman"/>
                <w:b/>
                <w:sz w:val="24"/>
                <w:szCs w:val="24"/>
                <w:u w:val="thick" w:color="000000"/>
              </w:rPr>
              <w:t xml:space="preserve"> komercsabiedrību noguldījumi, kas nav operacionālie noguldījumi</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260. rindā uzrādītā izejošo naudas plūsmu summa, kas ir no </w:t>
            </w:r>
            <w:proofErr w:type="spellStart"/>
            <w:r>
              <w:rPr>
                <w:rFonts w:ascii="Times New Roman" w:hAnsi="Times New Roman"/>
                <w:sz w:val="24"/>
                <w:szCs w:val="24"/>
              </w:rPr>
              <w:t>nefinanšu</w:t>
            </w:r>
            <w:proofErr w:type="spellEnd"/>
            <w:r>
              <w:rPr>
                <w:rFonts w:ascii="Times New Roman" w:hAnsi="Times New Roman"/>
                <w:sz w:val="24"/>
                <w:szCs w:val="24"/>
              </w:rPr>
              <w:t xml:space="preserve"> komercsabiedrību noguldījumiem, kas nav operacionālie noguldījumi.</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citu darījumu partneru noguldījumi, kas nav operacionālie noguldījumi</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rindā uzrādīto izejošo naudas plūsmu summa, kas ir no noguldījumiem, kuri nav uzrādīti 270 līdz 330. rindā.</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ārvalstu valūtas mijmaiņas līgumi, kā termiņš beidzas</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To izejošo naudas plūsmu kopsumma, kas ir no ārvalstu valūtas mijmaiņas līgumu termiņa pienākšanas, piemēram, no pamatsummas apmaiņas līguma termiņa beigās.</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no tādiem atvasinātiem instrumentiem izrietošs kreditoru parāds, kuri nav uzrādīti 1.4. postenī</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To izejošo naudas plūsmu kopsumma, kura izriet no Regulas (ES) Nr. 575/2013 II pielikumā uzskaitīto līgumu atvasināto instrumentu kreditoru parādu pozīcijām, izņemot izejošās naudas plūsmas, kas izriet no ārvalstu valūtas mijmaiņas līgumiem, kuru termiņš beidzas, un kuras uzrāda 350. rindā.</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Kopsumma atspoguļo norēķinu summas, tostarp neizpildītus drošības rezervju pieprasījumus no pārskata datuma.</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Kopsumma ietver 1. un 2. punkta summas dažādos laika intervālos.</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Naudas un vērtspapīru plūsmas saistībā ar atvasinātajiem instrumentiem, attiecībā uz ko pastāv nodrošinājuma nolīgums, kurā pieprasīts pilnīgs (vai pietiekams) darījuma partnera riska darījumu nodrošinājums, izslēdz no termiņa sadalījuma veidnēm; visas ar minētajiem atvasinātajiem instrumentiem saistītās naudas, vērtspapīru, naudas nodrošinājuma un vērtspapīru nodrošinājuma plūsmas izslēdz no veidnēm. Naudas un vērtspapīru nodrošinājuma krājumus, kas jau saņemti vai sniegti saistībā ar nodrošinātiem atvasinātajiem instrumentiem, neiekļauj termiņa </w:t>
            </w:r>
            <w:r>
              <w:rPr>
                <w:rFonts w:ascii="Times New Roman" w:hAnsi="Times New Roman"/>
                <w:sz w:val="24"/>
                <w:szCs w:val="24"/>
              </w:rPr>
              <w:lastRenderedPageBreak/>
              <w:t>sadalījuma veidnes 3. iedaļas slejā “Krājums”, kurā ietverta kompensējošā kapacitāte, izņemot naudas un vērtspapīru plūsmas saistībā ar drošības rezervju pieprasījumiem (“naudas vai vērtspapīru nodrošinājumu plūsmām”), kas drīzumā maksājami, bet vēl nav apmaksāti. Otro gadījumu attiecībā uz naudas nodrošinājumu atspoguļo 1.6. rindiņā (atvasināto instrumentu izejošās naudas plūsmas) un 2.4. rindiņā (atvasināto instrumentu ienākošās naudas plūsmas), un attiecībā uz vērtspapīru nodrošinājumu atspoguļo 3. iedaļā (kompensējošā kapacitāte).</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Attiecībā uz naudas un vērtspapīru ienākošajām un izejošajām plūsmām saistībā ar atvasinātajiem instrumentiem, kuriem nav nodrošinājuma nolīguma vai pieprasīts tikai daļējs nodrošinājums, nošķir līgumus, kas ietver iespējas, un citus līgumus: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 xml:space="preserve">plūsmas, kas saistītas ar iespēju līgumiem līdzīgiem atvasinātajiem instrumentiem, iekļauj tikai tad, ja norunas cena ir zemāka (pirkšanas gadījumā) vai augstāka (pārdošanas gadījumā) par tirgus cenu (“ar pozitīvu iekšējo vērtību”). Šo plūsmu </w:t>
            </w:r>
            <w:proofErr w:type="spellStart"/>
            <w:r>
              <w:rPr>
                <w:rFonts w:ascii="Times New Roman" w:hAnsi="Times New Roman"/>
                <w:sz w:val="24"/>
                <w:szCs w:val="24"/>
              </w:rPr>
              <w:t>aizstājējvērtību</w:t>
            </w:r>
            <w:proofErr w:type="spellEnd"/>
            <w:r>
              <w:rPr>
                <w:rFonts w:ascii="Times New Roman" w:hAnsi="Times New Roman"/>
                <w:sz w:val="24"/>
                <w:szCs w:val="24"/>
              </w:rPr>
              <w:t xml:space="preserve"> nosaka, piemērojot abus turpmāk minētos elementus:</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iekļaujot pašreizējo tirgus vērtību vai līguma neto pašreizējo vērtību kā ienākošo naudas plūsmu termiņa sadalījuma veidnes 2.4. rindiņā (atvasināto instrumentu ienākošās naudas plūsmas) iespējas līguma vēlākajā izmantošanas datumā, ja bankai ir tiesības izmantot iespējas līgumu;</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iekļaujot pašreizējo tirgus vērtību vai līguma neto pašreizējo vērtību kā izejošo naudas plūsmu termiņa sadalījuma veidnes 1.5. rindiņā (atvasināto instrumentu izejošās naudas plūsmas) iespējas līguma agrākajā izmantošanas datumā, ja bankas darījuma partnerim ir tiesības izmantot iespējas līgumu;</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ar citiem līgumiem, kas nav minēti a) apakšpunktā, saistītas plūsmas iekļauj, līgumiski noteiktās bruto naudas plūsmas projicējot attiecīgajos laika intervālos 1.5. rindiņā (atvasināto instrumentu izejošās naudas plūsmas) un 2.4. rindiņā (atvasināto instrumentu ienākošās naudas plūsmas) un likvīdo vērtspapīru līgumiski noteiktās plūsmas projicējot termiņa sadalījuma kompensējošajā kapacitātē, izmantojot pašreizējās pārskata sniegšanas datumā piemērojamās no tirgus izsecināmās nākotnes līgumu procentu likmes, ja summas vēl nav noteiktas.</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citas izejošās naudas plūsmas</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Visu citu to izejošo naudas plūsmu kopsumma, kas nav uzrādītas 010., </w:t>
            </w:r>
            <w:r>
              <w:rPr>
                <w:rFonts w:ascii="Times New Roman" w:hAnsi="Times New Roman"/>
                <w:sz w:val="24"/>
                <w:szCs w:val="24"/>
              </w:rPr>
              <w:lastRenderedPageBreak/>
              <w:t>060., 260., 350. vai 360. rindā. Iespējamās izejošās plūsmas šeit neuzrāda.</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izejošās naudas plūsmas kopā</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010., 060., 260., 350., 360. un 370. rindā uzrādīto izejošo plūsmu summa.</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līdz 700.</w:t>
            </w:r>
          </w:p>
        </w:tc>
        <w:tc>
          <w:tcPr>
            <w:tcW w:w="7562" w:type="dxa"/>
            <w:shd w:val="clear" w:color="auto" w:fill="E5E5E6" w:themeFill="accent2" w:themeFillTint="33"/>
          </w:tcPr>
          <w:p w14:paraId="5471E76C" w14:textId="5E070078" w:rsidR="001820FB" w:rsidRPr="001A280E" w:rsidRDefault="003E6F30"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 xml:space="preserve">2. </w:t>
            </w:r>
            <w:r w:rsidR="00740184">
              <w:rPr>
                <w:rFonts w:ascii="Times New Roman" w:hAnsi="Times New Roman"/>
                <w:b/>
                <w:sz w:val="24"/>
                <w:szCs w:val="24"/>
              </w:rPr>
              <w:t>IENĀKOŠĀS PLŪSMAS</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naudas līdzekļi, kuri pienākas no nodrošinātiem aizdevumiem un kapitāla tirgus darījumiem,</w:t>
            </w:r>
            <w:r>
              <w:rPr>
                <w:rFonts w:ascii="Times New Roman" w:hAnsi="Times New Roman"/>
                <w:b/>
                <w:sz w:val="24"/>
                <w:szCs w:val="24"/>
              </w:rPr>
              <w:t xml:space="preserve"> </w:t>
            </w:r>
            <w:r>
              <w:rPr>
                <w:rFonts w:ascii="Times New Roman" w:hAnsi="Times New Roman"/>
                <w:b/>
                <w:sz w:val="24"/>
                <w:szCs w:val="24"/>
                <w:u w:val="thick" w:color="000000"/>
              </w:rPr>
              <w:t>kas ir nodrošināti ar turpmāk minēto:</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visu to ienākošo naudas plūsmu kopsumma, kas ir no nodrošinātajiem aizdevumiem un kapitāla tirgus darījumiem, kā definēts Regulas (ES) Nr. 575/2013 192. pantā.</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Šeit uzrāda tikai naudas plūsmas; vērtspapīru plūsmas, kuras saistītas ar nodrošinātajiem aizdevumiem un kapitāla tirgus darījumiem, uzrāda iedaļā “Kompensējošā kapacitāte”.</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1. līmenis: tirgojami aktīvi</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rindā uzrādīto ienākošo naudas plūsmu summa, kas nodrošināta ar tirgojamiem aktīviem saskaņā ar Deleģētās regulas (ES) 2015/61 7., 8. un 10. pantu.</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1.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1. līmenis: izņemot segtās obligācijas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400. rindā uzrādīto ienākošo naudas plūsmu summa, kas nodrošināta ar aktīviem, kuri nav segtās obligācijas.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1. līmenis: centrālā banka</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410. rindā uzrādīto ienākošo naudas plūsmu summa, kas nodrošināta ar aktīviem, kuri ir prasījumi pret centrālajām bankām vai kurus tās garantē.</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1. līmenis (1. KKP)</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410. rindā uzrādīto ienākošo naudas plūsmu, kas nav norādītas 420. rindā, summa, kura nodrošināta ar aktīviem, kas ir prasījumi pret emitentu vai garantijas devēju vai ko garantē emitents vai garantijas devējs, kuram </w:t>
            </w:r>
            <w:r>
              <w:rPr>
                <w:rFonts w:ascii="Times New Roman" w:hAnsi="Times New Roman"/>
                <w:sz w:val="24"/>
                <w:szCs w:val="24"/>
              </w:rPr>
              <w:lastRenderedPageBreak/>
              <w:t xml:space="preserve">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1. līmenis (2. KKP, 3. KKP)</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410. rindā uzrādīto ienākošo naudas plūsmu, kas nav norādītas 420. rindā, summa, kura nodrošināta ar aktīviem, kas ir prasījumi pret emitentu vai garantijas devēju vai kuru garantē emitents vai garantijas devējs, kam norīkota ĀKNI ir piešķīrusi otro vai trešo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1. līmenis (4.+ KKP)</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410. rindā uzrādīto ienākošo naudas plūsmu, kas nav norādītas 420. rindā, summa, kura nodrošināta ar aktīviem, kas ir prasījumi pret emitentu vai garantijas devēju vai ko garantē emitents vai garantijas devējs, kuram norīkota ĀKNI ir piešķīrusi ceturto vai zemāku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1. līmenis: segtās obligācijas (1. KKP)</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400. rindā uzrādīto ienākošo naudas plūsmu summa, kas nodrošināta ar aktīviem, kuri ir segtās obligācijas.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Saskaņā ar Deleģētās regulas (ES) 2015/61 10. panta 1. punkta f) apakšpunktu tikai 1. KKP segtās obligācijas ir atbilstošas kā 1. līmeņa aktīvi.</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2.A līmenis: tirgojami aktīvi</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rindā uzrādīto ienākošo naudas plūsmu summa, kas nodrošināta ar tirgojamiem aktīviem saskaņā ar Deleģētās regulas (ES) 2015/61 7., 8. un 11. pantu.</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2.A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2.A līmenis: uzņēmuma obligācijas (1. KKP)</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470. rindā uzrādīto ienākošo naudas plūsmu summa, kas nodrošināta ar uzņēmuma obligācijām, kurām 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2.A līmenis: segtās obligācijas (1. KKP, 2. KKP)</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470. rindā uzrādīto ienākošo naudas plūsmu summa, kas nodrošināta ar segtajām obligācijām, kurām norīkota ĀKNI ir piešķīrusi pirmo vai otro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2.A līmenis: publiskais sektors (1. KKP, 2. KKP)</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470. rindā uzrādīto ienākošo naudas plūsmu summa, kas nodrošināta ar aktīviem, kuri ir prasījumi pret centrālajām valdībām, centrālajām bankām, reģionālajām pašvaldībām, vietējām pašpārvaldēm vai publiskā sektora struktūrām vai kurus tās garantē.</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Saskaņā ar Deleģētās regulas (ES) 2015/61 11. panta 1. punkta a) un b) apakšpunktu visiem 2.A līmenim atbilstošajiem publiskā sektora aktīviem ir vai nu pirmā vai otrā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pakāpe.</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2.B līmenis: tirgojami aktīvi</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rindā uzrādīto ienākošo naudas plūsmu summa, kas nodrošināta ar tirgojamiem aktīviem saskaņā ar Deleģētās regulas (ES) 2015/61 7., 8. un 12. vai 13. pantu.</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2.B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2.B līmenis ABS (1. KKP)</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rindā uzrādīto ienākošo naudas plūsmu summa, kuras nodrošinājums ir ar aktīviem nodrošināti vērtspapīri, tostarp ar mājokļu hipotēkām nodrošināti vērtspapīri (</w:t>
            </w:r>
            <w:r>
              <w:rPr>
                <w:rFonts w:ascii="Times New Roman" w:hAnsi="Times New Roman"/>
                <w:i/>
                <w:sz w:val="24"/>
                <w:szCs w:val="24"/>
              </w:rPr>
              <w:t>RMBS</w:t>
            </w:r>
            <w:r>
              <w:rPr>
                <w:rFonts w:ascii="Times New Roman" w:hAnsi="Times New Roman"/>
                <w:sz w:val="24"/>
                <w:szCs w:val="24"/>
              </w:rPr>
              <w:t>).</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2.B līmenis: segtās obligācijas (1.–6. KKP)</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rindā uzrādīto ienākošo naudas plūsmu summa, kas nodrošināta ar segtajām obligācijām.</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2.B līmenis: uzņēmumu obligācijas (1.-3. KKP)</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rindā uzrādīto ienākošo naudas plūsmu summa, kas nodrošināta ar uzņēmuma parāda vērtspapīriem.</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2.B līmenis: akcijas</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510. rindā uzrādīto ienākošo naudas plūsmu summa, kas nodrošināta ar akcijām.</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2.B līmenis: publiskais sektors (3.–5. KKP)</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510. rindā uzrādīto ienākošo naudas plūsmu summa, kas ir nodrošināta ar </w:t>
            </w:r>
            <w:r>
              <w:rPr>
                <w:rFonts w:ascii="Times New Roman" w:hAnsi="Times New Roman"/>
                <w:sz w:val="24"/>
                <w:szCs w:val="24"/>
              </w:rPr>
              <w:lastRenderedPageBreak/>
              <w:t>2.B līmeņa aktīviem, kuri nav norādīti 520. līdz 550. rindā.</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citi tirgojami aktīvi</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rindā uzrādīto ienākošo naudas plūsmu summa, kas nodrošināta ar tirgojamiem aktīviem, kuri nav uzrādīti 400., 470. vai 510. rindā.</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citi aktīvi</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rindā uzrādīto ienākošo naudas plūsmu summa, kas nodrošināta ar aktīviem, kuri nav uzrādīti 400., 470., 510. vai 570. rindā.</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naudas līdzekļi, kuri pienākas, bet kuri nav uzrādīti 2.1. postenī un kuri izriet no aizdevumiem un avansiem</w:t>
            </w:r>
            <w:r>
              <w:rPr>
                <w:rFonts w:ascii="Times New Roman" w:hAnsi="Times New Roman"/>
                <w:b/>
                <w:sz w:val="24"/>
                <w:szCs w:val="24"/>
              </w:rPr>
              <w:t xml:space="preserve"> </w:t>
            </w:r>
            <w:r>
              <w:rPr>
                <w:rFonts w:ascii="Times New Roman" w:hAnsi="Times New Roman"/>
                <w:b/>
                <w:sz w:val="24"/>
                <w:szCs w:val="24"/>
                <w:u w:val="thick" w:color="000000"/>
              </w:rPr>
              <w:t>, kas piešķirti:</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Ienākošās naudas plūsmas no aizdevumiem un avansiem</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Ienākošās naudas plūsmas uzrāda vēlākajā līgumiski noteiktajā atmaksāšanas dienā. Attiecībā uz atjaunojamām iespējām tiek uzskatīts, ka spēkā esošais aizdevums ir pagarināts un visus atlikumus uzskata par piešķirtām iespējām.</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mazumtirdzniecības klienti</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rindā uzrādīto ienākošo naudas plūsmu summa, kas ir no fiziskām personām vai MVU saskaņā ar Deleģētās regulas (ES) 2015/61 3. panta 8. punktu.</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 xml:space="preserve">2.2.2. </w:t>
            </w:r>
            <w:proofErr w:type="spellStart"/>
            <w:r>
              <w:rPr>
                <w:rFonts w:ascii="Times New Roman" w:hAnsi="Times New Roman"/>
                <w:b/>
                <w:sz w:val="24"/>
                <w:szCs w:val="24"/>
                <w:u w:val="thick" w:color="000000"/>
              </w:rPr>
              <w:t>nefinanšu</w:t>
            </w:r>
            <w:proofErr w:type="spellEnd"/>
            <w:r>
              <w:rPr>
                <w:rFonts w:ascii="Times New Roman" w:hAnsi="Times New Roman"/>
                <w:b/>
                <w:sz w:val="24"/>
                <w:szCs w:val="24"/>
                <w:u w:val="thick" w:color="000000"/>
              </w:rPr>
              <w:t xml:space="preserve"> komercsabiedrības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590. rindā uzrādīto ienākošo naudas plūsmu summa, kas ir no </w:t>
            </w:r>
            <w:proofErr w:type="spellStart"/>
            <w:r>
              <w:rPr>
                <w:rFonts w:ascii="Times New Roman" w:hAnsi="Times New Roman"/>
                <w:sz w:val="24"/>
                <w:szCs w:val="24"/>
              </w:rPr>
              <w:t>nefinanšu</w:t>
            </w:r>
            <w:proofErr w:type="spellEnd"/>
            <w:r>
              <w:rPr>
                <w:rFonts w:ascii="Times New Roman" w:hAnsi="Times New Roman"/>
                <w:sz w:val="24"/>
                <w:szCs w:val="24"/>
              </w:rPr>
              <w:t xml:space="preserve"> komercsabiedrībām.</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kredītiestādes</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rindā uzrādīto ienākošo naudas plūsmu summa, kas ir no kredītiestādēm.</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citi finanšu klienti</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rindā uzrādīto ienākošo naudas plūsmu, kas nav uzrādītas 620. rindā, summa, kas ir no finanšu klientiem saskaņā ar Deleģētās regulas (ES) 2015/61 3. panta 9. punktu.</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centrālās bankas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590. rindā uzrādīto ienākošo naudas plūsmu summa, kas ir no centrālajām </w:t>
            </w:r>
            <w:r>
              <w:rPr>
                <w:rFonts w:ascii="Times New Roman" w:hAnsi="Times New Roman"/>
                <w:sz w:val="24"/>
                <w:szCs w:val="24"/>
              </w:rPr>
              <w:lastRenderedPageBreak/>
              <w:t>bankām.</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citi darījumu partneri</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rindā uzrādīto ienākošo naudas plūsmu summa, kas ir no citiem darījumu partneriem, kuri nav minēti 2.2.1.–2.2.5. iedaļā.</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ārvalstu valūtas mijmaiņas līgumi, kā termiņš beidzas</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Līgumiski noteiktu ienākošo naudas plūsmu kopsumma, kas izriet no ārvalstu valūtas mijmaiņas līgumu darījumu termiņa iestāšanās, piemēram, no pamatsummas apmaiņas līguma termiņa beigās.</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Tas piemērojamajos veidnes laika intervālos atspoguļo dažādu valūtu mijmaiņas līgumu, ārvalstu </w:t>
            </w:r>
            <w:proofErr w:type="spellStart"/>
            <w:r>
              <w:rPr>
                <w:rFonts w:ascii="Times New Roman" w:hAnsi="Times New Roman"/>
                <w:sz w:val="24"/>
                <w:szCs w:val="24"/>
              </w:rPr>
              <w:t>valūtastūlītējus</w:t>
            </w:r>
            <w:proofErr w:type="spellEnd"/>
            <w:r>
              <w:rPr>
                <w:rFonts w:ascii="Times New Roman" w:hAnsi="Times New Roman"/>
                <w:sz w:val="24"/>
                <w:szCs w:val="24"/>
              </w:rPr>
              <w:t xml:space="preserve"> un termiņdarījumu nosacīto vērtību, beidzoties termiņam.</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no tādiem atvasinātiem instrumentiem izrietošs debitoru parāds, kuri nav uzrādīti 2.3. postenī</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To līgumiski noteikto ienākošo naudas plūsmu kopsumma, kura izriet no Regulas 575/2013 II pielikumā norādīto līgumu atvasināto instrumentu debitoru parādu pozīcijām, izņemot ienākošās naudas plūsmas, kas ir no ārvalstu valūtas mijmaiņas darījumiem, kuru termiņš beidzas, un kuras uzrāda 2.3. postenī.</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Kopsumma ietver norēķinu summas, tostarp neizpildītus drošības rezervju pieprasījumus no pārskata datuma.</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Kopsumma ietver 1. un 2. punkta summas dažādos laika intervālos.</w:t>
            </w:r>
          </w:p>
          <w:p w14:paraId="135C0336" w14:textId="3C2F25D9"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Naudas un vērtspapīru plūsmas saistībā ar atvasinātajiem instrumentiem, attiecībā uz ko pastāv nodrošinājuma nolīgums, kurā pieprasīts pilnīgs (vai pietiekams) darījuma partnera riska darījumu nodrošinājums, izslēdz no abām termiņa sadalījuma veidnēm, un visas naudas plūsmas, vērtspapīrus, naudas nodrošinājumu un vērtspapīru nodrošinājumu, kas ir saistīti ar minētajiem atvasinātajiem instrumentiem, izslēdz no veidnes. Naudas un vērtspapīru nodrošinājuma krājumus, kas jau saņemti vai sniegti saistībā ar nodrošinātiem atvasinātajiem instrumentiem, neiekļauj termiņa sadalījuma veidnes 3. iedaļas slejā “Krājums”, kurā ietverta kompensējošā kapacitāte, izņemot naudas un vērtspapīru plūsmas saistībā ar drošības rezervju pieprasījumiem, kas drīzumā maksājami, bet vēl nav apmaksāti. Otro gadījumu attiecībā uz naudas nodrošinājumu atspoguļo 1.</w:t>
            </w:r>
            <w:r w:rsidR="00841F11">
              <w:rPr>
                <w:rFonts w:ascii="Times New Roman" w:hAnsi="Times New Roman"/>
                <w:sz w:val="24"/>
                <w:szCs w:val="24"/>
              </w:rPr>
              <w:t>5</w:t>
            </w:r>
            <w:bookmarkStart w:id="14" w:name="_GoBack"/>
            <w:bookmarkEnd w:id="14"/>
            <w:r>
              <w:rPr>
                <w:rFonts w:ascii="Times New Roman" w:hAnsi="Times New Roman"/>
                <w:sz w:val="24"/>
                <w:szCs w:val="24"/>
              </w:rPr>
              <w:t>. rindiņā (atvasināto instrumentu izejošās naudas plūsmas) un 2.4. rindiņā (atvasināto instrumentu ienākošās naudas plūsmas), un attiecībā uz vērtspapīru nodrošinājumu termiņa sadalījumā atspoguļo 3. iedaļā (kompensējošā kapacitāte).</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lastRenderedPageBreak/>
              <w:t>2.</w:t>
            </w:r>
            <w:r>
              <w:tab/>
            </w:r>
            <w:r>
              <w:rPr>
                <w:rFonts w:ascii="Times New Roman" w:hAnsi="Times New Roman"/>
                <w:sz w:val="24"/>
                <w:szCs w:val="24"/>
              </w:rPr>
              <w:t>Attiecībā uz naudas un vērtspapīru ienākošajām un izejošajām plūsmām saistībā ar atvasinātajiem instrumentiem, kuriem nav nodrošinājuma nolīguma vai pieprasīts tikai daļējs nodrošinājums, nošķirti līgumus, kas ietver iespējas, un citus līgumus: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 xml:space="preserve">plūsmas, kas saistītas ar iespēju līgumiem līdzīgiem atvasinātajiem instrumentiem, iekļauj tikai tad, ja tie ir ar pozitīvu iekšējo vērtību. Šo plūsmu </w:t>
            </w:r>
            <w:proofErr w:type="spellStart"/>
            <w:r>
              <w:rPr>
                <w:rFonts w:ascii="Times New Roman" w:hAnsi="Times New Roman"/>
                <w:sz w:val="24"/>
                <w:szCs w:val="24"/>
              </w:rPr>
              <w:t>aizstājējvērtību</w:t>
            </w:r>
            <w:proofErr w:type="spellEnd"/>
            <w:r>
              <w:rPr>
                <w:rFonts w:ascii="Times New Roman" w:hAnsi="Times New Roman"/>
                <w:sz w:val="24"/>
                <w:szCs w:val="24"/>
              </w:rPr>
              <w:t xml:space="preserve"> nosaka, piemērojot abus turpmāk minētos elementus:</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iekļaujot pašreizējo tirgus vērtību vai līguma neto pašreizējo vērtību kā ienākošo naudas plūsmu termiņa sadalījuma veidnes 2.4. rindiņā (atvasināto instrumentu ienākošās naudas plūsmas) iespējas līguma vēlākajā izmantošanas datumā, ja bankai ir tiesības izmantot iespējas līgumu;</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iekļaujot pašreizējo tirgus vērtību vai līguma neto pašreizējo vērtību kā izejošo naudas plūsmu termiņa sadalījuma veidnes 1.5. rindiņā (atvasināto instrumentu izejošās naudas plūsmas) iespējas līguma agrākajā izmantošanas datumā, ja bankas darījuma partnerim ir tiesības izmantot iespējas līgumu;</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ar citiem līgumiem, kas nav minēti a) apakšpunktā, saistītas plūsmas iekļauj, līgumiski noteiktās bruto naudas plūsmas projicējot attiecīgajos laika intervālos 1.5. rindiņā (atvasināto instrumentu izejošās naudas plūsmas) un 2.4. rindiņā (atvasināto instrumentu ienākošās naudas plūsmas) un likvīdo vērtspapīru līgumiski noteiktās plūsmas projicējot termiņa sadalījuma kompensējošajā kapacitātē, izmantojot pašreizējās pārskata sniegšanas datumā piemērojamās no tirgus izsecināmās nākotnes līgumu procentu likmes, ja summas vēl nav noteiktas.</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pašu portfelī esoši vērtspapīri, kā termiņš beidzas</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Ienākošo plūsmu summa, kas ir pamatsummas atmaksa no pašu ieguldījumiem, kuru termiņš ir pienācis un kuri ir ņemti obligāciju veidā un uzrādīti saskaņā ar to atlikušo līgumiski noteikto termiņu.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Šajā postenī ietver ienākošās naudas plūsmas no vērtspapīriem, kuriem iestājas termiņš, ko uzrāda kompensējošajā kapacitātē. Tādēļ tad, kad pienāk vērtspapīra termiņš, to uzrāda kā vērtspapīru izejošo plūsmu kompensējošā kapacitātē un līdz ar to šeit kā ienākošo naudas plūsmu.</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citas ienākošās naudas plūsmas</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 xml:space="preserve">Visu citu to ienākošo naudas plūsmu kopsumma, kas nav uzrādītas 390., </w:t>
            </w:r>
            <w:r>
              <w:rPr>
                <w:rFonts w:ascii="Times New Roman" w:hAnsi="Times New Roman"/>
                <w:sz w:val="24"/>
                <w:szCs w:val="24"/>
              </w:rPr>
              <w:lastRenderedPageBreak/>
              <w:t>590., 660., 670. vai 680. rindā.</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Iespējamās ienākošās plūsmas neuzrāda.</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ienākošās naudas plūsmas kopā</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390., 590., 660., 670., 680. un 690. rindā uzrādīto ienākošo plūsmu summa.</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neto līgumiskā starpība</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700. rindā uzrādītās ienākošās plūsmas kopā, atskaitot 380. rindā uzrādītās izejošās plūsmas kopā.</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kumulētā neto līgumiskā starpība</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Kumulētā neto līgumiskā starpība no pārskata sniegšanas datuma līdz attiecīgā laika intervāla augšējai robežai.</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KOMPENSĒJOŠĀ KAPACITĀTE</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Termiņu sadalījuma “kompensējošajā kapacitātē” iekļauj informāciju par to, kā attīstās iestādes līdzdalība dažādu likviditātes pakāpju aktīvos, tostarp tirgojamos aktīvos un centrālās bankas prasībām atbilstošos aktīvos, kā arī iestādei līgumiski piešķirtās iespējās.</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Konsolidētajā līmenī sniedzot pārskatu par atbilstību centrālās bankas prasībām, pamatā ir noteikumi par atbilstību centrālās bankas prasībām, kas ir piemērojamas katrai konsolidētajai iestādei tās jurisdikcijā.</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Ja kompensējošā kapacitāte attiecas uz tirgojamiem aktīviem,</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iestādes sniedz pārskatu par tirgojamiem aktīviem, ko tirgos lielos, dziļos un aktīvos </w:t>
            </w:r>
            <w:proofErr w:type="spellStart"/>
            <w:r>
              <w:rPr>
                <w:rFonts w:ascii="Times New Roman" w:hAnsi="Times New Roman"/>
                <w:sz w:val="24"/>
                <w:szCs w:val="24"/>
              </w:rPr>
              <w:t>repo</w:t>
            </w:r>
            <w:proofErr w:type="spellEnd"/>
            <w:r>
              <w:rPr>
                <w:rFonts w:ascii="Times New Roman" w:hAnsi="Times New Roman"/>
                <w:sz w:val="24"/>
                <w:szCs w:val="24"/>
              </w:rPr>
              <w:t xml:space="preserve"> vai skaidras naudas tirgos, kam raksturīgs zems koncentrācijas līmenis.</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Kompensējošās kapacitātes slejās uzrādītie aktīvi ietver tikai neapgrūtinātos aktīvus, kas iestādei ir pieejami, lai tos jebkurā laikā konvertētu skaidrā naudā ar mērķi aizpildīt līgumisko līgumiskā starpību starp ienākošajām naudas plūsmām un izejošajām naudas plūsmām attiecīgajā laika periodā. Šajā nolūkā piemēro apgrūtināto aktīvu definīciju, kas noteikta Komisijas Deleģētās regulā (ES) 2015/61. Aktīvus neizmanto, lai sniegtu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uzlabojumus strukturētos darījumos vai lai segtu darbības izmaksas (piemēram, īres un algas); aktīvus pārvalda ar skaidru vienīgo nodomu tos izmantot kā iespējamo līdzekļu avotu.</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Aktīvus, ko iestāde ir saņēmusi kā nodrošinājumu aktīvu pirkšanas ar </w:t>
            </w:r>
            <w:proofErr w:type="spellStart"/>
            <w:r>
              <w:rPr>
                <w:rFonts w:ascii="Times New Roman" w:hAnsi="Times New Roman"/>
                <w:sz w:val="24"/>
                <w:szCs w:val="24"/>
              </w:rPr>
              <w:t>atpārdošanu</w:t>
            </w:r>
            <w:proofErr w:type="spellEnd"/>
            <w:r>
              <w:rPr>
                <w:rFonts w:ascii="Times New Roman" w:hAnsi="Times New Roman"/>
                <w:sz w:val="24"/>
                <w:szCs w:val="24"/>
              </w:rPr>
              <w:t xml:space="preserve"> un vērtspapīru finansēšanas darījumos (VFD), var uzskatīt par daļu no kompensējošās kapacitātes, ja tos tur iestādē, ja tie nav bijuši </w:t>
            </w:r>
            <w:proofErr w:type="spellStart"/>
            <w:r>
              <w:rPr>
                <w:rFonts w:ascii="Times New Roman" w:hAnsi="Times New Roman"/>
                <w:sz w:val="24"/>
                <w:szCs w:val="24"/>
              </w:rPr>
              <w:lastRenderedPageBreak/>
              <w:t>tālākieķīlāti</w:t>
            </w:r>
            <w:proofErr w:type="spellEnd"/>
            <w:r>
              <w:rPr>
                <w:rFonts w:ascii="Times New Roman" w:hAnsi="Times New Roman"/>
                <w:sz w:val="24"/>
                <w:szCs w:val="24"/>
              </w:rPr>
              <w:t xml:space="preserve"> un ja tie ir juridiski un uz līgumu pamata pieejami iestādes izmantošanai.</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Lai izvairītos no divkāršas uzskaitīšanas gadījumos, ja iestāde uzrāda iepriekš izvietotos aktīvus 3.1. līdz 3.7. postenī, tā nenorāda minēto iespēju attiecīgo kapacitāti 3.8. postenī.</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Iestādes uzrāda aktīvus, ja tie atbilst rindas aprakstam un ir pieejami pārskata sniegšanas datumā, kā sākotnējs krājums 010. slejā.</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Kompensējošajā kapacitātē 020. līdz 220. slejā ir ietvertas līgumiski noteiktās plūsmas. Ja iestādei ir iesaistījusies </w:t>
            </w:r>
            <w:proofErr w:type="spellStart"/>
            <w:r>
              <w:rPr>
                <w:rFonts w:ascii="Times New Roman" w:hAnsi="Times New Roman"/>
                <w:sz w:val="24"/>
                <w:szCs w:val="24"/>
              </w:rPr>
              <w:t>repo</w:t>
            </w:r>
            <w:proofErr w:type="spellEnd"/>
            <w:r>
              <w:rPr>
                <w:rFonts w:ascii="Times New Roman" w:hAnsi="Times New Roman"/>
                <w:sz w:val="24"/>
                <w:szCs w:val="24"/>
              </w:rPr>
              <w:t xml:space="preserve"> darījumā, aktīvs, kas tiek pārdots ar atpirkšanu, tiek atgriezts kā ienākošā vērtspapīru plūsma termiņa grupā, kurā pienāk </w:t>
            </w:r>
            <w:proofErr w:type="spellStart"/>
            <w:r>
              <w:rPr>
                <w:rFonts w:ascii="Times New Roman" w:hAnsi="Times New Roman"/>
                <w:sz w:val="24"/>
                <w:szCs w:val="24"/>
              </w:rPr>
              <w:t>repo</w:t>
            </w:r>
            <w:proofErr w:type="spellEnd"/>
            <w:r>
              <w:rPr>
                <w:rFonts w:ascii="Times New Roman" w:hAnsi="Times New Roman"/>
                <w:sz w:val="24"/>
                <w:szCs w:val="24"/>
              </w:rPr>
              <w:t xml:space="preserve"> darījuma termiņš. Tāpat arī izejošo naudas plūsmu no </w:t>
            </w:r>
            <w:proofErr w:type="spellStart"/>
            <w:r>
              <w:rPr>
                <w:rFonts w:ascii="Times New Roman" w:hAnsi="Times New Roman"/>
                <w:sz w:val="24"/>
                <w:szCs w:val="24"/>
              </w:rPr>
              <w:t>repo</w:t>
            </w:r>
            <w:proofErr w:type="spellEnd"/>
            <w:r>
              <w:rPr>
                <w:rFonts w:ascii="Times New Roman" w:hAnsi="Times New Roman"/>
                <w:sz w:val="24"/>
                <w:szCs w:val="24"/>
              </w:rPr>
              <w:t xml:space="preserve"> darījuma, kā termiņš beidzas, uzrāda attiecīgajā izejošajā naudas plūsmas intervālā 1.2. postenī. Ja iestādei ir iesaistījusies aktīvu pirkšanas ar </w:t>
            </w:r>
            <w:proofErr w:type="spellStart"/>
            <w:r>
              <w:rPr>
                <w:rFonts w:ascii="Times New Roman" w:hAnsi="Times New Roman"/>
                <w:sz w:val="24"/>
                <w:szCs w:val="24"/>
              </w:rPr>
              <w:t>atpārdošanu</w:t>
            </w:r>
            <w:proofErr w:type="spellEnd"/>
            <w:r>
              <w:rPr>
                <w:rFonts w:ascii="Times New Roman" w:hAnsi="Times New Roman"/>
                <w:sz w:val="24"/>
                <w:szCs w:val="24"/>
              </w:rPr>
              <w:t xml:space="preserve"> darījumā, aktīvs, kas tiek pārdots ar atpirkšanu, tiek atgriezts kā ienākošā vērtspapīru plūsma termiņa grupā, kurā pienāk </w:t>
            </w:r>
            <w:proofErr w:type="spellStart"/>
            <w:r>
              <w:rPr>
                <w:rFonts w:ascii="Times New Roman" w:hAnsi="Times New Roman"/>
                <w:sz w:val="24"/>
                <w:szCs w:val="24"/>
              </w:rPr>
              <w:t>repo</w:t>
            </w:r>
            <w:proofErr w:type="spellEnd"/>
            <w:r>
              <w:rPr>
                <w:rFonts w:ascii="Times New Roman" w:hAnsi="Times New Roman"/>
                <w:sz w:val="24"/>
                <w:szCs w:val="24"/>
              </w:rPr>
              <w:t xml:space="preserve"> darījuma termiņš. Tāpat arī ienākošo naudas plūsmu no </w:t>
            </w:r>
            <w:proofErr w:type="spellStart"/>
            <w:r>
              <w:rPr>
                <w:rFonts w:ascii="Times New Roman" w:hAnsi="Times New Roman"/>
                <w:sz w:val="24"/>
                <w:szCs w:val="24"/>
              </w:rPr>
              <w:t>repo</w:t>
            </w:r>
            <w:proofErr w:type="spellEnd"/>
            <w:r>
              <w:rPr>
                <w:rFonts w:ascii="Times New Roman" w:hAnsi="Times New Roman"/>
                <w:sz w:val="24"/>
                <w:szCs w:val="24"/>
              </w:rPr>
              <w:t xml:space="preserve"> darījuma, kā termiņš beidzas, uzrāda attiecīgajā ienākošās naudas plūsmas intervālā 2.1. postenī. Nodrošinājuma mijmaiņas darījumus uzrāda kā līgumiski noteiktas vērtspapīru ienākošās un izejošās plūsmas kompensējošās kapacitātes iedaļā attiecīgajā termiņu grupā, kurā pienāk minēto mijmaiņas darījumu termiņš.</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Izmaiņas līgumiski noteiktās kredītlīniju un likviditātes līniju, kas uzrādītas 3.8. postenī, pieejamajā summā uzrāda kā plūsmu attiecīgajā laika intervālā. Ja kādai iestādei ir noguldījums uz nakti centrālajā bankā, attiecībā uz minēto posteni noguldījuma summu uzrāda kā sākotnēju krājumu 3.2. postenī un kā izejošo naudas plūsmu termiņa grupā “uz nakti”. Attiecīgi izrietošo naudas plūsmu uzrāda 2.2.5. postenī.</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Vērtspapīrus, kā termiņš beidzas, kompensējošajā kapacitātē uzrāda, pamatojoties uz to līgumiski noteikto termiņu. Kad pienāk vērtspapīra termiņš, to svītro no aktīvu kategorijas, kurā tas ir bijis sākotnēji uzrādīts, un tam piemēro tādu procedūru kā izejošai vērtspapīru plūsmai, un no tā izrietošo ienākošo naudas plūsmu uzrāda 2.5. postenī.</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Visas vērtspapīru vērtības uzrāda attiecīgajā intervālā pašreizējā tirgus vērtībā.</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3.8. postenī uzrāda tikai līgumiski noteiktās pieejamās summas.</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Lai izvairītos no divkāršas uzskaitīšanas, ienākošās naudas plūsmas neuzskaita kompensējošās kapacitātes 3.1. vai 3.2. postenī.</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Posteņus kompensējošajā kapacitātē uzrāda šajās turpmāk norādītajās </w:t>
            </w:r>
            <w:proofErr w:type="spellStart"/>
            <w:r>
              <w:rPr>
                <w:rFonts w:ascii="Times New Roman" w:hAnsi="Times New Roman"/>
                <w:sz w:val="24"/>
                <w:szCs w:val="24"/>
              </w:rPr>
              <w:t>apakškategorijās</w:t>
            </w:r>
            <w:proofErr w:type="spellEnd"/>
            <w:r>
              <w:rPr>
                <w:rFonts w:ascii="Times New Roman" w:hAnsi="Times New Roman"/>
                <w:sz w:val="24"/>
                <w:szCs w:val="24"/>
              </w:rPr>
              <w:t>.</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monētas un banknotes</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Naudas kopsumma, kas ir no monētām un banknotēm.</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izņemamas centrālās bankas rezerves</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Centrālo banku rezervju kopsumma saskaņā ar Deleģētās regulas (ES) 2015/61 10. panta 1. punkta b) apakšpunkta iii) punktu, kas ir izņemama vēlākais uz nakti.</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Vērtspapīrus, kas ir prasījumi pret centrālajām bankām vai ko tās garantē, neuzrāda šeit.</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1. līmenis: tirgojami aktīvi</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Tirgojamu aktīvu tirgus vērtība saskaņā ar Deleģētās regulas (ES) 2015/61 7., 8. un 10. pantu.</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1.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1. līmenis: izņemot segtās obligācijas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750. rindā uzrādītā summa, kas nav segtās obligācijas.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1. līmenis: centrālā banka</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760. rindā uzrādītā summa, kas ir aktīvi, kuri ir prasījumi pret centrālajām bankām vai ko tās garantē.</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1. līmenis (1. KKP)</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760. rindā uzrādītā summa, kas nav norādīta 770. rindā un ir aktīvi, kuri ir prasījumi pret emitentu vai garantijas devēju vai ko garantē emitents vai garantijas devējs, kuram 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1. līmenis (2. KKP, 3. KKP)</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 xml:space="preserve">760. rindā uzrādītā summa, kas nav norādīta 770. rindā un ir aktīvi, kuri ir prasījumi pret emitentu vai garantijas devēju vai ko garantē emitents vai garantijas devējs, kuram norīkota ĀKNI ir piešķīrusi otro vai trešo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1. līmenis (4. KKP)</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760. rindā uzrādītā summa, kas nav norādīta 770. rindā un ir aktīvi, kuri ir prasījumi pret emitentu vai garantijas devēju vai ko garantē emitents vai garantijas devējs, kuram norīkota ĀKNI ir piešķīrusi ceturto vai zemāku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1. līmenis: segtās obligācijas (1. KKP)</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750. rindā uzrādītā summa, kas ir segtās obligācijas.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Saskaņā ar Deleģētās regulas (ES) 2015/61 10. panta 1. punkta f) apakšpunktu tikai 1. KKP segtās obligācijas ir atbilstošas kā 1. līmeņa aktīvi.</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2.A līmenis: tirgojami aktīvi</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Tirgojamu aktīvu tirgus vērtība saskaņā ar Deleģētās regulas (ES) 2015/61 7., 8. un 11. pantu.</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2.A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2.A līmenis: uzņēmuma obligācijas (1. KKP)</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820. rindā uzrādītā summa, kas ir uzņēmuma obligācijas, kurām norīkota ĀKNI ir piešķīrusi 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2.A līmenis: segtās obligācijas (1. KKP, 2. KKP)</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820. rindā uzrādītā summa, kas ir segtās obligācijas, kurām norīkota ĀKNI ir piešķīrusi pirmo vai otro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2.A līmenis: publiskais sektors (1. KKP, 2. KKP)</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820. rindā uzrādītā summa, kas ir aktīvi, kuri ir prasījumi pret centrālajām valdībām, centrālajām bankām, reģionālajām pašvaldībām, vietējām pašpārvaldēm vai publiskā sektora struktūrām vai ko tās garantē.</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Saskaņā ar Deleģētās regulas (ES) 2015/61 11. panta 1. punkta a) un b) apakšpunktu visiem 2.A līmenim atbilstošajiem publiskā sektora aktīviem ir vai nu pirmā vai otrā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pakāpe.</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2.B līmenis: tirgojami aktīvi</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Tirgojamu aktīvu tirgus vērtība saskaņā ar Deleģētās regulas (ES) 2015/61 7., 8. un 12. vai 13. pantu.</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KIU daļas vai ieguldījumu apliecības saskaņā ar Deleģētās regulas (ES) 2015/61 15. pantu, kuras uzskata par 2.B līmeņa aktīviem, uzrāda turpmāk minētajās </w:t>
            </w:r>
            <w:proofErr w:type="spellStart"/>
            <w:r>
              <w:rPr>
                <w:rFonts w:ascii="Times New Roman" w:hAnsi="Times New Roman"/>
                <w:sz w:val="24"/>
                <w:szCs w:val="24"/>
              </w:rPr>
              <w:t>apakškategorijās</w:t>
            </w:r>
            <w:proofErr w:type="spellEnd"/>
            <w:r>
              <w:rPr>
                <w:rFonts w:ascii="Times New Roman" w:hAnsi="Times New Roman"/>
                <w:sz w:val="24"/>
                <w:szCs w:val="24"/>
              </w:rPr>
              <w:t>, kas atbilst to pamatā esošajiem aktīviem.</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2.B līmenis ABS (1. KKP)</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 xml:space="preserve">860. rindā uzrādītā summa, kas ir ar aktīviem nodrošināti vērtspapīri (tostarp </w:t>
            </w:r>
            <w:r>
              <w:rPr>
                <w:rFonts w:ascii="Times New Roman" w:hAnsi="Times New Roman"/>
                <w:i/>
                <w:sz w:val="24"/>
                <w:szCs w:val="24"/>
              </w:rPr>
              <w:t>RMBS</w:t>
            </w:r>
            <w:r>
              <w:rPr>
                <w:rFonts w:ascii="Times New Roman" w:hAnsi="Times New Roman"/>
                <w:sz w:val="24"/>
                <w:szCs w:val="24"/>
              </w:rPr>
              <w:t>).</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Saskaņā ar Deleģētās regulas (ES) 2015/61 13. panta 2. punkta a) apakšpunktu visiem 2.B līmenim atbilstīgajiem ar aktīviem nodrošinātiem vērtspapīriem ir pirmā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pakāpe.</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2.B līmenis: segtās obligācijas (1.–6. KKP)</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rindā uzrādītā summa, kas ir segtās obligācijas.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2.B līmenis: uzņēmumu obligācijas (1.-3. KKP)</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rindā uzrādītā summa, kas ir uzņēmuma parāda vērtspapīri.</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2.B līmeņa akcijas</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rindā uzrādītā summa, kas ir akcijas.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2.B līmenis: publiskais sektors (3.–5. KKP)</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860. rindā uzrādītā summa, kas ir 2.B līmeņa aktīvi, kuri nav uzrādīti 3.5.1.–3.5.4. postenī.</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citi tirgojami aktīvi</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To tirgojamo aktīvu tirgus vērtība, kuri nav norādīti 750., 820. un 860. rindā.</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Grupas ietvaros vai iestādes pašas emitētos vērtspapīrus un vērtspapīru plūsmas no citiem tirgojamiem aktīviem aktīvi neuzrāda kompensējošajā kapacitātē. Tomēr naudas plūsmas no šādiem posteņiem uzrāda veidnes 1. un 2. iedaļas attiecīgajās daļās.</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centrālā valdība (1. KKP)</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920. rindā uzrādītā summa, kas ir aktīvi, kuri ir prasījumi pret centrālo valdību vai ko garantē centrālā valdība, kurai norīkota ĀKNI ir piešķīrusi </w:t>
            </w:r>
            <w:r>
              <w:rPr>
                <w:rFonts w:ascii="Times New Roman" w:hAnsi="Times New Roman"/>
                <w:sz w:val="24"/>
                <w:szCs w:val="24"/>
              </w:rPr>
              <w:lastRenderedPageBreak/>
              <w:t xml:space="preserve">pirmo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centrālā valdība (2.-3. KKP)</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920. rindā uzrādītā summa, kas ir aktīvi, kuri ir prasījumi pret centrālo valdību vai ko garantē centrālā valdība, kurai norīkota ĀKNI ir piešķīrusi otro vai trešo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pakāpi.</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akcijas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rindā uzrādītā summa, kas ir akcijas.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segtās obligācijas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rindā uzrādītā summa, kas ir segtās obligācijas.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rindā uzrādītā summa, kas ir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citi tirgojami aktīvi</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920. rindā uzrādītā summa, kas ir cits tirgojams aktīvs, kurš nav uzrādīts 930. līdz 970. rindā.</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centrālo banku prasībām atbilstoši netirgojami aktīvi</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Tādu netirgojamo aktīvu kopējā uzskaites vērtība, kuri ir atbilstošs nodrošinājums standarta likviditātes operācijām centrālajā bankā, kur iestādei ir tieša piekļuve tās konsolidācijas līmenī.</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Iestādes atstāj šo lauku neaizpildītu attiecībā uz aktīviem, kuri </w:t>
            </w:r>
            <w:proofErr w:type="spellStart"/>
            <w:r>
              <w:rPr>
                <w:rFonts w:ascii="Times New Roman" w:hAnsi="Times New Roman"/>
                <w:sz w:val="24"/>
                <w:szCs w:val="24"/>
              </w:rPr>
              <w:t>denominēti</w:t>
            </w:r>
            <w:proofErr w:type="spellEnd"/>
            <w:r>
              <w:rPr>
                <w:rFonts w:ascii="Times New Roman" w:hAnsi="Times New Roman"/>
                <w:sz w:val="24"/>
                <w:szCs w:val="24"/>
              </w:rPr>
              <w:t xml:space="preserve"> valūtā, kas Komisijas Īstenošanas regulā (ES) Nr.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iekļauta kā valūta, kuras atbilstība centrālās bankas prasībām definēta ļoti šauri. Grupas ietvaros vai iestādes pašas emitētos vērtspapīrus un vērtspapīru plūsmas no citiem tirgojamiem aktīviem aktīvi neuzrāda kompensējošajā kapacitātē. Tomēr naudas plūsmas no šādiem posteņiem uzrāda veidnes 1. un 2. iedaļas attiecīgajās daļās.</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neizmantotas saņemtās piešķirtās iespējas</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Neizmantotu piešķirto iespēju, kas piešķirtas pārskatu sniedzošajai iestādei, kopsumma.</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Tie ietver līgumiski neatsaucamas iespējas. Iestādes uzrāda pazeminātu </w:t>
            </w:r>
            <w:r>
              <w:rPr>
                <w:rFonts w:ascii="Times New Roman" w:hAnsi="Times New Roman"/>
                <w:sz w:val="24"/>
                <w:szCs w:val="24"/>
              </w:rPr>
              <w:lastRenderedPageBreak/>
              <w:t>summu gadījumos, kad iespējamās nodrošinājuma vajadzības izmantot šīs iespējas pārsniedz nodrošinājuma pieejamību.</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Lai izvairītos no divkāršas iespēju uzskaitīšanas gadījumos, kad pārskatu sniedzošā iestāde attiecībā uz neizmantotām iespējām aktīvus jau ir izvietojusi kā nodrošinājumu un jau ir uzrādījusi aktīvus 730. līdz 990. rindā, minētās iespējas neuzrāda 1000. rindā. Tas pats attiecas uz gadījumiem, kad pārskatu sniedzošajai iestādei varētu nākties izvietot aktīvus kā nodrošinājumu, lai kredītlīniju izmantotu tādā apmērā, kā uzrādīts šajā laukā.</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1. līmeņa iespējas</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rindā uzrādītā summa, kas ir centrālās bankas nodrošināta iespēja saskaņā ar Deleģētās regulas (ES) 2015/61 19. panta 1. punkta b) apakšpunktu.</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2.B līmenis: ierobežota izmantojuma iespējas</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rindā uzrādītā summa, kas ir iespējas saskaņā ar Deleģētās regulas (ES) 2015/61 14. pantu.</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2.B  līmenis: IAS iespējas</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rindā uzrādītā summa, kas ir likviditātes finansējums saskaņā ar Deleģētās regulas (ES) 2015/61 16. panta 2. punktu.</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citas iespējas</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rindā uzrādītā summa, izņemot 1010. līdz 1030. rindā uzrādīto summu.</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no grupas iekšējiem darījumu partneriem</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1040. rindā uzrādītā summa, ja darījuma partneris ir iestādes </w:t>
            </w:r>
            <w:proofErr w:type="spellStart"/>
            <w:r>
              <w:rPr>
                <w:rFonts w:ascii="Times New Roman" w:hAnsi="Times New Roman"/>
                <w:sz w:val="24"/>
                <w:szCs w:val="24"/>
              </w:rPr>
              <w:t>mātesuzņēmums</w:t>
            </w:r>
            <w:proofErr w:type="spellEnd"/>
            <w:r>
              <w:rPr>
                <w:rFonts w:ascii="Times New Roman" w:hAnsi="Times New Roman"/>
                <w:sz w:val="24"/>
                <w:szCs w:val="24"/>
              </w:rPr>
              <w:t xml:space="preserve"> vai meitasuzņēmums vai tā paša </w:t>
            </w:r>
            <w:proofErr w:type="spellStart"/>
            <w:r>
              <w:rPr>
                <w:rFonts w:ascii="Times New Roman" w:hAnsi="Times New Roman"/>
                <w:sz w:val="24"/>
                <w:szCs w:val="24"/>
              </w:rPr>
              <w:t>mātesuzņēmuma</w:t>
            </w:r>
            <w:proofErr w:type="spellEnd"/>
            <w:r>
              <w:rPr>
                <w:rFonts w:ascii="Times New Roman" w:hAnsi="Times New Roman"/>
                <w:sz w:val="24"/>
                <w:szCs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no citiem darījumu partneriem</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1040. rindā uzrādītā summa, izņemot 1050. rindā uzrādīto summu.</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neto izmaiņas kompensējošajā kapacitātē</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Uzrāda neto izmaiņas riska darījumos, kas minēti 3.2., 3.3., 3.4. un 3.5., 3.6., 3.7. un 3.8. postenī un kas attiecīgi atspoguļo centrālās bankas, vērtspapīru plūsmas un piešķirtās kredītlīnijas noteiktā laika intervālā.</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kumulētā kompensējošā kapacitāte</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Kompensējošās kapacitātes kumulētā summa no pārskata sniegšanas datuma līdz attiecīgā laika intervāla augšējai robežai.</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 līdz</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IESPĒJAMĀS SITUĀCIJAS</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Termiņu sadalījuma “Iespējamās situācijās” iekļauj informāciju par iespējamām izejošajām plūsmām.</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izejošās plūsmas no piešķirtajām iespējām</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Izejošās naudas plūsmas, kas izriet no piešķirtajām iespējām.</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Maksimālo summu, ko var izmantot noteiktā laika posmā, iestādes uzrāda kā izejošo plūsmu. Attiecībā uz atjaunojamām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uzrāda tikai summu, kas pārsniedz esošo aizdevumu.</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saistītie kredīti</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1090. rindā uzrādītā summa, kas ir no piešķirtajām </w:t>
            </w:r>
            <w:proofErr w:type="spellStart"/>
            <w:r>
              <w:rPr>
                <w:rFonts w:ascii="Times New Roman" w:hAnsi="Times New Roman"/>
                <w:sz w:val="24"/>
                <w:szCs w:val="24"/>
              </w:rPr>
              <w:t>kredītiespējām</w:t>
            </w:r>
            <w:proofErr w:type="spellEnd"/>
            <w:r>
              <w:rPr>
                <w:rFonts w:ascii="Times New Roman" w:hAnsi="Times New Roman"/>
                <w:sz w:val="24"/>
                <w:szCs w:val="24"/>
              </w:rPr>
              <w:t xml:space="preserve"> saskaņā ar Deleģētās regulas (ES) 2015/61 31. pantu.</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ko saņēmējs uzskata par 2.B līmeņa iespējām</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1100. rindā uzrādītā summa, ko uzskata par likviditātes finansējumu saskaņā ar Deleģētās regulas (ES) 2015/61 16. panta 2. punktu.</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cita veida</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1100. rindā uzrādītā summa, izņemot 1110. rindā uzrādīto summu.</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likviditātes iespējas</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1090. rindā uzrādītā summa, kas ir no likviditātes iespējām saskaņā ar Deleģētās regulas (ES) 2015/61 31. pantu.</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izejošās plūsmas saistībā ar kredītreitinga pazemināšanas robežvērtību</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lastRenderedPageBreak/>
              <w:t xml:space="preserve">Iestādes šeit norāda iestādes </w:t>
            </w:r>
            <w:proofErr w:type="spellStart"/>
            <w:r>
              <w:rPr>
                <w:rFonts w:ascii="Times New Roman" w:hAnsi="Times New Roman"/>
                <w:sz w:val="24"/>
                <w:szCs w:val="24"/>
              </w:rPr>
              <w:t>kredītkvalitātes</w:t>
            </w:r>
            <w:proofErr w:type="spellEnd"/>
            <w:r>
              <w:rPr>
                <w:rFonts w:ascii="Times New Roman" w:hAnsi="Times New Roman"/>
                <w:sz w:val="24"/>
                <w:szCs w:val="24"/>
              </w:rPr>
              <w:t xml:space="preserve"> būtiskas pasliktināšanās sekas, kas atbilst tās ārējā </w:t>
            </w:r>
            <w:proofErr w:type="spellStart"/>
            <w:r>
              <w:rPr>
                <w:rFonts w:ascii="Times New Roman" w:hAnsi="Times New Roman"/>
                <w:sz w:val="24"/>
                <w:szCs w:val="24"/>
              </w:rPr>
              <w:t>kredītnovērtējuma</w:t>
            </w:r>
            <w:proofErr w:type="spellEnd"/>
            <w:r>
              <w:rPr>
                <w:rFonts w:ascii="Times New Roman" w:hAnsi="Times New Roman"/>
                <w:sz w:val="24"/>
                <w:szCs w:val="24"/>
              </w:rPr>
              <w:t xml:space="preserve"> pazeminājumam vismaz par trim pakāpēm.</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Pozitīvas vērtības atspoguļo iespējamās izejošās plūsmas, un negatīvās vērtības atspoguļo sākotnējo saistību samazinājumu.</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Ja pazeminājuma sekas ir nenokārtoto saistību pirmstermiņa dzēšana, attiecīgās saistības uzrāda ar negatīvu zīmi laika joslā, kurā tās uzrāda 1. postenī, un vienlaikus ar pozitīvu zīmi laika joslā, kurā iestājas saistību termiņš, ja pazeminājuma sekas kļūtu piemērojamas pārskata sniegšanas datumā.</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Ja pazemināšanas sekas ir drošības rezerves pieprasījums, iesniedzamā nodrošinājuma tirgus vērtību uzrāda ar pozitīvu zīmi laika joslā, kad prasība stājas spēkā, ja pazeminājuma sekas kļūtu piemērojamas pārskata sniegšanas datumā.</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Ja pazeminājuma sekas ir izmaiņas to vērtspapīru </w:t>
            </w:r>
            <w:proofErr w:type="spellStart"/>
            <w:r>
              <w:rPr>
                <w:rFonts w:ascii="Times New Roman" w:hAnsi="Times New Roman"/>
                <w:sz w:val="24"/>
                <w:szCs w:val="24"/>
              </w:rPr>
              <w:t>tālākieķīlāšanas</w:t>
            </w:r>
            <w:proofErr w:type="spellEnd"/>
            <w:r>
              <w:rPr>
                <w:rFonts w:ascii="Times New Roman" w:hAnsi="Times New Roman"/>
                <w:sz w:val="24"/>
                <w:szCs w:val="24"/>
              </w:rPr>
              <w:t xml:space="preserve"> tiesībās, kas saņemti kā nodrošinājums no darījumu partneriem, attiecīgo vērtspapīru tirgus vērtību uzrāda ar pozitīvu zīmi laika joslā, kad vērtspapīri vairs nav pieejami pārskatu sniedzošajai iestādei, ja pazeminājuma sekas kļūtu piemērojamas pārskata </w:t>
            </w:r>
            <w:proofErr w:type="spellStart"/>
            <w:r>
              <w:rPr>
                <w:rFonts w:ascii="Times New Roman" w:hAnsi="Times New Roman"/>
                <w:sz w:val="24"/>
                <w:szCs w:val="24"/>
              </w:rPr>
              <w:t>sniegšanasdatumā</w:t>
            </w:r>
            <w:proofErr w:type="spellEnd"/>
            <w:r>
              <w:rPr>
                <w:rFonts w:ascii="Times New Roman" w:hAnsi="Times New Roman"/>
                <w:sz w:val="24"/>
                <w:szCs w:val="24"/>
              </w:rPr>
              <w:t>.</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 līdz</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IZZIŅAS POSTEŅI</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grupas iekšējās vai IAS izejošās plūsmas (izņemot ārvalstu valūtas)</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010., 060., 260., 360., 370. rindā uzrādīto izejošo plūsmu summa, ja darījuma partneris ir iestādes </w:t>
            </w:r>
            <w:proofErr w:type="spellStart"/>
            <w:r>
              <w:rPr>
                <w:rFonts w:ascii="Times New Roman" w:hAnsi="Times New Roman"/>
                <w:sz w:val="24"/>
                <w:szCs w:val="24"/>
              </w:rPr>
              <w:t>mātesuzņēmums</w:t>
            </w:r>
            <w:proofErr w:type="spellEnd"/>
            <w:r>
              <w:rPr>
                <w:rFonts w:ascii="Times New Roman" w:hAnsi="Times New Roman"/>
                <w:sz w:val="24"/>
                <w:szCs w:val="24"/>
              </w:rPr>
              <w:t xml:space="preserve"> vai meitasuzņēmums vai tā paša </w:t>
            </w:r>
            <w:proofErr w:type="spellStart"/>
            <w:r>
              <w:rPr>
                <w:rFonts w:ascii="Times New Roman" w:hAnsi="Times New Roman"/>
                <w:sz w:val="24"/>
                <w:szCs w:val="24"/>
              </w:rPr>
              <w:t>mātesuzņēmuma</w:t>
            </w:r>
            <w:proofErr w:type="spellEnd"/>
            <w:r>
              <w:rPr>
                <w:rFonts w:ascii="Times New Roman" w:hAnsi="Times New Roman"/>
                <w:sz w:val="24"/>
                <w:szCs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grupas iekšējās vai IAS ienākošās plūsmas (izņemot ārvalstu valūtas un vērtspapīrus, kuriem iestājas termiņš)</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390., 590., 670., 690. rindā uzrādīto ienākošo plūsmu summa, ja darījuma partneris ir iestādes </w:t>
            </w:r>
            <w:proofErr w:type="spellStart"/>
            <w:r>
              <w:rPr>
                <w:rFonts w:ascii="Times New Roman" w:hAnsi="Times New Roman"/>
                <w:sz w:val="24"/>
                <w:szCs w:val="24"/>
              </w:rPr>
              <w:t>mātesuzņēmums</w:t>
            </w:r>
            <w:proofErr w:type="spellEnd"/>
            <w:r>
              <w:rPr>
                <w:rFonts w:ascii="Times New Roman" w:hAnsi="Times New Roman"/>
                <w:sz w:val="24"/>
                <w:szCs w:val="24"/>
              </w:rPr>
              <w:t xml:space="preserve"> vai meitasuzņēmums vai tā paša </w:t>
            </w:r>
            <w:proofErr w:type="spellStart"/>
            <w:r>
              <w:rPr>
                <w:rFonts w:ascii="Times New Roman" w:hAnsi="Times New Roman"/>
                <w:sz w:val="24"/>
                <w:szCs w:val="24"/>
              </w:rPr>
              <w:t>mātesuzņēmuma</w:t>
            </w:r>
            <w:proofErr w:type="spellEnd"/>
            <w:r>
              <w:rPr>
                <w:rFonts w:ascii="Times New Roman" w:hAnsi="Times New Roman"/>
                <w:sz w:val="24"/>
                <w:szCs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w:t>
            </w:r>
            <w:r>
              <w:rPr>
                <w:rFonts w:ascii="Times New Roman" w:hAnsi="Times New Roman"/>
                <w:sz w:val="24"/>
                <w:szCs w:val="24"/>
              </w:rPr>
              <w:lastRenderedPageBreak/>
              <w:t>tīklā vai kooperatīvajā grupā saskaņā ar Regulas (ES) Nr. 575/2013 10. pantu.</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grupas iekšējās vai IAS ienākošās plūsmas no vērtspapīriem, kuriem iestājas termiņš</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680. rindā uzrādīto ienākošo plūsmu summa, ja darījuma partneris ir iestādes </w:t>
            </w:r>
            <w:proofErr w:type="spellStart"/>
            <w:r>
              <w:rPr>
                <w:rFonts w:ascii="Times New Roman" w:hAnsi="Times New Roman"/>
                <w:sz w:val="24"/>
                <w:szCs w:val="24"/>
              </w:rPr>
              <w:t>mātesuzņēmums</w:t>
            </w:r>
            <w:proofErr w:type="spellEnd"/>
            <w:r>
              <w:rPr>
                <w:rFonts w:ascii="Times New Roman" w:hAnsi="Times New Roman"/>
                <w:sz w:val="24"/>
                <w:szCs w:val="24"/>
              </w:rPr>
              <w:t xml:space="preserve"> vai meitasuzņēmums vai tā paša </w:t>
            </w:r>
            <w:proofErr w:type="spellStart"/>
            <w:r>
              <w:rPr>
                <w:rFonts w:ascii="Times New Roman" w:hAnsi="Times New Roman"/>
                <w:sz w:val="24"/>
                <w:szCs w:val="24"/>
              </w:rPr>
              <w:t>mātesuzņēmuma</w:t>
            </w:r>
            <w:proofErr w:type="spellEnd"/>
            <w:r>
              <w:rPr>
                <w:rFonts w:ascii="Times New Roman" w:hAnsi="Times New Roman"/>
                <w:sz w:val="24"/>
                <w:szCs w:val="24"/>
              </w:rPr>
              <w:t xml:space="preserve"> cits meitasuzņēmums, vai tas ar kredītiestādi ir saistīts Direktīvas 83/349/EEK 12. panta 1. punkta izpratnē, vai tas ir tās pašas institucionālās aizsardzības shēmas dalībnieks, kas minēta Regulas (ES) Nr. 575/2013 113. panta 7. punktā, vai centrālā iestāde vai dalībnieks kādā tīklā vai kooperatīvajā grupā saskaņā ar Regulas (ES) Nr. 575/2013 10. pantu.</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centrālo banku prasībām atbilstoši augstas kvalitātes likvīdie aktīvi</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750., 820. un 860. rindā uzrādīto vērtību summa, kas ir atbilstošs nodrošinājums standarta likviditātes operācijām centrālajā bankā, kur iestādei ir tieša piekļuve tās konsolidācijas līmenī.</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Iestādes atstāj šo aili neaizpildītu attiecībā uz aktīviem, kuri </w:t>
            </w:r>
            <w:proofErr w:type="spellStart"/>
            <w:r>
              <w:rPr>
                <w:rFonts w:ascii="Times New Roman" w:hAnsi="Times New Roman"/>
                <w:sz w:val="24"/>
                <w:szCs w:val="24"/>
              </w:rPr>
              <w:t>denominēti</w:t>
            </w:r>
            <w:proofErr w:type="spellEnd"/>
            <w:r>
              <w:rPr>
                <w:rFonts w:ascii="Times New Roman" w:hAnsi="Times New Roman"/>
                <w:sz w:val="24"/>
                <w:szCs w:val="24"/>
              </w:rPr>
              <w:t xml:space="preserve"> valūtā, kas Regulas (ES) Nr. 2015/233 pielikumā iekļauta kā valūta, kuras atbilstība centrālās bankas prasībām definēta ļoti šauri.</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centrālo banku prasībām atbilstīgi aktīvi, kas nav augstas kvalitātes likvīdie aktīvi</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Šāda summa:</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920. rindā uzrādīto vērtību summa, kas ir atbilstošs nodrošinājums standarta likviditātes operācijām centrālajā bankā, kur iestādei ir tieša piekļuve tās konsolidācijas līmenī;</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pašu emisijas, kuras ir atbilstošs nodrošinājums standarta likviditātes operācijām centrālajā bankā, kur iestādei ir tieša piekļuve tās konsolidācijas līmenī.</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Iestādes atstāj šo aili neaizpildītu attiecībā uz aktīviem, kuri </w:t>
            </w:r>
            <w:proofErr w:type="spellStart"/>
            <w:r>
              <w:rPr>
                <w:rFonts w:ascii="Times New Roman" w:hAnsi="Times New Roman"/>
                <w:sz w:val="24"/>
                <w:szCs w:val="24"/>
              </w:rPr>
              <w:t>denominēti</w:t>
            </w:r>
            <w:proofErr w:type="spellEnd"/>
            <w:r>
              <w:rPr>
                <w:rFonts w:ascii="Times New Roman" w:hAnsi="Times New Roman"/>
                <w:sz w:val="24"/>
                <w:szCs w:val="24"/>
              </w:rPr>
              <w:t xml:space="preserve"> valūtā, kas Regulā (ES) Nr. 2015/233 iekļauta kā valūta, kuras atbilstība centrālās bankas prasībām definēta ļoti šauri.</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rīcības noteiktās izejošās plūsmas no noguldījumiem</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260. rindā uzrādītā summa, kuru pārdala laika intervālos saskaņā ar rīcības noteikto termiņu pēc ierastās darbības scenārija, ko izmanto pārskatu sniedzošās iestādes likviditātes riska pārvaldībai.</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Šajā ailē “ierastās darbības scenārijs” nozīmē “situāciju bez likviditātes </w:t>
            </w:r>
            <w:r>
              <w:rPr>
                <w:rFonts w:ascii="Times New Roman" w:hAnsi="Times New Roman"/>
                <w:sz w:val="24"/>
                <w:szCs w:val="24"/>
              </w:rPr>
              <w:lastRenderedPageBreak/>
              <w:t>stresa pieņēmuma”.</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Sadalījums atspoguļo noguldījumu “pastāvību”.</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Postenis neatspoguļo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plāna pieņēmumus, un tādēļ tajā neiekļauj informāciju par jaunām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aktivitātēm.</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Sadale dažādos laika intervālos tiek veikta saskaņā ar granularitāti, ko izmanto iekšējām vajadzībām. Tāpēc ne visi laika intervāli ir jāaizpilda.</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rīcības noteiktās ienākošās plūsmas no aizdevumiem un avansiem</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590. rindā uzrādītā summa, kuru pārdala laika intervālos saskaņā ar rīcības noteikto termiņu pēc ierastās darbības scenārija, ko izmanto pārskatu sniedzošās iestādes likviditātes riska pārvaldībai.</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Šajā ailē “ierastās darbības scenārijs” nozīmē “situāciju bez likviditātes stresa pieņēmuma”.</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Postenis neatspoguļo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plāna pieņēmumus, un tādēļ tajā neņem vērā jaunās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aktivitātes.</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Sadale dažādos laika intervālos tiek veikta saskaņā ar granularitāti, ko izmanto iekšējām vajadzībām. Tāpēc ne visi laika intervāli ir noteikti jāaizpilda.</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Piešķirto iespēju rīcības noteiktā izmantošana</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1090. rindā uzrādītā summa, kuru pārdala laika intervālos saskaņā ar rīcības noteikto izmantojuma līmeni un no tā izrietošām likviditātes vajadzībām pēc ierastās darbības scenārija, ko izmanto pārskatu sniedzošās iestādes likviditātes riska pārvaldībai.</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Šajā ailē “ierastās darbības scenārijs” nozīmē “situāciju bez likviditātes stresa pieņēmuma”.</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 xml:space="preserve">Postenis neatspoguļo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plāna pieņēmumus, un tādēļ tajā neņem vērā jaunās </w:t>
            </w:r>
            <w:proofErr w:type="spellStart"/>
            <w:r>
              <w:rPr>
                <w:rFonts w:ascii="Times New Roman" w:hAnsi="Times New Roman"/>
                <w:sz w:val="24"/>
                <w:szCs w:val="24"/>
              </w:rPr>
              <w:t>darījumdarbības</w:t>
            </w:r>
            <w:proofErr w:type="spellEnd"/>
            <w:r>
              <w:rPr>
                <w:rFonts w:ascii="Times New Roman" w:hAnsi="Times New Roman"/>
                <w:sz w:val="24"/>
                <w:szCs w:val="24"/>
              </w:rPr>
              <w:t xml:space="preserve"> aktivitātes.</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Sadale dažādos laika intervālos tiek veikta saskaņā ar granularitāti, ko izmanto iekšējām vajadzībām. Tāpēc ne visi laika intervāli ir jāaizpilda.</w:t>
            </w:r>
          </w:p>
        </w:tc>
      </w:tr>
      <w:bookmarkEnd w:id="12"/>
      <w:bookmarkEnd w:id="13"/>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53D2E2C2" w:rsidR="00FF6A85" w:rsidRDefault="00FF6A85">
        <w:pPr>
          <w:pStyle w:val="Footer"/>
          <w:jc w:val="right"/>
        </w:pPr>
        <w:r>
          <w:fldChar w:fldCharType="begin"/>
        </w:r>
        <w:r>
          <w:instrText xml:space="preserve"> PAGE   \* MERGEFORMAT </w:instrText>
        </w:r>
        <w:r>
          <w:fldChar w:fldCharType="separate"/>
        </w:r>
        <w:r w:rsidR="00841F11">
          <w:rPr>
            <w:noProof/>
          </w:rPr>
          <w:t>25</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4DE3"/>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E6F30"/>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1F11"/>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v-LV"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v-LV"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v-LV"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D5F44-CB22-4B65-9CB3-66AE1F0CD78D}">
  <ds:schemaRefs>
    <ds:schemaRef ds:uri="http://schemas.openxmlformats.org/officeDocument/2006/bibliography"/>
  </ds:schemaRefs>
</ds:datastoreItem>
</file>

<file path=customXml/itemProps2.xml><?xml version="1.0" encoding="utf-8"?>
<ds:datastoreItem xmlns:ds="http://schemas.openxmlformats.org/officeDocument/2006/customXml" ds:itemID="{F7A9CA1B-D337-4654-9A11-AB817838975E}">
  <ds:schemaRefs>
    <ds:schemaRef ds:uri="http://schemas.openxmlformats.org/officeDocument/2006/bibliography"/>
  </ds:schemaRefs>
</ds:datastoreItem>
</file>

<file path=customXml/itemProps3.xml><?xml version="1.0" encoding="utf-8"?>
<ds:datastoreItem xmlns:ds="http://schemas.openxmlformats.org/officeDocument/2006/customXml" ds:itemID="{71650238-F6FB-4E99-89C0-3881653D6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6786</Words>
  <Characters>43747</Characters>
  <Application>Microsoft Office Word</Application>
  <DocSecurity>0</DocSecurity>
  <Lines>1017</Lines>
  <Paragraphs>574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49959</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BALOGH Bela (DGT)</cp:lastModifiedBy>
  <cp:revision>7</cp:revision>
  <cp:lastPrinted>2015-04-10T08:05:00Z</cp:lastPrinted>
  <dcterms:created xsi:type="dcterms:W3CDTF">2020-12-02T17:03:00Z</dcterms:created>
  <dcterms:modified xsi:type="dcterms:W3CDTF">2020-12-15T11:19:00Z</dcterms:modified>
</cp:coreProperties>
</file>