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XI LISA</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FINANTSVÕIMENDUSE ARUANDLUSE JUHISED</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0DA2D623" w14:textId="2F1601F1" w:rsidR="00D536D6"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585523" w:history="1">
        <w:r w:rsidR="00D536D6" w:rsidRPr="00DE7A01">
          <w:rPr>
            <w:rStyle w:val="Hyperlink"/>
            <w:rFonts w:ascii="Times New Roman" w:hAnsi="Times New Roman"/>
            <w:b/>
          </w:rPr>
          <w:t>I OSA. ÜLDISED JUHISED</w:t>
        </w:r>
        <w:r w:rsidR="00D536D6">
          <w:rPr>
            <w:webHidden/>
          </w:rPr>
          <w:tab/>
        </w:r>
        <w:r w:rsidR="00117F84">
          <w:rPr>
            <w:webHidden/>
          </w:rPr>
          <w:tab/>
        </w:r>
        <w:r w:rsidR="00D536D6">
          <w:rPr>
            <w:webHidden/>
          </w:rPr>
          <w:fldChar w:fldCharType="begin"/>
        </w:r>
        <w:r w:rsidR="00D536D6">
          <w:rPr>
            <w:webHidden/>
          </w:rPr>
          <w:instrText xml:space="preserve"> PAGEREF _Toc58585523 \h </w:instrText>
        </w:r>
        <w:r w:rsidR="00D536D6">
          <w:rPr>
            <w:webHidden/>
          </w:rPr>
        </w:r>
        <w:r w:rsidR="00D536D6">
          <w:rPr>
            <w:webHidden/>
          </w:rPr>
          <w:fldChar w:fldCharType="separate"/>
        </w:r>
        <w:r w:rsidR="00D536D6">
          <w:rPr>
            <w:webHidden/>
          </w:rPr>
          <w:t>2</w:t>
        </w:r>
        <w:r w:rsidR="00D536D6">
          <w:rPr>
            <w:webHidden/>
          </w:rPr>
          <w:fldChar w:fldCharType="end"/>
        </w:r>
      </w:hyperlink>
    </w:p>
    <w:p w14:paraId="3AFDA8EC" w14:textId="58DD9CBF" w:rsidR="00D536D6" w:rsidRDefault="00DC4BAF">
      <w:pPr>
        <w:pStyle w:val="TOC2"/>
        <w:rPr>
          <w:rFonts w:asciiTheme="minorHAnsi" w:eastAsiaTheme="minorEastAsia" w:hAnsiTheme="minorHAnsi" w:cstheme="minorBidi"/>
          <w:b w:val="0"/>
          <w:smallCaps w:val="0"/>
          <w:sz w:val="22"/>
          <w:lang w:val="en-US"/>
        </w:rPr>
      </w:pPr>
      <w:hyperlink w:anchor="_Toc58585524" w:history="1">
        <w:r w:rsidR="00D536D6" w:rsidRPr="00DE7A01">
          <w:rPr>
            <w:rStyle w:val="Hyperlink"/>
            <w:rFonts w:ascii="Times New Roman" w:hAnsi="Times New Roman"/>
          </w:rPr>
          <w:t>1.</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Struktuur ja muud tavad</w:t>
        </w:r>
        <w:r w:rsidR="00D536D6">
          <w:rPr>
            <w:webHidden/>
          </w:rPr>
          <w:tab/>
        </w:r>
        <w:r w:rsidR="00D536D6">
          <w:rPr>
            <w:webHidden/>
          </w:rPr>
          <w:fldChar w:fldCharType="begin"/>
        </w:r>
        <w:r w:rsidR="00D536D6">
          <w:rPr>
            <w:webHidden/>
          </w:rPr>
          <w:instrText xml:space="preserve"> PAGEREF _Toc58585524 \h </w:instrText>
        </w:r>
        <w:r w:rsidR="00D536D6">
          <w:rPr>
            <w:webHidden/>
          </w:rPr>
        </w:r>
        <w:r w:rsidR="00D536D6">
          <w:rPr>
            <w:webHidden/>
          </w:rPr>
          <w:fldChar w:fldCharType="separate"/>
        </w:r>
        <w:r w:rsidR="00D536D6">
          <w:rPr>
            <w:webHidden/>
          </w:rPr>
          <w:t>2</w:t>
        </w:r>
        <w:r w:rsidR="00D536D6">
          <w:rPr>
            <w:webHidden/>
          </w:rPr>
          <w:fldChar w:fldCharType="end"/>
        </w:r>
      </w:hyperlink>
    </w:p>
    <w:p w14:paraId="30464605" w14:textId="2D9E5653" w:rsidR="00D536D6" w:rsidRDefault="00DC4BAF">
      <w:pPr>
        <w:pStyle w:val="TOC3"/>
        <w:rPr>
          <w:rFonts w:asciiTheme="minorHAnsi" w:eastAsiaTheme="minorEastAsia" w:hAnsiTheme="minorHAnsi" w:cstheme="minorBidi"/>
          <w:smallCaps w:val="0"/>
          <w:sz w:val="22"/>
          <w:szCs w:val="22"/>
          <w:lang w:val="en-US"/>
        </w:rPr>
      </w:pPr>
      <w:hyperlink w:anchor="_Toc58585525" w:history="1">
        <w:r w:rsidR="00D536D6" w:rsidRPr="00DE7A01">
          <w:rPr>
            <w:rStyle w:val="Hyperlink"/>
            <w:rFonts w:ascii="Times New Roman" w:hAnsi="Times New Roman"/>
            <w:b/>
          </w:rPr>
          <w:t>1.1.</w:t>
        </w:r>
        <w:r w:rsidR="00D536D6">
          <w:rPr>
            <w:rFonts w:asciiTheme="minorHAnsi" w:eastAsiaTheme="minorEastAsia" w:hAnsiTheme="minorHAnsi" w:cstheme="minorBidi"/>
            <w:smallCaps w:val="0"/>
            <w:sz w:val="22"/>
            <w:szCs w:val="22"/>
            <w:lang w:val="en-US"/>
          </w:rPr>
          <w:tab/>
        </w:r>
        <w:r w:rsidR="00D536D6" w:rsidRPr="00DE7A01">
          <w:rPr>
            <w:rStyle w:val="Hyperlink"/>
            <w:rFonts w:ascii="Times New Roman" w:hAnsi="Times New Roman"/>
            <w:b/>
          </w:rPr>
          <w:t>Struktuur</w:t>
        </w:r>
        <w:r w:rsidR="00D536D6">
          <w:rPr>
            <w:webHidden/>
          </w:rPr>
          <w:tab/>
        </w:r>
        <w:r w:rsidR="00D536D6">
          <w:rPr>
            <w:webHidden/>
          </w:rPr>
          <w:fldChar w:fldCharType="begin"/>
        </w:r>
        <w:r w:rsidR="00D536D6">
          <w:rPr>
            <w:webHidden/>
          </w:rPr>
          <w:instrText xml:space="preserve"> PAGEREF _Toc58585525 \h </w:instrText>
        </w:r>
        <w:r w:rsidR="00D536D6">
          <w:rPr>
            <w:webHidden/>
          </w:rPr>
        </w:r>
        <w:r w:rsidR="00D536D6">
          <w:rPr>
            <w:webHidden/>
          </w:rPr>
          <w:fldChar w:fldCharType="separate"/>
        </w:r>
        <w:r w:rsidR="00D536D6">
          <w:rPr>
            <w:webHidden/>
          </w:rPr>
          <w:t>2</w:t>
        </w:r>
        <w:r w:rsidR="00D536D6">
          <w:rPr>
            <w:webHidden/>
          </w:rPr>
          <w:fldChar w:fldCharType="end"/>
        </w:r>
      </w:hyperlink>
    </w:p>
    <w:p w14:paraId="12F8F0F5" w14:textId="6BE88613" w:rsidR="00D536D6" w:rsidRDefault="00DC4BAF">
      <w:pPr>
        <w:pStyle w:val="TOC3"/>
        <w:rPr>
          <w:rFonts w:asciiTheme="minorHAnsi" w:eastAsiaTheme="minorEastAsia" w:hAnsiTheme="minorHAnsi" w:cstheme="minorBidi"/>
          <w:smallCaps w:val="0"/>
          <w:sz w:val="22"/>
          <w:szCs w:val="22"/>
          <w:lang w:val="en-US"/>
        </w:rPr>
      </w:pPr>
      <w:hyperlink w:anchor="_Toc58585526" w:history="1">
        <w:r w:rsidR="00D536D6" w:rsidRPr="00DE7A01">
          <w:rPr>
            <w:rStyle w:val="Hyperlink"/>
            <w:rFonts w:ascii="Times New Roman" w:hAnsi="Times New Roman"/>
            <w:b/>
          </w:rPr>
          <w:t>1.2.</w:t>
        </w:r>
        <w:r w:rsidR="00D536D6">
          <w:rPr>
            <w:rFonts w:asciiTheme="minorHAnsi" w:eastAsiaTheme="minorEastAsia" w:hAnsiTheme="minorHAnsi" w:cstheme="minorBidi"/>
            <w:smallCaps w:val="0"/>
            <w:sz w:val="22"/>
            <w:szCs w:val="22"/>
            <w:lang w:val="en-US"/>
          </w:rPr>
          <w:tab/>
        </w:r>
        <w:r w:rsidR="00D536D6" w:rsidRPr="00DE7A01">
          <w:rPr>
            <w:rStyle w:val="Hyperlink"/>
            <w:rFonts w:ascii="Times New Roman" w:hAnsi="Times New Roman"/>
            <w:b/>
          </w:rPr>
          <w:t>Nummerdamise põhimõtted</w:t>
        </w:r>
        <w:r w:rsidR="00D536D6">
          <w:rPr>
            <w:webHidden/>
          </w:rPr>
          <w:tab/>
        </w:r>
        <w:r w:rsidR="00D536D6">
          <w:rPr>
            <w:webHidden/>
          </w:rPr>
          <w:fldChar w:fldCharType="begin"/>
        </w:r>
        <w:r w:rsidR="00D536D6">
          <w:rPr>
            <w:webHidden/>
          </w:rPr>
          <w:instrText xml:space="preserve"> PAGEREF _Toc58585526 \h </w:instrText>
        </w:r>
        <w:r w:rsidR="00D536D6">
          <w:rPr>
            <w:webHidden/>
          </w:rPr>
        </w:r>
        <w:r w:rsidR="00D536D6">
          <w:rPr>
            <w:webHidden/>
          </w:rPr>
          <w:fldChar w:fldCharType="separate"/>
        </w:r>
        <w:r w:rsidR="00D536D6">
          <w:rPr>
            <w:webHidden/>
          </w:rPr>
          <w:t>2</w:t>
        </w:r>
        <w:r w:rsidR="00D536D6">
          <w:rPr>
            <w:webHidden/>
          </w:rPr>
          <w:fldChar w:fldCharType="end"/>
        </w:r>
      </w:hyperlink>
    </w:p>
    <w:p w14:paraId="734090E3" w14:textId="76F36B77" w:rsidR="00D536D6" w:rsidRDefault="00DC4BAF">
      <w:pPr>
        <w:pStyle w:val="TOC3"/>
        <w:rPr>
          <w:rFonts w:asciiTheme="minorHAnsi" w:eastAsiaTheme="minorEastAsia" w:hAnsiTheme="minorHAnsi" w:cstheme="minorBidi"/>
          <w:smallCaps w:val="0"/>
          <w:sz w:val="22"/>
          <w:szCs w:val="22"/>
          <w:lang w:val="en-US"/>
        </w:rPr>
      </w:pPr>
      <w:hyperlink w:anchor="_Toc58585527" w:history="1">
        <w:r w:rsidR="00D536D6" w:rsidRPr="00DE7A01">
          <w:rPr>
            <w:rStyle w:val="Hyperlink"/>
            <w:rFonts w:ascii="Times New Roman" w:hAnsi="Times New Roman"/>
            <w:b/>
          </w:rPr>
          <w:t>1.3.</w:t>
        </w:r>
        <w:r w:rsidR="00D536D6">
          <w:rPr>
            <w:rFonts w:asciiTheme="minorHAnsi" w:eastAsiaTheme="minorEastAsia" w:hAnsiTheme="minorHAnsi" w:cstheme="minorBidi"/>
            <w:smallCaps w:val="0"/>
            <w:sz w:val="22"/>
            <w:szCs w:val="22"/>
            <w:lang w:val="en-US"/>
          </w:rPr>
          <w:tab/>
        </w:r>
        <w:r w:rsidR="00D536D6" w:rsidRPr="00DE7A01">
          <w:rPr>
            <w:rStyle w:val="Hyperlink"/>
            <w:rFonts w:ascii="Times New Roman" w:hAnsi="Times New Roman"/>
            <w:b/>
          </w:rPr>
          <w:t>Lühendid</w:t>
        </w:r>
        <w:r w:rsidR="00D536D6">
          <w:rPr>
            <w:webHidden/>
          </w:rPr>
          <w:tab/>
        </w:r>
        <w:r w:rsidR="00D536D6">
          <w:rPr>
            <w:webHidden/>
          </w:rPr>
          <w:fldChar w:fldCharType="begin"/>
        </w:r>
        <w:r w:rsidR="00D536D6">
          <w:rPr>
            <w:webHidden/>
          </w:rPr>
          <w:instrText xml:space="preserve"> PAGEREF _Toc58585527 \h </w:instrText>
        </w:r>
        <w:r w:rsidR="00D536D6">
          <w:rPr>
            <w:webHidden/>
          </w:rPr>
        </w:r>
        <w:r w:rsidR="00D536D6">
          <w:rPr>
            <w:webHidden/>
          </w:rPr>
          <w:fldChar w:fldCharType="separate"/>
        </w:r>
        <w:r w:rsidR="00D536D6">
          <w:rPr>
            <w:webHidden/>
          </w:rPr>
          <w:t>2</w:t>
        </w:r>
        <w:r w:rsidR="00D536D6">
          <w:rPr>
            <w:webHidden/>
          </w:rPr>
          <w:fldChar w:fldCharType="end"/>
        </w:r>
      </w:hyperlink>
    </w:p>
    <w:p w14:paraId="0F0342EA" w14:textId="7D40A2B7" w:rsidR="00D536D6" w:rsidRDefault="00DC4BAF">
      <w:pPr>
        <w:pStyle w:val="TOC3"/>
        <w:rPr>
          <w:rFonts w:asciiTheme="minorHAnsi" w:eastAsiaTheme="minorEastAsia" w:hAnsiTheme="minorHAnsi" w:cstheme="minorBidi"/>
          <w:smallCaps w:val="0"/>
          <w:sz w:val="22"/>
          <w:szCs w:val="22"/>
          <w:lang w:val="en-US"/>
        </w:rPr>
      </w:pPr>
      <w:hyperlink w:anchor="_Toc58585528" w:history="1">
        <w:r w:rsidR="00D536D6" w:rsidRPr="00DE7A01">
          <w:rPr>
            <w:rStyle w:val="Hyperlink"/>
            <w:rFonts w:ascii="Times New Roman" w:hAnsi="Times New Roman"/>
            <w:b/>
          </w:rPr>
          <w:t>1.4.</w:t>
        </w:r>
        <w:r w:rsidR="00D536D6">
          <w:rPr>
            <w:rFonts w:asciiTheme="minorHAnsi" w:eastAsiaTheme="minorEastAsia" w:hAnsiTheme="minorHAnsi" w:cstheme="minorBidi"/>
            <w:smallCaps w:val="0"/>
            <w:sz w:val="22"/>
            <w:szCs w:val="22"/>
            <w:lang w:val="en-US"/>
          </w:rPr>
          <w:tab/>
        </w:r>
        <w:r w:rsidR="00D536D6" w:rsidRPr="00DE7A01">
          <w:rPr>
            <w:rStyle w:val="Hyperlink"/>
            <w:rFonts w:ascii="Times New Roman" w:hAnsi="Times New Roman"/>
            <w:b/>
          </w:rPr>
          <w:t>Märgi põhimõtted</w:t>
        </w:r>
        <w:r w:rsidR="00D536D6">
          <w:rPr>
            <w:webHidden/>
          </w:rPr>
          <w:tab/>
        </w:r>
        <w:r w:rsidR="00D536D6">
          <w:rPr>
            <w:webHidden/>
          </w:rPr>
          <w:fldChar w:fldCharType="begin"/>
        </w:r>
        <w:r w:rsidR="00D536D6">
          <w:rPr>
            <w:webHidden/>
          </w:rPr>
          <w:instrText xml:space="preserve"> PAGEREF _Toc58585528 \h </w:instrText>
        </w:r>
        <w:r w:rsidR="00D536D6">
          <w:rPr>
            <w:webHidden/>
          </w:rPr>
        </w:r>
        <w:r w:rsidR="00D536D6">
          <w:rPr>
            <w:webHidden/>
          </w:rPr>
          <w:fldChar w:fldCharType="separate"/>
        </w:r>
        <w:r w:rsidR="00D536D6">
          <w:rPr>
            <w:webHidden/>
          </w:rPr>
          <w:t>3</w:t>
        </w:r>
        <w:r w:rsidR="00D536D6">
          <w:rPr>
            <w:webHidden/>
          </w:rPr>
          <w:fldChar w:fldCharType="end"/>
        </w:r>
      </w:hyperlink>
    </w:p>
    <w:p w14:paraId="0B2AB499" w14:textId="2BE2C8E1" w:rsidR="00D536D6" w:rsidRDefault="00DC4BAF">
      <w:pPr>
        <w:pStyle w:val="TOC1"/>
        <w:rPr>
          <w:rFonts w:asciiTheme="minorHAnsi" w:eastAsiaTheme="minorEastAsia" w:hAnsiTheme="minorHAnsi" w:cstheme="minorBidi"/>
          <w:color w:val="auto"/>
          <w:sz w:val="22"/>
          <w:szCs w:val="22"/>
          <w:lang w:val="en-US"/>
        </w:rPr>
      </w:pPr>
      <w:hyperlink w:anchor="_Toc58585529" w:history="1">
        <w:r w:rsidR="00D536D6" w:rsidRPr="00DE7A01">
          <w:rPr>
            <w:rStyle w:val="Hyperlink"/>
            <w:rFonts w:ascii="Times New Roman" w:hAnsi="Times New Roman"/>
            <w:b/>
          </w:rPr>
          <w:t>II OSA. VORMIDE TÄITMISE JUHISED</w:t>
        </w:r>
        <w:r w:rsidR="00117F84">
          <w:rPr>
            <w:rStyle w:val="Hyperlink"/>
            <w:rFonts w:ascii="Times New Roman" w:hAnsi="Times New Roman"/>
            <w:b/>
          </w:rPr>
          <w:tab/>
        </w:r>
        <w:r w:rsidR="00117F84">
          <w:rPr>
            <w:rStyle w:val="Hyperlink"/>
            <w:rFonts w:ascii="Times New Roman" w:hAnsi="Times New Roman"/>
            <w:b/>
          </w:rPr>
          <w:tab/>
        </w:r>
        <w:r w:rsidR="00D536D6">
          <w:rPr>
            <w:webHidden/>
          </w:rPr>
          <w:tab/>
        </w:r>
        <w:r w:rsidR="00D536D6">
          <w:rPr>
            <w:webHidden/>
          </w:rPr>
          <w:fldChar w:fldCharType="begin"/>
        </w:r>
        <w:r w:rsidR="00D536D6">
          <w:rPr>
            <w:webHidden/>
          </w:rPr>
          <w:instrText xml:space="preserve"> PAGEREF _Toc58585529 \h </w:instrText>
        </w:r>
        <w:r w:rsidR="00D536D6">
          <w:rPr>
            <w:webHidden/>
          </w:rPr>
        </w:r>
        <w:r w:rsidR="00D536D6">
          <w:rPr>
            <w:webHidden/>
          </w:rPr>
          <w:fldChar w:fldCharType="separate"/>
        </w:r>
        <w:r w:rsidR="00D536D6">
          <w:rPr>
            <w:webHidden/>
          </w:rPr>
          <w:t>4</w:t>
        </w:r>
        <w:r w:rsidR="00D536D6">
          <w:rPr>
            <w:webHidden/>
          </w:rPr>
          <w:fldChar w:fldCharType="end"/>
        </w:r>
      </w:hyperlink>
    </w:p>
    <w:p w14:paraId="005EFDCB" w14:textId="78FDECFB" w:rsidR="00D536D6" w:rsidRDefault="00DC4BAF">
      <w:pPr>
        <w:pStyle w:val="TOC2"/>
        <w:rPr>
          <w:rFonts w:asciiTheme="minorHAnsi" w:eastAsiaTheme="minorEastAsia" w:hAnsiTheme="minorHAnsi" w:cstheme="minorBidi"/>
          <w:b w:val="0"/>
          <w:smallCaps w:val="0"/>
          <w:sz w:val="22"/>
          <w:lang w:val="en-US"/>
        </w:rPr>
      </w:pPr>
      <w:hyperlink w:anchor="_Toc58585530" w:history="1">
        <w:r w:rsidR="00D536D6" w:rsidRPr="00DE7A01">
          <w:rPr>
            <w:rStyle w:val="Hyperlink"/>
            <w:rFonts w:ascii="Times New Roman" w:hAnsi="Times New Roman"/>
          </w:rPr>
          <w:t>1.</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Valemid finantsvõimenduse määra arvutamiseks</w:t>
        </w:r>
        <w:r w:rsidR="00D536D6">
          <w:rPr>
            <w:webHidden/>
          </w:rPr>
          <w:tab/>
        </w:r>
        <w:r w:rsidR="00D536D6">
          <w:rPr>
            <w:webHidden/>
          </w:rPr>
          <w:fldChar w:fldCharType="begin"/>
        </w:r>
        <w:r w:rsidR="00D536D6">
          <w:rPr>
            <w:webHidden/>
          </w:rPr>
          <w:instrText xml:space="preserve"> PAGEREF _Toc58585530 \h </w:instrText>
        </w:r>
        <w:r w:rsidR="00D536D6">
          <w:rPr>
            <w:webHidden/>
          </w:rPr>
        </w:r>
        <w:r w:rsidR="00D536D6">
          <w:rPr>
            <w:webHidden/>
          </w:rPr>
          <w:fldChar w:fldCharType="separate"/>
        </w:r>
        <w:r w:rsidR="00D536D6">
          <w:rPr>
            <w:webHidden/>
          </w:rPr>
          <w:t>4</w:t>
        </w:r>
        <w:r w:rsidR="00D536D6">
          <w:rPr>
            <w:webHidden/>
          </w:rPr>
          <w:fldChar w:fldCharType="end"/>
        </w:r>
      </w:hyperlink>
    </w:p>
    <w:p w14:paraId="573B0EAA" w14:textId="0AF37E2E" w:rsidR="00D536D6" w:rsidRDefault="00DC4BAF">
      <w:pPr>
        <w:pStyle w:val="TOC2"/>
        <w:rPr>
          <w:rFonts w:asciiTheme="minorHAnsi" w:eastAsiaTheme="minorEastAsia" w:hAnsiTheme="minorHAnsi" w:cstheme="minorBidi"/>
          <w:b w:val="0"/>
          <w:smallCaps w:val="0"/>
          <w:sz w:val="22"/>
          <w:lang w:val="en-US"/>
        </w:rPr>
      </w:pPr>
      <w:hyperlink w:anchor="_Toc58585531" w:history="1">
        <w:r w:rsidR="00D536D6" w:rsidRPr="00DE7A01">
          <w:rPr>
            <w:rStyle w:val="Hyperlink"/>
            <w:rFonts w:ascii="Times New Roman" w:hAnsi="Times New Roman"/>
          </w:rPr>
          <w:t>2.</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Olulisuse piirmäärad tuletisinstrumentide puhul</w:t>
        </w:r>
        <w:r w:rsidR="00D536D6">
          <w:rPr>
            <w:webHidden/>
          </w:rPr>
          <w:tab/>
        </w:r>
        <w:r w:rsidR="00D536D6">
          <w:rPr>
            <w:webHidden/>
          </w:rPr>
          <w:fldChar w:fldCharType="begin"/>
        </w:r>
        <w:r w:rsidR="00D536D6">
          <w:rPr>
            <w:webHidden/>
          </w:rPr>
          <w:instrText xml:space="preserve"> PAGEREF _Toc58585531 \h </w:instrText>
        </w:r>
        <w:r w:rsidR="00D536D6">
          <w:rPr>
            <w:webHidden/>
          </w:rPr>
        </w:r>
        <w:r w:rsidR="00D536D6">
          <w:rPr>
            <w:webHidden/>
          </w:rPr>
          <w:fldChar w:fldCharType="separate"/>
        </w:r>
        <w:r w:rsidR="00D536D6">
          <w:rPr>
            <w:webHidden/>
          </w:rPr>
          <w:t>4</w:t>
        </w:r>
        <w:r w:rsidR="00D536D6">
          <w:rPr>
            <w:webHidden/>
          </w:rPr>
          <w:fldChar w:fldCharType="end"/>
        </w:r>
      </w:hyperlink>
    </w:p>
    <w:p w14:paraId="0FAE7943" w14:textId="3C3D9796" w:rsidR="00D536D6" w:rsidRDefault="00DC4BAF">
      <w:pPr>
        <w:pStyle w:val="TOC2"/>
        <w:rPr>
          <w:rFonts w:asciiTheme="minorHAnsi" w:eastAsiaTheme="minorEastAsia" w:hAnsiTheme="minorHAnsi" w:cstheme="minorBidi"/>
          <w:b w:val="0"/>
          <w:smallCaps w:val="0"/>
          <w:sz w:val="22"/>
          <w:lang w:val="en-US"/>
        </w:rPr>
      </w:pPr>
      <w:hyperlink w:anchor="_Toc58585532" w:history="1">
        <w:r w:rsidR="00D536D6" w:rsidRPr="00DE7A01">
          <w:rPr>
            <w:rStyle w:val="Hyperlink"/>
            <w:rFonts w:ascii="Times New Roman" w:hAnsi="Times New Roman"/>
          </w:rPr>
          <w:t>3.</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47.00 – Finantsvõimenduse määra arvutamine (LRCalc)</w:t>
        </w:r>
        <w:r w:rsidR="00D536D6">
          <w:rPr>
            <w:webHidden/>
          </w:rPr>
          <w:tab/>
        </w:r>
        <w:r w:rsidR="00D536D6">
          <w:rPr>
            <w:webHidden/>
          </w:rPr>
          <w:fldChar w:fldCharType="begin"/>
        </w:r>
        <w:r w:rsidR="00D536D6">
          <w:rPr>
            <w:webHidden/>
          </w:rPr>
          <w:instrText xml:space="preserve"> PAGEREF _Toc58585532 \h </w:instrText>
        </w:r>
        <w:r w:rsidR="00D536D6">
          <w:rPr>
            <w:webHidden/>
          </w:rPr>
        </w:r>
        <w:r w:rsidR="00D536D6">
          <w:rPr>
            <w:webHidden/>
          </w:rPr>
          <w:fldChar w:fldCharType="separate"/>
        </w:r>
        <w:r w:rsidR="00D536D6">
          <w:rPr>
            <w:webHidden/>
          </w:rPr>
          <w:t>5</w:t>
        </w:r>
        <w:r w:rsidR="00D536D6">
          <w:rPr>
            <w:webHidden/>
          </w:rPr>
          <w:fldChar w:fldCharType="end"/>
        </w:r>
      </w:hyperlink>
    </w:p>
    <w:p w14:paraId="336EB79D" w14:textId="3A8D765E" w:rsidR="00D536D6" w:rsidRDefault="00DC4BAF">
      <w:pPr>
        <w:pStyle w:val="TOC2"/>
        <w:rPr>
          <w:rFonts w:asciiTheme="minorHAnsi" w:eastAsiaTheme="minorEastAsia" w:hAnsiTheme="minorHAnsi" w:cstheme="minorBidi"/>
          <w:b w:val="0"/>
          <w:smallCaps w:val="0"/>
          <w:sz w:val="22"/>
          <w:lang w:val="en-US"/>
        </w:rPr>
      </w:pPr>
      <w:hyperlink w:anchor="_Toc58585533" w:history="1">
        <w:r w:rsidR="00D536D6" w:rsidRPr="00DE7A01">
          <w:rPr>
            <w:rStyle w:val="Hyperlink"/>
            <w:rFonts w:ascii="Times New Roman" w:hAnsi="Times New Roman"/>
          </w:rPr>
          <w:t>4.</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40.00 – Riskipositsiooni näitaja alternatiivne käsitlus (LR1)</w:t>
        </w:r>
        <w:r w:rsidR="00D536D6">
          <w:rPr>
            <w:webHidden/>
          </w:rPr>
          <w:tab/>
        </w:r>
        <w:r w:rsidR="00D536D6">
          <w:rPr>
            <w:webHidden/>
          </w:rPr>
          <w:fldChar w:fldCharType="begin"/>
        </w:r>
        <w:r w:rsidR="00D536D6">
          <w:rPr>
            <w:webHidden/>
          </w:rPr>
          <w:instrText xml:space="preserve"> PAGEREF _Toc58585533 \h </w:instrText>
        </w:r>
        <w:r w:rsidR="00D536D6">
          <w:rPr>
            <w:webHidden/>
          </w:rPr>
        </w:r>
        <w:r w:rsidR="00D536D6">
          <w:rPr>
            <w:webHidden/>
          </w:rPr>
          <w:fldChar w:fldCharType="separate"/>
        </w:r>
        <w:r w:rsidR="00D536D6">
          <w:rPr>
            <w:webHidden/>
          </w:rPr>
          <w:t>32</w:t>
        </w:r>
        <w:r w:rsidR="00D536D6">
          <w:rPr>
            <w:webHidden/>
          </w:rPr>
          <w:fldChar w:fldCharType="end"/>
        </w:r>
      </w:hyperlink>
    </w:p>
    <w:p w14:paraId="3986C552" w14:textId="745B086C" w:rsidR="00D536D6" w:rsidRDefault="00DC4BAF">
      <w:pPr>
        <w:pStyle w:val="TOC2"/>
        <w:rPr>
          <w:rFonts w:asciiTheme="minorHAnsi" w:eastAsiaTheme="minorEastAsia" w:hAnsiTheme="minorHAnsi" w:cstheme="minorBidi"/>
          <w:b w:val="0"/>
          <w:smallCaps w:val="0"/>
          <w:sz w:val="22"/>
          <w:lang w:val="en-US"/>
        </w:rPr>
      </w:pPr>
      <w:hyperlink w:anchor="_Toc58585534" w:history="1">
        <w:r w:rsidR="00D536D6" w:rsidRPr="00DE7A01">
          <w:rPr>
            <w:rStyle w:val="Hyperlink"/>
            <w:rFonts w:ascii="Times New Roman" w:hAnsi="Times New Roman"/>
          </w:rPr>
          <w:t>5.</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43.00 – Finantsvõimenduse määra riskipositsiooni näitaja komponentide alternatiivne jaotus (LR4)</w:t>
        </w:r>
        <w:r w:rsidR="00D536D6">
          <w:rPr>
            <w:webHidden/>
          </w:rPr>
          <w:tab/>
        </w:r>
        <w:r w:rsidR="00D536D6">
          <w:rPr>
            <w:webHidden/>
          </w:rPr>
          <w:fldChar w:fldCharType="begin"/>
        </w:r>
        <w:r w:rsidR="00D536D6">
          <w:rPr>
            <w:webHidden/>
          </w:rPr>
          <w:instrText xml:space="preserve"> PAGEREF _Toc58585534 \h </w:instrText>
        </w:r>
        <w:r w:rsidR="00D536D6">
          <w:rPr>
            <w:webHidden/>
          </w:rPr>
        </w:r>
        <w:r w:rsidR="00D536D6">
          <w:rPr>
            <w:webHidden/>
          </w:rPr>
          <w:fldChar w:fldCharType="separate"/>
        </w:r>
        <w:r w:rsidR="00D536D6">
          <w:rPr>
            <w:webHidden/>
          </w:rPr>
          <w:t>45</w:t>
        </w:r>
        <w:r w:rsidR="00D536D6">
          <w:rPr>
            <w:webHidden/>
          </w:rPr>
          <w:fldChar w:fldCharType="end"/>
        </w:r>
      </w:hyperlink>
    </w:p>
    <w:p w14:paraId="024CB8FA" w14:textId="090BCD1B" w:rsidR="00D536D6" w:rsidRDefault="00DC4BAF">
      <w:pPr>
        <w:pStyle w:val="TOC2"/>
        <w:rPr>
          <w:rFonts w:asciiTheme="minorHAnsi" w:eastAsiaTheme="minorEastAsia" w:hAnsiTheme="minorHAnsi" w:cstheme="minorBidi"/>
          <w:b w:val="0"/>
          <w:smallCaps w:val="0"/>
          <w:sz w:val="22"/>
          <w:lang w:val="en-US"/>
        </w:rPr>
      </w:pPr>
      <w:hyperlink w:anchor="_Toc58585535" w:history="1">
        <w:r w:rsidR="00D536D6" w:rsidRPr="00DE7A01">
          <w:rPr>
            <w:rStyle w:val="Hyperlink"/>
            <w:rFonts w:ascii="Times New Roman" w:hAnsi="Times New Roman"/>
          </w:rPr>
          <w:t>6.</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44.00 – Üldine teave (LR5)</w:t>
        </w:r>
        <w:r w:rsidR="00D536D6">
          <w:rPr>
            <w:webHidden/>
          </w:rPr>
          <w:tab/>
        </w:r>
        <w:r w:rsidR="00D536D6">
          <w:rPr>
            <w:webHidden/>
          </w:rPr>
          <w:fldChar w:fldCharType="begin"/>
        </w:r>
        <w:r w:rsidR="00D536D6">
          <w:rPr>
            <w:webHidden/>
          </w:rPr>
          <w:instrText xml:space="preserve"> PAGEREF _Toc58585535 \h </w:instrText>
        </w:r>
        <w:r w:rsidR="00D536D6">
          <w:rPr>
            <w:webHidden/>
          </w:rPr>
        </w:r>
        <w:r w:rsidR="00D536D6">
          <w:rPr>
            <w:webHidden/>
          </w:rPr>
          <w:fldChar w:fldCharType="separate"/>
        </w:r>
        <w:r w:rsidR="00D536D6">
          <w:rPr>
            <w:webHidden/>
          </w:rPr>
          <w:t>76</w:t>
        </w:r>
        <w:r w:rsidR="00D536D6">
          <w:rPr>
            <w:webHidden/>
          </w:rPr>
          <w:fldChar w:fldCharType="end"/>
        </w:r>
      </w:hyperlink>
    </w:p>
    <w:p w14:paraId="54610EA9" w14:textId="1DDD073F" w:rsidR="00D536D6" w:rsidRDefault="00DC4BAF">
      <w:pPr>
        <w:pStyle w:val="TOC2"/>
        <w:rPr>
          <w:rFonts w:asciiTheme="minorHAnsi" w:eastAsiaTheme="minorEastAsia" w:hAnsiTheme="minorHAnsi" w:cstheme="minorBidi"/>
          <w:b w:val="0"/>
          <w:smallCaps w:val="0"/>
          <w:sz w:val="22"/>
          <w:lang w:val="en-US"/>
        </w:rPr>
      </w:pPr>
      <w:hyperlink w:anchor="_Toc58585536" w:history="1">
        <w:r w:rsidR="00D536D6" w:rsidRPr="00DE7A01">
          <w:rPr>
            <w:rStyle w:val="Hyperlink"/>
            <w:rFonts w:ascii="Times New Roman" w:hAnsi="Times New Roman"/>
          </w:rPr>
          <w:t>7.</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48.00 – Finantsvõimenduse määra volatiilsus (LR6)</w:t>
        </w:r>
        <w:r w:rsidR="00D536D6">
          <w:rPr>
            <w:webHidden/>
          </w:rPr>
          <w:tab/>
        </w:r>
        <w:r w:rsidR="00D536D6">
          <w:rPr>
            <w:webHidden/>
          </w:rPr>
          <w:fldChar w:fldCharType="begin"/>
        </w:r>
        <w:r w:rsidR="00D536D6">
          <w:rPr>
            <w:webHidden/>
          </w:rPr>
          <w:instrText xml:space="preserve"> PAGEREF _Toc58585536 \h </w:instrText>
        </w:r>
        <w:r w:rsidR="00D536D6">
          <w:rPr>
            <w:webHidden/>
          </w:rPr>
        </w:r>
        <w:r w:rsidR="00D536D6">
          <w:rPr>
            <w:webHidden/>
          </w:rPr>
          <w:fldChar w:fldCharType="separate"/>
        </w:r>
        <w:r w:rsidR="00D536D6">
          <w:rPr>
            <w:webHidden/>
          </w:rPr>
          <w:t>78</w:t>
        </w:r>
        <w:r w:rsidR="00D536D6">
          <w:rPr>
            <w:webHidden/>
          </w:rPr>
          <w:fldChar w:fldCharType="end"/>
        </w:r>
      </w:hyperlink>
    </w:p>
    <w:p w14:paraId="2A7C39F2" w14:textId="51CE7B6D" w:rsidR="00D536D6" w:rsidRDefault="00DC4BAF">
      <w:pPr>
        <w:pStyle w:val="TOC2"/>
        <w:rPr>
          <w:rFonts w:asciiTheme="minorHAnsi" w:eastAsiaTheme="minorEastAsia" w:hAnsiTheme="minorHAnsi" w:cstheme="minorBidi"/>
          <w:b w:val="0"/>
          <w:smallCaps w:val="0"/>
          <w:sz w:val="22"/>
          <w:lang w:val="en-US"/>
        </w:rPr>
      </w:pPr>
      <w:hyperlink w:anchor="_Toc58585537" w:history="1">
        <w:r w:rsidR="00D536D6" w:rsidRPr="00DE7A01">
          <w:rPr>
            <w:rStyle w:val="Hyperlink"/>
            <w:rFonts w:ascii="Times New Roman" w:hAnsi="Times New Roman"/>
          </w:rPr>
          <w:t>8.</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48.01 – Finantsvõimenduse määra volatiilsus: aruandeperioodi keskmine</w:t>
        </w:r>
        <w:r w:rsidR="00D536D6">
          <w:rPr>
            <w:webHidden/>
          </w:rPr>
          <w:tab/>
        </w:r>
        <w:r w:rsidR="00D536D6">
          <w:rPr>
            <w:webHidden/>
          </w:rPr>
          <w:fldChar w:fldCharType="begin"/>
        </w:r>
        <w:r w:rsidR="00D536D6">
          <w:rPr>
            <w:webHidden/>
          </w:rPr>
          <w:instrText xml:space="preserve"> PAGEREF _Toc58585537 \h </w:instrText>
        </w:r>
        <w:r w:rsidR="00D536D6">
          <w:rPr>
            <w:webHidden/>
          </w:rPr>
        </w:r>
        <w:r w:rsidR="00D536D6">
          <w:rPr>
            <w:webHidden/>
          </w:rPr>
          <w:fldChar w:fldCharType="separate"/>
        </w:r>
        <w:r w:rsidR="00D536D6">
          <w:rPr>
            <w:webHidden/>
          </w:rPr>
          <w:t>78</w:t>
        </w:r>
        <w:r w:rsidR="00D536D6">
          <w:rPr>
            <w:webHidden/>
          </w:rPr>
          <w:fldChar w:fldCharType="end"/>
        </w:r>
      </w:hyperlink>
    </w:p>
    <w:p w14:paraId="7AC7CD81" w14:textId="7B703E1F" w:rsidR="00D536D6" w:rsidRDefault="00DC4BAF">
      <w:pPr>
        <w:pStyle w:val="TOC2"/>
        <w:rPr>
          <w:rFonts w:asciiTheme="minorHAnsi" w:eastAsiaTheme="minorEastAsia" w:hAnsiTheme="minorHAnsi" w:cstheme="minorBidi"/>
          <w:b w:val="0"/>
          <w:smallCaps w:val="0"/>
          <w:sz w:val="22"/>
          <w:lang w:val="en-US"/>
        </w:rPr>
      </w:pPr>
      <w:hyperlink w:anchor="_Toc58585538" w:history="1">
        <w:r w:rsidR="00D536D6" w:rsidRPr="00DE7A01">
          <w:rPr>
            <w:rStyle w:val="Hyperlink"/>
            <w:rFonts w:ascii="Times New Roman" w:hAnsi="Times New Roman"/>
          </w:rPr>
          <w:t>9.</w:t>
        </w:r>
        <w:r w:rsidR="00D536D6">
          <w:rPr>
            <w:rFonts w:asciiTheme="minorHAnsi" w:eastAsiaTheme="minorEastAsia" w:hAnsiTheme="minorHAnsi" w:cstheme="minorBidi"/>
            <w:b w:val="0"/>
            <w:smallCaps w:val="0"/>
            <w:sz w:val="22"/>
            <w:lang w:val="en-US"/>
          </w:rPr>
          <w:tab/>
        </w:r>
        <w:r w:rsidR="00D536D6" w:rsidRPr="00DE7A01">
          <w:rPr>
            <w:rStyle w:val="Hyperlink"/>
            <w:rFonts w:ascii="Times New Roman" w:hAnsi="Times New Roman"/>
          </w:rPr>
          <w:t>C 48.02 – Finantsvõimenduse määra volatiilsus: Aruandeperioodi päevaväärtused</w:t>
        </w:r>
        <w:r w:rsidR="00D536D6">
          <w:rPr>
            <w:webHidden/>
          </w:rPr>
          <w:tab/>
        </w:r>
        <w:r w:rsidR="00D536D6">
          <w:rPr>
            <w:webHidden/>
          </w:rPr>
          <w:fldChar w:fldCharType="begin"/>
        </w:r>
        <w:r w:rsidR="00D536D6">
          <w:rPr>
            <w:webHidden/>
          </w:rPr>
          <w:instrText xml:space="preserve"> PAGEREF _Toc58585538 \h </w:instrText>
        </w:r>
        <w:r w:rsidR="00D536D6">
          <w:rPr>
            <w:webHidden/>
          </w:rPr>
        </w:r>
        <w:r w:rsidR="00D536D6">
          <w:rPr>
            <w:webHidden/>
          </w:rPr>
          <w:fldChar w:fldCharType="separate"/>
        </w:r>
        <w:r w:rsidR="00D536D6">
          <w:rPr>
            <w:webHidden/>
          </w:rPr>
          <w:t>78</w:t>
        </w:r>
        <w:r w:rsidR="00D536D6">
          <w:rPr>
            <w:webHidden/>
          </w:rPr>
          <w:fldChar w:fldCharType="end"/>
        </w:r>
      </w:hyperlink>
    </w:p>
    <w:p w14:paraId="43D747E1" w14:textId="59397DFA"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585523"/>
      <w:r>
        <w:rPr>
          <w:rFonts w:ascii="Times New Roman" w:hAnsi="Times New Roman"/>
          <w:b/>
          <w:sz w:val="24"/>
          <w:szCs w:val="24"/>
        </w:rPr>
        <w:t>I OSA.</w:t>
      </w:r>
      <w:bookmarkEnd w:id="0"/>
      <w:r>
        <w:rPr>
          <w:rFonts w:ascii="Times New Roman" w:hAnsi="Times New Roman"/>
          <w:b/>
          <w:sz w:val="24"/>
          <w:szCs w:val="24"/>
        </w:rPr>
        <w:t xml:space="preserve"> ÜLDISED JUHISED</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585524"/>
      <w:r>
        <w:rPr>
          <w:rFonts w:ascii="Times New Roman" w:hAnsi="Times New Roman"/>
          <w:b/>
          <w:sz w:val="24"/>
          <w:szCs w:val="24"/>
        </w:rPr>
        <w:t>1.</w:t>
      </w:r>
      <w:r>
        <w:tab/>
      </w:r>
      <w:r>
        <w:rPr>
          <w:rFonts w:ascii="Times New Roman" w:hAnsi="Times New Roman"/>
          <w:b/>
          <w:sz w:val="24"/>
          <w:szCs w:val="24"/>
        </w:rPr>
        <w:t>Struktuur ja muud tavad</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585525"/>
      <w:bookmarkStart w:id="15" w:name="_Toc264038399"/>
      <w:bookmarkStart w:id="16" w:name="_Toc294018834"/>
      <w:r>
        <w:rPr>
          <w:rFonts w:ascii="Times New Roman" w:hAnsi="Times New Roman"/>
          <w:b/>
          <w:sz w:val="24"/>
          <w:szCs w:val="24"/>
        </w:rPr>
        <w:t>1.1.</w:t>
      </w:r>
      <w:r>
        <w:tab/>
      </w:r>
      <w:bookmarkEnd w:id="11"/>
      <w:bookmarkEnd w:id="12"/>
      <w:bookmarkEnd w:id="13"/>
      <w:r>
        <w:rPr>
          <w:rFonts w:ascii="Times New Roman" w:hAnsi="Times New Roman"/>
          <w:b/>
          <w:sz w:val="24"/>
          <w:szCs w:val="24"/>
        </w:rPr>
        <w:t>Struktuur</w:t>
      </w:r>
      <w:bookmarkEnd w:id="14"/>
    </w:p>
    <w:p w14:paraId="050538F0" w14:textId="0F6F2A08"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Käesolevas lisas on sätestatud lisajuhised käesoleva määruse X lisas sisal</w:t>
      </w:r>
      <w:r w:rsidR="00DC4BAF">
        <w:rPr>
          <w:rFonts w:ascii="Times New Roman" w:hAnsi="Times New Roman"/>
          <w:sz w:val="24"/>
          <w:szCs w:val="24"/>
        </w:rPr>
        <w:t>duvate vormide (</w:t>
      </w:r>
      <w:proofErr w:type="spellStart"/>
      <w:r w:rsidR="00DC4BAF">
        <w:rPr>
          <w:rFonts w:ascii="Times New Roman" w:hAnsi="Times New Roman"/>
          <w:sz w:val="24"/>
          <w:szCs w:val="24"/>
        </w:rPr>
        <w:t>LR</w:t>
      </w:r>
      <w:proofErr w:type="spellEnd"/>
      <w:r w:rsidR="00DC4BAF">
        <w:rPr>
          <w:rFonts w:ascii="Times New Roman" w:hAnsi="Times New Roman"/>
          <w:sz w:val="24"/>
          <w:szCs w:val="24"/>
        </w:rPr>
        <w:t>) täitmiseks.</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Raamistik koosneb kokku viiest vormist:</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 finantsvõimenduse määra arvutamine (LRCalc): finantsvõimenduse määra arvutamine</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 finantsvõimenduse määra vorm 1 (LR1): riskipositsiooni näitaja alternatiivne käsitlus</w:t>
      </w:r>
      <w:r>
        <w:t>;</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 finantsvõimenduse määra vorm 4 (LR4): finantsvõimenduse määra riskipositsiooni näitaja komponentide alternatiivne jaotus</w:t>
      </w:r>
      <w:r>
        <w:t>;</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 finantsvõimenduse määra vorm 5 (LR5): üldine teave</w:t>
      </w:r>
      <w:r>
        <w:t>;</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 finantsvõimenduse määra volatiilsus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Iga vormi puhul on esitatud viited õigussätetele ja üksikasjalik lisateave aruandluse üldisemate aspektide kohta.</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585526"/>
      <w:bookmarkEnd w:id="17"/>
      <w:r>
        <w:rPr>
          <w:rFonts w:ascii="Times New Roman" w:hAnsi="Times New Roman"/>
          <w:b/>
          <w:sz w:val="24"/>
          <w:szCs w:val="24"/>
        </w:rPr>
        <w:t>1.2.</w:t>
      </w:r>
      <w:r>
        <w:tab/>
      </w:r>
      <w:r>
        <w:rPr>
          <w:rFonts w:ascii="Times New Roman" w:hAnsi="Times New Roman"/>
          <w:b/>
          <w:sz w:val="24"/>
          <w:szCs w:val="24"/>
        </w:rPr>
        <w:t>Nummerdamise põhimõtted</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Vormide veergudele, ridadele ja andmeväljadele viitamisel on käesolevas dokumendis aluseks võetud järgmistes punktides kirjeldatud nummerdamise põhimõtted. Need numbrilised koodid on valideerimise eeskirjades laialdaselt kasutusel.</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Juhistes kasutatakse järgmisel kujul olevat üldist märget: {vorm;rida;veerg}. Tärni kasutatakse tervele reale või veerule viitamiseks.</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Kui ühe vormi sees tehtavate valideerimiste korral kasutatakse ainult selles vormis sisalduvaid andmepunkte, siis vormile märkes ei viidata: {rida;veerg}.</w:t>
      </w:r>
    </w:p>
    <w:p w14:paraId="12003733" w14:textId="293F34E6"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Finantsvõimenduse aruandluses viitab „millest“ kirjele, mis on kõrgema taseme riskipositsiooni kategooria alajaotis, ning „memokirje“ eraldi kirjele, mis ei ole riskipositsiooni klassi alajaotis. Aruandluses on kohustuslik näidata mõlemat liiki andmeväljad,</w:t>
      </w:r>
      <w:r w:rsidR="00DC4BAF">
        <w:rPr>
          <w:bCs/>
          <w:sz w:val="24"/>
        </w:rPr>
        <w:t xml:space="preserve"> kui ei ole sätestatud teisiti.</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8585527"/>
      <w:r>
        <w:rPr>
          <w:rFonts w:ascii="Times New Roman" w:hAnsi="Times New Roman"/>
          <w:b/>
          <w:sz w:val="24"/>
          <w:szCs w:val="24"/>
        </w:rPr>
        <w:t>1.3.</w:t>
      </w:r>
      <w:r>
        <w:tab/>
      </w:r>
      <w:r>
        <w:rPr>
          <w:rFonts w:ascii="Times New Roman" w:hAnsi="Times New Roman"/>
          <w:b/>
          <w:sz w:val="24"/>
          <w:szCs w:val="24"/>
        </w:rPr>
        <w:t>Lühendid</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t>8.</w:t>
      </w:r>
      <w:r>
        <w:tab/>
      </w:r>
      <w:r>
        <w:rPr>
          <w:bCs/>
          <w:sz w:val="24"/>
        </w:rPr>
        <w:t>Käesolevas lisas ja sellega seotud vormides kasutatakse järgmisi lühendeid:</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lastRenderedPageBreak/>
        <w:t>a.</w:t>
      </w:r>
      <w:r>
        <w:tab/>
      </w:r>
      <w:r>
        <w:rPr>
          <w:bCs/>
          <w:sz w:val="24"/>
        </w:rPr>
        <w:t>kapitalinõuete määrus on määrus (EL) nr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kapitalinõuete direktiiv on direktiiv 2013/36/EL;</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väärtpaberite kaudu finantseerimise tehing on repotehing, väärtpaberite või kaupade laenuks andmise või võtmise tehing või võimenduslaenu tehing (määruse (EL) nr 575/2013 artikli 4 lõike 1 punkt 139);</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tähistab krediidiriski maandamist;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CSD tähistab väärtpaberite keskdepositooriumit;</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f.</w:t>
      </w:r>
      <w:r>
        <w:tab/>
      </w:r>
      <w:r>
        <w:rPr>
          <w:bCs/>
          <w:sz w:val="24"/>
        </w:rPr>
        <w:t>QCCP tähistab nõuetele vastavat keskset vastaspoolt;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g.</w:t>
      </w:r>
      <w:r>
        <w:tab/>
      </w:r>
      <w:r>
        <w:rPr>
          <w:bCs/>
          <w:sz w:val="24"/>
        </w:rPr>
        <w:t>PFE tähistab võimalikku tulevast riskipositsiooni.</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585528"/>
      <w:r>
        <w:rPr>
          <w:rFonts w:ascii="Times New Roman" w:hAnsi="Times New Roman"/>
          <w:b/>
          <w:sz w:val="24"/>
          <w:szCs w:val="24"/>
        </w:rPr>
        <w:t>1.4.</w:t>
      </w:r>
      <w:r>
        <w:tab/>
      </w:r>
      <w:r>
        <w:rPr>
          <w:rFonts w:ascii="Times New Roman" w:hAnsi="Times New Roman"/>
          <w:b/>
          <w:sz w:val="24"/>
          <w:szCs w:val="24"/>
        </w:rPr>
        <w:t>Märgi põhimõtted</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Pr>
          <w:bCs/>
          <w:sz w:val="24"/>
        </w:rPr>
        <w:t>9.</w:t>
      </w:r>
      <w:r>
        <w:tab/>
      </w:r>
      <w:r>
        <w:rPr>
          <w:bCs/>
          <w:sz w:val="24"/>
        </w:rPr>
        <w:t>Kõik summad esitatakse positiivsete arvudena.</w:t>
      </w:r>
      <w:bookmarkStart w:id="32" w:name="_Toc264033192"/>
      <w:bookmarkEnd w:id="32"/>
      <w:r>
        <w:rPr>
          <w:bCs/>
          <w:sz w:val="24"/>
        </w:rPr>
        <w:t xml:space="preserve"> Välja arvatud:</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kirjed, mille ees on miinusmärk (−) ja mille puhul ei eeldatagi positiivset arvu;</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mis võivad äärmuslikul juhul olla negatiivse väärtusega, aga muidu positiivsed;</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võib olla kapitalinõuete määruse artikli 473a lõike 7 tõttu positiivse väärtusega, muidu on see negatiivne.</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585529"/>
      <w:r>
        <w:rPr>
          <w:rFonts w:ascii="Times New Roman" w:hAnsi="Times New Roman"/>
          <w:b/>
          <w:sz w:val="24"/>
          <w:szCs w:val="24"/>
        </w:rPr>
        <w:lastRenderedPageBreak/>
        <w:t>II OSA. VORMIDE TÄITMISE JUHISED</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585530"/>
      <w:bookmarkStart w:id="40" w:name="_Toc322533849"/>
      <w:r>
        <w:rPr>
          <w:rFonts w:ascii="Times New Roman" w:hAnsi="Times New Roman"/>
          <w:b/>
          <w:sz w:val="24"/>
          <w:szCs w:val="24"/>
        </w:rPr>
        <w:t>1.</w:t>
      </w:r>
      <w:r>
        <w:tab/>
      </w:r>
      <w:r>
        <w:rPr>
          <w:rFonts w:ascii="Times New Roman" w:hAnsi="Times New Roman"/>
          <w:b/>
          <w:sz w:val="24"/>
          <w:szCs w:val="24"/>
        </w:rPr>
        <w:t>Valemid finantsvõimenduse määra arvutamiseks</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Finantsvõimenduse määr põhineb kapitalinäitajal ja kogu riskipositsiooni näitajal, mille saab arvutada vormi LRCalc andmeväljade alusel.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Finantsvõimenduse määr – täielikult rakendunud määratlus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Finantsvõimenduse määr – üleminekuperioodil rakendatav määratlus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585531"/>
      <w:bookmarkStart w:id="44" w:name="_Toc322533852"/>
      <w:bookmarkEnd w:id="40"/>
      <w:r>
        <w:rPr>
          <w:rFonts w:ascii="Times New Roman" w:hAnsi="Times New Roman"/>
          <w:b/>
          <w:sz w:val="24"/>
          <w:szCs w:val="24"/>
        </w:rPr>
        <w:t>2.</w:t>
      </w:r>
      <w:r>
        <w:tab/>
      </w:r>
      <w:r>
        <w:rPr>
          <w:rFonts w:ascii="Times New Roman" w:hAnsi="Times New Roman"/>
          <w:b/>
          <w:sz w:val="24"/>
          <w:szCs w:val="24"/>
        </w:rPr>
        <w:t>Olulisuse piirmäärad tuletisinstrumentide puhul</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Selliste krediidiasutuste ja investeerimisühingute aruandluskoormuse vähendamiseks, kelle tuletisinstrumentidest tulenevad riskid on väikesed, hinnatakse tuletisinstrumentidest tulenevate riskipositsioonide suhtelist tähtsust võrreldes finantsvõimenduse määra koguriskipositsiooniga järgmiste näitajate abil. Krediidiasutused ja investeerimisühingud arvutavad need näitajad järgmiselt</w:t>
      </w:r>
      <w:bookmarkStart w:id="45" w:name="_Toc322533853"/>
      <w:bookmarkEnd w:id="44"/>
      <w:r>
        <w:rPr>
          <w:rFonts w:ascii="Times New Roman" w:hAnsi="Times New Roman"/>
          <w:sz w:val="24"/>
          <w:szCs w:val="24"/>
        </w:rPr>
        <w:t>.</w:t>
      </w:r>
    </w:p>
    <w:p w14:paraId="1388E099" w14:textId="7B071A22"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Pr>
          <w:rFonts w:ascii="Times New Roman" w:hAnsi="Times New Roman"/>
          <w:sz w:val="24"/>
          <w:szCs w:val="24"/>
        </w:rPr>
        <w:t>5.</w:t>
      </w:r>
      <w:r>
        <w:tab/>
      </w:r>
      <w:r>
        <w:rPr>
          <w:rFonts w:ascii="Times New Roman" w:hAnsi="Times New Roman"/>
          <w:sz w:val="24"/>
          <w:szCs w:val="24"/>
        </w:rPr>
        <w:t xml:space="preserve">Tuletisinstrumentide osakaal = </w:t>
      </w:r>
      <m:oMath>
        <m:f>
          <m:fPr>
            <m:ctrlPr>
              <w:rPr>
                <w:rFonts w:ascii="Cambria Math" w:hAnsi="Times New Roman"/>
                <w:sz w:val="24"/>
                <w:szCs w:val="24"/>
              </w:rPr>
            </m:ctrlPr>
          </m:fPr>
          <m:num>
            <m:r>
              <m:rPr>
                <m:sty m:val="p"/>
              </m:rPr>
              <w:rPr>
                <w:rFonts w:ascii="Cambria Math" w:hAnsi="Times New Roman"/>
                <w:sz w:val="24"/>
                <w:szCs w:val="24"/>
              </w:rPr>
              <m:t>tuletisinstrumentide riskipositsiooni n</m:t>
            </m:r>
            <m:r>
              <m:rPr>
                <m:sty m:val="p"/>
              </m:rPr>
              <w:rPr>
                <w:rFonts w:ascii="Cambria Math" w:hAnsi="Times New Roman"/>
                <w:sz w:val="24"/>
                <w:szCs w:val="24"/>
              </w:rPr>
              <m:t>ä</m:t>
            </m:r>
            <m:r>
              <m:rPr>
                <m:sty m:val="p"/>
              </m:rPr>
              <w:rPr>
                <w:rFonts w:ascii="Cambria Math" w:hAnsi="Times New Roman"/>
                <w:sz w:val="24"/>
                <w:szCs w:val="24"/>
              </w:rPr>
              <m:t>itaja</m:t>
            </m:r>
          </m:num>
          <m:den>
            <m:r>
              <m:rPr>
                <m:sty m:val="p"/>
              </m:rPr>
              <w:rPr>
                <w:rFonts w:ascii="Cambria Math" w:hAnsi="Times New Roman"/>
                <w:sz w:val="24"/>
                <w:szCs w:val="24"/>
              </w:rPr>
              <m:t>kogu riskipositsiooni n</m:t>
            </m:r>
            <m:r>
              <m:rPr>
                <m:sty m:val="p"/>
              </m:rPr>
              <w:rPr>
                <w:rFonts w:ascii="Cambria Math" w:hAnsi="Times New Roman"/>
                <w:sz w:val="24"/>
                <w:szCs w:val="24"/>
              </w:rPr>
              <m:t>ä</m:t>
            </m:r>
            <m:r>
              <m:rPr>
                <m:sty m:val="p"/>
              </m:rPr>
              <w:rPr>
                <w:rFonts w:ascii="Cambria Math" w:hAnsi="Times New Roman"/>
                <w:sz w:val="24"/>
                <w:szCs w:val="24"/>
              </w:rPr>
              <m:t>itaja</m:t>
            </m:r>
          </m:den>
        </m:f>
      </m:oMath>
      <w:r>
        <w:rPr>
          <w:rFonts w:ascii="Times New Roman" w:hAnsi="Times New Roman"/>
          <w:sz w:val="24"/>
          <w:szCs w:val="24"/>
        </w:rPr>
        <w:t>.</w:t>
      </w:r>
    </w:p>
    <w:p w14:paraId="59FDE449" w14:textId="53D578CE"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 xml:space="preserve">Kus </w:t>
      </w:r>
      <w:r w:rsidR="004E40D5" w:rsidRPr="004E40D5">
        <w:rPr>
          <w:rFonts w:ascii="Times New Roman" w:hAnsi="Times New Roman"/>
          <w:sz w:val="24"/>
          <w:szCs w:val="24"/>
        </w:rPr>
        <w:t xml:space="preserve">tuletisinstrumentide </w:t>
      </w:r>
      <w:r>
        <w:rPr>
          <w:rFonts w:ascii="Times New Roman" w:hAnsi="Times New Roman"/>
          <w:sz w:val="24"/>
          <w:szCs w:val="24"/>
        </w:rPr>
        <w:t>riskipositsiooni näitaja on võrdne järgnevaga: {LRCalc;0061;0010} + {LRCalc;0065;0010} + {LRCalc;0071;0010} + {LRCalc;0081;0010} + {LRCalc;0091;0010} + {LRCalc;0092;0010} + {LRCalc;0093;0010} + {LRCalc;0101;0010} + {LRCalc;0102;0010} + {LRCalc;0103;0010} + {LRCalc;0104;0010} + {LRCalc;0110;0010} + {LRCalc;0120;0010} + {LRCalc;0130;0010} + {LRCalc;0140;0010}.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Kus kogu riskipositsiooni näitaja on võrdne järgnevaga: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Tinglik koguväärtus, millele tuletisinstrumendid viitavad = {LR1;0010;0070}. Selle andmevälja peavad krediidiasutused ja investeerimisühingud aruandes alati täitma.</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Krediidituletisinstrumentide maht = {LR1;0020;0070} + {LR1;0050;0070}. Need andmeväljad peavad krediidiasutused ja investeerimisühingud aruandes alati täitma.</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Krediidiasutused ja investeerimisühingud peavad täitma punktis 13 osutatud andmeväljad juhul, kui täidetud on vähemalt üks järgmine tingimus:</w:t>
      </w:r>
    </w:p>
    <w:p w14:paraId="2564CD75" w14:textId="5791695A" w:rsidR="00F4754B" w:rsidRPr="000B66BC" w:rsidRDefault="007A001B" w:rsidP="009339D1">
      <w:pPr>
        <w:pStyle w:val="InstructionsText2"/>
        <w:numPr>
          <w:ilvl w:val="0"/>
          <w:numId w:val="39"/>
        </w:numPr>
        <w:rPr>
          <w:rFonts w:eastAsia="Times New Roman"/>
          <w:bCs/>
          <w:sz w:val="24"/>
        </w:rPr>
      </w:pPr>
      <w:r>
        <w:rPr>
          <w:bCs/>
          <w:sz w:val="24"/>
        </w:rPr>
        <w:t>punktis 5 osutatud tuletisinstrumentide osakaal on üle 1,5</w:t>
      </w:r>
      <w:r w:rsidR="00DC4BAF">
        <w:rPr>
          <w:bCs/>
          <w:sz w:val="24"/>
        </w:rPr>
        <w:t> %</w:t>
      </w:r>
      <w:r>
        <w:rPr>
          <w:bCs/>
          <w:sz w:val="24"/>
        </w:rPr>
        <w:t>;</w:t>
      </w:r>
    </w:p>
    <w:p w14:paraId="272AC9A9" w14:textId="52DE7DA2" w:rsidR="00675587" w:rsidRPr="000B66BC" w:rsidRDefault="007A001B" w:rsidP="009339D1">
      <w:pPr>
        <w:pStyle w:val="InstructionsText2"/>
        <w:numPr>
          <w:ilvl w:val="0"/>
          <w:numId w:val="39"/>
        </w:numPr>
        <w:rPr>
          <w:rFonts w:eastAsia="Times New Roman"/>
          <w:bCs/>
          <w:sz w:val="24"/>
        </w:rPr>
      </w:pPr>
      <w:r>
        <w:rPr>
          <w:bCs/>
          <w:sz w:val="24"/>
        </w:rPr>
        <w:t>punktis 5 osutatud tuletisinstrumentide osakaal on üle 2,0</w:t>
      </w:r>
      <w:r w:rsidR="00DC4BAF">
        <w:rPr>
          <w:bCs/>
          <w:sz w:val="24"/>
        </w:rPr>
        <w:t> %</w:t>
      </w:r>
      <w:r>
        <w:rPr>
          <w:bCs/>
          <w:sz w:val="24"/>
        </w:rPr>
        <w:t>.</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Kohaldatakse käesoleva määruse artiklis 4 sätestatud sisenemis- ja väljumiskriteeriume (v.a punkt b, mille puhul alustavad krediidiasutused ja investeerimisühingud teabe esitamist järgmisest aruandekuupäevast, juhul kui nad on aruandekuupäeval läve ületanud).</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11.</w:t>
      </w:r>
      <w:r>
        <w:tab/>
      </w:r>
      <w:r>
        <w:rPr>
          <w:rFonts w:ascii="Times New Roman" w:hAnsi="Times New Roman"/>
          <w:sz w:val="24"/>
          <w:szCs w:val="24"/>
        </w:rPr>
        <w:t>Krediidiasutused ja investeerimisühingud, kelle puhul punktis 8 määratletud tinglik koguväärtus, millele tuletisinstrumendid viitavad, ületab 10 miljardit eurot, peavad täitma punktis 13 osutatud andmeväljad ka juhul, kui nende tuletisinstrumentide osakaal ei vasta punktis 10 kirjeldatud tingimustele.</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Käesoleva määruse artiklis 4 sätestatud sisenemiskriteeriume ei kohaldata punktile 4. Krediidiasutused ja investeerimisühingud alustavad teabe esitamist järgmisest aruandekuupäevast, juhul kui nad on aruandekuupäeval läve ületanud.</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Krediidiasutused ja investeerimisühingud peavad täitma punktis 14 osutatud andmeväljad juhul, kui täidetud on vähemalt üks järgmine tingimus:</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punktis 9 osutatud krediidituletisinstrumentide maht on üle 300 miljoni euro;</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punktis 9 osutatud krediidituletisinstrumentide maht on üle 500 miljoni euro.</w:t>
      </w:r>
    </w:p>
    <w:p w14:paraId="3B88084F" w14:textId="34241752" w:rsidR="00F4754B" w:rsidRPr="000B66BC" w:rsidRDefault="00242493" w:rsidP="000B66BC">
      <w:pPr>
        <w:pStyle w:val="InstructionsText2"/>
        <w:numPr>
          <w:ilvl w:val="0"/>
          <w:numId w:val="0"/>
        </w:numPr>
        <w:ind w:left="709" w:firstLine="11"/>
        <w:rPr>
          <w:sz w:val="24"/>
        </w:rPr>
      </w:pPr>
      <w:r>
        <w:rPr>
          <w:bCs/>
          <w:sz w:val="24"/>
        </w:rPr>
        <w:t>Kohaldatakse käesoleva määruse artiklis 4 sätestatud sisenemis- ja väljumiskriteeriume (v.a punkt b, mille puhul alustavad krediidiasutused ja investeerimisühingud teabe esitamist järgmisest aruandekuupäevast, juhul kui nad on aruandekuupäeval läve ületanud).</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Punktide 10 ja 11 kohaselt peavad krediidiasutused ja investeerimisühingud täitma järgmised aruande andmeväljad: {LR1;0010;0010}, {LR1;0010;0020}, {LR1;0020;0010}, {LR1;0020;0020}, {LR1;0030;0070}, {LR1;0040;0070}, {LR1;0050;0010}, {LR1;0050;0020}, {LR1;0060;0010}, {LR1;0060;0020}, ja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Punkti 12 kohaselt peavad krediidiasutused ja investeerimisühingud täitma järgmised aruande andmeväljad: {LR1;0020;0075}, {LR1;0050;0075} ja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585532"/>
      <w:bookmarkStart w:id="50" w:name="_Toc322687879"/>
      <w:bookmarkStart w:id="51" w:name="_Toc315961853"/>
      <w:bookmarkEnd w:id="46"/>
      <w:r>
        <w:rPr>
          <w:rFonts w:ascii="Times New Roman" w:hAnsi="Times New Roman"/>
          <w:b/>
          <w:sz w:val="24"/>
          <w:szCs w:val="24"/>
        </w:rPr>
        <w:t>3.</w:t>
      </w:r>
      <w:r>
        <w:tab/>
      </w:r>
      <w:bookmarkStart w:id="52" w:name="_Toc351048506"/>
      <w:r>
        <w:rPr>
          <w:rFonts w:ascii="Times New Roman" w:hAnsi="Times New Roman"/>
          <w:b/>
          <w:sz w:val="24"/>
          <w:szCs w:val="24"/>
        </w:rPr>
        <w:t>C 47.00 – Finantsvõimenduse määra arvutamine</w:t>
      </w:r>
      <w:bookmarkEnd w:id="52"/>
      <w:bookmarkEnd w:id="47"/>
      <w:r>
        <w:rPr>
          <w:rFonts w:ascii="Times New Roman" w:hAnsi="Times New Roman"/>
          <w:b/>
          <w:sz w:val="24"/>
          <w:szCs w:val="24"/>
        </w:rPr>
        <w:t xml:space="preserve"> (LRCalc)</w:t>
      </w:r>
      <w:bookmarkEnd w:id="48"/>
      <w:bookmarkEnd w:id="49"/>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Aruandevormi sellesse ossa koondatakse andmed, mis on vajalikud kapitalinõuete määruse VII osas määratletud finantsvõimenduse määra arvutamiseks.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Krediidiasutused ja investeerimisühingud esitavad finantsvõimenduse määra kohta aruandeid kord kvartalis. Igas kvartalis viitab aruandekuupäeva väärtus vastava kvartali kolmanda kuu viimase kalendripäeva väärtusele.</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Krediidiasutused ja investeerimisühingud esitavad kirjed riskipositsiooni väärtuse jaotises käesoleva lisa I osa 9. punkti kohaselt plussmärgiga (v.a {LRCalc;0270;0010} ja {LRCalc;0280;0010}), nagu käesoleva lisa I osa 9. punkti kohaselt miinusmärgiga esitatavaid kirjeid (nt erandid/mahaarvamised) ei kohaldataks.</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Iga summa, mis suurendab omavahendite summat või finantsvõimenduse määra riskipositsiooni väärtust, kajastatakse aruandes positiivse arvuna. Seevastu iga summa, mis vähendab omavahendite kogusummat või finantsvõimenduse määra riskipositsiooni väärtust, kajastatakse aruandes negatiivse arvuna. Kui kirje nimetuse ees on miinusmärk (−), ei esitata kõnealuse kirje puhul positiivset arvu.</w:t>
      </w:r>
    </w:p>
    <w:p w14:paraId="69E62B50" w14:textId="574B1279" w:rsidR="00EC3422" w:rsidRPr="000B66BC" w:rsidRDefault="006A4991" w:rsidP="009339D1">
      <w:pPr>
        <w:pStyle w:val="InstructionsText2"/>
        <w:numPr>
          <w:ilvl w:val="0"/>
          <w:numId w:val="0"/>
        </w:numPr>
        <w:ind w:left="720" w:hanging="360"/>
        <w:rPr>
          <w:sz w:val="24"/>
        </w:rPr>
      </w:pPr>
      <w:r>
        <w:rPr>
          <w:sz w:val="24"/>
        </w:rPr>
        <w:lastRenderedPageBreak/>
        <w:t>19.</w:t>
      </w:r>
      <w:r w:rsidR="00D536D6">
        <w:rPr>
          <w:sz w:val="24"/>
        </w:rPr>
        <w:t xml:space="preserve"> </w:t>
      </w:r>
      <w:r>
        <w:rPr>
          <w:sz w:val="24"/>
        </w:rPr>
        <w:t>Kui summale võiks kohaldada mahaarvamist mitmel alusel, lahutatakse see summa ainult vormi C47.00 ühe rea riskipositsioonist.</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Viited õigussätetele ja juhised</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Rida ja veerg</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Riskipositsiooni väärtused</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Väärtpaberite kaudu finantseerimise tehingud: riskipositsiooni väärtus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Kapitalinõuete määruse artikli 429b lõike 1 punkt b ning lõiked 4 ja 5</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Väärtpaberite kaudu finantseerimise tehingute riskipositsioon arvutatakse kapitalinõuete määruse artikli 429b lõike 1 punkti b ning lõigete 4 ja 5 kohaselt.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sellel andmeväljal tehinguid arvesse kapitalinõuete määruse artikli 429e lõike 7 punkti c kohaselt.</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ei kajasta sellel andmeväljal saadavat raha ega väärtpabereid, mis antakse vastaspoolele eespool nimetatud tehingute kaudu ning mille bilansis kajastamist jätkatakse (st mille puhul raamatupidamisarvestuses kajastamise lõpetamise kriteeriumid ei ole täidetud). Krediidiasutused ja investeerimisühingud kajastavad neid kirjeid andmeväljal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Krediidiasutused ja investeerimisühingud ei kajasta sellel andmeväljal vahendatud väärtpaberite kaudu finantseerimise tehinguid, mille puhul krediidiasutus või investeerimisühing pakub kliendile või vastaspoolele kahjuhüvitist või garantiid, mis piirdub kliendi poolt laenuksantud väärtpaberi või raha väärtuse ja laenuvõtja antud tagatise väärtuse vahelise erinevusega, nagu on sätestatud kapitalinõuete määruse artikli 429e lõike 7 punktis a.</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tehingud: vastaspoole krediidiriski lisand</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429e lõige 1</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Väärtpaberite kaudu finantseerimise tehingute (sh bilansivälised tehingud) vastaspoole krediidiriski lisand, mis tehakse kindlaks kapitalinõuete määruse artikli 429e lõigete 2 või 3 ja lõike 4 kohaselt, nagu on asjakohane.</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sellel andmeväljal tehinguid arvesse kapitalinõuete määruse artikli 429e lõike 7 punkti c kohaselt.</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Krediidiasutused ja investeerimisühingud ei kajasta sellel andmeväljal vahendatud väärtpaberite kaudu finantseerimise tehinguid, mille puhul </w:t>
            </w:r>
            <w:r>
              <w:rPr>
                <w:rFonts w:ascii="Times New Roman" w:hAnsi="Times New Roman"/>
                <w:bCs/>
                <w:sz w:val="24"/>
                <w:szCs w:val="24"/>
              </w:rPr>
              <w:lastRenderedPageBreak/>
              <w:t>krediidiasutus või investeerimisühing pakub kliendile või vastaspoolele kahjuhüvitist või garantiid, mis piirdub kliendi poolt laenuksantud väärtpaberi või raha väärtuse ja laenuvõtja antud tagatise väärtuse vahelise erinevusega, nagu on sätestatud kapitalinõuete määruse artikli 429e lõike 7 punktis a. Krediidiasutused ja investeerimisühingud kajastavad neid kirjeid andmeväljal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tehingute suhtes kohaldatav erand: lisand vastavalt kapitalinõuete määruse artikli 429e lõikele 5 ja artiklile 222</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429e lõige 5 ja artikkel 222</w:t>
            </w:r>
          </w:p>
          <w:p w14:paraId="738B5B54" w14:textId="30BDE3A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Väärtpaberite kaudu finantseerimise tehingute (sh bilansivälised tehingud) riskipositsiooni väärtus, mis on arvutatud kapitalinõuete määruse artikli 222 kohaselt ja mille puhul kohaldatakse riskikaalu alampiiri 20</w:t>
            </w:r>
            <w:r w:rsidR="00DC4BAF">
              <w:rPr>
                <w:rFonts w:ascii="Times New Roman" w:hAnsi="Times New Roman"/>
                <w:bCs/>
                <w:sz w:val="24"/>
                <w:szCs w:val="24"/>
              </w:rPr>
              <w:t> %</w:t>
            </w:r>
            <w:r>
              <w:rPr>
                <w:rFonts w:ascii="Times New Roman" w:hAnsi="Times New Roman"/>
                <w:bCs/>
                <w:sz w:val="24"/>
                <w:szCs w:val="24"/>
              </w:rPr>
              <w:t xml:space="preserve">.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sellel andmeväljal tehinguid arvesse kapitalinõuete määruse artikli 429e lõike 7 punkti c kohaselt.</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ei võta sellel andmeväljal arvesse tehinguid, mille puhul finantsvõimenduse määra riskipositsiooni väärtuse lisand tehakse kindlaks kapitalinõuete määruse artikli 429e lõikes 1 sätestatud meetodil.</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0527BAC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Väärtpaberite kaudu finantseerimise vahendusteh</w:t>
            </w:r>
            <w:r w:rsidR="00DC4BAF">
              <w:rPr>
                <w:rFonts w:ascii="Times New Roman" w:hAnsi="Times New Roman"/>
                <w:b/>
                <w:bCs/>
                <w:sz w:val="24"/>
                <w:szCs w:val="24"/>
              </w:rPr>
              <w:t>ingute vastaspoole krediidirisk</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Kapitalinõuete määruse artikli 429e lõike 7 punkt a ning lõiked 2 ja 3</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Selliste vahendatud väärtpaberite kaudu finantseerimise tehingute riskipositsiooni väärtus, mille puhul krediidiasutus või investeerimisühing pakub kliendile või vastaspoolele kahjuhüvitist või garantiid, mis piirdub kliendi poolt laenuksantud väärtpaberi või raha väärtuse ja laenuvõtja antud tagatise väärtuse vahelise erinevusega (nagu on sätestatud kapitalinõuete määruse artikli 429e lõike 7 punktis a), koosneb üksnes lisandist, mis on kindlaks tehtud kapitalinõuete määruse artikli 429e lõike 2 või 3 kohaselt, nagu on asjakohane.</w:t>
            </w:r>
          </w:p>
          <w:p w14:paraId="138E8801" w14:textId="49A777A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ei kajasta</w:t>
            </w:r>
            <w:r w:rsidR="00D536D6">
              <w:rPr>
                <w:rFonts w:ascii="Times New Roman" w:hAnsi="Times New Roman"/>
                <w:bCs/>
                <w:sz w:val="24"/>
                <w:szCs w:val="24"/>
              </w:rPr>
              <w:t xml:space="preserve"> </w:t>
            </w:r>
            <w:r>
              <w:rPr>
                <w:rFonts w:ascii="Times New Roman" w:hAnsi="Times New Roman"/>
                <w:bCs/>
                <w:sz w:val="24"/>
                <w:szCs w:val="24"/>
              </w:rPr>
              <w:t>sellel andmeväljal tehinguid kapitalinõuete määruse artikli 429e lõike 7 punkti c kohaselt. Krediidiasutused ja investeerimisühingud kajastavad neid kirjeid andmeväljadel {0010;0010} ja {0020;0010} või {0010;0010} ja {0030;0010} (nagu asjakohane).</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Välja jäetud keskse vastaspoole pool maaklerkliiritavatest väärtpaberite kaudu finantseerimise tehingutest tulenevate riskipositsioonide puhul</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Kapitalinõuete määruse artikli 429a lõike 1 punkt g ja artikli 306 lõike 1 punkt c</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Välja jäetud keskse vastaspoole pool maaklerkliiritavatest väärtpaberite kaudu finantseerimise tehingutest tulenevate kauplemisriskipositsioonide puhul, tingimusel et asjaomased kirjed vastavad kapitalinõuete määruse artikli 306 lõike 1 punktis c sätestatud tingimustele.</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välja jäetud keskse vastaspoole pool on väärtpaber, ei võeta seda sellel andmeväljal arvesse, välja arvatud juhul, kui see on edasipanditud väärtpaber, mida kohaldatava raamatupidamistava kohaselt (st vastavalt kapitalinõuete määruse artikli 111 lõike 1 esimesele lausele) võetakse arvesse täies väärtuses.</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sellel andmeväljal esitatud summa ka andmeväljadel {0010;0010}, {0020;0010} ja {0030;0010}, nagu ei kohaldataks ühtegi erandit, ning kui tegu on edasipanditud väärtpaberiga, mida kohaldatava raamatupidamistava kohaselt võetakse arvesse täies väärtuses, ka andmeväljal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väärtpaberite kaudu finantseerimise tehingu välja jäetud poolega seoses andnud alustamise tagatise, mis on kajastatud andmeväljal {0190;0010}, aga mitte andmeväljal {0020;0010} ega {0030;0010}, võib krediidiasutus või investeerimisühing selle esitada käesoleval andmeväljal.</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E1FF42B"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Tuletisinstrumendid: vastaspoole krediidiriski standardmeetodi kohane asenduskulumakse (arvestamata tagatise mõju sõl</w:t>
            </w:r>
            <w:r w:rsidR="00DC4BAF">
              <w:rPr>
                <w:rFonts w:ascii="Times New Roman" w:hAnsi="Times New Roman"/>
                <w:b/>
                <w:bCs/>
                <w:sz w:val="24"/>
                <w:szCs w:val="24"/>
              </w:rPr>
              <w:t>tumatu tagatise netoväärtusele)</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1</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275 kohane asenduskulu ilma tagatise mõjuta sõltumatu tagatise netoväärtusele ja muutuvtagatise mõjuta. Selle andmevälja täitmisel ei kohalda krediidiasutused ja investeerimisühingud kapitalinõuete määruse artikli 429c lõigetes 3 ja 4 ning artikli 429a lõike 1 punktis g sätestatud erandeid. Summa esitatakse pärast 1,4 suuruse alfateguri kohaldamist, nagu sätestatud kapitalinõuete määruse artikli 274 lõikes 2.</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lõike 1 kohaselt võivad krediidiasutused ja investeerimisühingud võtta vastavalt nimetatud määruse artiklile 295 arvesse uuenduslepingute ja muude tasaarvestuskokkulepete mõju. Toodetevahelist tasaarvestust ei kohaldata. Krediidiasutused ja investeerimisühingud võivad siiski teha tasaarvestust kapitalinõuete määruse artikli 272 punkti 25 alapunktis c osutatud tootekategooria siseselt ja krediidituletisinstrumentide puhul, kui nende suhtes kohaldatakse nimetatud määruse artikli 295 punktis c osutatud lepingulist toodetevahelise tasaarvestuse kokkulepet.</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Krediidiasutused ja investeerimisühingud võtavad arvesse mitte ainult kauplemisportfelli kuuluvaid, vaid kõiki krediidituletisinstrumente.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Krediidiasutused ja investeerimisühingud ei kajasta sellel andmeväljal lepinguid, mida mõõdetakse lihtsustatud standardmeetodil või esmase riskipositsiooni meetodil.</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Mõju, mida avaldab nõuetele vastava keskse vastaspoole maaklerkliiritavatele tehingutele see, kui arvestatakse tagatise mõju sõltumatu tagatise netoväärtusele (vastaspoole krediidiriski standardmeetod – asenduskulu)</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4</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lõike 4 kohase erandi kohaldamine klientidega sõlmitud tuletislepingute asenduskulu arvutamisele, kui need lepingud kliirib nõuetele vastav keskne vastaspool. Summa esitatakse pärast 1,4 suuruse alfateguri kohaldamist, nagu sätestatud kapitalinõuete määruse artikli 274 lõikes 2.</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sellel andmeväljal esitatud summa ka andmeväljal {0061;0010}, nagu erandit ei kohaldataks.</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Tuletisinstrumentide turuväärtusega tasaarvestatud saadud aktsepteeritud rahalise muutuvtagatise mõju (vastaspoole krediidiriski standardmeetod – asenduskulu)</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3</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Selliselt vastaspoolelt saadud rahaline muutuvtagatis, kelle puhul aktsepteeritakse tasaarvestamist tuletisinstrumentide riskipositsiooni asenduskulu osa suhtes kapitalinõuete määruse artikli 429c lõike 3 kohaselt. Summa esitatakse pärast 1,4 suuruse alfateguri kohaldamist, nagu sätestatud kapitalinõuete määruse artikli 274 lõikes 2.</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Sellel andmeväljal ei võeta arvesse mingit rahalist muutuvtagatist, mis on saadud seoses välja jäetud keskse vastaspoole poolega kapitalinõuete määruse artikli 429a lõike 1 punkti g kohaselt.</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sellel andmeväljal esitatud summa ka andmeväljal {0061;0010}, nagu rahalise muutuvtagatise mahaarvamist ei kohaldataks.</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Maaklerkliiritavate kauplemisriskipositsioonidega seotud välja jäetud keskse vastaspoole poole mõju (vastaspoole krediidiriski standardmeetod – asenduskulu)</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Nõuetele vastava keskse vastaspoole kaudu maaklerkliiritavatest tuletistehingutest tulenev välja jäetud kauplemisriskipositsioonide </w:t>
            </w:r>
            <w:r>
              <w:rPr>
                <w:rFonts w:ascii="Times New Roman" w:hAnsi="Times New Roman"/>
                <w:bCs/>
                <w:sz w:val="24"/>
                <w:szCs w:val="24"/>
              </w:rPr>
              <w:lastRenderedPageBreak/>
              <w:t>asenduskulu osa, tingimusel et need kirjed vastavad kapitalinõuete määruse artikli 306 lõike 1 punktis c sätestatud tingimustele. See summa esitatakse enne rahalise muutuvtagatise mahaarvamist, mis selle poolega seoses saadi. Summa esitatakse pärast 1,4 suuruse alfateguri kohaldamist, nagu sätestatud kapitalinõuete määruse artikli 274 lõikes 2.</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sellel andmeväljal esitatud summa ka andmeväljal {0061;0010}, nagu erandit ei kohaldataks.</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Tuletisinstrumendid: võimaliku tulevase riskipositsiooni makse vastaspoole krediidiriski standardmeetodi kohaselt (kordaja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5</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Kapitalinõuete määruses artiklis 278 sätestatud võimalik tulevane riskipositsioon kordajaga 1 (kohaldamata nõuetele vastava keskse vastaspoole kliiritavate lepingute erandit, mis on sätestatud sama määruse artikli 429c lõikes 5). Summa esitatakse pärast 1,4 suuruse alfateguri kohaldamist, nagu sätestatud kapitalinõuete määruse artikli 274 lõikes 2.</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Nõuetele vastava keskse vastaspoole maaklerkliiritavate tehingute madalama kordaja mõju võimaliku tulevase riskipositsiooni maksele (vastaspoole krediidiriski standardmeetod – võimalik tulevane riskipositsioon)</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5</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lõike 5 kohase erandi kohaldamine klientidega sõlmitud tuletislepingute võimaliku tulevase riskipositsiooni arvutamisele, kui need lepingud kliirib nõuetele vastav keskne vastaspool. Summa esitatakse pärast 1,4 suuruse alfateguri kohaldamist, nagu sätestatud kapitalinõuete määruse artikli 274 lõikes 2.</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sellel andmeväljal esitatud summa ka andmeväljal {0091:0010}, nagu erandit ei kohaldataks.</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Maaklerkliiritavate kauplemisriskipositsioonidega seotud välja jäetud keskse vastaspoole poole mõju (vastaspoole krediidiriski standardmeetod – võimalik tulevane riskipositsioon)</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Nõuetele vastava keskse vastaspoole kaudu maaklerkliiritavatest tuletistehingutest tulenev välja jäetud kauplemisriskipositsioonide võimalik tulevane riskipositsioon, tingimusel et need kirjed vastavad kapitalinõuete määruse artikli 306 lõike 1 punktis c sätestatud tingimustele. Summa esitatakse pärast 1,4 suuruse alfateguri kohaldamist, nagu sätestatud kapitalinõuete määruse artikli 274 lõikes 2.</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Krediidiasutused ja investeerimisühingud kajastavad sellel andmeväljal esitatud summa ka andmeväljal {0091;0010}, nagu erandit ei kohaldataks.</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Tuletisinstrumentide suhtes kohaldatav erand: asenduskulude makse lihtsustatud standardmeetodi kohaselt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6 ja artikkel 281</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Sellel andmeväljal kajastatakse kapitalinõuete määruse II lisa punktides 1 ja 2 loetletud lepingute riskipositsiooni näitajat, mis on arvutatud sama määruse artiklis 281 sätestatud lihtsustatud standardmeetodi kohaselt. Summa esitatakse pärast 1,4 suuruse alfateguri kohaldamist, nagu sätestatud kapitalinõuete määruse artikli 274 lõikes 2.</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Lihtsustatud standardmeetodit kasutavad krediidiasutused ja investeerimisühingud ei vähenda riskipositsiooni kogunäitajat saadud võimendustagatise summa võrra (kapitalinõuete määruse artikli 429c lõige 6). Seega ei kohaldata kapitalinõuete määruse artikli 429c lõikes 4 sätestatud erandit, mis on mõeldud klientidega sõlmitud tuletislepingutele, mida kliirib nõuetele vastav keskne vastaspool.</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ei kajasta sellel andmeväljal lepinguid, mida mõõdetakse vastaspoole krediidiriski standardmeetodil või esmase riskipositsiooni meetodil.</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Maaklerkliiritavate kauplemisriskipositsioonidega seotud välja jäetud keskse vastaspoole poole mõju (lihtsustatud standardmeetod – asenduskulud)</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Nõuetele vastava keskse vastaspoole kaudu maaklerkliiritavatest tuletistehingutest tulenev välja jäetud kauplemisriskipositsioonide asenduskulu osa, tingimusel et need kirjed vastavad kapitalinõuete määruse artikli 306 lõike 1 punktis c sätestatud tingimustele. See summa esitatakse enne rahalise muutuvtagatise mahaarvamist, mis selle poolega seoses saadi. Summa esitatakse pärast 1,4 suuruse alfateguri kohaldamist, nagu sätestatud kapitalinõuete määruse artikli 274 lõikes 2.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sellel andmeväljal esitatud summa ka andmeväljal {0101;0010}, nagu erandit ei kohaldataks.</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Tuletisinstrumentide suhtes kohaldatav erand: võimaliku tulevase riskipositsiooni makse lihtsustatud standardmeetod kohaselt (kordaja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Kapitalinõuete määruse artikli 281 lõike 2 punkt f ja artikli 429c lõige 6</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 xml:space="preserve">Võimalik tulevane riskipositsioon vastavalt kapitalinõuete määruse artiklis 281 sätestatud lihtsustatud standardmeetodile, kasutades kordajana 1. Summa </w:t>
            </w:r>
            <w:r>
              <w:rPr>
                <w:rFonts w:ascii="Times New Roman" w:hAnsi="Times New Roman"/>
                <w:bCs/>
                <w:sz w:val="24"/>
                <w:szCs w:val="24"/>
              </w:rPr>
              <w:lastRenderedPageBreak/>
              <w:t>esitatakse pärast 1,4 suuruse alfateguri kohaldamist, nagu sätestatud kapitalinõuete määruse artikli 274 lõikes 2.</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Lihtsustatud standardmeetodit kasutavad krediidiasutused ja investeerimisühingud ei vähenda riskipositsiooni kogunäitajat saadud võimendustagatise summa võrra (kapitalinõuete määruse artikli 429c lõige 6).</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Maaklerkliiritavate kauplemisriskipositsioonidega seotud välja jäetud keskse vastaspoole poole mõju (lihtsustatud standardmeetod – võimalik tulevane riskipositsioon)</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Nõuetele vastava keskse vastaspoole kaudu maaklerkliiritavatest tuletistehingutest tulenev välja jäetud kauplemisriskipositsioonide võimalik tulevane riskipositsioon, tingimusel et need kirjed vastavad kapitalinõuete määruse artikli 306 lõike 1 punktis c sätestatud tingimustele. Summa esitatakse pärast 1,4 suuruse alfateguri kohaldamist, nagu sätestatud kapitalinõuete määruse artikli 274 lõikes 2.</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sellel andmeväljal esitatud summa ka andmeväljal {0103;0010}, nagu erandit ei kohaldataks.</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Tuletisinstrumentide suhtes kohaldatav erand: esmase riskipositsiooni meetod</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6 ja artikkel 282</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Sellel andmeväljal kajastatakse kapitalinõuete määruse II lisa punktides 1 ja 2 loetletud lepingute riskipositsiooni näitaja, mis on arvutatud sama määruse artiklis 282 sätestatud esmase riskipositsiooni meetodi kohaselt.</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Esmase riskipositsiooni meetodit kasutavad krediidiasutused ja investeerimisühingud ei vähenda riskipositsiooni kogunäitajat saadud võimendustagatise summa võrra (kapitalinõuete määruse artikli 429c lõige 6).</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kes ei kasuta esmase riskipositsiooni meetodit, ei täida seda andmevälja.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Krediidiasutused ja investeerimisühingud ei kajasta sellel andmeväljal lepinguid, mida mõõdetakse vastaspoole krediidiriski standardmeetodil või lihtsustatud standardmeetodil.</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Välja jäetud keskse vastaspoole pool maaklerkliiritavate kauplemisriskipositsioonide puhul (esmase riskipositsiooni meetod)</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Välja jäetud keskse vastaspoole pool maaklerkliiritavate kauplemisriskipositsioonide puhul, kui kohaldatakse kapitalinõuete määruse artiklis 282 sätestatud esmase riskipositsiooni meetodit, tingimusel et asjaomased kirjed vastavad kapitalinõuete määruse artikli 306 lõike 1 punktis c sätestatud tingimustele.</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sellel andmeväljal esitatud summa ka andmeväljal {0110;0010}, nagu erandit ei kohaldataks.</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Väljakirjutatud krediidituletisinstrumentide tinglik ülemväärtus</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429d</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teevad kindlaks väljakirjutatud krediidituletisinstrumentide (määratlus kapitalinõuete määruse artikli 429d lõikes 1) tingliku ülemväärtuse, järgides nimetatud artiklit.</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Väljakirjutatud krediidituletisinstrumentide suhtes tasaarvestatud aktsepteeritavad ostetud krediidituletisinstrumendid</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429d</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Selliste ostetud krediidituletisinstrumentide tinglik ülemväärtus, kui krediidiasutus või investeerimisühing ostab vastaspoolelt krediidiriski kaitset, mille aluseks olev üksus on sama nagu krediidiasutuse või investeerimisühingu väljakirjutatud krediidituletisinstrumentidel, ning kui selle ostetud kaitse järelejäänud lõpptähtaeg on müüdud krediidiriski kaitse järelejäänud lõpptähtajaga võrdne või sellest pikem. Seega ei tohi väärtus olla iga aluseks oleva üksuse puhul suurem kui andmeväljal {0130;0010} esitatud väärtus.</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62E637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10</w:t>
            </w:r>
            <w:r w:rsidR="00DC4BAF">
              <w:rPr>
                <w:rFonts w:ascii="Times New Roman" w:hAnsi="Times New Roman"/>
                <w:b/>
                <w:bCs/>
                <w:sz w:val="24"/>
                <w:szCs w:val="24"/>
              </w:rPr>
              <w:t> %</w:t>
            </w:r>
            <w:r>
              <w:rPr>
                <w:rFonts w:ascii="Times New Roman" w:hAnsi="Times New Roman"/>
                <w:b/>
                <w:bCs/>
                <w:sz w:val="24"/>
                <w:szCs w:val="24"/>
              </w:rPr>
              <w:t xml:space="preserve"> ümberhindlusteguriga bilansivälised kirjed vastavalt kapitalinõuete määruse artiklile 429f</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429f, artikli 111 lõike 1 punkt d ja artikli 166 lõige 9</w:t>
            </w:r>
          </w:p>
          <w:p w14:paraId="6707D5C8" w14:textId="352B1265"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Kapitalinõuete määruse I lisa punkti 4 alapunktides a–c osutatud selliste madala riskiga bilansiväliste kirjete kapitalinõuete määruse artikli 429f ja artikli 111 lõike 1 punkti d kohane riskipositsiooni väärtus, millele määrataks 0</w:t>
            </w:r>
            <w:r w:rsidR="00DC4BAF">
              <w:rPr>
                <w:rFonts w:ascii="Times New Roman" w:hAnsi="Times New Roman"/>
                <w:sz w:val="24"/>
                <w:szCs w:val="24"/>
              </w:rPr>
              <w:t> %</w:t>
            </w:r>
            <w:r>
              <w:rPr>
                <w:rFonts w:ascii="Times New Roman" w:hAnsi="Times New Roman"/>
                <w:sz w:val="24"/>
                <w:szCs w:val="24"/>
              </w:rPr>
              <w:t xml:space="preserve"> ümberhindlustegur (riskipositsiooni väärtus on siin 10</w:t>
            </w:r>
            <w:r w:rsidR="00DC4BAF">
              <w:rPr>
                <w:rFonts w:ascii="Times New Roman" w:hAnsi="Times New Roman"/>
                <w:sz w:val="24"/>
                <w:szCs w:val="24"/>
              </w:rPr>
              <w:t> %</w:t>
            </w:r>
            <w:r>
              <w:rPr>
                <w:rFonts w:ascii="Times New Roman" w:hAnsi="Times New Roman"/>
                <w:sz w:val="24"/>
                <w:szCs w:val="24"/>
              </w:rPr>
              <w:t xml:space="preserve"> nimiväärtusest).See tähendab siduvaid kohustusi, mille krediidiasutus või investeerimisühing võib igal ajal etteteatamiseta ja tingimusteta tühistada või mille puhul on laenuvõtja krediidivõimelisuse halvenemise korral ette nähtud automaatne tühistamine.</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Spetsiifilised krediidiriskiga korrigeerimised ei vähenda nimiväärtust.</w:t>
            </w:r>
            <w:r>
              <w:rPr>
                <w:sz w:val="24"/>
                <w:szCs w:val="24"/>
              </w:rPr>
              <w:t xml:space="preserve"> </w:t>
            </w:r>
            <w:r>
              <w:rPr>
                <w:rFonts w:ascii="Times New Roman" w:hAnsi="Times New Roman"/>
                <w:bCs/>
                <w:sz w:val="24"/>
                <w:szCs w:val="24"/>
              </w:rPr>
              <w:t xml:space="preserve">Selle asemel võivad krediidiasutused ja investeerimisühingud kapitalinõuete määruse artikli 429f lõike 2 kohaselt vähendada bilansivälise kirje krediidiriski positsiooniga samaväärset summat spetsiifiliste krediidiriskiga </w:t>
            </w:r>
            <w:r>
              <w:rPr>
                <w:rFonts w:ascii="Times New Roman" w:hAnsi="Times New Roman"/>
                <w:bCs/>
                <w:sz w:val="24"/>
                <w:szCs w:val="24"/>
              </w:rPr>
              <w:lastRenderedPageBreak/>
              <w:t>korrigeerimiste vastava summa võrra. Arvutamisel kasutatakse alammäärana nulli.</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siduv kohustus on seotud teise siduva kohustuse pikendamisega, kasutatakse kooskõlas kapitalinõuete määruse artikli 166 lõikega 9 neist kahest siduvast kohustusest selle ümberhindlustegurit, mis on väiksem.</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Järgides kapitalinõuete määruse artiklit 429f, ei võta krediidiasutused ja investeerimisühingud sellel andmeväljal arvesse nimetatud määruse II lisas loetletud lepinguid, krediidituletisinstrumente, väärtpaberite kaudu finantseerimise tehinguid ja sama määruse artiklis 429d mainitud positsioone.</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{0160;0010}</w:t>
            </w:r>
          </w:p>
        </w:tc>
        <w:tc>
          <w:tcPr>
            <w:tcW w:w="7590" w:type="dxa"/>
            <w:gridSpan w:val="3"/>
          </w:tcPr>
          <w:p w14:paraId="079FCB69" w14:textId="145BE6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20</w:t>
            </w:r>
            <w:r w:rsidR="00DC4BAF">
              <w:rPr>
                <w:rFonts w:ascii="Times New Roman" w:hAnsi="Times New Roman"/>
                <w:b/>
                <w:bCs/>
                <w:sz w:val="24"/>
                <w:szCs w:val="24"/>
              </w:rPr>
              <w:t> %</w:t>
            </w:r>
            <w:r>
              <w:rPr>
                <w:rFonts w:ascii="Times New Roman" w:hAnsi="Times New Roman"/>
                <w:b/>
                <w:bCs/>
                <w:sz w:val="24"/>
                <w:szCs w:val="24"/>
              </w:rPr>
              <w:t xml:space="preserve"> ümberhindlusteguriga bilansivälised kirjed vastavalt kapitalinõuete määruse artiklile 429f</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429f, artikli 111 lõike 1 punkt c ja artikli 166 lõige 9</w:t>
            </w:r>
          </w:p>
          <w:p w14:paraId="4A175A4A" w14:textId="6A02ECA7" w:rsidR="00494A67" w:rsidRPr="000B66BC" w:rsidRDefault="00CB48CC" w:rsidP="000B66BC">
            <w:pPr>
              <w:pStyle w:val="BodyText1"/>
              <w:spacing w:after="240" w:line="240" w:lineRule="auto"/>
              <w:rPr>
                <w:sz w:val="24"/>
                <w:szCs w:val="24"/>
              </w:rPr>
            </w:pPr>
            <w:r>
              <w:rPr>
                <w:rFonts w:ascii="Times New Roman" w:hAnsi="Times New Roman"/>
                <w:sz w:val="24"/>
                <w:szCs w:val="24"/>
              </w:rPr>
              <w:t>Kapitalinõuete määruse I lisa punkti 3 alapunktides a ja b osutatud selliste mõõduka riskiga bilansiväliste kirjete kapitalinõuete määruse artikli 429f ja artikli 111 lõike 1 punkti c kohane riskipositsiooni väärtus, millele määrataks 20</w:t>
            </w:r>
            <w:r w:rsidR="00DC4BAF">
              <w:rPr>
                <w:rFonts w:ascii="Times New Roman" w:hAnsi="Times New Roman"/>
                <w:sz w:val="24"/>
                <w:szCs w:val="24"/>
              </w:rPr>
              <w:t> %</w:t>
            </w:r>
            <w:r>
              <w:rPr>
                <w:rFonts w:ascii="Times New Roman" w:hAnsi="Times New Roman"/>
                <w:sz w:val="24"/>
                <w:szCs w:val="24"/>
              </w:rPr>
              <w:t xml:space="preserve"> ümberhindlustegur (riskipositsiooni väärtus on siin 20</w:t>
            </w:r>
            <w:r w:rsidR="00DC4BAF">
              <w:rPr>
                <w:rFonts w:ascii="Times New Roman" w:hAnsi="Times New Roman"/>
                <w:sz w:val="24"/>
                <w:szCs w:val="24"/>
              </w:rPr>
              <w:t> %</w:t>
            </w:r>
            <w:r>
              <w:rPr>
                <w:rFonts w:ascii="Times New Roman" w:hAnsi="Times New Roman"/>
                <w:sz w:val="24"/>
                <w:szCs w:val="24"/>
              </w:rPr>
              <w:t xml:space="preserve"> nimiväärtusest).</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Spetsiifilised krediidiriskiga korrigeerimised ei vähenda nimiväärtust. Selle asemel võivad krediidiasutused ja investeerimisühingud kapitalinõuete määruse artikli 429f lõike 2 kohaselt vähendada bilansivälise kirje krediidiriski positsiooniga samaväärset summat spetsiifiliste krediidiriskiga korrigeerimiste vastava summa võrra. Arvutamisel kasutatakse alammäärana nulli.</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siduv kohustus on seotud teise siduva kohustuse pikendamisega, kasutatakse kooskõlas kapitalinõuete määruse artikli 166 lõikega 9 neist kahest siduvast kohustusest selle ümberhindlustegurit, mis on väiksem.</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Järgides kapitalinõuete määruse artiklit 429f, ei võta krediidiasutused ja investeerimisühingud sellel andmeväljal arvesse nimetatud määruse II lisas loetletud lepinguid, krediidituletisinstrumente, väärtpaberite kaudu finantseerimise tehinguid ja sama määruse artiklis 429d mainitud positsioone.</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10FD29A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50</w:t>
            </w:r>
            <w:r w:rsidR="00DC4BAF">
              <w:rPr>
                <w:rFonts w:ascii="Times New Roman" w:hAnsi="Times New Roman"/>
                <w:b/>
                <w:bCs/>
                <w:sz w:val="24"/>
                <w:szCs w:val="24"/>
              </w:rPr>
              <w:t> %</w:t>
            </w:r>
            <w:r>
              <w:rPr>
                <w:rFonts w:ascii="Times New Roman" w:hAnsi="Times New Roman"/>
                <w:b/>
                <w:bCs/>
                <w:sz w:val="24"/>
                <w:szCs w:val="24"/>
              </w:rPr>
              <w:t xml:space="preserve"> ümberhindlusteguriga bilansivälised kirjed vastavalt kapitalinõuete määruse artiklile 429f</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429f, artikli 111 lõike 1 punkt b ja artikli 166 lõige 9</w:t>
            </w:r>
          </w:p>
          <w:p w14:paraId="54C0DA6B" w14:textId="1FD4285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Kapitalinõuete määruse I lisa punkti 2 alapunktides a ja b osutatud selliste keskmise riskiga bilansiväliste kirjete kapitalinõuete määruse artikli 429f ja artikli 111 lõike 1 punkti b kohane riskipositsiooni väärtus, millele määrataks </w:t>
            </w:r>
            <w:r>
              <w:rPr>
                <w:rFonts w:ascii="Times New Roman" w:hAnsi="Times New Roman"/>
                <w:sz w:val="24"/>
                <w:szCs w:val="24"/>
              </w:rPr>
              <w:lastRenderedPageBreak/>
              <w:t>krediidiriski suhtes kohaldatava standardmeetodi kohaselt 50</w:t>
            </w:r>
            <w:r w:rsidR="00DC4BAF">
              <w:rPr>
                <w:rFonts w:ascii="Times New Roman" w:hAnsi="Times New Roman"/>
                <w:sz w:val="24"/>
                <w:szCs w:val="24"/>
              </w:rPr>
              <w:t> %</w:t>
            </w:r>
            <w:r>
              <w:rPr>
                <w:rFonts w:ascii="Times New Roman" w:hAnsi="Times New Roman"/>
                <w:sz w:val="24"/>
                <w:szCs w:val="24"/>
              </w:rPr>
              <w:t xml:space="preserve"> ümberhindlustegur (riskipositsiooni väärtus on siin 50</w:t>
            </w:r>
            <w:r w:rsidR="00DC4BAF">
              <w:rPr>
                <w:rFonts w:ascii="Times New Roman" w:hAnsi="Times New Roman"/>
                <w:sz w:val="24"/>
                <w:szCs w:val="24"/>
              </w:rPr>
              <w:t> %</w:t>
            </w:r>
            <w:r>
              <w:rPr>
                <w:rFonts w:ascii="Times New Roman" w:hAnsi="Times New Roman"/>
                <w:sz w:val="24"/>
                <w:szCs w:val="24"/>
              </w:rPr>
              <w:t xml:space="preserve"> nimiväärtusest).</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Spetsiifilised krediidiriskiga korrigeerimised ei vähenda nimiväärtust. Selle asemel võivad krediidiasutused ja investeerimisühingud kapitalinõuete määruse artikli 429f lõike 2 kohaselt vähendada bilansivälise kirje krediidiriski positsiooniga samaväärset summat spetsiifiliste krediidiriskiga korrigeerimiste vastava summa võrra. Arvutamisel kasutatakse alammäärana nulli.</w:t>
            </w:r>
          </w:p>
          <w:p w14:paraId="116B0E4F" w14:textId="1F83D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andmeväli hõlmab likviidsuslimiite ja muid väärtpaberistamisega seotud kohustusi. See tähendab, et kõigi likviidsuslimiitide ümberhindlustegur on tähtajast olenemata kapitalinõuete määruse artikli 255 kohaselt 50</w:t>
            </w:r>
            <w:r w:rsidR="00DC4BAF">
              <w:rPr>
                <w:rFonts w:ascii="Times New Roman" w:hAnsi="Times New Roman"/>
                <w:bCs/>
                <w:sz w:val="24"/>
                <w:szCs w:val="24"/>
              </w:rPr>
              <w:t> %</w:t>
            </w:r>
            <w:r>
              <w:rPr>
                <w:rFonts w:ascii="Times New Roman" w:hAnsi="Times New Roman"/>
                <w:bCs/>
                <w:sz w:val="24"/>
                <w:szCs w:val="24"/>
              </w:rPr>
              <w:t>.</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siduv kohustus on seotud teise siduva kohustuse pikendamisega, kasutatakse kooskõlas kapitalinõuete määruse artikli 166 lõikega 9 neist kahest siduvast kohustusest selle ümberhindlustegurit, mis on väiksem.</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Järgides kapitalinõuete määruse artiklit 429f, ei võta krediidiasutused ja investeerimisühingud sellel andmeväljal arvesse nimetatud määruse II lisas loetletud lepinguid, krediidituletisinstrumente, väärtpaberite kaudu finantseerimise tehinguid ja sama määruse artiklis 429d mainitud positsioone.</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4E87304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100</w:t>
            </w:r>
            <w:r w:rsidR="00DC4BAF">
              <w:rPr>
                <w:rFonts w:ascii="Times New Roman" w:hAnsi="Times New Roman"/>
                <w:b/>
                <w:bCs/>
                <w:sz w:val="24"/>
                <w:szCs w:val="24"/>
              </w:rPr>
              <w:t> %</w:t>
            </w:r>
            <w:r>
              <w:rPr>
                <w:rFonts w:ascii="Times New Roman" w:hAnsi="Times New Roman"/>
                <w:b/>
                <w:bCs/>
                <w:sz w:val="24"/>
                <w:szCs w:val="24"/>
              </w:rPr>
              <w:t xml:space="preserve"> ümberhindlusteguriga bilansivälised kirjed vastavalt kapitalinõuete määruse artiklile 429f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artikkel 429f, artikli 111 lõike 1 punkt a ja artikli 166 lõige 9</w:t>
            </w:r>
          </w:p>
          <w:p w14:paraId="42AF30B9" w14:textId="079B2E24"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I lisa punkti 1 alapunktides a–k osutatud selliste suure riskiga bilansiväliste kirjete kapitalinõuete määruse artikli 429f ja artikli 111 lõike 1 punkti a kohane riskipositsiooni väärtus, millele määrataks 100</w:t>
            </w:r>
            <w:r w:rsidR="00DC4BAF">
              <w:rPr>
                <w:rFonts w:ascii="Times New Roman" w:hAnsi="Times New Roman"/>
                <w:bCs/>
                <w:sz w:val="24"/>
                <w:szCs w:val="24"/>
              </w:rPr>
              <w:t> %</w:t>
            </w:r>
            <w:r>
              <w:rPr>
                <w:rFonts w:ascii="Times New Roman" w:hAnsi="Times New Roman"/>
                <w:bCs/>
                <w:sz w:val="24"/>
                <w:szCs w:val="24"/>
              </w:rPr>
              <w:t xml:space="preserve"> ümberhindlustegur (riskipositsiooni väärtus on siin 100</w:t>
            </w:r>
            <w:r w:rsidR="00DC4BAF">
              <w:rPr>
                <w:rFonts w:ascii="Times New Roman" w:hAnsi="Times New Roman"/>
                <w:bCs/>
                <w:sz w:val="24"/>
                <w:szCs w:val="24"/>
              </w:rPr>
              <w:t> %</w:t>
            </w:r>
            <w:r>
              <w:rPr>
                <w:rFonts w:ascii="Times New Roman" w:hAnsi="Times New Roman"/>
                <w:bCs/>
                <w:sz w:val="24"/>
                <w:szCs w:val="24"/>
              </w:rPr>
              <w:t xml:space="preserve"> nimiväärtusest).</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Spetsiifilised krediidiriskiga korrigeerimised ei vähenda nimiväärtust. Selle asemel võivad krediidiasutused ja investeerimisühingud kapitalinõuete määruse artikli 429f lõike 2 kohaselt vähendada bilansivälise kirje krediidiriski positsiooniga samaväärset summat spetsiifiliste krediidiriskiga korrigeerimiste vastava summa võrra. Arvutamisel kasutatakse alammäärana nulli.</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andmeväli hõlmab likviidsuslimiite ja muid väärtpaberistamisega seotud kohustusi.</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siduv kohustus on seotud teise siduva kohustuse pikendamisega, kasutatakse kooskõlas kapitalinõuete määruse artikli 166 lõikega 9 neist kahest siduvast kohustusest selle ümberhindlustegurit, mis on väiksem.</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lastRenderedPageBreak/>
              <w:t>Järgides kapitalinõuete määruse artiklit 429f, ei võta krediidiasutused ja investeerimisühingud sellel andmeväljal arvesse nimetatud määruse II lisas loetletud lepinguid, krediidituletisinstrumente, väärtpaberite kaudu finantseerimise tehinguid ja sama määruse artiklis 429d mainitud positsioone.</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Bilansiväliste kirjete üldised krediidiriskiga korrigeerimised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Kapitalinõuete määruse artikli 429 lõige 4</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Artikli 429 lõike 4 punktis d nimetatud bilansivälistele kirjetele vastavate üldiste krediidiriskiga korrigeerimiste summa, mille krediidiasutused ja investeerimisühingud sama lõike viimase lõigu kohaselt maha arvavad.</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Seda summat ei tohi võtta ridadel {0150;0010}–{0180;0010} esitatavate bilansiväliste kirjete arvutamisel arvesse vähendusena.</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Tavapärastel tingimustel toimuvad arveldusootel ostutehingud: tehingupäevapõhise arvestuse kohane bilansiline väärtus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Kapitalinõuete määruse artikli 429g lõige 1</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Alljärgneva summa:</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arvelduspäevani varana bilanssi jäävate tavapärastel tingimustel toimuvate ostutehingutega seotud raha kooskõlas kapitalinõuete määruse artikli 429 lõike 4 punktiga a;</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arvelduspäevani varana bilanssi jäävate tavapärastel tingimustel toimuvate müügitehingutega seotud saadaolevad rahalised nõuded kooskõlas kapitalinõuete määratuse artikli 429 lõike 4 punktiga a. Selle summa saamiseks tuleb tasaarvestada tavapärastel tingimustel toimuvate arveldusootel müügitehingutega seotud saadaolevad rahalised nõuded ja tavapärastel tingimustel toimuvate arveldusootel ostutehingutega seotud makstaolevad rahalised nõuded, nagu lubatud kohaldatava raamatupidamistava järgi.</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Krediidiasutused ja investeerimisühingud, kes järgivad tehingupäevapõhist arvestust, esitavad eelnimetatud summa sellel andmeväljal, mitte real 0190 (muud varad), kuhu nad kannavad hoopis tavapärastel tingimustel toimuvate ostudega seotud väärtpaberid.</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Tavapärastel tingimustel toimuvad arveldusootel müügitehingud: tehingupäevapõhise arvestuse kohase tasaarvestuse tühistamine</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Kapitalinõuete määruse artikli 429g lõige 2</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Selle summa saamiseks tuleb tasaarvestada tavapärastel tingimustel toimuvate arveldusootel müügitehingutega seotud saadaolevad rahalised nõuded ja tavapärastel tingimustel toimuvate arveldusootel ostutehingutega </w:t>
            </w:r>
            <w:r>
              <w:rPr>
                <w:rFonts w:ascii="Times New Roman" w:hAnsi="Times New Roman"/>
                <w:bCs/>
                <w:color w:val="auto"/>
                <w:sz w:val="24"/>
                <w:szCs w:val="24"/>
              </w:rPr>
              <w:lastRenderedPageBreak/>
              <w:t>seotud makstaolevad rahalised nõuded, nagu lubatud kohaldatava raamatupidamistava järgi.</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Tavapärastel tingimustel toimuvad arveldusootel müügitehingud: kapitalinõuete määruse artikli 429g lõike 2 kohane tasaarvestus</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Kapitalinõuete määruse artikli 429g lõige 2</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Nende rahaliste nõuete ja makstaolevate rahaliste nõuete tasaarvestatud summa, mille puhul arveldatakse tavapärastel tingimustel toimuvad seotud ostu- ja müügitehingud meetodil „väärtpaberiülekanne makse vastu“, nagu on sätestatud kapitalinõuete määruse artikli 429g lõikes 2.</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Tavapärastel tingimustel toimuvad arveldusootel ostutehingud: võetud maksekohustuste täielik kajastamine arvelduspäevapõhise arvestuse alusel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Kapitalinõuete määruse artikli 429g lõige 3</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Krediidiasutuste ja investeerimisühingute puhul, kes kohaldatava raamatupidamistava kohaselt kasutavad tavapärastel tingimustel toimuvate arveldusootel ostu- ja müügitehingute korral arvelduspäevapõhist arvestust, selliste ostutehingutega seotud kulukohustuste täielik nimiväärtus.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Tavapärastel tingimustel toimuvate müügitehingutega seotud väärtpabereid kajastatakse real 0190 (muud varad).</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Tavapärastel tingimustel toimuvad arveldusootel ostutehingud: kapitalinõuete määruse artikli 429g lõike 3 kohane tasaarvestus maksekohustustega arvelduspäevapõhise arvestuse alusel</w:t>
            </w:r>
          </w:p>
          <w:p w14:paraId="0155689A" w14:textId="00C8BFF6"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Kapitalinõue</w:t>
            </w:r>
            <w:r w:rsidR="00DC4BAF">
              <w:rPr>
                <w:rFonts w:ascii="Times New Roman" w:hAnsi="Times New Roman"/>
                <w:bCs/>
                <w:sz w:val="24"/>
                <w:szCs w:val="24"/>
              </w:rPr>
              <w:t xml:space="preserve">te määruse artikli </w:t>
            </w:r>
            <w:proofErr w:type="spellStart"/>
            <w:r w:rsidR="00DC4BAF">
              <w:rPr>
                <w:rFonts w:ascii="Times New Roman" w:hAnsi="Times New Roman"/>
                <w:bCs/>
                <w:sz w:val="24"/>
                <w:szCs w:val="24"/>
              </w:rPr>
              <w:t>429g</w:t>
            </w:r>
            <w:proofErr w:type="spellEnd"/>
            <w:r w:rsidR="00DC4BAF">
              <w:rPr>
                <w:rFonts w:ascii="Times New Roman" w:hAnsi="Times New Roman"/>
                <w:bCs/>
                <w:sz w:val="24"/>
                <w:szCs w:val="24"/>
              </w:rPr>
              <w:t xml:space="preserve"> lõige 3</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Real 0188 esitatud summa see osa, mis on kapitalinõuete määruse artikli 429g lõike 3 kohaselt tasaarvestatud tavapärastel tingimustel toimuvate arveldusootel müügitehingutega seotud saadaolevate rahaliste nõuete nimiväärtusega.</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0BF65ADD" w:rsidR="00CB48CC" w:rsidRPr="000B66BC" w:rsidRDefault="00DC4BAF"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Muud varad</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Kapitalinõuete määruse artikli 429 lõike 4 punkt a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Kõik varad peale kapitalinõuete määruse II lisas loetletud tuletislepingute, krediidituletisinstrumentide ja väärtpaberite kaudu finantseerimise tehingute (sellel andmeväljal tuleb esitada näiteks antud arvestuslikud rahalise muutuvtagatise nõuded (kui seda kasutatava raamatupidamistava kohaselt kajastatakse), likviidsed varad, mis on määratletud likviidsuskattekordaja all ning luhtunud ja arveldamata tehingud). Krediidiasutused ja </w:t>
            </w:r>
            <w:r>
              <w:rPr>
                <w:rFonts w:ascii="Times New Roman" w:hAnsi="Times New Roman"/>
                <w:bCs/>
                <w:sz w:val="24"/>
                <w:szCs w:val="24"/>
              </w:rPr>
              <w:lastRenderedPageBreak/>
              <w:t>investeerimisühingud lähtuvad hindamisel kapitalinõuete määruse artikli 429b lõikes 1 ja artikli 429 lõikes 7 sätestatud põhimõtetest.</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sellel andmeväljal raha, mis saadakse, ja mis tahes väärtpabereid, mis antakse vastaspoolele väärtpaberite kaudu finantseerimise tehingute kaudu ja mille bilansis kajastamist jätkatakse (st mille puhul raamatupidamisarvestuses kajastamise lõpetamise kriteeriumid ei ole täidetud). Peale selle peavad krediidiasutused ja investeerimisühingud võtma sellel andmeväljal arvesse kirjed, mis on arvatud maha esimese taseme põhiomavahenditest ja täiendavatest esimese taseme omavahenditest (nt immateriaalsed varad, edasilükkunud tulumaksu vara jne).</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Real {0191;0010} esitatavat summat ei tohi võtta siinse rea arvutamisel arvesse vähendusena.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Rahalisi kogumeid kajastatakse ridadel {0193;0010}, {0194;0010}, {0195;0010}, {0196;0010}, {0197;0010} ja {0198;0010}, mitte siin.</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Bilansikirjete üldised krediidiriskiga korrigeerimised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Kapitalinõuete määruse artikli 429 lõige 4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Artikli 429 lõike 4 punktis a nimetatud bilansikirjetele vastavate üldiste krediidiriskiga korrigeerimiste summa, mille krediidiasutused ja investeerimisühingud sama lõike viimase lõigu kohaselt maha arvavad.</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Real {0190;0010} esitatavat muude varade summat ei tohi võtta siinse rea arvutamisel arvesse vähendusena.</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Rahalised kogumid, mida ei saa usaldusväärselt tasaarvestada: raamatupidamistava kohane väärtus</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429b lõiked 2 ja 3</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Rahaliste kogumite bilansiline väärtus (st kui mitme eraldi konto kreediti või deebeti saldod raha või likviidsuse juhtimiseks ühendatakse), mida ei saa kapitalinõuete määruse artikli 429b lõigete 2 ja 3 kohaselt tasaarvestada.</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Rahalised kogumid, mida ei saa usaldusväärselt tasaarvestada: raamatupidamistava kohaselt tehtud tasaarvestuse brutosummaks arvestamise mõju</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429 lõike 7 punkt b ning artikli 429b lõiked 2 ja 3</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Selliste rahaliste kogumite kohaldatava raamatupidamistava kohaselt tasaarvestatud summa, mida ei saa usaldusväärselt tasaarvestada (kajastatud andmeväljal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Rahalised kogumid, mida saab usaldusväärselt tasaarvestada: raamatupidamistava kohane väärtus</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429b lõiked 2 ja 3</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Rahaliste kogumite bilansiline väärtus (st kui mitme eraldi konto kreediti või deebeti saldod raha või likviidsuse juhtimiseks ühendatakse), mida saab kapitalinõuete määruse artikli 429b lõigete 2 ja 3 kohaselt tasaarvestada.</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Rahalised kogumid, mida saab usaldusväärselt tasaarvestada: raamatupidamistava kohaselt tehtud tasaarvestuse brutosummaks arvestamise mõju</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429b lõiked 2 ja 3</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Selliste rahaliste kogumite kohaldatava raamatupidamistava kohaselt tasaarvestatud summa, mida saab usaldusväärselt tasaarvestada (kajastatud andmeväljal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Kui krediidiasutus või investeerimisühing vastab artikli 429b lõike 2 punktis b sätestatule, ei kohalda ta brutosummaks arvutamist sellel real kajastatavale saldole, mis on artikli 429b lõike 2 punkti a kohaselt kustutatud.</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Rahalised kogumid, mida saab usaldusväärselt tasaarvestada: kapitalinõuete määruse artikli 429b lõike 2 kohane tasaarvestuse kajastamine</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Kapitalinõuete määruse artikli 429b lõige 2</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Brutoriskipositsioonist tasaarvestatud summa, mis on seotud artikli 429b lõike 2 kohaste rahaliste kogumitega (ridade 0195 ja 0196 summa).</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Rahalised kogumid, mida saab usaldusväärselt tasaarvestada: kapitalinõuete määruse artikli 429b lõike 3 kohane tasaarvestuse kajastamine</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Kapitalinõuete määruse artikli 429b lõige 3</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Brutoriskipositsioonist tasaarvestatud summa, mis on seotud artikli 429b lõike 3 kohaste rahaliste kogumitega (ridade 0195 ja 0196 summa).</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Seoses tuletistehingutega antud mis tahes tagatiste kogunäitaja</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lõige 2</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Tuletisfinantsinstrumentidega seoses antud tagatise summa, kui selle andmine vähendab kohaldatava raamatupidamistava kohaselt varade summat, nagu on sätestatud kapitalinõuete määruse artikli 429c lõikes 2.</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Krediidiasutused ja investeerimisühingud ei kajasta sellel andmeväljal nõuetele vastava keskse vastaspoole kaudu maaklerkliiritavate tuletistehingute alustamise tagatist ega aktsepteeritud rahalist muutuvtagatist, nagu on kindlaks määratud kapitalinõuete määruse artikli 429c lõikes 3.</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Tuletustehingutega antud rahalise muutuvtagatisega seotud saadaolevad nõuded</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429c lõike 3 punkt c</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Tuletistehingu vastaspoolele antud rahalise muutuvtagatisega seotud nõuded, kui krediidiasutused ja investeerimisühingud peavad kohaldatava raamatupidamistava kohaselt kajastama neid nõudeid varana, tingimusel et täidetud on kapitalinõuete määruse artikli 429c lõike 3 punktides a–e sätestatud tingimused.</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Esitatud summat võetakse arvesse ka andmeväljal {0190, 0010} kajastatud muude varade hulgas.</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Välja jäetud keskse vastaspoole pool maaklerkliiritavate kauplemisriskipositsioonide puhul (alustamise tagatis)</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g</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Nõuetele vastava keskse vastaspoole kaudu maaklerkliiritavatest tuletistehingutest tulenev välja jäetud kauplemisriskipositsioonide (antud) alustamise tagatise osa, tingimusel et need kirjed vastavad kapitalinõuete määruse artikli 306 lõike 1 punktis c sätestatud tingimustele.</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Esitatud summat võetakse arvesse ka andmeväljal {0190, 0010} kajastatud muude varade hulgas.</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Korrigeerimine raamatupidamislike väärtpaberite kaudu finantseerimise müügitehingute puhul</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429e lõige 6</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Repotehingu käigus laenuks antud väärtpaberite väärtus, mille kajastamine lõpetatakse kohaldatava raamatupidamistava alusel raamatupidamisliku müügitehingu tõttu.</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Eelrahastamis või vahepealsete laenude riskipositsiooni väärtuse vähendamine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 lõige 8</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Kapitalinõuete määruse artikli 429 lõike 8 kohaselt eelrahastamis- või vahepealse laenu riskipositsiooni väärtusest mahaarvatud summa.</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Esitatud summat võetakse arvesse andmeväljal {0190, 0010} kajastatud muude varade hulgas.</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Usaldusvarad</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i</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Kapitalinõuete määruse artikli 429a lõike 1 punkti i kohaste selliste usaldusvarade väärtus, mis on kajastatud krediidiasutuse või investeerimisühingu bilansis riigis üldtunnustatud raamatupidamispõhimõtete alusel ning mis vastavad IFRS 9s sätestatud kajastamata jätmise kriteeriumidele ja asjakohasel juhul IFRS 10s sätestatud konsolideerimata jätmise kriteeriumidele, eeldades raamatupidamisliku tasaarvestuse või muude krediidiriski maandamise mõjude puudumist (st need mõjud bilansilisele väärtusele tühistatakse).</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Esitatud summat võetakse arvesse ka andmeväljal {0190, 0010} kajastatud muude varade hulgas.</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Grupisisesed riskipositsioonid (individuaalsed), mis on kapitalinõuete määruse artikli 429a lõike 1 punkti c kohaselt välja jäetud</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c ja artikli 113 lõige 6</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Riskipositsioonid, mida ei ole konsolideeritud kohaldataval konsolideerimistasandil ja mille suhtes võib kohaldada kapitalinõuete määruse artikli 113 lõike 6 kohast käsitlust, tingimusel et kõik kapitalinõuete määruse artikli 113 lõike 6 punktides a–e sätestatud tingimused on täidetud ja pädevad asutused on andnud oma nõusoleku.</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7F46A8D2"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Krediidiasutuste ja investeerimisühingute kaitseskeemi riskipositsioonid, mis on kapitalinõuete määruse artikli 429a lõike 1</w:t>
            </w:r>
            <w:r w:rsidR="00DC4BAF">
              <w:rPr>
                <w:rFonts w:ascii="Times New Roman" w:hAnsi="Times New Roman"/>
                <w:b/>
                <w:color w:val="auto"/>
                <w:sz w:val="24"/>
                <w:szCs w:val="24"/>
              </w:rPr>
              <w:t xml:space="preserve"> punkti c kohaselt välja jäetud</w:t>
            </w:r>
            <w:bookmarkStart w:id="53" w:name="_GoBack"/>
            <w:bookmarkEnd w:id="53"/>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Kapitalinõuete määruse artikli 429a lõike 1 punkt c ja artikli 113 lõige 7</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Riskipositsioonid, mille suhtes võib kohaldada kapitalinõuete määruse artikli 113 lõike 7 kohast käsitlust, tingimusel et kõik kapitalinõuete määruse artikli 113 lõike 7 punktides a–i sätestatud tingimused on täidetud ja pädevad asutused on andnud oma nõusoleku.</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Ekspordikrediidist tulenevate riskipositsioonide garantiiga osad, mis on välja jäetud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Kapitalinõuete määruse artikli 429a lõike 1 punkt f</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Ekspordikrediidist tulenevate riskipositsioonide garantiiga osad, mis võib välja jätta, kui on täidetud kapitalinõuete määruse artikli 429a lõike1 punktis f sätestatud tingimused.</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Kolmepoolsete agentide juures hoiustatud ülemäärane tagatis, mis on välja jäetud</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k</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Kolmepoolsete agentide juures hoiustatud väljalaenamata ülemäärane tagatis, mida võib artikli 429a lõike 1 punkti k kohaselt välja jätta.</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Olulise riski ülekandmist näitavad väärtpaberistatud riskipositsioonid, mis on välja jäetud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429a lõike 1 punkt m</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Traditsioonilise väärtpaberistamisega seotud väärtpaberistatud riskipositsioonid, mis vastavad artikli 244 lõikes 2 sätestatud olulise riski ülekandmise tingimustele.</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Keskpangaga seotud riskipositsioonid, mis on kapitalinõuete määruse artikli 429a lõike 1 punkti n kohaselt välja jäetud</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n</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Väärtpaberite keskdepositooriumi / krediidiasutuse või investeerimisühingu panganduskõrvalteenused, mis on kapitalinõuete määruse artikli 429a lõike 1 punkti o kohaselt välja jäetud</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o</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Määratud krediidiasutuse või investeerimisühingu panganduskõrvalteenused, mis on kapitalinõuete määruse artikli 429a lõike 1 punkti p kohaselt välja jäetud</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429a lõike 1 punkt p</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Kapitalinõuete määruse artikli 429a lõike 1 punkti j kohaselt välja jäetud riskipositsioonid</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j</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Kapitalinõuete määruse artikli 429a lõike 1 punkti j kohaselt välja jäetud riskipositsioonid, kui samas loetletud tingimused on täidetud.</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Välja jäetud avaliku sektori arengukrediidiasutuste riskipositsioonid – avaliku sektori investeeringud</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d ja lõige 2</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Riskipositsioonid, mis tulenevad varadest, mis on nõuded keskvalitsuste, piirkondlike valitsuste, kohalike omavalitsuste või avaliku sektori asutuste vastu seoses avaliku sektori investeeringutega ja mille võib kapitalinõuete määruse artikli 429a lõike 1 punkti d kohaselt välja jätta.</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Kui nõue kvalifitseerub artikli 429a lõike 3 kohaselt ka tugilaenuks, siis seda ei kajastata mitte sellel andmeväljal, vaid ridadel 0262–0264.</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avaliku sektori arengukrediidiasutuste riskipositsioonid – avaliku sektori arengukrediidiasutuse antud tugilaenud</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d ning lõiked 2 ja 3</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Avaliku sektori arengukrediidiasutuse antud tugilaenudest (sh vahendatud tugilaenud) tulenevad riskipositsioonid, mis võib kapitalinõuete määruse artikli 429a lõike 1 punkti d kohaselt välja jätta. </w:t>
            </w:r>
            <w:r>
              <w:rPr>
                <w:rFonts w:ascii="Times New Roman" w:hAnsi="Times New Roman"/>
                <w:sz w:val="24"/>
                <w:szCs w:val="24"/>
              </w:rPr>
              <w:t>Arvesse võetakse ka krediidiasutuse või investeerimisühingu sellise üksuse riskipositsioonid, mida pädev asutus käsitab kapitalinõuete määruse artikli 429a lõike 2 viimase lõigu kohaselt avaliku sektori arengukrediidiasutusena.</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avaliku sektori arengukrediidiasutuste riskipositsioonid – liikmesriigi keskvalitsuse, piirkondliku valitsuse või kohaliku omavalitsuse poolt otseselt asutatud üksuse antud tugilaenud</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d ning lõiked 2 ja 3.</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Vahetult liikmesriigi keskvalitsuse, piirkondliku valitsuse või kohaliku omavalitsuse poolt otseselt asutatud üksuse antud tugilaenudest (sh vahendatud tugilaenud) tulenevad riskipositsioonid, mis võib kapitalinõuete määruse artikli 429a lõike 1 punkti d kohaselt välja jätta. </w:t>
            </w:r>
            <w:r>
              <w:rPr>
                <w:rFonts w:ascii="Times New Roman" w:hAnsi="Times New Roman"/>
                <w:sz w:val="24"/>
                <w:szCs w:val="24"/>
              </w:rPr>
              <w:t>Arvesse võetakse ka krediidiasutuse või investeerimisühingu sellise üksuse riskipositsioonid, mida pädev asutus käsitab kapitalinõuete määruse artikli 429a lõike 2 viimase lõigu kohaselt avaliku sektori arengukrediidiasutusena.</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avaliku sektori arengukrediidiasutuste riskipositsioonid – liikmesriigi keskvalitsuse, piirkondliku valitsuse või kohaliku omavalitsuse asutatud üksuse vahendava krediidiasutuse kaudu antud tugilaenud</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d ning lõiked 2 ja 3.</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Liikmesriigi keskvalitsuse, piirkondliku valitsuse või kohaliku omavalitsuse asutatud üksusevahendava krediidiasutuse kaudu antud tugilaenudest (sh vahendatud tugilaenud) tulenevad riskipositsioonid, mis võib kapitalinõuete määruse artikli 429a lõike 1 punkti d kohaselt välja jätta. </w:t>
            </w:r>
            <w:r>
              <w:rPr>
                <w:rFonts w:ascii="Times New Roman" w:hAnsi="Times New Roman"/>
                <w:sz w:val="24"/>
                <w:szCs w:val="24"/>
              </w:rPr>
              <w:t>Arvesse võetakse ka krediidiasutuse või investeerimisühingu sellise üksuse riskipositsioonid, mida pädev asutus käsitab kapitalinõuete määruse artikli 429a lõike 2 viimase lõigu kohaselt avaliku sektori arengukrediidiasutusena.</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muude kui avaliku sektori arengukrediidiasutuste (või üksuste) vahendatud tugilaenude riskipositsioonid – avaliku sektori arengukrediidiasutuse antud tugilaenud</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e ning lõiked 2 ja 3</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Riskipositsioonide osad, mis tulenevad avaliku sektori arengukrediidiasutuse antud tugilaenude vahendamisest teistele krediidiasutustele. </w:t>
            </w:r>
            <w:r>
              <w:rPr>
                <w:rFonts w:ascii="Times New Roman" w:hAnsi="Times New Roman"/>
                <w:sz w:val="24"/>
                <w:szCs w:val="24"/>
              </w:rPr>
              <w:t>Arvesse võetakse ka krediidiasutuse või investeerimisühingu selliste üksuste riskipositsioonide osi, mida pädev asutus ei käsita kapitalinõuete määruse artikli 429a lõike 2 viimase lõigu kohaselt avaliku sektori arengukrediidiasutusena.</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Esitatav summa tuleb esitada ka eespool vastavatel andmeväljadel nii, nagu ei oleks kohaldatud mingit erandit.</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muude kui avaliku sektori arengukrediidiasutuste (või üksuste) vahendatud tugilaenude riskipositsioonid – liikmesriigi keskvalitsuse, piirkondliku valitsuse või kohaliku omavalitsuse poolt otseselt asutatud üksuse antud tugilaenud</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e ning lõiked 2 ja 3</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Riskipositsioonide osad, mis tulenevad teistele krediidiasutustele antud vahendatud tugilaenudest, mille on andnud liikmesriigi keskvalitsuse, piirkondliku valitsuse või kohaliku omavalitsuse poolt otseselt asutatud üksus. </w:t>
            </w:r>
            <w:r>
              <w:rPr>
                <w:rFonts w:ascii="Times New Roman" w:hAnsi="Times New Roman"/>
                <w:sz w:val="24"/>
                <w:szCs w:val="24"/>
              </w:rPr>
              <w:t>Arvesse võetakse ka krediidiasutuse või investeerimisühingu selliste üksuste riskipositsioonide osi, mida pädev asutus ei käsita kapitalinõuete määruse artikli 429a lõike 2 viimase lõigu kohaselt avaliku sektori arengukrediidiasutusena.</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Välja jäetud muude kui avaliku sektori arengukrediidiasutuste (või üksuste) vahendatud tugilaenude riskipositsioonid – liikmesriigi keskvalitsuse, piirkondliku valitsuse või kohaliku omavalitsuse asutatud üksuse vahendava krediidiasutuse kaudu antud tugilaenud</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e ning lõiked 2 ja 3</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Riskipositsioonide osad, mis tulenevad teistele krediidiasutustele antud vahendatud tugilaenudest, mille on andnud liikmesriigi keskvalitsuse, piirkondliku valitsuse või kohaliku omavalitsuse asutatud üksus vahendava krediidiasutuse kaudu. </w:t>
            </w:r>
            <w:r>
              <w:rPr>
                <w:rFonts w:ascii="Times New Roman" w:hAnsi="Times New Roman"/>
                <w:sz w:val="24"/>
                <w:szCs w:val="24"/>
              </w:rPr>
              <w:t>Arvesse võetakse ka krediidiasutuse või investeerimisühingu selliste üksuste riskipositsioonide osi, mida pädev asutus ei käsita kapitalinõuete määruse artikli 429a lõike 2 viimase lõigu kohaselt avaliku sektori arengukrediidiasutusena.</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Esitatav summa tuleb esitada ka eespool vastavatel andmeväljadel nii, nagu ei oleks kohaldatud mingit erandit.</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Maha arvatud varasumma – esimese taseme omavahendid – täielikult rakendatud määratlus</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t>Kapitalinõuete määruse artikli 429a lõike 1 punkt b ja artikli 499 lõike 1 punkt a.</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hõlmab kõiki selliseid korrigeerimisi, mis mõjutavad varade väärtust ja on ette nähtud järgmisega:</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kapitalinõuete määruse artiklid 32–35 või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kapitalinõuete määruse artiklid 36–47 või</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kapitalinõuete määruse artiklid 56–60</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(nagu asjakohane).</w:t>
            </w:r>
          </w:p>
          <w:p w14:paraId="75E8D9BE" w14:textId="51CD810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arvesse mahaarvamiste suhtes tehtud erandeid, selliste mahaarvamiste alternatiive ja selliste mahaarvamiste tegemisest loobumist, mis on sätestatud kapitalinõuete määruse artiklites 48, 49 ja 79, võtmata arvesse kapitalinõuete määruse X osa I jaotise 1. 2. ja 4. peatükis sätestatud erandit.</w:t>
            </w:r>
            <w:r w:rsidR="00D536D6">
              <w:rPr>
                <w:rFonts w:ascii="Times New Roman" w:hAnsi="Times New Roman"/>
                <w:bCs/>
                <w:sz w:val="24"/>
                <w:szCs w:val="24"/>
              </w:rPr>
              <w:t xml:space="preserve"> </w:t>
            </w:r>
            <w:r>
              <w:rPr>
                <w:rFonts w:ascii="Times New Roman" w:hAnsi="Times New Roman"/>
                <w:bCs/>
                <w:sz w:val="24"/>
                <w:szCs w:val="24"/>
              </w:rPr>
              <w:t>Topeltarvestuse vältimiseks ei esita krediidiasutused ja investeerimisühingud korrigeerimisi, mida on kapitalinõuete määruse artikli 111 kohaselt juba kohaldatud riskipositsiooni väärtuse arvutamisel andmeväljadel {0010;0010}–{0267;0010}, ega korrigeerimisi, mille puhul ei arvata maha konkreetse vara väärtust.</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Kuna need summad on juba kapitalinäitajast maha arvatud, vähendavad need finantsvõimenduse määra riskipositsiooni ja esitatakse negatiivse arvuna.</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Maha arvatud (−) või lisatud (+) varasumma – esimese taseme omavahendid – üleminekuperioodil rakendatav määratlus</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Kapitalinõuete määruse artikli 429a lõike 1 punkt b ja artikli 499 lõike 1 punkt a.</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hõlmab kõiki selliseid korrigeerimisi, mis korrigeerivad varade väärtust ja on ette nähtud järgmisega:</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kapitalinõuete määruse artiklid 32–35 või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kapitalinõuete määruse artiklid 36–47 või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kapitalinõuete määruse artiklid 56–60</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(nagu asjakohane).</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arvesse mahaarvamiste suhtes tehtud erandeid, selliste mahaarvamiste alternatiive ja selliste mahaarvamiste tegemisest loobumist, mis on sätestatud kapitalinõuete määruse artiklites 48, 49 ja 79, võttes lisaks arvesse kapitalinõuete määruse X osa I jaotise 1. 2. ja 4. peatükis sätestatud erandeid. Topeltarvestuse vältimiseks ei esita krediidiasutused ja investeerimisühingud korrigeerimisi, mida on kapitalinõuete määruse artikli 111 kohaselt juba kohaldatud riskipositsiooni väärtuse arvutamisel andmeväljadel {0010;0010}–{0267;0010}, ega korrigeerimisi, mille puhul ei arvata maha konkreetse vara väärtust.</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Kuna need summad on juba kapitalinäitajast maha arvatud, vähendavad need finantsvõimenduse määra riskipositsiooni ja esitatakse negatiivse arvuna.</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lastRenderedPageBreak/>
              <w:t>Peale selle esitavad krediidiasutused ja investeerimisühingud sellel real positiivse väärtusena summad, mis tuleb kapitalinõuete määruse artikli 473a lõigete 7 ja 7a kohaselt finantsvõimenduse määra riskipositsiooni näitajale uuesti lisada.</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Finantsvõimenduse määra riskipositsiooni näitaja kogusumma – kasutades esimese taseme omavahendite täielikult rakendatud määratlust</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esitavad ridade 0010–0267 ja 0270 summa.</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Finantsvõimenduse määra riskipositsiooni näitaja kogusumma – kasutades esimese taseme omavahendite üleminekuperioodil rakendatavat määratlust</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esitavad ridade 0010–0267 ja 0280 summa.</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Rida ja veerg</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Kapital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Esimese taseme omavahendid – täielikult rakendatud määratlus</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 lõige 3 ja artikli 499 lõike 1 punkt a</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Siin kajastatakse esimese taseme omavahendite summat, mis on arvutatud kapitalinõuete määruse artiklit 25 järgides, võtmata arvesse sama määruse X osa I jaotise 1., 2. ja 4. peatükis sätestatud erandit.</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Esimese taseme omavahendid – üleminekuperioodil rakendatav määratlus</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 lõige 3 ja artikli 499 lõike 1 punkt b</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Siin kajastatakse esimese taseme omavahendite summat, mis on arvutatud kapitalinõuete määruse artiklit 25 järgides, võttes arvesse sama määruse X osa I jaotise 1., 2. ja 4. peatükis sätestatud erandit.</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Rida ja veerg</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Finantsvõimenduse määr</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Finantsvõimenduse määr – kasutades esimese taseme omavahendite täielikult rakendatud määratlust</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 lõige 2 ja artikli 499 lõige 1</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Siin kajastatakse käesoleva lisa II osa punkti 4 kohaselt arvutatud finantsvõimenduse määra.</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Finantsvõimenduse määr – kasutades esimese taseme omavahendite üleminekuperioodil rakendatavat määratlust</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429 lõige 2 ja artikli 499 lõige 1</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Siin kajastatakse käesoleva lisa II osa punkti 5 kohaselt arvutatud finantsvõimenduse määra.</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Rida ja veerg</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Nõuded: summad</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2. samba kapitalinõue ülemäärase finantsvõimenduse riski maandamiseks</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sz w:val="24"/>
                <w:szCs w:val="24"/>
              </w:rPr>
              <w:t xml:space="preserve">Kapitalinõuete direktiivi artiklid 104 ja 104a. </w:t>
            </w:r>
            <w:r>
              <w:rPr>
                <w:rFonts w:ascii="Times New Roman" w:hAnsi="Times New Roman"/>
                <w:color w:val="auto"/>
                <w:sz w:val="24"/>
                <w:szCs w:val="24"/>
              </w:rPr>
              <w:t>Pädeva asutuse nõutud täiendavad omavahendid, et maandada ülemäärase finantsvõimenduse riske, nagu sätestatud kapitalinõuete direktiivi artiklis 104</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Millest: esimese taseme põhiomavahendite vormis</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Real 0350 osutatud 2. samba kapitalinõude osa, mis peab pädeva asutuse nõudel olema esimese taseme põhiomavahendite vormis</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Globaalse süsteemselt olulise ettevõtja finantsvõimenduse määra puhver</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Kapitalinõuete määruse artikli 92 lõige 1a</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Globaalne süsteemselt oluline ettevõtja esitab globaalse süsteemselt olulise ettevõtja finantsvõimenduse määra lisandi, mis on kindlaks tehtud kapitalinõuete määruse artikli 92 lõike 1a kohaselt.</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Globaalne süsteemselt oluline ettevõtja esitab selle summa alates puhvri kohaldamise kuupäevast alates, järgides kapitalinõuete määrust.</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2. samba kapitalisuunis ülemäärase finantsvõimenduse riski maandamiseks</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Kapitalinõuete direktiivi artikkel 104b. Pädeva asutuse soovitatud täiendavad omavahendid, et maandada ülemäärase finantsvõimenduse riske, nagu sätestatud kapitalinõuete direktiivi artiklis 104b</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Millest: esimese taseme põhiomavahendite vormis</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Real 0380 osutatud 2. samba kapitalisuunise osa, mis peab pädeva asutuse nõudel olema esimese taseme põhiomavahendite vormis</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Millest: esimese taseme omavahendite vormis</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Real 0380 osutatud 2. samba kapitalisuunise osa, mis peab pädeva asutuse nõudel olema esimese taseme omavahendite vormis</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lastRenderedPageBreak/>
              <w:t>Rida ja veerg</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Nõuded: määrad</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1. samba finantsvõimenduse määra nõue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Kapitalinõuete määruse artikli 92 lõike 1 punkt d, artikli 429a lõige 7 ja artikli 429a lõike 1 punkt n </w:t>
            </w:r>
            <w:r>
              <w:rPr>
                <w:rFonts w:ascii="Times New Roman" w:hAnsi="Times New Roman"/>
                <w:bCs/>
                <w:color w:val="auto"/>
                <w:sz w:val="24"/>
                <w:szCs w:val="24"/>
              </w:rPr>
              <w:t>Ülemäärase finantsvõimenduse riski maandamiseks nõutav finantsvõimenduse määr, nagu sätestatud kapitalinõuete määruse artikli 92 lõike 1 punktis d</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Krediidiasutused ja investeerimisühingud jätavad välja oma keskpangaga seotud riskipositsioonid, nagu sätestatud artikli 429a lõike 1 punktis n, ning esitavad korrigeeritud finantsvõimenduse määra nõude, järgides kapitalinõuete määruse artikli 429a lõiget 7.</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Järelevalvealase läbivaatamise ja hindamise protsessi finantsvõimenduse määra nõue kokku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direktiivi artiklid 104 ja 104a</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Järgmiste punktide i ja ii summa:</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real 0410 esitatud 1. samba finantsvõimenduse määra nõue;</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color w:val="auto"/>
                <w:sz w:val="24"/>
                <w:szCs w:val="24"/>
              </w:rPr>
              <w:t>pädeva asutuse nõutud täiendavad omavahendid (2. samba kapitalinõue), et maandada ülemäärase finantsvõimenduse riske, nagu sätestatud kapitalinõuete direktiivi artiklis 104.</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Krediidiasutused ja investeerimisühingud arvutavad punkti ii jagades andmeväljal {0350;0010} esitatud väärtuse väljal {0300;0010} esitatuga.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Kui pädev asutus ei ole täiendavate omavahendite nõudeid teatavaks teinud, esitatakse üksnes punkti i teave.</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Järelevalvealase läbivaatamise ja hindamise protsessi finantsvõimenduse määra nõue kokku: esimese taseme põhiomavahendite vormis</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Rea 0420 punktis ii osutatud täiendavate omavahendite määra osa, mis peab pädeva asutuse nõudel olema esimese taseme põhiomavahendite vormis.</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Krediidiasutused ja investeerimisühingud arvutavad selle väärtuse jagades andmeväljal {0360;0010} esitatud väärtuse väljal {0300;0010} esitatuga.</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Üldine finantsvõimenduse määra nõue</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92 lõige 1a</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lastRenderedPageBreak/>
              <w:t>Järgmiste punktide i ja ii summa:</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real 0420 esitatud järelevalvealase läbivaatamise ja hindamise protsessi finantsvõimenduse määra nõue kokku;</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kapitalinõuete määruse artikli 92 lõike 1a kohane globaalse süsteemselt olulise ettevõtja finantsvõimenduse määra puhver, väljendatuna protsendina finantsvõimenduse määra koguriskipositsioonist.</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Krediidiasutused ja investeerimisühingud arvutavad punkti ii jagades andmeväljal {0370;0010} esitatud väärtuse väljal {0300;0010} esitatuga.</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Punkti ii võtavad arvesse globaalsed süsteemselt olulised ettevõtjad puhvri kohaldamise kuupäevast alates, järgides kapitalinõuete määrust.</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Kui globaalse süsteemselt olulise ettevõtja lisandit ei kohaldata, esitatakse üksnes punkti i teave.</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Üldine finantsvõimenduse määra nõue ja 2. samba kapitalisuunise määr</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direktiivi artikkel 104b</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Järgmiste punktide i ja ii summa:</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real 0440 esitatud üldine finantsvõimenduse määra nõue;</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pädeva asutuse soovitatud täiendavad omavahendid, et maandada ülemäärase finantsvõimenduse riske (nagu sätestatud kapitalinõuete direktiivi artiklis 104b), väljendatuna protsendina finantsvõimenduse määra koguriskipositsioonist.</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Krediidiasutused ja investeerimisühingud arvutavad punkti ii jagades andmeväljal {0380;0010} esitatud väärtuse väljal {0300;0010} esitatuga.</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Kui pädev asutus ei ole 2. samba kapitalisuunist teatavaks teinud, esitatakse üksnes punkti i teave.</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Üldine finantsvõimenduse määra nõue ja 2. samba kapitalisuunis: esimese taseme põhiomavahendite vormis</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Järgmiste punktide i ja ii summa:</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real 0430 osutatud täiendavate omavahendite määra osa, mis peab pädeva asutuse nõudel olema esimese taseme põhiomavahendite vormis;</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rea 0450 punktis ii osutatud 2. samba kapitalisuunise suhtarvu osa, mis pädeva asutuse soovitusel peab olema esimese taseme põhiomavahendite vormis.</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Krediidiasutused ja investeerimisühingud arvutavad punkti ii, jagades andmeväljal {0390;0010} esitatud väärtuse väljal {0300;0010} esitatuga.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Kui pädev asutus ei ole 2. samba kapitalisuunist teatavaks teinud, esitatakse üksnes punkti i teave.</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Üldine finantsvõimenduse määra nõue ja 2. samba kapitalisuunis: esimese taseme omavahendite vormis</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Järgmiste punktide i, ii ja iii summa:</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real 0420 osutatud järelevalvealase läbivaatamise ja hindamise protsessi finantsvõimenduse määra nõue kokku;</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kapitalinõuete määruse artikli 92 lõike 1a kohane globaalse süsteemselt olulise ettevõtja finantsvõimenduse määra puhver, väljendatuna protsendina finantsvõimenduse määra koguriskipositsioonist;</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rea 0450 punktis ii osutatud 2. samba kapitalisuunise määra osa, mis pädeva asutuse nõudel peab olema esimese taseme omavahendite vormis.</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Krediidiasutused ja investeerimisühingud arvutavad punkti ii, jagades andmeväljal {0370;0010} esitatud väärtuse väljal {0300;0010} esitatuga.</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Krediidiasutused ja investeerimisühingud arvutavad punkti ii, jagades andmeväljal {0400;0010} esitatud väärtuse väljal {0300;0010} esitatuga.</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Kui globaalse süsteemselt olulise ettevõtja lisandit ei kohaldata, esitatakse üksnes punktide i ja iii teave.</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Kui pädev asutus ei ole 2. samba kapitalisuunist teatavaks teinud, esitatakse üksnes punktide i ja ii teave.</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Rida ja veerg</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Memokirjed</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Finantsvõimenduse määr nagu IFRS 9-t või analoogset eeldatava krediidikahjumiga seotud üleminekukorda ei oleks kohaldatud</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473a lõige 8</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Krediidiasutused ja investeerimisühingud, kes on otsustanud kohaldada kapitalinõuete määruse artiklis 473a sätestatud üleminekukorda, esitavad </w:t>
            </w:r>
            <w:r>
              <w:rPr>
                <w:rFonts w:ascii="Times New Roman" w:hAnsi="Times New Roman"/>
                <w:color w:val="auto"/>
                <w:sz w:val="24"/>
                <w:szCs w:val="24"/>
              </w:rPr>
              <w:lastRenderedPageBreak/>
              <w:t>finantsvõimenduse määra, mis neil oleks, kui nad nimetatud artiklit ei kohaldaks.</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Finantsvõimenduse määr, nagu õiglases väärtuses mõõdetud realiseerimata kasumi ja kahjumi ajutist käsitlemist muus koondkasumis ei oleks rakendatud</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Kapitalinõuete määruse artikli 468 lõige 5</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Krediidiasutused ja investeerimisühingud, kes on otsustanud kohaldada kapitalinõuete määruse artikli 468 esimeses lõigus sätestatud ajutist käsitlust, esitavad finantsvõimenduse määra, mis neil oleks, kui nad nimetatud käsitlust ei kohaldaks.</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585533"/>
      <w:r>
        <w:rPr>
          <w:rFonts w:ascii="Times New Roman" w:hAnsi="Times New Roman"/>
          <w:b/>
          <w:sz w:val="24"/>
          <w:szCs w:val="24"/>
        </w:rPr>
        <w:t>4.</w:t>
      </w:r>
      <w:r>
        <w:tab/>
      </w:r>
      <w:bookmarkStart w:id="57" w:name="_Toc351048507"/>
      <w:r>
        <w:rPr>
          <w:rFonts w:ascii="Times New Roman" w:hAnsi="Times New Roman"/>
          <w:b/>
          <w:sz w:val="24"/>
          <w:szCs w:val="24"/>
        </w:rPr>
        <w:t>C 40.00 – Riskipositsiooni näitaja alternatiivne käsitlus</w:t>
      </w:r>
      <w:bookmarkEnd w:id="50"/>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Aruandluse sellesse ossa koondatakse andmed tuletisinstrumentide, väärtpaberite kaudu finantseerimise tehingute, bilansiväliste kirjete, välja jäetud avaliku sektori investeeringute ja välja jäetud tugilaenuriskipositsioonide alternatiivse käsitluse kohta.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Krediidiasutused ja investeerimisühingud teevad vormil LR1 kajastatavad raamatupidamislikud bilansilised väärtused kindlaks kohaldatava raamatupidamistava alusel, järgides kapitalinõuete määruse artikli 4 lõike 1 punkti 77. „Bilansiline väärtus, eeldades tasaarvestuse või muu krediidiriski maandamise puudumist“ tähendab raamatupidamislikku bilansilist väärtust, milles ei ole tasaarvestuse ega muude riskide maandamise mõjusid arvesse võetud.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Krediidiasutused ja investeerimisühingud esitavad vormi LR1 kirjed (v.a read {0270;0010} ja {0280;0010}), nagu käesoleva lisa I osa 9. punkti kohaselt miinusmärgiga esitatavaid vormi LRCalc kirjeid (nt erandid/mahaarvamised) ei kohaldataks.</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Vormi 40.00 andmevälja {r0410;c0010} peavad täitma ainult:</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suured krediidiasutused ja investeerimisühingud, kes on kas globaalsed süsteemselt olulised ettevõtjad või kes on emiteerinud väärtpabereid, millega on lubatud kaubelda reguleeritud väärtpaberiturul (iga poole aasta tagant);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suured krediidiasutused ja investeerimisühingud, kes ei ole globaalsed süsteemselt olulised ettevõtjad, kes ei ole börsinimekirjas (iga aasta);</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muud kui suured krediidiasutused ja investeerimisühingud ning väikesed ja mittekeerukad krediidiasutused ja investeerimisühingud, kes on emiteerinud väärtpabereid, millega on lubatud kaubelda reguleeritud turul (iga aasta).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Rida ja veerg</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Viited õigussätetele ja juhised</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Tuletisinstrumendid – raamatupidamislik bilansiline väärtus</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See peab olema andmeväljade {0020;0010}, {0050;0010} ja {0060;0010} summa.</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Tuletisinstrumendid – bilansiline väärtus, eeldades tasaarvestuse või muu krediidiriski maandamise puudumist</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See peab olema andmeväljade {0020;0020}, {0050;0020} ja {0060;0020} summa.</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Tuletisinstrumendid – tinglik väärtus</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See peab olema andmeväljade {0020;0070}, {0050;0070} ja {0060;0070} summa.</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(müüdud krediidiriski kaitse) – raamatupidamislik bilansiline väärtus</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artikli 4 lõike 1 punkt 77. Krediidituletisinstrumentide kohaldatava raamatupidamistava kohane raamatupidamislik bilansiline väärtus, kui krediidiasutus või investeerimisühing müüb vastaspoolele krediidiriski kaitset ja lepingut kajastatakse bilansis varana.</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Krediidituletisinstrumendid (müüdud krediidiriski kaitse) – bilansiline väärtus, eeldades tasaarvestuse või muu krediidiriski maandamise puudumist</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artikli 4 lõike 1 punkt 77. Krediidituletisinstrumentide kohaldatava raamatupidamistava kohane raamatupidamislik bilansiline väärtus, kui krediidiasutus või investeerimisühing müüb vastaspoolele krediidiriski kaitset ja lepingut kajastatakse bilansis varana, eeldades usaldatavusnõuetekohase või raamatupidamisliku tasaarvestuse või muude krediidiriski maandamise mõjude puudumist (st raamatupidamisliku tasaarvestuse ja krediidiriski maandamise mõju bilansilisele väärtusele tühistatakse).</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(müüdud krediidiriski kaitse) – tinglik väärtus</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See peab olema andmeväljade {0030;0070} ja {0040;0070} summa.</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(müüdud krediidiriski kaitse) – tinglik ülemväärtus</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Krediidiasutused ja investeerimisühingud esitavad krediidituletisinstrumentide (müüdud kaitse) tingliku väärtuse, nagu andmeväljal {0020;0070} pärast sellise õiglase väärtuse negatiivsete muutuste võrra vähendamist, mis on väljakirjutatud </w:t>
            </w:r>
            <w:r>
              <w:rPr>
                <w:rFonts w:ascii="Times New Roman" w:hAnsi="Times New Roman"/>
                <w:bCs/>
                <w:sz w:val="24"/>
                <w:szCs w:val="24"/>
              </w:rPr>
              <w:lastRenderedPageBreak/>
              <w:t>krediidituletisinstrumendiga seoses kaasatud esimese taseme omavahendite hulka.</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(müüdud krediidiriski kaitse), millel on tehingu arveldamise klausel – tinglik väärtus</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krediidituletisinstrumentide tingliku väärtuse, kui nad müüvad vastaspoolele krediidiriski kaitset tehingu arveldamise klausliga.</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Tehingu arveldamise klausli all mõistetakse klauslit, mis annab makseviivituses mitteolevale poolele õiguse lõpetada ja arveldada õigeaegselt kõik asjaomase lepingu raamesse kuuluvad tehingud vastaspoole makseviivituse (sh maksejõuetuse või pankroti) korral.</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võtavad arvesse mitte ainult kauplemisportfelli kuuluvaid, vaid kõiki krediidituletisinstrumente.</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(müüdud krediidiriski kaitse), millel ei ole tehingu arveldamise klauslit – tinglik väärtus</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Krediidiasutused ja investeerimisühingud kajastavad krediidituletisinstrumentide tingliku väärtuse, kui nad müüvad vastaspoolele krediidiriski kaitset tehingu arveldamise klauslita.</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Tehingu arveldamise klausli all mõistetakse klauslit, mis annab makseviivituses mitteolevale poolele õiguse lõpetada ja arveldada õigeaegselt kõik asjaomase lepingu raamesse kuuluvad tehingud vastaspoole makseviivituse (sh maksejõuetuse või pankroti) korral.</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võtavad arvesse mitte ainult kauplemisportfelli kuuluvaid, vaid kõiki krediidituletisinstrumente.</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(ostetud krediidiriski kaitse) – raamatupidamislik bilansiline väärtus</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 lõike 1 punkt 77. Krediidituletisinstrumentide kohaldatava raamatupidamistava kohane raamatupidamislik bilansiline väärtus, kui krediidiasutus või investeerimisühing ostab vastaspoolelt krediidiriski kaitset ja lepingut kajastatakse bilansis varana.</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võtavad arvesse mitte ainult kauplemisportfelli kuuluvaid, vaid kõiki krediidituletisinstrumente.</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(ostetud krediidiriski kaitse) – bilansiline väärtus, eeldades tasaarvestuse või muu krediidiriski maandamise puudumist</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Kapitalinõuete määruse artikli 4 lõike 1 punkt 77. Krediidituletisinstrumentide kohaldatava raamatupidamistava kohane </w:t>
            </w:r>
            <w:r>
              <w:rPr>
                <w:rFonts w:ascii="Times New Roman" w:hAnsi="Times New Roman"/>
                <w:bCs/>
                <w:sz w:val="24"/>
                <w:szCs w:val="24"/>
              </w:rPr>
              <w:lastRenderedPageBreak/>
              <w:t>raamatupidamislik bilansiline väärtus, kui krediidiasutus või investeerimisühing ostab vastaspoolelt krediidiriski kaitset ja lepingut kajastatakse bilansis varana, eeldades usaldatavusnõuetekohase või raamatupidamisliku tasaarvestuse või muude krediidiriski maandamise mõjude puudumist (st raamatupidamisliku tasaarvestuse ja krediidiriski maandamise mõjud bilansilisele väärtusele tühistatakse).</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võtavad arvesse mitte ainult kauplemisportfelli kuuluvaid, vaid kõiki krediidituletisinstrumente.</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(ostetud krediidiriski kaitse) – tinglik väärtus</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Krediidiasutused ja investeerimisühingud kajastavad krediidituletisinstrumentide tingliku väärtuse, kui nad ostavad vastaspoolelt krediidiriski kaitset.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võtavad arvesse mitte ainult kauplemisportfelli kuuluvaid, vaid kõiki krediidituletisinstrumente.</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(ostetud krediidiriski kaitse) – tinglik ülemväärtus</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esitavad krediidituletisinstrumentide (ostetud kaitse) tingliku väärtuse, nagu andmeväljal {0050;0070} pärast sellise õiglase väärtuse positiivsete muutuste võrra vähendamist, mis on ostetud krediidituletisinstrumendiga seoses kaasatud esimese taseme omavahendite hulka.</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Krediidituletisinstrumendid (ostetud krediidiriski kaitse) – tinglik ülemväärtus (sama aluseks olev üksus)</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Krediidiasutused ja investeerimisühingud kajastavad krediidituletisinstrumentide tingliku väärtuse, kui nad ostavad krediidiriski kaitset enda väljakirjutatud krediidituletisinstrumentide aluseks oleva üksusega sama aluseks oleva üksuse krediidiriski vastu.</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Selle andmevälja väärtuse esitamisel loetakse aluseks olevaid üksusi samaks juhul, kui tegemist on sama juriidilise isiku ja sama nõudeõiguse järguga.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Aluseks olevate üksuste kogumile ostetud krediidiriski kaitset tuleb lugeda samaks, kui see krediidiriski kaitse on majanduslikult samaväärne krediidiriski kaitse ostmisega eraldi iga üksiku aluseks oleva üksuse krediidiriski vastu.</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Kui krediidiasutus või investeerimisühing ostab krediidiriski kaitset aluseks olevate üksuste kogumile, loetakse seda krediidiriski kaitset samaks üksnes juhul, kui ostetud krediidiriski kaitse katab täielikult kõik selle kogumi alajaotised, millele krediidiriski kaitse on müüdud. Teisisõnu võib </w:t>
            </w:r>
            <w:r>
              <w:rPr>
                <w:rFonts w:ascii="Times New Roman" w:hAnsi="Times New Roman"/>
                <w:bCs/>
                <w:sz w:val="24"/>
                <w:szCs w:val="24"/>
              </w:rPr>
              <w:lastRenderedPageBreak/>
              <w:t xml:space="preserve">tasaarvestamist arvesse võtta üksnes juhul, kui aluseks olevate üksuste kogum ja allutatuse tase on mõlema tehingu puhul ühesugused.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Sellel andmeväljal arvesse võetavad krediidiriski kaitse tinglikud väärtused ei tohi ühegi aluseks oleva üksuse puhul ületada andmeväljadel {0020;0075} ja {0050;0075} esitatud summasid.</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Finantstuletisinstrumendid – raamatupidamislik bilansiline väärtus</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 lõike 1 punkt 77</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kapitalinõuete määruse II lisas loetletud lepingute kohaldatava raamatupidamistava kohase raamatupidamisliku bilansilise väärtuse, kui neid lepinguid kajastatakse bilansis varana.</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Finantstuletisinstrumendid – bilansiline väärtus, eeldades tasaarvestuse või muu krediidiriski maandamise puudumist</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artikli 4 lõike 1 punkt 77. Kapitalinõuete määruse II lisas loetletud lepingute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mõjud bilansilisele väärtusele tühistatakse).</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Finantstuletisinstrumendid – tinglik väärtus</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Sellel andmeväljal tuleb kajastada kapitalinõuete määruse II lisas loetletud lepingute tinglikku väärtust.</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tehingud – raamatupidamislik bilansiline väärtus</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Kapitalinõuete määruse artikli 4 lõike 1 punkt 77. Väärtpaberite kaudu finantseerimise tehingute kohaldatava raamatupidamistava kohane raamatupidamislik bilansiline väärtus, kui neid kajastatakse bilansis varana.</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ei kajasta sellel andmeväljal saadavat raha ega väärtpabereid, mis antakse vastaspoolele eespool nimetatud tehingute kaudu ning mille bilansis kajastamist jätkatakse (st mille puhul raamatupidamisarvestuses kajastamise lõpetamise kriteeriumid ei ole täidetud). Krediidiasutused ja investeerimisühingud kajastavad neid andmeväljal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tehingud – bilansiline väärtus, eeldades tasaarvestuse ja muu krediidiriski maandamise puudumist</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Kapitalinõuete määruse artikli 4 lõike 1 punkt 77. Kohaldatava raamatupidamistava kohane raamatupidamislik bilansiline väärtus, kui lepinguid kajastatakse bilansis varana, eeldades usaldatavusnõuetekohase või raamatupidamisliku tasaarvestuse või muude krediidiriski maandamise mõjude puudumist (st raamatupidamisliku tasaarvestuse ja krediidiriski maandamise mõjud bilansilisele väärtusele tühistatakse).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väärtpaberite kaudu finantseerimise tehingute puhul on müügi raamatupidamisarvestus toimunud kohaldatava raamatupidamistava kohaselt, tühistavad krediidiasutused ja investeerimisühingud kõik müügiga seotud raamatupidamiskanded.</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ei kajasta sellel andmeväljal saadavat raha ega väärtpabereid, mis antakse vastaspoolele eespool nimetatud tehingute kaudu ning mille bilansis kajastamist jätkatakse (st mille puhul raamatupidamisarvestuses kajastamise lõpetamise kriteeriumid ei ole täidetud). Krediidiasutused ja investeerimisühingud kajastavad neid andmeväljal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Muud varad – raamatupidamislik bilansiline väärtus</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artikli 4 lõike 1 punkt 77. Kõigi muude varade kui kapitalinõuete määruse II lisas loetletud lepingute, krediidituletisinstrumentide ja väärtpaberite kaudu finantseerimise tehingute kohaldatava raamatupidamistava kohane raamatupidamislik bilansiline väärtus.</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Muud varad – bilansiline väärtus, eeldades tasaarvestuse või muu krediidiriski maandamise puudumist</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artikli 4 lõike 1 punkt 77. Kõigi muude varade kui kapitalinõuete määruse II lisas loetletud lepingute, krediidituletisinstrumentide ja väärtpaberite kaudu finantseerimise tehingute kohaldatava raamatupidamistava kohane raamatupidamislik bilansiline väärtus, eeldades raamatupidamisliku tasaarvestuse või muude krediidiriski maandamise mõjude puudumist (st raamatupidamisliku tasaarvestuse ja krediidiriski maandamise mõjud bilansilisele väärtusele tühistatakse).</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Bilansivälised kirjed</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esitavad bilansiväliste kirjete nimiväärtuse. Spetsiifilised krediidiriskiga korrigeerimised ei vähenda seda väärtust.</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ei võta sellel andmeväljal arvesse kapitalinõuete määruse II lisas loetletud lepinguid, krediidituletisinstrumente ega väärtpaberite kaudu finantseerimise tehinguid, järgides kapitalinõuete määruse artikli 429f lõiget 1.</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Tuletisinstrumentidega tehtud tehingute raames saadud rahaline tagatis – bilansiline väärtus, eeldades tasaarvestuse või muu krediidiriski maandamise puudumist</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Tuletisinstrumentidega tehtud tehingute raames saadud rahalise tagatise kohaldatava raamatupidamistava kohane raamatupidamislik bilansiline väärtus, eeldades raamatupidamisliku tasaarvestuse või muude krediidiriski maandamise mõjude puudumist (st raamatupidamisliku tasaarvestuse ja krediidiriski maandamise mõjud bilansilisele väärtusele tühistatakse)</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Sellel andmeväljal tähendab rahaline tagatis raha (sealhulgas müntide ja pangatähtede/valuuta) kogusummat. Keskpankades hoitavate hoiuste kogusumma hõlmatakse selles ulatuses, milles neid hoiuseid saab stressiolukorras välja võtta. Krediidiasutused ja investeerimisühingud ei kajasta sellel andmeväljal raha, mis on hoiustatud teistes krediidiasutustes ja investeerimisühingutes.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Tuletisinstrumentidega tehtud tehingute raames antud rahalise tagatisega seotud saadaolevad nõuded – bilansiline väärtus, eeldades tasaarvestuse või muu krediidiriski maandamise puudumist</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Tuletisinstrumentidega tehtud tehingute raames tagatiseks antud rahalise tagatisega seotud saadaolevate nõuete kohaldatava raamatupidamistava kohane raamatupidamislik bilansiline väärtus, eeldades raamatupidamisliku tasaarvestuse või krediidiriski maandamise mõju puudumist (st raamatupidamisliku tasaarvestuse ja krediidiriski maandamise mõjud bilansilisele väärtusele tühistatakse)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Krediidiasutused ja investeerimisühingud, kellel on kohaldatava raamatupidamistava kohaselt lubatud antud rahalise tagatisega seotud saadaolevad nõuded tasaarvestada seonduvate tuletisinstrumentidest tulenevate kohustustega (negatiivne õiglane väärtus) ning kes otsustavad seda võimalust kasutada, peavad tasaarvestamise tühistama ning kajastama saadaoleva rahalise nõude netosummas.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 raames saadud väärtpaberid, mida kajastatakse varana – bilansiline väärtus, eeldades tasaarvestuse või muu krediidiriski maandamise puudumist</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Väärtpaberite kaudu finantseerimise tehingute raames saadud väärtpaberite kohaldatava raamatupidamistava kohane raamatupidamislik bilansiline väärtus, kui väärtpabereid kajastatakse kohaldatava raamatupidamistava kohaselt varana, eeldades raamatupidamisliku tasaarvestuse või muude krediidiriski maandamise mõjude puudumist (st raamatupidamisliku tasaarvestuse ja krediidiriski maandamise mõjud bilansilisele väärtusele tühistatakse).</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Väärtpaberite kaudu finantseerimise tehing, kus toimub rahalise tagatise edasilaenamisega väärtpaberite edasilaenamine (saadaolevad rahalised </w:t>
            </w:r>
            <w:r>
              <w:rPr>
                <w:rFonts w:ascii="Times New Roman" w:hAnsi="Times New Roman"/>
                <w:b/>
                <w:bCs/>
                <w:sz w:val="24"/>
                <w:szCs w:val="24"/>
              </w:rPr>
              <w:lastRenderedPageBreak/>
              <w:t>nõuded) – bilansiline väärtus, eeldades tasaarvestuse või muu krediidiriski maandamise puudumist</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Kvalifitseeruvate rahalise tagatise edasilaenamisega väärtpaberite edasilaenamise tehingute raames väärtpaberite omanikule edasilaenatud rahast tulenevate saadaolevate rahaliste nõuete kohaldatava raamatupidamistava kohane raamatupidamislik bilansiline väärtus, eeldades raamatupidamisliku tasaarvestuse või muude krediidiriski maandamise mõjude puudumist (st raamatupidamisliku tasaarvestuse ja krediidiriski maandamise mõjud bilansilisele väärtusele tühistatakse).</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Sellel andmeväljal tähendab rahaline tagatis raha (sealhulgas müntide ja pangatähtede/valuuta) kogusummat. Keskpankades hoitavate hoiuste kogusumma hõlmatakse selles ulatuses, milles neid hoiuseid saab stressiolukorras välja võtta. Krediidiasutused ja investeerimisühingud ei kajasta sellel andmeväljal raha, mis on hoiustatud teistes krediidiasutustes ja investeerimisühingutes.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Rahalise tagatise edasilaenamisega väärtpaberite edasilaenamise tehing tähendab kombinatsiooni kahest tehingust, kus krediidiasutus või investeerimisühing ühelt poolt laenab väärtpaberite omanikult väärtpaberid ja laenab need edasi väärtpaberite laenuksvõtjale. Teiselt poolt saab ta väärtpaberite laenuksvõtjalt rahalise tagatise ja laenab saadud raha edasi väärtpaberite omanikule. Kvalifitseeruv rahalise tagatise edasilaenamisega väärtpaberite edasilaenamise tehing peab vastama kõikidele järgmistele tingimustele:</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mõlemad kvalifitseeruvasse rahalise tagatise edasilaenamisega väärtpaberite edasilaenamise tehingusse kuuluvad üksiktehingud toimuvad kas samal tehingupäeval või rahvusvaheliste tehingute puhul kahel järjestikusel tööpäeval;</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kui rahalise tagatise edasilaenamisega väärtpaberite edasilaenamise tehingusse kuuluvates üksiktehingutes ei ole lõpptähtaega täpsustatud, on krediidiasutusel või investeerimisühingul juriidiline õigus sulgeda igal ajal etteteatamiseta ükskõik kumb rahalise tagatise edasilaenamisega väärtpaberite edasilaenamise tehingu pool (st mõlemad selle raamesse kuuluvad üksiktehingud);</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kui rahalise tagatise edasilaenamisega väärtpaberite edasilaenamise tehingusse kuuluvates üksiktehingutes on lõpptähtaeg täpsustatud, ei tulene rahalise tagatise edasilaenamisega väärtpaberite edasilaenamise tehingust krediidiasutuse või investeerimisühingu jaoks lõpptähtaegade mittevastavusi; samuti on krediidiasutusel või investeerimisühingul juriidiline õigus sulgeda igal ajal etteteatamiseta ükskõik kumb rahalise tagatise edasilaenamisega väärtpaberite edasilaenamise tehingu pool (st mõlemad selle raamesse kuuluvad üksiktehingud);</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lastRenderedPageBreak/>
              <w:t>d)</w:t>
            </w:r>
            <w:r>
              <w:tab/>
            </w:r>
            <w:r>
              <w:rPr>
                <w:rFonts w:ascii="Times New Roman" w:hAnsi="Times New Roman"/>
                <w:sz w:val="24"/>
                <w:szCs w:val="24"/>
              </w:rPr>
              <w:t>see ei too kaasa ühtki muud täiendavat riskipositsiooni.</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Avaliku sektori investeeringud – nõuded keskvalitsuste vastu – bilansiline väärtus</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Kui krediidiasutus või investeerimisühing on avaliku sektori arengukrediidiasutus, selliste varade kohaldatava raamatupidamistava kohane bilansiline väärtus, mis on avaliku sektori investeeringutega seotud nõuded keskvalitsuste vastu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Kajastatakse ka sellise krediidiasutuse või investeerimisühingu bilansilised väärtused, mida pädev asutus käsitab kapitalinõuete määruse artikli 429a lõike 2 viimase lõigu kohaselt avaliku sektori arengukrediidiasutusena.</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Avaliku sektori investeeringud – nõuded piirkondlike valitsuste vastu – bilansiline väärtus</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Kui krediidiasutus või investeerimisühing on avaliku sektori arengukrediidiasutus, selliste varade kohaldatava raamatupidamistava kohane bilansiline väärtus, mis on avaliku sektori investeeringutega seotud nõuded piirkondlike valitsuste vastu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Kajastatakse ka sellise krediidiasutuse või investeerimisühingu bilansilised väärtused, mida pädev asutus käsitab kapitalinõuete määruse artikli 429a lõike 2 viimase lõigu kohaselt avaliku sektori arengukrediidiasutusena.</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Avaliku sektori investeeringud – nõuded kohalike omavalitsuste vastu – bilansiline väärtus</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avaliku sektori investeeringutega seotud nõuded kohalike omavalitsuste vastu</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Kajastatakse ka sellise krediidiasutuse või investeerimisühingu bilansilised väärtused, mida pädev asutus käsitab kapitalinõuete määruse artikli 429a lõike 2 viimase lõigu kohaselt avaliku sektori arengukrediidiasutusena.</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Avaliku sektori investeeringud – nõuded avaliku sektori asutuste vastu – bilansiline väärtus</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avaliku sektori investeeringutega seotud nõuded avaliku sektori asutuste vastu</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nõuded keskvalitsuste vastu – bilansiline väärtus</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Kui krediidiasutus või investeerimisühing on avaliku sektori arengukrediidiasutus, selliste varade kohaldatava raamatupidamistava kohane bilansiline väärtus, mis on tugilaenudega seotud nõuded keskvalitsuste vastu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keskvalitsuste vastu – tinglik väärtus /nimiväärtus</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keskvalitsustele antud tugilaenude kasutamata osaga</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nõuded piirkondlike valitsuste vastu – bilansiline väärtus</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tugilaenudega seotud nõuded piirkondlike valitsuste vastu</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piirkondlike valitsuste vastu – tinglik väärtus / nimiväärtus</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piirkondlikele valitsustele antud tugilaenude kasutamata osaga</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nõuded kohalike omavalitsuste vastu – bilansiline väärtus</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tugilaenudega seotud nõuded kohalike omavalitsuste vastu</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lastRenderedPageBreak/>
              <w:t>Sellise krediidiasutuse või investeerimisühingu üksuse bilansilised väärtused, mida pädev asutus käsitab kapitalinõuete määruse artikli 429a lõike 2 viimase lõigu kohaselt avaliku sektori arengukrediidiasutusena.</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kohalike omavalitsuste vastu – tinglik väärtus /nimiväärtus</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kohalikele omavalitsustele antud tugilaenude kasutamata osaga</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nõuded avaliku sektori asutuste vastu – bilansiline väärtus</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tugilaenudega seotud nõuded avaliku sektori asutuste vastu</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avaliku sektori asutuste vastu – tinglik väärtus / nimiväärtus</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avaliku sektori asutusele antud tugilaenude kasutamata osaga</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finantssektoriväliste äriühingute vastu – bilansiline väärtus</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tugilaenudega seotud nõuded finantssektoriväliste äriühingute vastu</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finantssektoriväliste äriühingute vastu – tinglik väärtus / nimiväärtus</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finantssektorivälistele äriühingutele antud tugilaenude kasutamata osaga</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kodumajapidamiste vastu – bilansiline väärtus</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varade kohaldatava raamatupidamistava kohane bilansiline väärtus, mis on tugilaenudega seotud nõuded kodumajapidamiste vastu</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Tugilaenud – nõuded kodumajapidamiste vastu – tinglik väärtus / nimiväärtus</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Kui krediidiasutus või investeerimisühing on avaliku sektori arengukrediidiasutus, selliste bilansiväliste kirjete nimiväärtus, mis on seotud kodumajapidamistele antud tugilaenude kasutamata osaga</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Arvesse võetakse ka krediidiasutuse või investeerimisühingu sellise üksuse nimiväärtused, mida pädev asutus käsitab kapitalinõuete määruse artikli 429a lõike 2 viimase lõigu kohaselt avaliku sektori arengukrediidiasutusena.</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vahendatud – bilansiline väärtus</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Kui krediidiasutus või investeerimisühing on avaliku sektori arengukrediidiasutus, kohaldatava raamatupidamistava kohane vahendatud (mitte ise antud) tugilaenude bilansiline väärtus</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Sellise krediidiasutuse või investeerimisühingu üksuse bilansilised väärtused, mida pädev asutus käsitab kapitalinõuete määruse artikli 429a lõike 2 viimase lõigu kohaselt avaliku sektori arengukrediidiasutusena.</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Tugilaenud – vahendatud – tinglik väärtus / nimiväärtus</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Kui krediidiasutus või investeerimisühing on avaliku sektori arengukrediidiasutus, selliste bilansiväliste kirjete nimiväärtus, mis on seotud vahendatud (mitte ise antud) tugilaenude kasutamata osaga</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Arvesse võetakse ka krediidiasutuse või investeerimisühingu sellise üksuse nimiväärtused, mida pädev asutus käsitab kapitalinõuete määruse artikli 429a lõike 2 viimase lõigu kohaselt avaliku sektori arengukrediidiasutusena.</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Keskpangaga seotud riskipositsioonid – bilansiline väärtus</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Krediidiasutused ja investeerimisühingud esitavad kohaldatava raamatupidamistava kohaselt järgmiste keskpangaga seotud riskipositsioonide väärtuse: i) mündid ja pangatähed keskpanga jurisdiktsiooni ametlikus valuutas; ii) varad, mis kujutavad endast nõudeid keskpanga vastu (sh seal hoitavad reservid).</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Krediidiasutused ja investeerimisühingud võtavad arvesse vaid mõlemale järgmisele tingimusele vastavaid riskipositsioone: a) need on nomineeritud samas valuutas kui krediidiasutuse või investeerimisühingu kaasatud hoiused; b) nende keskmine pikkus ei ületa märkimisväärselt krediidiasutuse või investeerimisühingu kaasatavate hoiuste keskmist pikkust.</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Krediidiasutused ja investeerimisühingud esitavad need riskipositsioonid olenemata sellest, kas need on koguriskipositsiooni näitajast kapitalinõuete määruse artikli 429a lõigete 5 ja 6 kohaselt välja jäetud või mitte.</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{0390;0140}</w:t>
            </w:r>
          </w:p>
        </w:tc>
        <w:tc>
          <w:tcPr>
            <w:tcW w:w="7620" w:type="dxa"/>
            <w:tcBorders>
              <w:top w:val="single" w:sz="4" w:space="0" w:color="auto"/>
              <w:left w:val="single" w:sz="4" w:space="0" w:color="auto"/>
              <w:bottom w:val="single" w:sz="4" w:space="0" w:color="auto"/>
              <w:right w:val="single" w:sz="4" w:space="0" w:color="auto"/>
            </w:tcBorders>
          </w:tcPr>
          <w:p w14:paraId="61B3D8C3" w14:textId="4F9489C7"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Keskpangaga seotud riskipositsioonide väärtus, mida kasutatakse kapitalinõuete määruse artikli 429a lõikes 7 sätestatud korrigeeritud finantsvõimenduse määra nõude</w:t>
            </w:r>
            <w:r w:rsidR="00D536D6">
              <w:rPr>
                <w:rFonts w:ascii="Times New Roman" w:hAnsi="Times New Roman"/>
                <w:b/>
                <w:bCs/>
                <w:sz w:val="24"/>
                <w:szCs w:val="24"/>
              </w:rPr>
              <w:t xml:space="preserve"> </w:t>
            </w:r>
            <w:r>
              <w:rPr>
                <w:rFonts w:ascii="Times New Roman" w:hAnsi="Times New Roman"/>
                <w:b/>
                <w:bCs/>
                <w:sz w:val="24"/>
                <w:szCs w:val="24"/>
              </w:rPr>
              <w:t>arvutamiseks – finantsvõimenduse määra riskipositsiooni summa</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Krediidiasutuse või investeerimisühingu selliste riskipositsioonide päeva keskmine koguväärtus, mis on seotud tema keskpangaga ja mis on arvutatud keskpanga kohustuslike reservide hoidmisperioodi jooksul, mis vahetult eelneb kapitalinõuete määruse artikli 429a lõike 5 punktis c osutatud kuupäevale ja mida võib artikli 429a lõike 1 punkti n kohaselt välja jätta.</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Finantsvõimenduse määra riskipositsiooni näitaja, mida kasutatakse kapitalinõuete määruse artikli 429a lõikes 7 sätestatud korrigeeritud finantsvõimenduse määra nõude arvutamiseks – finantsvõimenduse määra riskipositsiooni summa</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Krediidiasutuse või investeerimisühingu koguriskipositsiooni näitaja (määratlus kapitalinõuete määruse artikli 429 lõikes 4) (sh riskipositsioonid, mis on artikli 429 lõike 1 punkti n kohaselt välja jäetud) nimetatud määruse artikli 429a lõike 5 punktis c osutatud kuupäeva seisuga</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Varad kokku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Krediidiasutused ja investeerimisühingud esitavad selles kirjes koguvara, lähtudes avaldatud finantsaruannete ulatusest.</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585534"/>
      <w:bookmarkStart w:id="74" w:name="_Toc322533879"/>
      <w:bookmarkEnd w:id="58"/>
      <w:bookmarkEnd w:id="66"/>
      <w:bookmarkEnd w:id="67"/>
      <w:bookmarkEnd w:id="68"/>
      <w:r>
        <w:rPr>
          <w:rFonts w:ascii="Times New Roman" w:hAnsi="Times New Roman"/>
          <w:b/>
          <w:sz w:val="24"/>
          <w:szCs w:val="24"/>
        </w:rPr>
        <w:lastRenderedPageBreak/>
        <w:t>5.</w:t>
      </w:r>
      <w:r>
        <w:tab/>
      </w:r>
      <w:r>
        <w:rPr>
          <w:rFonts w:ascii="Times New Roman" w:hAnsi="Times New Roman"/>
          <w:b/>
          <w:sz w:val="24"/>
          <w:szCs w:val="24"/>
        </w:rPr>
        <w:t>C 43.00 – Finantsvõimenduse määra riskipositsiooni näitaja komponentide alternatiivne jaotus (LR4)</w:t>
      </w:r>
      <w:bookmarkEnd w:id="69"/>
      <w:bookmarkEnd w:id="70"/>
      <w:bookmarkEnd w:id="71"/>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Krediidiasutused ja investeerimisühingud esitavad vormi LR4 finantsvõimenduse määra riskipositsiooni väärtused (v.a read {0270;0010} ja {0280;0010}) pärast vormil LRCalc esitatud erandite ja mahaarvamiste (st miinusmärgiga kirjed käesoleva lisa I osa 9. punktis sätestatud märgitava kohaselt) kohaldamist.</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tab/>
      </w:r>
      <w:r>
        <w:rPr>
          <w:rFonts w:ascii="Times New Roman" w:hAnsi="Times New Roman"/>
          <w:sz w:val="24"/>
          <w:szCs w:val="24"/>
        </w:rPr>
        <w:t>Selleks et vältida topelt arvessevõtmist, järgivad krediidiasutused ja investeerimisühingud järgmist valemit:</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vormi LRCalc ridade {0010;0010}–{0267;0010} summa = [{LR4;0010;0010} + {LR4;0040;0010} + {LR4;0050;0010} + {LR4;0060;0010} + {LR4;0065;0010} + {LR4;0070;0010} + {LR4;0080;0010} + {LR40;0080;0020} + {LR4;0090;0010} + {LR4;0090;0020} + {LR4;0140;0010} + {LR4;0140;0020} + {LR4;0180;0010} + {LR4;0180;0020} + {LR4;0190;0010}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Et tagada kooskõla finantsvõimenduse määra riskipositsiooni väärtustega, esitatakse ka riskiga kaalutud riskipositsiooni summad täielikult rakendatud määratluse kohaselt.</w:t>
      </w:r>
    </w:p>
    <w:p w14:paraId="794DC095" w14:textId="41BD12CD"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27. Krediidiasutused ja investeerimisühingud esitavad riskiga kaalutud riskipositsiooni summaga (pärast krediidiriski maandamise tehnikate ja asendusmõju arvesse võtmist) seotud vastaspoole. Krediidiasutused ja investeerimisühingud esitavad finantsvõimenduse määra riskipositsiooniga seotud vastaspoole, lähtudes algsest vastaspoolest (st riskiga kaalutud riskipositsiooni puhul krediidiriski maandamist ja asendusmõju arvesse võtmata).</w:t>
      </w:r>
      <w:r w:rsidR="00D536D6">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Rida ja veerg</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Viited õigussätetele ja juhised</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Bilansivälised kirjed – finantsvõimenduse määra riskipositsiooni väärtus</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andmeväljade {LRCalc;0150;0010}, {LRCalc;0160;0010}, {LRCalc;0170;0010} ja {LRCalc;0180;0010} summana (v.a grupisisesed riskipositsioonid (individuaalsed), mis on välja jäetud vastavalt kapitalinõuete määruse artikli 429a lõike 1 punktile c).</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Bilansivälised kirjed – riskiga kaalutud riskipositsiooni summa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Bilansiväliste kirjete (v.a väärtpaberite kaudu finantseerimise tehingute ja tuletisinstrumentide) riskiga kaalutud riskipositsiooni summa, mis on arvutatud standardmeetodi või sisereitingute meetodi kohaselt. </w:t>
            </w:r>
            <w:r>
              <w:rPr>
                <w:rFonts w:ascii="Times New Roman" w:hAnsi="Times New Roman"/>
                <w:sz w:val="24"/>
                <w:szCs w:val="24"/>
              </w:rPr>
              <w:t xml:space="preserve">Standardmeetodi kohaste riskipositsioonide puhul selgitavad krediidiasutused ja investeerimisühingud riskiga kaalutud riskipositsiooni summa välja kapitalinõuete määruse III osa II jaotise 2. peatükki järgides. Sisereitingute meetodi kohaste riskipositsioonide puhul selgitavad </w:t>
            </w:r>
            <w:r>
              <w:rPr>
                <w:rFonts w:ascii="Times New Roman" w:hAnsi="Times New Roman"/>
                <w:sz w:val="24"/>
                <w:szCs w:val="24"/>
              </w:rPr>
              <w:lastRenderedPageBreak/>
              <w:t>krediidiasutused ja investeerimisühingud riskiga kaalutud riskipositsiooni summa välja kapitalinõuete määruse III osa II jaotise 3. peatükki järgides.</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kaubanduse rahastamine – finantsvõimenduse määra riskipositsiooni väärtus</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kaubanduse rahastamisega seotud bilansiväliste kirjete puhul</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Vormis LR4 kajastamise eesmärgil tähendavad kaubanduse rahastamisega seotud bilansivälised kirjed väljastatud ja kinnitatud impordi- ja ekspordiakreditiive, mis on lühiajalised ja automaatselt likvideeruvad, ning muid samalaadseid tehinguid.</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kaubanduse rahastamine – riskiga kaalutud riskipositsiooni summa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väärtus kaubanduse rahastamisega seotud bilansiväliste kirjete (v.a väärtpaberite kaudu finantseerimise tehingud ja tuletisinstrumendid) puhul.</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Vormis LR4 kajastamise eesmärgil tähendavad kaubanduse rahastamisega seotud bilansivälised kirjed väljastatud ja kinnitatud impordi- ja ekspordiakreditiive, mis on lühiajalised ja automaatselt likvideeruvad, ning muid samalaadseid tehinguid.</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ametliku ekspordikrediidikindlustuse skeemi alusel – finantsvõimenduse määra riskipositsiooni väärtus</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Finantsvõimenduse määra riskipositsiooni väärtus ametliku ekspordikrediidikindlustuse skeemi alusel kaubanduse rahastamisega seotud bilansiväliste kirjete puhul.</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ametliku ekspordikrediidikindlustuse skeemi alusel – riskiga kaalutud riskipositsiooni summa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Riskiga kaalutud riskipositsiooni väärtus ametliku ekspordikrediidikindlustuse skeemi alusel kaubanduse rahastamisega seotud bilansiväliste kirjete (v.a väärtpaberite kaudu finantseerimise tehingud ja tuletisinstrumendid) puhul.</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lastRenderedPageBreak/>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Tuletisinstrumendid ja väärtpaberite kaudu finantseerimise tehingud, mille suhtes kohaldatakse toodetevahelise tasaarvestuse kokkulepet – finantsvõimenduse määra riskipositsiooni väärtus</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Finantsvõimenduse määra riskipositsiooni väärtus sellistest tuletisinstrumentidest ja väärtpaberite kaudu finantseerimise tehingutest tulenevate riskipositsioonide korral, mille suhtes kohaldatakse kapitalinõuete määruse artikli 272 punktis 25 määratletud toodetevahelise tasaarvestuse kokkulepet.</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Tuletisinstrumendid ja väärtpaberite kaudu finantseerimise tehingud, mille suhtes kohaldatakse toodetevahelise tasaarvestuse kokkulepet – riskiga kaalutud riskipositsiooni summa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Kapitalinõuete määruse III osa II jaotise kohaselt arvutatud riskiga kaalutud riskipositsiooni summad krediidiriski ja vastaspoole krediidiriski puhul selliste (sh bilansiväliste) tuletisinstrumentide ja väärtpaberite kaudu finantseerimise tehingute korral, mille suhtes kohaldatakse kapitalinõuete määruse artikli 272 punktis 25 määratletud toodetevahelise tasaarvestuse kokkulepet.</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Tuletisinstrumendid, mille suhtes ei kohaldata toodetevahelise tasaarvestuse kokkulepet – finantsvõimenduse määra riskipositsiooni väärtus</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Finantsvõimenduse määra riskipositsiooni väärtus tuletisinstrumentide puhul, mille suhtes ei kohaldata kapitalinõuete määruse artikli 272 punktis 25 määratletud toodetevahelise tasaarvestuse kokkulepet.</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Tuletisinstrumendid, mille suhtes ei kohaldata toodetevahelise tasaarvestuse kokkulepet – riskiga kaalutud riskipositsiooni summa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Kapitalinõuete määruse III osa II jaotise kohaselt arvutatud riskiga kaalutud riskipositsiooni summad krediidiriski ja vastaspoole krediidiriski puhul selliste (sh bilansiväliste) tuletisinstrumentide korral, mille suhtes ei kohaldata nimetatud määruse artikli 272 punktis 25 määratletud toodetevahelise tasaarvestuse kokkulepet</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Väärtpaberite kaudu finantseerimise tehingud, mille suhtes ei kohaldata toodetevahelise tasaarvestuse kokkulepet – finantsvõimenduse määra riskipositsiooni väärtus</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Finantsvõimenduse määra riskipositsiooni väärtus sellistest väärtpaberite kaudu finantseerimise tehingutest tulenevate riskipositsioonide korral, mille suhtes ei kohaldata kapitalinõuete määruse artikli 272 punktis 25 määratletud toodetevahelise tasaarvestuse kokkulepet</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Väärtpaberite kaudu finantseerimise tehingud, mille suhtes ei kohaldata toodetevahelise tasaarvestuse kokkulepet – riskiga kaalutud riskipositsiooni summa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Kapitalinõuete määruse III osa II jaotise kohaselt arvutatud riskiga kaalutud riskipositsiooni summad krediidiriski ja vastaspoole krediidiriski puhul selliste (sh bilansiväliste) väärtpaberite kaudu finantseerimise tehingute korral, mille suhtes ei kohaldata nimetatud määruse artikli 272 punktis 25 määratletud toodetevahelise tasaarvestuse kokkulepet</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Riskipositsioonid, mis tulenevad krediidituletisinstrumentide täiendavast käsitlusest – finantsvõimenduse määra riskipositsiooni väärtus</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See andmeväli peab võrduma andmeväljade {LRCalc;0130;0010} ja {LRCalc;0140;0010} vahega (v.a vastavad individuaalsed grupisisesed riskipositsioonid, mis on kapitalinõuete määruse artikli 429a lõike 1 punkti c kohaselt välja jäetud).</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Muud kauplemisportfelli kuuluvad varad – finantsvõimenduse määra riskipositsiooni väärtus</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Andmeväljal {LRCalc;0190;0010} kajastatud kirjete (v.a kauplemisportfelliväliste kirjete) finantsvõimenduse määra riskipositsiooni väärtus.</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Muud kauplemisportfelli kuuluvad varad – riskiga kaalutud riskipositsiooni summa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Kapitalinõuete määruse III osa IV jaotise kohaldamisalasse kuuluvate kirjete omavahendite nõuded korrutatuna 12,5ga.</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Pandikirjad – finantsvõimenduse määra riskipositsiooni väärtus – standardmeetodi kohased riskipositsioonid</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selliste varade puhul, mis on kapitalinõuete määruse artiklis 129 sätestatud pandikirjadest tulenevad standardmeetodi kohased riskipositsioonid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Pandikirjad – finantsvõimenduse määra riskipositsiooni väärtus – sisereitingute meetodi kohased riskipositsioonid</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selliste varade puhul, mis on kapitalinõuete määruse artikli 161 lõike 1 punktis d sätestatud pandikirjadest tulenevad sisereitingute meetodi kohased riskipositsioonid</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Pandikirjad – riskiga kaalutud riskipositsiooni summa – standardmeetodi kohased riskipositsioonid</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selliste varade puhul, mis on kapitalinõuete määruse artiklis 129 sätestatud pandikirjadest tulenevad standardmeetodi kohased riskipositsioonid.</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Pandikirjad – riskiga kaalutud riskipositsiooni summa – sisereitingute meetodi kohased riskipositsioonid</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selliste varade puhul, mis on kapitalinõuete määruse artikli 161 lõike 1 punktis d osutatud pandikirjadest tulenevad sisereitingute meetodi kohased riskipositsioonid</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Riskipositsioonid, mida käsitatakse keskvalitsusega seotutena – finantsvõimenduse määra riskipositsiooni väärtus – standardmeetodi kohased riskipositsioonid</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{0100;0010}–{0130;0010} summa.</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Riskipositsioonid, mida käsitatakse keskvalitsusega seotutena – finantsvõimenduse määra riskipositsiooni väärtus – sisereitingute meetodi kohased riskipositsioonid</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{0100;0020}–{0130;0020} summa.</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Krediidiasutused ja investeerimisühingud kajastavad selle pärast makseviivituses olevate sisereitingute meetodi kohaste riskipositsioonide mahaarvamist.</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Riskipositsioonid, mida käsitatakse keskvalitsusega seotutena – riskiga kaalutud riskipositsiooni summa – standardmeetodi kohased riskipositsioonid</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{0100;0030}–{0130;0030} summa.</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Riskipositsioonid, mida käsitatakse keskvalitsusega seotutena – riskiga kaalutud riskipositsiooni summa – sisereitingute meetodi kohased riskipositsioonid</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{0100;0040}–{0130;0040} summa.</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Keskvalitsused ja keskpangad</w:t>
            </w:r>
            <w:r>
              <w:rPr>
                <w:rFonts w:ascii="Times New Roman" w:hAnsi="Times New Roman"/>
                <w:b/>
                <w:sz w:val="24"/>
                <w:szCs w:val="24"/>
              </w:rPr>
              <w:t xml:space="preserve"> – finantsvõimenduse määra riskipositsiooni väärtus – standardmeetodi kohased riskipositsioonid</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selliste varade puhul, mis on kapitalinõuete määruse artiklis 114 osutatud standardmeetodi kohased keskvalitsuste või keskpankadega seotud riskipositsioonid</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Keskvalitsused ja keskpangad</w:t>
            </w:r>
            <w:r>
              <w:rPr>
                <w:rFonts w:ascii="Times New Roman" w:hAnsi="Times New Roman"/>
                <w:b/>
                <w:sz w:val="24"/>
                <w:szCs w:val="24"/>
              </w:rPr>
              <w:t xml:space="preserve"> – finantsvõimenduse määra riskipositsiooni väärtus – sisereitingute meetodi kohased riskipositsioonid</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selliste varade puhul, mis on kapitalinõuete määruse artikli 147 lõike 2 punktis a osutatud sisereitingute meetodi kohased keskvalitsuste või keskpankadega seotud riskipositsioonid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Keskvalitsused ja keskpangad – riskiga kaalutud riskipositsiooni summa – standardmeetodi kohased riskipositsioonid</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Riskiga kaalutud riskipositsiooni summa selliste varade puhul, mis on kapitalinõuete määruse artiklis 114 osutatud standardmeetodi kohased keskvalitsuste või keskpankadega seotud riskipositsioonid</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Keskvalitsused ja keskpangad – riskiga kaalutud riskipositsiooni summa – sisereitingute meetodi kohased riskipositsioonid</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selliste varade puhul, mis on kapitalinõuete määruse artikli 147 lõike 2 punktis a osutatud sisereitingute meetodi kohased keskvalitsuste või keskpankadega seotud riskipositsioonid</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käsitatakse keskvalitsusega seotutena – finantsvõimenduse määra riskipositsiooni väärtus – standardmeetodi kohased riskipositsioonid</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115 lõigetega 2 ja 4 hõlmatud standardmeetodi kohased riskipositsioonid, mis on seotud piirkondlike valitsuste ja kohalike omavalitsustega ja mida käsitatakse keskvalitsusega seotutena</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käsitatakse keskvalitsusega seotutena – finantsvõimenduse määra riskipositsiooni väärtus – sisereitingute meetodi kohased riskipositsioonid</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Finantsvõimenduse määra riskipositsiooni väärtus varade puhul, mis on kapitalinõuete määruse artikli 147 lõike 3 punktiga a hõlmatud sisereitingute meetodi kohased piirkondlike valitsuste ja kohalike omavalitsustega seotud riskipositsioonid</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Piirkondlike valitsuste ja kohalike omavalitsustega seotud riskipositsioonid, mida käsitatakse keskvalitsusega seotutena – riskiga </w:t>
            </w:r>
            <w:r>
              <w:rPr>
                <w:rFonts w:ascii="Times New Roman" w:hAnsi="Times New Roman"/>
                <w:b/>
                <w:bCs/>
                <w:sz w:val="24"/>
                <w:szCs w:val="24"/>
              </w:rPr>
              <w:lastRenderedPageBreak/>
              <w:t>kaalutud riskipositsiooni summa – standardmeetodi kohased riskipositsioonid</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115 lõigetega 2 ja 4 hõlmatud standardmeetodi kohased riskipositsioonid, mis on seotud piirkondlike valitsuste ja kohalike omavalitsustega ja mida käsitatakse keskvalitsusega seotutena</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Piirkondlike valitsuste ja kohalike omavalitsustega seotud riskipositsioonid, mida käsitatakse keskvalitsusega seotutena – riskiga kaalutud riskipositsiooni summa – sisereitingute meetodi kohased riskipositsioonid</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Riskiga kaalutud riskipositsiooni summa varade puhul, mis on kapitalinõuete määruse artikli 147 lõike 3 punktiga a hõlmatud sisereitingute meetodi kohased piirkondlike valitsuste ja kohalike omavalitsustega seotud riskipositsioonid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Mitmepoolsete arengupankade ja rahvusvaheliste organisatsioonidega seotud riskipositsioonid, mida käsitatakse keskvalitsusega seotutena – finantsvõimenduse määra riskipositsiooni väärtus – standardmeetodi kohased riskipositsioonid</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varade puhul, mis on kapitalinõuete määruse artikli 117 lõikega 2 ja artikliga 118 hõlmatud standardmeetodi kohased mitmepoolsete arengupankade ja rahvusvaheliste organisatsioonidega seotud riskipositsiooniid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Mitmepoolsete arengupankade ja rahvusvaheliste organisatsioonidega seotud riskipositsioonid, mida käsitatakse keskvalitsusega seotutena – finantsvõimenduse määra riskipositsiooni väärtus – sisereitingute meetodi kohased riskipositsioonid</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varade puhul, mis on kapitalinõuete määruse artikli 147 lõike 3 punktidega b ja c hõlmatud </w:t>
            </w:r>
            <w:r>
              <w:rPr>
                <w:rFonts w:ascii="Times New Roman" w:hAnsi="Times New Roman"/>
                <w:bCs/>
                <w:sz w:val="24"/>
                <w:szCs w:val="24"/>
              </w:rPr>
              <w:lastRenderedPageBreak/>
              <w:t>sisereitingute meetodi kohased mitmepoolsete arengupankade ja rahvusvaheliste organisatsioonidega seotud riskipositsioonid</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Mitmepoolsete arengupankade ja rahvusvaheliste organisatsioonidega seotud riskipositsioonid, mida käsitatakse keskvalitsusega seotutena – riskiga kaalutud riskipositsiooni summa – standardmeetodi kohased riskipositsioonid</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117 lõikega 2 ja artikliga 118 hõlmatud standardmeetodi kohased mitmepoolsete arengupankade ja rahvusvaheliste organisatsioonidega seotud riskipositsioonid</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Mitmepoolsete arengupankade ja rahvusvaheliste organisatsioonidega seotud riskipositsioonid, mida käsitatakse keskvalitsusega seotutena – riskiga kaalutud riskipositsiooni summa – sisereitingute meetodi kohased riskipositsioonid</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147 lõike 3 punktidega b ja c hõlmatud sisereitingute meetodi kohased mitmepoolsete arengupankade ja rahvusvaheliste organisatsioonidega seotud riskipositsioonid</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Avaliku sektori asutustega seotud riskipositsioonid, mida käsitatakse keskvalitsusega seotutena – finantsvõimenduse määra riskipositsiooni väärtus – standardmeetodi kohased riskipositsioonid</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116 lõikega 4 hõlmatud standardmeetodi kohased avaliku sektori asutustega seotud riskipositsioonid</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Avaliku sektori asutustega seotud riskipositsioonid, mida käsitatakse keskvalitsusega seotutena – finantsvõimenduse määra riskipositsiooni väärtus – sisereitingute meetodi kohased riskipositsioonid</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summa varade puhul, mis on kapitalinõuete määruse artikli 147 lõike 3 punktiga a hõlmatud sisereitingute meetodi kohased avaliku sektori asutustega seotud riskipositsioonid</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Avaliku sektori asutustega seotud riskipositsioonid, mida käsitatakse keskvalitsusega seotutena – riskiga kaalutud riskipositsiooni summa – standardmeetodi kohased riskipositsioonid</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116 lõikega 4 hõlmatud standardmeetodi kohased avaliku sektori asutustega seotud riskipositsioonid</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Avaliku sektori asutustega seotud riskipositsioonid, mida käsitatakse keskvalitsusega seotutena – riskiga kaalutud riskipositsiooni summa – sisereitingute meetodi kohased riskipositsioonid</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147 lõike 3 punktiga a hõlmatud sisereitingute meetodi kohased avaliku sektori asutustega seotud riskipositsioonid</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mitmepoolsete arengupankade, rahvusvaheliste organisatsioonide ja avaliku sektori asutustega seotud riskipositsioonid, mida ei käsitata keskvalitsusega seotutena – finantsvõimenduse määra riskipositsiooni väärtus – standardmeetodi kohased riskipositsioonid</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{0150;0010}–{0170;0010} summa.</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mitmepoolsete arengupankade, rahvusvaheliste organisatsioonide ja avaliku sektori asutustega seotud riskipositsioonid, mida ei käsitata keskvalitsusega seotutena – finantsvõimenduse määra riskipositsiooni väärtus – sisereitingute meetodi kohased riskipositsioonid</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{0150;0020}–{0170;0020} summa.</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mitmepoolsete arengupankade, rahvusvaheliste organisatsioonide ja avaliku sektori asutustega seotud riskipositsioonid, mida ei käsitata keskvalitsusega seotutena – riskiga kaalutud riskipositsiooni summa – standardmeetodi kohased riskipositsioonid</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{0150;0030}–{0170;0030} summa.</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mitmepoolsete arengupankade, rahvusvaheliste organisatsioonide ja avaliku sektori asutustega seotud riskipositsioonid, mida ei käsitata keskvalitsusega seotutena – riskiga kaalutud riskipositsiooni summa – sisereitingute meetodi kohased riskipositsioonid</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{0150;0040}–{0170;0040} summa.</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ei käsitata keskvalitsusega seotutena – finantsvõimenduse määra riskipositsiooni väärtus – standardmeetodi kohased riskipositsioonid</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115 lõigetega 1, 3 ja 5 hõlmatud standardmeetodi kohased riskipositsioonid, mis on seotud piirkondlike valitsuste ja kohalike omavalitsustega ning mida ei käsitata keskvalitsusega seotutena</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Krediidiasutused ja investeerimisühingud kajastavad selle pärast makseviivituses olevate standardmeetodi kohaste riskipositsioonide mahaarvamist.</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ei käsitata keskvalitsusega seotutena – finantsvõimenduse määra riskipositsiooni väärtus – sisereitingute meetodi kohased riskipositsioonid</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147 lõike 4 punktiga a hõlmatud sisereitingute meetodi kohased riskipositsioonid, mis on seotud piirkondlike valitsuste ja kohalike omavalitsustega ning mida ei käsitata keskvalitsusega seotutena</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Krediidiasutused ja investeerimisühingud kajastavad selle pärast makseviivituses olevate sisereitingute meetodi kohaste riskipositsioonide mahaarvamist.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ei käsitata keskvalitsusega seotutena – riskiga kaalutud riskipositsiooni summa – standardmeetodi kohased riskipositsioonid</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115 lõigetega 1, 3 ja 5 hõlmatud standardmeetodi kohased riskipositsioonid, mis on seotud piirkondlike valitsuste ja kohalike omavalitsustega ning mida ei käsitata keskvalitsusega seotutena</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Piirkondlike valitsuste ja kohalike omavalitsustega seotud riskipositsioonid, mida ei käsitata keskvalitsusega seotutena – riskiga kaalutud riskipositsiooni summa – sisereitingute meetodi kohased riskipositsioonid</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147 lõike 4 punktiga a hõlmatud sisereitingute meetodi kohased riskipositsioonid, mis on seotud piirkondlike valitsuste ja kohalike omavalitsustega ning mida ei käsitata keskvalitsusega seotutena</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Mitmepoolsete arengupankadega seotud riskipositsioonid, mida </w:t>
            </w:r>
            <w:r>
              <w:rPr>
                <w:rFonts w:ascii="Times New Roman" w:hAnsi="Times New Roman"/>
                <w:b/>
                <w:sz w:val="24"/>
                <w:szCs w:val="24"/>
                <w:u w:val="single"/>
              </w:rPr>
              <w:t>ei</w:t>
            </w:r>
            <w:r>
              <w:rPr>
                <w:rFonts w:ascii="Times New Roman" w:hAnsi="Times New Roman"/>
                <w:b/>
                <w:sz w:val="24"/>
                <w:szCs w:val="24"/>
              </w:rPr>
              <w:t xml:space="preserve"> käsitata keskvalitsusega seotutena – finantsvõimenduse määra riskipositsiooni väärtus – standardmeetodi kohased riskipositsioonid</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varade puhul, mis on kapitalinõuete määruse artikli 117 lõigetega 1 ja 3 hõlmatud standardmeetodi kohased mitmepoolsete arengupankadega seotud riskipositsioonid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Mitmepoolsete arengupankadega seotud riskipositsioonid, mida </w:t>
            </w:r>
            <w:r>
              <w:rPr>
                <w:rFonts w:ascii="Times New Roman" w:hAnsi="Times New Roman"/>
                <w:b/>
                <w:sz w:val="24"/>
                <w:szCs w:val="24"/>
                <w:u w:val="single"/>
              </w:rPr>
              <w:t>ei</w:t>
            </w:r>
            <w:r>
              <w:rPr>
                <w:rFonts w:ascii="Times New Roman" w:hAnsi="Times New Roman"/>
                <w:b/>
                <w:sz w:val="24"/>
                <w:szCs w:val="24"/>
              </w:rPr>
              <w:t xml:space="preserve"> käsitata keskvalitsusega seotutena – finantsvõimenduse määra riskipositsiooni väärtus – sisereitingute meetodi kohased riskipositsioonid</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147 lõike 4 punktiga c hõlmatud sisereitingute meetodi kohased riskipositsioonid, mis on seotud mitmepoolsete arengupankadega ning mida ei käsitata keskvalitsusega seotutena</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Mitmepoolsete arengupankadega seotud riskipositsioonid, mida ei käsitata keskvalitsusega seotutena – riskiga kaalutud riskipositsiooni summa – standardmeetodi kohased riskipositsioonid</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Riskiga kaalutud riskipositsiooni summa varade puhul, mis on kapitalinõuete määruse artikli 117 lõigetega 1 ja 3 hõlmatud standardmeetodi kohased mitmepoolsete arengupankadega seotud riskipositsioonid</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Mitmepoolsete arengupankadega seotud riskipositsioonid, mida ei käsitata keskvalitsusega seotutena – riskiga kaalutud riskipositsiooni summa – sisereitingute meetodi kohased riskipositsioonid</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Riskiga kaalutud riskipositsiooni summa varade puhul, mis on kapitalinõuete määruse artikli 147 lõike 4 punktiga c hõlmatud sisereitingute meetodi kohased riskipositsioonid, mis on seotud </w:t>
            </w:r>
            <w:r>
              <w:rPr>
                <w:rFonts w:ascii="Times New Roman" w:hAnsi="Times New Roman"/>
                <w:bCs/>
                <w:sz w:val="24"/>
                <w:szCs w:val="24"/>
              </w:rPr>
              <w:lastRenderedPageBreak/>
              <w:t>mitmepoolsete arengupankadega ning mida ei käsitata keskvalitsusega seotutena</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Avaliku sektori asutustega seotud riskipositsioonid, mida ei käsitata keskvalitsusega seotutena – finantsvõimenduse määra riskipositsiooni väärtus – standardmeetodi kohased riskipositsioonid</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116 lõigetega 1, 2, 3 ja 5 hõlmatud standardmeetodi kohased avaliku sektori asutustega seotud riskipositsioonid</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Avaliku sektori asutustega seotud riskipositsioonid, mida ei käsitata keskvalitsusega seotutena – finantsvõimenduse määra riskipositsiooni väärtus – sisereitingute meetodi kohased riskipositsioonid</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147 lõike 4 punktiga b hõlmatud sisereitingute meetodi kohased riskipositsioonid, mis on seotud avaliku sektori asutustega ning mida ei käsitata keskvalitsusega seotutena</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Avaliku sektori asutustega seotud riskipositsioonid, mida ei käsitata keskvalitsusega seotutena – riskiga kaalutud riskipositsiooni summa – standardmeetodi kohased riskipositsioonid</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Riskiga kaalutud riskipositsiooni summa varade puhul, mis on kapitalinõuete määruse artikli 116 lõigetega 1, 2, 3 ja 5 hõlmatud standardmeetodi kohased avaliku sektori asutustega seotud riskipositsioonid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Avaliku sektori asutustega seotud riskipositsioonid, mida ei käsitata keskvalitsusega seotutena – riskiga kaalutud riskipositsiooni summa – sisereitingute meetodi kohased riskipositsioonid</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Riskiga kaalutud riskipositsiooni summa varade puhul, mis on kapitalinõuete määruse artikli 147 lõike 4 punktiga b hõlmatud sisereitingute meetodi kohased riskipositsioonid, mis on seotud avaliku sektori asutustega ning mida ei käsitata keskvalitsusega seotutena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Krediidiasutused ja investeerimisühingud – finantsvõimenduse määra riskipositsiooni väärtus – standardmeetodi kohased riskipositsioonid</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artiklitega 119–121 hõlmatud standardmeetodi kohased krediidiasutuste ja investeerimisühingutega seotud riskipositsioonid</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szCs w:val="24"/>
              </w:rPr>
              <w:t>Krediidiasutused ja investeerimisühingud – finantsvõimenduse määra riskipositsiooni väärtus – sisereitingute meetodi kohased riskipositsioonid</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Finantsvõimenduse määra riskipositsiooni väärtus varade puhul, mis on kapitalinõuete määruse artikli 147 lõike 2 punktiga b hõlmatud krediidiasutuste ja investeerimisühingutega seotud riskipositsioonid, mis ei ole sama määruse artikli 161 lõike 1 punkti d kohased pandikirjadest tulenevad riskipositsioonid ega hõlmatud nimetatud määruse artikli 147 lõike 4 punktidega a–c</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Krediidiasutused ja investeerimisühingud – riskiga kaalutud riskipositsiooni summa – standardmeetodi kohased riskipositsioonid</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artiklitega 119–121 hõlmatud standardmeetodi kohased krediidiasutuste ja investeerimisühingutega seotud riskipositsioonid</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Krediidiasutused ja investeerimisühingud – riskiga kaalutud riskipositsiooni summa – sisereitingute meetodi kohased riskipositsioonid</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 147 lõike 2 punktiga b hõlmatud krediidiasutuste ja investeerimisühingutega seotud riskipositsioonid, mis ei ole sama määruse artikli 161 lõike 1 punkti d kohased pandikirjadest tulenevad riskipositsioonid ega hõlmatud nimetatud määruse artikli 147 lõike 4 punktidega a–c</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Tagatud kinnisvarale seatud hüpoteegiga – finantsvõimenduse määra riskipositsiooni väärtus – standardmeetodi kohased riskipositsioonid</w:t>
            </w:r>
          </w:p>
          <w:p w14:paraId="17D67F5E" w14:textId="336F6A4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124 hõlmatud standardmeetodi kohased</w:t>
            </w:r>
            <w:r w:rsidR="00D536D6">
              <w:rPr>
                <w:rFonts w:ascii="Times New Roman" w:hAnsi="Times New Roman"/>
                <w:bCs/>
                <w:sz w:val="24"/>
                <w:szCs w:val="24"/>
              </w:rPr>
              <w:t xml:space="preserve"> </w:t>
            </w:r>
            <w:r>
              <w:rPr>
                <w:rFonts w:ascii="Times New Roman" w:hAnsi="Times New Roman"/>
                <w:bCs/>
                <w:sz w:val="24"/>
                <w:szCs w:val="24"/>
              </w:rPr>
              <w:t>kinnisvarale seatud hüpoteegiga tagatud riskipositsioonid</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Tagatud kinnisvarale seatud hüpoteegiga – finantsvõimenduse määra riskipositsiooni väärtus – sisereitingute meetodi kohased riskipositsioonid</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147 lõike 2 punktiga c hõlmatud sisereitingute meetodi kohased äriühingutega seotud riskipositsioonid või artikli 147 lõike 2 punktiga d hõlmatud jaeklientidega seotud riskipositsioonid, mis on tagatud nimetatud määruse artikli 199 lõike 1 punkti a kohase kinnisvarale seatud hüpoteegiga</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Tagatud kinnisvarale seatud hüpoteegiga – riskiga kaalutud riskipositsiooni summa – standardmeetodi kohased riskipositsioonid</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Riskiga kaalutud riskipositsiooni summa varade puhul, mis on kapitalinõuete määruse artikliga 124 hõlmatud standardmeetodi kohased kinnisvarale seatud hüpoteegiga tagatud riskipositsioonid</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Krediidiasutused ja investeerimisühingud kajastavad selle pärast makseviivituses olevate standardmeetodi kohaste riskipositsioonide mahaarvamist.</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Tagatud kinnisvarale seatud hüpoteegiga – riskiga kaalutud riskipositsiooni summa – sisereitingute meetodi kohased riskipositsioonid</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147 lõike 2 punktiga c hõlmatud sisereitingute meetodi kohased äriühingutega seotud riskipositsioonid või artikli 147 lõike 2 lõike punktiga d hõlmatud jaeklientidega seotud riskipositsioonid, mis on tagatud nimetatud määruse artikli 199 lõike 1 punkti a kohase kinnisvarale seatud hüpoteegiga</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tagatud elamukinnisvarale seatud hüpoteegiga – finantsvõimenduse määra riskipositsiooni väärtus – standardmeetodi kohased riskipositsioonid</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125 hõlmatud standardmeetodi kohased elamukinnisvarale seatud hüpoteegiga täielikult ja terviklikult tagatud riskipositsioonid</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szCs w:val="24"/>
              </w:rPr>
              <w:t>Millest: tagatud elamukinnisvarale seatud hüpoteegiga – finantsvõimenduse määra riskipositsiooni väärtus – sisereitingute meetodi kohased riskipositsioonid</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147 lõike 2 punktiga c hõlmatud olevad sisereitingute meetodi kohased äriühingutega seotud riskipositsioonid või artikli 147 lõike 2 punktiga d hõlmatud jaeklientidega seotud riskipositsioonid, mis on tagatud nimetatud määruse artikli 199 lõike 1 punkti a kohase kinnisvarale seatud hüpoteegiga</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tagatud elamukinnisvarale seatud hüpoteegiga – riskiga kaalutud riskipositsiooni summa – standardmeetodi kohased riskipositsioonid</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125 hõlmatud standardmeetodi kohased elamukinnisvarale seatud hüpoteegiga täielikult ja terviklikult tagatud riskipositsioonid</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tagatud elamukinnisvarale seatud hüpoteegiga – riskiga kaalutud riskipositsiooni summa – sisereitingute meetodi kohased riskipositsioonid</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 147 lõike 2 punktiga c hõlmatud sisereitingute meetodi kohased äriühingutega seotud riskipositsioonid või artikli 147 lõike 2 lõike punkti d kohased jaeklientidega seotud riskipositsioonid, mis on tagatud nimetatud määruse artikli 199 lõike 1 punkti a kohase elamukinnisvarale seatud hüpoteegiga</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Jaeklientidega seotud riskipositsioonid – finantsvõimenduse määra riskipositsiooni väärtus – standardmeetodi kohased riskipositsioonid</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123 hõlmatud standardmeetodi kohased jaeklientidega seotud riskipositsioonid</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Jaeklientidega seotud riskipositsioonid – finantsvõimenduse määra riskipositsiooni väärtus – sisereitingute meetodi kohased riskipositsioonid</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varade puhul, mis on kapitalinõuete määruse artikli 147 lõike 2 punktiga d hõlmatud sisereitingute meetodi kohased jaeklientidega seotud riskipositsioonid, mis ei ole tagatud nimetatud määruse artikli 199 lõike 1 punkti a kohase kinnisvarale seatud hüpoteegiga</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Krediidiasutused ja investeerimisühingud kajastavad selle pärast makseviivituses olevate sisereitingute meetodi kohaste riskipositsioonide mahaarvamist.</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Jaeklientidega seotud riskipositsioonid – riskiga kaalutud riskipositsiooni summa – standardmeetodi kohased riskipositsioonid</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123 hõlmatud standardmeetodi kohased jaeklientidega seotud riskipositsioonid</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Jaeklientidega seotud riskipositsioonid – riskiga kaalutud riskipositsiooni summa – sisereitingute meetodi kohased riskipositsioonid</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 147 lõike 2 punktiga d hõlmatud sisereitingute meetodi kohased jaeklientidega seotud riskipositsioonid, mis ei ole tagatud nimetatud määruse artikli 199 lõike 1 punkti a kohase kinnisvarale seatud hüpoteegiga</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sz w:val="24"/>
                <w:szCs w:val="24"/>
              </w:rPr>
              <w:t>Millest: VKEdega seotud jae-riskipositsioonid – finantsvõimenduse määra riskipositsiooni väärtus – standardmeetodi kohased riskipositsioonid</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123 hõlmatud standardmeetodi kohased VKEdega seotud jae-riskipositsioonid</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VKEdega seotud jae-riskipositsioonid – finantsvõimenduse määra riskipositsiooni väärtus – sisereitingute meetodi kohased riskipositsioonid</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Finantsvõimenduse määra riskipositsiooni väärtus varade puhul, mis on kapitalinõuete määruse artikli 147 lõike 2 punktiga d hõlmatud sisereitingute meetodi kohased VKEdega seotud jae-riskipositsioonid, mis ei ole tagatud nimetatud määruse artikli 199 lõike 1 punkti a kohase kinnisvarale seatud hüpoteegiga</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VKEdega seotud jae-riskipositsioonid – riskiga kaalutud riskipositsiooni summa – standardmeetodi kohased riskipositsioonid</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123 hõlmatud standardmeetodi kohased VKEdega seotud jae-riskipositsioonid</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VKEdega seotud jae-riskipositsioonid – riskiga kaalutud riskipositsiooni summa – sisereitingute meetodi kohased riskipositsioonid</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 147 lõike 2 punktiga d hõlmatud sisereitingute meetodi kohased VKEdega seotud jae-riskipositsioonid, mis ei ole tagatud nimetatud määruse artikli 199 lõike 1 punkti a kohase kinnisvarale seatud hüpoteegiga</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Äriühingud – finantsvõimenduse määra riskipositsiooni väärtus – standardmeetodi kohased riskipositsioonid</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lastRenderedPageBreak/>
              <w:t>See peab olema andmeväljade {0240;0010} ja {0250;0010} summa.</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Krediidiasutused ja investeerimisühingud kajastavad selle pärast makseviivituses olevate standardmeetodi kohaste riskipositsioonide mahaarvamist.</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Äriühingud – finantsvõimenduse määra riskipositsiooni väärtus – sisereitingute meetodi kohased riskipositsioonid</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{0240;0020} ja {0250;0020} summa.</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Äriühingud – riskiga kaalutud riskipositsiooni summa – standardmeetodi kohased riskipositsioonid</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{0240;0030} ja {0250;0030} summa.</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Äriühingud – riskiga kaalutud riskipositsiooni summa – sisereitingute meetodi kohased riskipositsioonid</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See peab olema andmeväljade {0240;0040} ja {0250;0040} summa.</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Finantssektori äriühingud – finantsvõimenduse määra riskipositsiooni väärtus – standardmeetodi kohased riskipositsioonid</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122 hõlmatud standardmeetodi kohased finantssektori äriühingutega seotud riskipositsioonid</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Vormis LR4 kajastamise eesmärgil tähendab „finantssektori äriühing“ reguleeritud ja reguleerimata ettevõtjaid (v.a andmeväljal {0180;0010}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{0180;0010} osutatud krediidiasutused ja investeerimisühingud).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Krediidiasutused ja investeerimisühingud kajastavad selle pärast makseviivituses olevate standardmeetodi kohaste riskipositsioonide mahaarvamist.</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Finantssektori äriühingud – finantsvõimenduse määra riskipositsiooni väärtus – sisereitingute meetodi kohased riskipositsioonid</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varade puhul, mis on kapitalinõuete määruse artikliga 147 lõike 2 punkti c hõlmatud sisereitingute meetodi kohased finantssektori äriühingutega seotud riskipositsioonid, mis ei ole tagatud nimetatud määruse artikli 199 lõike 1 punkti a kohase kinnisvarale seatud hüpoteegiga</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Vormis LR4 kajastamise eesmärgil tähendab „finantssektori äriühing“ reguleeritud ja reguleerimata ettevõtjaid (v.a andmeväljal {0180;0010}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{0180;0010} osutatud krediidiasutused ja investeerimisühingud).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Finantssektori äriühingud – riskiga kaalutud riskipositsiooni summa – standardmeetodi kohased riskipositsioonid</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122 hõlmatud standardmeetodi kohased finantssektori äriühingutega seotud riskipositsioonid</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Vormis LR4 kajastamise eesmärgil tähendab „finantssektori äriühing“ reguleeritud ja reguleerimata ettevõtjaid (v.a andmeväljal {0180;0010}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{0180;0010} osutatud krediidiasutused ja investeerimisühingud).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Finantssektori äriühingud – riskiga kaalutud riskipositsiooni summa – sisereitingute meetodi kohased riskipositsioonid</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Riskiga kaalutud riskipositsiooni summa varade puhul, mis on kapitalinõuete määruse artikli 147 lõike 2 punktiga c hõlmatud sisereitingute meetodi kohased finantssektori äriühingutega seotud </w:t>
            </w:r>
            <w:r>
              <w:rPr>
                <w:rFonts w:ascii="Times New Roman" w:hAnsi="Times New Roman"/>
                <w:sz w:val="24"/>
                <w:szCs w:val="24"/>
              </w:rPr>
              <w:lastRenderedPageBreak/>
              <w:t>riskipositsioonid, mis ei ole tagatud nimetatud määruse artikli 199 lõike 1 punkti a kohase kinnisvarale seatud hüpoteegiga</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Vormis LR4 kajastamise eesmärgil tähendab „finantssektori äriühing“ reguleeritud ja reguleerimata ettevõtjaid (v.a andmeväljal {0180;0010} osutatud krediidiasutused ja investeerimisühingud), kelle põhitegevuseks on osaluste omandamine või tegelemine ühe või mitme direktiivi 2013/36/EL I lisas loetletud tegevusega, ning kapitalinõuete määruse artikli 4 lõike 1 punktis 27 määratletud ettevõtjaid (v.a andmeväljal {0180;0010} osutatud krediidiasutused ja investeerimisühingud).</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Finantssektorivälised äriühingud – finantsvõimenduse määra riskipositsiooni väärtus – standardmeetodi kohased riskipositsioonid</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varade puhul, mis on kapitalinõuete määruse artikliga 122 hõlmatud standardmeetodi kohased finantssektoriväliste äriühingutega seotud riskipositsioonid</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{0260;0010} ja {0270;0010} summa.</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Finantssektorivälised äriühingud – finantsvõimenduse määra riskipositsiooni väärtus – sisereitingute meetodi kohased riskipositsioonid</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varade puhul, mis on kapitalinõuete määruse artikli 147 lõike 2 punktiga c hõlmatud sisereitingute meetodi kohased finantssektoriväliste äriühingutega seotud riskipositsioonid, mis ei ole tagatud nimetatud määruse artikli 199 lõike 1 punkti a kohase kinnisvarale seatud hüpoteegiga</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{0260;0020} ja {0270;0020} summa.</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Finantssektorivälised äriühingud – riskiga kaalutud riskipositsiooni summa – standardmeetodi kohased riskipositsioonid</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artikliga 122 hõlmatud standardmeetodi kohased finantssektoriväliste äriühingutega seotud riskipositsioonid</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See peab olema andmeväljade {0260;0030} ja {0270;0030} summa.</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Finantssektorivälised äriühingud – riskiga kaalutud riskipositsiooni summa – sisereitingute meetodi kohased riskipositsioonid</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 147 lõike 2 punktiga c hõlmatud sisereitingute meetodi kohased finantssektoriväliste äriühingutega seotud riskipositsioonid, mis ei ole tagatud nimetatud määruse artikli 199 lõike 1 punkti a kohase kinnisvarale seatud hüpoteegiga</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See peab olema andmeväljade {0260;0040} ja {0270;0040} summa.</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VKEdega seotud riskipositsioonid – finantsvõimenduse määra riskipositsiooni väärtus – standardmeetodi kohased riskipositsioonid</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varade puhul, mis on kapitalinõuete määruse artikliga 122 hõlmatud standardmeetodi kohased äriühingutega seotud riskipositsioonid, mis on seotud VKEdega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VKEdega seotud riskipositsioonid – finantsvõimenduse määra riskipositsiooni väärtus – sisereitingute meetodi kohased riskipositsioonid</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varade puhul, mis on kapitalinõuete määruse artikli 147 lõike 2 punktiga c hõlmatud sisereitingute meetodi kohased VKEdest äriühingutega seotud riskipositsioonid, mis ei ole tagatud nimetatud määruse artikli 199 lõike 1 punkti a kohase kinnisvarale seatud hüpoteegiga</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Krediidiasutused ja investeerimisühingud kajastavad selle pärast makseviivituses olevate sisereitingute meetodi kohaste riskipositsioonide mahaarvamist.</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VKEdega seotud riskipositsioonid – riskiga kaalutud riskipositsiooni summa – standardmeetodi kohased riskipositsioonid</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122 hõlmatud standardmeetodi kohased VKEdest äriühingutega seotud riskipositsioonid</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VKEdega seotud riskipositsioonid – riskiga kaalutud riskipositsiooni summa – sisereitingute meetodi kohased riskipositsioonid</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summa varade puhul, mis on kapitalinõuete määruse artikli 147 lõike 2 punktiga c hõlmatud sisereitingute meetodi kohased VKEdest äriühingutega seotud riskipositsioonid, mis ei ole tagatud nimetatud määruse artikli 199 lõike 1 punkti a kohase kinnisvarale seatud hüpoteegiga</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Selle andmevälja täitmisel peavad krediidiasutused ja investeerimisühingud lähtuma kapitalinõuete määruse artikli 501 lõike 2 punktis b osutatud väikese või keskmise suurusega ettevõtja määratlusest.</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Muude äriühingute kui VKEdega seotud riskipositsioonid – finantsvõimenduse määra riskipositsiooni väärtus – standardmeetodi kohased riskipositsioonid</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artikliga 122 hõlmatud standardmeetodi kohased äriühingutega seotud riskipositsioonid, mida ei ole kajastatud andmeväljadel {0230;0040} ja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Muud kui VKEdega seotud riskipositsioonid – finantsvõimenduse määra riskipositsiooni väärtus – sisereitingute meetodi kohased riskipositsioonid</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Finantsvõimenduse määra riskipositsiooni väärtus varade puhul, mis on kapitalinõuete määruse artikli 147 lõike 2 punktiga c hõlmatud sisereitingute meetodi kohased äriühingutega seotud riskipositsioonid, mis ei ole tagatud nimetatud määruse artikli 199 lõike 1 punkti a kohase kinnisvarale seatud hüpoteegiga ega kajastatud andmeväljadel {0230;0040} ja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Muude äriühingute kui VKEdega seotud riskipositsioonid – riskiga kaalutud riskipositsiooni summa – standardmeetodi kohased riskipositsioonid</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varade puhul, mis on kapitalinõuete määruse artikliga 122 hõlmatud standardmeetodi kohased äriühingutega seotud riskipositsioonid, mida ei ole kajastatud andmeväljadel {0230;0040} ja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Muud kui VKEdega seotud riskipositsioonid – riskiga kaalutud riskipositsiooni summa – sisereitingute meetodi kohased riskipositsioonid</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Riskiga kaalutud riskipositsiooni summa varade puhul, mis on kapitalinõuete määruse artikli 147 lõike 2 punktiga c hõlmatud sisereitingute meetodi kohased äriühingutega seotud riskipositsioonid, mis ei ole tagatud nimetatud määruse artikli 199 lõike 1 punkti a kohase kinnisvarale seatud hüpoteegiga ega kajastatud andmeväljadel {0230;0040} ja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Makseviivituses olevad riskipositsioonid – finantsvõimenduse määra riskipositsiooni väärtus – standardmeetodi kohased riskipositsioonid</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Krediidiasutused ja investeerimisühingud kajastavad finantsvõimenduse määra riskipositsiooni väärtust varade puhul, mis on kapitalinõuete määruse </w:t>
            </w:r>
            <w:r>
              <w:rPr>
                <w:rFonts w:ascii="Times New Roman" w:hAnsi="Times New Roman"/>
                <w:bCs/>
                <w:sz w:val="24"/>
                <w:szCs w:val="24"/>
              </w:rPr>
              <w:lastRenderedPageBreak/>
              <w:t>artikliga 127 hõlmatud standardmeetodi kohased makseviivituses riskipositsioonid.</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Makseviivituses olevad riskipositsioonid – finantsvõimenduse määra riskipositsiooni väärtus – sisereitingute meetodi kohased riskipositsioonid</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finantsvõimenduse määra riskipositsiooni väärtust varade puhul, mis on liigitatud kapitalinõuete määruse artikli 147 lõikes 2 loetletud riskipositsiooni klassidesse, kui on tekkinud kapitalinõuete määruse artikli 178 kohane makseviivitus.</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Makseviivituses olevad riskipositsioonid – riskiga kaalutud riskipositsiooni summa – standardmeetodi kohased riskipositsioonid</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riskiga kaalutud riskipositsiooni summa varade puhul, mis on kapitalinõuete määruse artikliga 127 hõlmatud makseviivituses riskipositsioonid.</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Makseviivituses olevad riskipositsioonid – riskiga kaalutud riskipositsiooni summa – sisereitingute meetodi kohased riskipositsioonid</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riskiga kaalutud riskipositsiooni summa varade puhul, mis on liigitatud kapitalinõuete määruse artikli 147 lõikes 2 loetletud riskipositsiooni klassidesse, kui on tekkinud kapitalinõuete määruse artikli 178 kohane makseviivitus.</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Muud riskipositsioonid – finantsvõimenduse määra riskipositsiooni väärtus – standardmeetodi kohased riskipositsioonid</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Finantsvõimenduse määra riskipositsiooni väärtus varade puhul, mis on liigitatud kapitalinõuete määruse artikli 112 punktides k, m, n, o, p ja q loetletud riskipositsiooni klassidesse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esitavad siin varad, mis on omavahenditest maha arvatud (nt immateriaalsed varad), aga mida ei saa muuks liigitada, isegi kui sellist liigitamist ei ole vaja, et teha kindlaks riskipõhiste omavahendite nõuded veergudes {*;0030} ja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Muud riskipositsioonid – finantsvõimenduse määra riskipositsiooni väärtus – sisereitingute meetodi kohased riskipositsioonid</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Finantsvõimenduse määra riskipositsiooni summa varade puhul, mis on liigitatud kapitalinõuete määruse artikli 147 lõike 2 punktides e, f ja g loetletud riskipositsiooni klassidesse</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esitavad siin varad, mis on omavahenditest maha arvatud (nt immateriaalsed varad), aga mida ei saa muuks liigitada, isegi kui sellist liigitamist ei ole vaja, et teha kindlaks riskipõhiste omavahendite nõuded veergudes {*;0030} ja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Muud riskipositsioonid – riskiga kaalutud riskipositsiooni summa – standardmeetodi kohased riskipositsioonid</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väärtus varade puhul, mis on liigitatud kapitalinõuete määruse artikli 112 punktides k, m, n, o, p ja q loetletud riskipositsiooni klassidesse</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Muud riskipositsioonid – riskiga kaalutud riskipositsiooni summa – sisereitingute meetodi kohased riskipositsioonid</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väärtus varade puhul, mis on liigitatud kapitalinõuete määruse artikli 147 lõike 2 punktides e, f ja g loetletud riskipositsiooni klassidesse</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väärtpaberistamise positsioonid – finantsvõimenduse määra riskipositsiooni väärtus – standardmeetodi kohased riskipositsioonid</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varade puhul, mis on kapitalinõuete määruse artikli 112 punktiga m hõlmatud standardmeetodi kohased väärtpaberistamisest tingitud riskipositsioonid</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väärtpaberistamisest tulenevad riskipositsioonid – finantsvõimenduse määra riskipositsiooni väärtus – sisereitingute meetodi kohased riskipositsioonid</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Finantsvõimenduse määra riskipositsiooni väärtus varade puhul, mis on kapitalinõuete määruse artikli 147 lõike 2 punktiga f hõlmatud sisereitingute meetodi kohased väärtpaberistamisest tulenevad riskipositsioonid</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{0300;0030}</w:t>
            </w:r>
          </w:p>
        </w:tc>
        <w:tc>
          <w:tcPr>
            <w:tcW w:w="7406" w:type="dxa"/>
            <w:shd w:val="clear" w:color="auto" w:fill="FFFFFF"/>
          </w:tcPr>
          <w:p w14:paraId="0195360F" w14:textId="562B293A"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väärtpaberistamisest tulenevad riskipositsioonid – riskiga kaalutud riskipositsiooni summa –</w:t>
            </w:r>
            <w:r w:rsidR="00D536D6">
              <w:rPr>
                <w:rFonts w:ascii="Times New Roman" w:hAnsi="Times New Roman"/>
                <w:b/>
                <w:bCs/>
                <w:sz w:val="24"/>
                <w:szCs w:val="24"/>
              </w:rPr>
              <w:t xml:space="preserve"> </w:t>
            </w:r>
            <w:r>
              <w:rPr>
                <w:rFonts w:ascii="Times New Roman" w:hAnsi="Times New Roman"/>
                <w:b/>
                <w:bCs/>
                <w:sz w:val="24"/>
                <w:szCs w:val="24"/>
              </w:rPr>
              <w:t>standardmeetodi kohased riskipositsioonid</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Riskiga kaalutud riskipositsiooni summa varade puhul, mis on kapitalinõuete määruse artikli 112 punktiga m hõlmatud standardmeetodi kohased väärtpaberistamisest tingitud riskipositsioonid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väärtpaberistamisest tulenevad riskipositsioonid – riskiga kaalutud riskipositsiooni summa – sisereitingute meetodi kohased riskipositsioonid</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Riskiga kaalutud riskipositsiooni summa varade puhul, mis on kapitalinõuete määruse artikli 147 lõike 2 punktiga f hõlmatud sisereitingute meetodi kohased väärtpaberistamisest tulenevad riskipositsioonid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Kaubanduse rahastamine (memokirje) – finantsvõimenduse määra riskipositsiooni väärtus – standardmeetodi kohased riskipositsioonid</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Finantsvõimenduse määra riskipositsiooni väärtus selliste bilansikirjete puhul, mis on seotud kaupade või teenuste importijale või eksportijale impordi- või ekspordikrediidi kaudu laenuandmisega ja muude samalaadsete tehingutega</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Kaubanduse rahastamine (memokirje) – finantsvõimenduse määra riskipositsiooni väärtus – sisereitingute meetodi kohased riskipositsioonid</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Finantsvõimenduse määra riskipositsiooni summa selliste bilansikirjete puhul, mis on seotud kaupade või teenuste importijale või eksportijale impordi- või ekspordikrediidi kaudu laenuandmisega ja muude samalaadsete tehingutega</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Kaubanduse rahastamine (memokirje) – riskiga kaalutud riskipositsiooni summa – standardmeetodi kohased riskipositsioonid</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väärtus selliste bilansikirjete puhul, mis on seotud kaupade või teenuste importijale või eksportijale impordi- või ekspordikrediidi kaudu laenuandmisega ja muude samalaadsete tehingutega</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standardmeetodi kohaste riskipositsioonide mahaarvamist.</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Kaubanduse rahastamine (memokirje) – riskiga kaalutud riskipositsiooni summa – sisereitingute meetodi kohased riskipositsioonid</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Riskiga kaalutud riskipositsiooni summa selliste bilansikirjete puhul, mis on seotud kaupade või teenuste importijale või eksportijale impordi- või ekspordikrediidi kaudu laenuandmisega ja muude samalaadsete tehingutega</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ametliku ekspordikrediidikindlustuse skeemi alusel – finantsvõimenduse määra riskipositsiooni väärtus – standardmeetodi kohased riskipositsioonid</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väärtus selliste bilansikirjete puhul, mis on seotud kaubanduse rahastamisega ametliku ekspordikrediidikindlustuse skeemi alusel</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Krediidiasutused ja investeerimisühingud kajastavad selle pärast makseviivituses olevate standardmeetodi kohaste riskipositsioonide mahaarvamist.</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sz w:val="24"/>
                <w:szCs w:val="24"/>
              </w:rPr>
              <w:t>Millest: ametliku ekspordikrediidikindlustuse skeemi alusel – finantsvõimenduse määra riskipositsiooni väärtus – sisereitingute meetodi kohased riskipositsioonid</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Finantsvõimenduse määra riskipositsiooni summa selliste bilansikirjete puhul, mis on seotud kaubanduse rahastamisega ametliku ekspordikrediidikindlustuse skeemi alusel</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ametliku ekspordikrediidikindlustuse skeemi alusel – riskiga kaalutud riskipositsiooni summa – standardmeetodi kohased riskipositsioonid</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Riskiga kaalutud riskipositsiooni väärtus selliste bilansikirjete puhul, mis on seotud kaubanduse rahastamisega ametliku ekspordikrediidikindlustuse skeemi alusel</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Krediidiasutused ja investeerimisühingud kajastavad selle pärast makseviivituses olevate standardmeetodi kohaste riskipositsioonide mahaarvamist.</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Millest: ametliku ekspordikrediidikindlustuse skeemi alusel – riskiga kaalutud riskipositsiooni summa – sisereitingute meetodi kohased riskipositsioonid</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Riskiga kaalutud riskipositsiooni summa selliste bilansikirjete puhul, mis on seotud kaubanduse rahastamisega ametliku ekspordikrediidikindlustuse skeemi alusel</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Vormis LR4 kajastamise eesmärgil tähendab ametlik ekspordikrediidikindlustuse skeem ametlikku toetust, mida annab valitsemissektor või muu üksus (nt ekspordikrediidi agentuur) muu hulgas otselaenude/finantseerimise, refinantseerimise, intressitoetuse (kus laenu kogu kestuse jooksul on garanteeritud fikseeritud intressimäär), abi finantseerimise (laenud ja toetused), ekspordikrediidikindlustuse ja garantiide vormis.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Krediidiasutused ja investeerimisühingud kajastavad selle pärast makseviivituses olevate sisereitingute meetodi kohaste riskipositsioonide mahaarvamist.</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585535"/>
      <w:r>
        <w:rPr>
          <w:rFonts w:ascii="Times New Roman" w:hAnsi="Times New Roman"/>
          <w:b/>
          <w:sz w:val="24"/>
          <w:szCs w:val="24"/>
        </w:rPr>
        <w:t>6.</w:t>
      </w:r>
      <w:r>
        <w:tab/>
      </w:r>
      <w:r>
        <w:rPr>
          <w:rFonts w:ascii="Times New Roman" w:hAnsi="Times New Roman"/>
          <w:b/>
          <w:sz w:val="24"/>
          <w:szCs w:val="24"/>
        </w:rPr>
        <w:t>C 44.00 – Üldine teave</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Siin esitatakse lisateave, mis on vajalik krediidiasutuse või investeerimisühingu tegevuse ja tema tehtud regulatiivsete valikute liigitamiseks.</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Rida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ja veerg</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Juhised</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Krediidiasutuse või investeerimisühingu äriühingu struktuur</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 või investeerimisühing liigitab oma äriühingu struktuuri vastavalt allpool esitatud kategooriatele:</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aktsiaselts,</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vastastikune selts / ühistu,</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muu äriühing kui aktsiaselts.</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Tuletisinstrumentide käsitlemine</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Krediidiasutus või investeerimisühing täpsustab regulatiivse tuletisinstrumentide käsitlemise vastavalt allpool esitatud kategooriatele:</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vastaspoole krediidiriski standardmeetod;</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vastaspoole krediidiriski lihtsustatud standardmeetod;</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esmase riskipositsiooni meetod.</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Krediidiasutuse või investeerimisühingu liik</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Krediidiasutus või investeerimisühing täpsustab, mis liiki krediidiasutus või investeerimisühing ta on, vastavalt allpool esitatud kategooriatele:</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universaalpangandus (jaepangandus/äripangandus ja investeerimispangandus),</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jaepangandus/äripangandus,</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investeerimispangandus,</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eriotstarbeliste laenude andja,</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sz w:val="24"/>
                <w:szCs w:val="24"/>
              </w:rPr>
              <w:t>– avaliku sektori arengukrediidiasutus,</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muu ärimudel.</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Krediidiasutus või investeerimisühing, millel on avaliku sektori arendusüksus</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Krediidiasutused ja investeerimisühingud, kes ei ole avaliku sektori arengukrediidiasutused peavad märkima, kas neil on avaliku sektori arendusüksus või mitte.</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Üksus, mis annab avaliku sektori arengukrediidiasutusele/-üksusele kapitalinõuete määruse artikli 429a lõike 2 punkti d kohase garantii: keskvalitsus, piirkondlik valitsus, kohalik omavalitsus</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Krediidiasutused ja investeerimisühingud, kes on avaliku sektori arengukrediidiasutused või kellel on avaliku sektori arendusüksus, peavad märkima, kas keskvalitsus, piirkondlik valitsus või kohalik omavalitsus annab neile garantii või mitte.</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Vastava kaitse andja liigi reale tuleb märkida ka „TÕENE“ või „VÄÄR“.</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Keskvalitsus annab avaliku sektori arengukrediidiasutusele või -üksusele garantiisid</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Piirkondlik valitsus annab avaliku sektori arengukrediidiasutusele või -üksusele garantiisid</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Kohalik omavalitsus annab avaliku sektori arengukrediidiasutusele või -üksusele garantiisid</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Kapitalinõuete määruse artikli 429a lõike 2 punkti d kohaselt saadud garantii liik</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Krediidiasutused ja investeerimisühingud, kes on avaliku sektori arengukrediidiasutused või kellel on avaliku sektori arendusüksus, peavad märkima saadud kaitse liigi</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Vastava kaitse liigi reale tuleb märkida ka „TÕENE“ või „VÄÄR“.</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Kohustus kaitsta krediidiasutuse elujõulisust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Otsene garantii krediidiasutuse omavahendite nõuetele, rahastamisnõuetele või väljastatud tugilaenudele</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Kaudne garantii krediidiasutuse omavahendite nõuetele, rahastamisnõuetele või väljastatud tugilaenudele</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585536"/>
      <w:r>
        <w:rPr>
          <w:rFonts w:ascii="Times New Roman" w:hAnsi="Times New Roman"/>
          <w:b/>
          <w:sz w:val="24"/>
          <w:szCs w:val="24"/>
        </w:rPr>
        <w:t>7.</w:t>
      </w:r>
      <w:r>
        <w:tab/>
      </w:r>
      <w:r>
        <w:rPr>
          <w:rFonts w:ascii="Times New Roman" w:hAnsi="Times New Roman"/>
          <w:b/>
          <w:sz w:val="24"/>
          <w:szCs w:val="24"/>
        </w:rPr>
        <w:t>C 48.00 – Finantsvõimenduse määra volatiilsus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Seda teavet kogutakse finantsvõimenduse määra volatiilsuse seire eesmärgil. Selle peavad esitama vaid suured krediidiasutused ja investeerimisühingud.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585537"/>
      <w:r>
        <w:rPr>
          <w:rFonts w:ascii="Times New Roman" w:hAnsi="Times New Roman"/>
          <w:b/>
          <w:sz w:val="24"/>
          <w:szCs w:val="24"/>
        </w:rPr>
        <w:t>8.</w:t>
      </w:r>
      <w:r>
        <w:tab/>
      </w:r>
      <w:r>
        <w:rPr>
          <w:rFonts w:ascii="Times New Roman" w:hAnsi="Times New Roman"/>
          <w:b/>
          <w:sz w:val="24"/>
          <w:szCs w:val="24"/>
        </w:rPr>
        <w:t>C 48.01 – Finantsvõimenduse määra volatiilsus: aruandeperioodi keskmine</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Rida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ja veerg</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Juhised</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Aruandeperioodi keskmine väärtus – väärtpaberite kaudu finantseerimise tehingutega seotud riskipositsiooni väärtus</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Krediidiasutused ja investeerimisühingud esitavad aruandekvartali väärtpaberite kaudu finantseerimise tehingutega seotud riskipositsiooni päevaväärtuste keskmise, võtmata arvesse vormi C47.00 ridadel 0010 ja 0050 kajastatud maaklerkliiritud kauplemisriskipositsioonide keskse vastaspoole poolt, mis tuleb välja jätta.</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Aruandeperioodi keskmine väärtus – korrigeerimine raamatupidamislike väärtpaberite kaudu finantseerimise müügitehingute puhul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Krediidiasutused ja investeerimisühingud esitavad aruandekvartali raamatupidamislike väärtpaberite kaudu finantseerimise müügitehingute korrigeerimiste päevaväärtuste keskmise, nagu kajastatud vormi C47.00 real 0230.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585538"/>
      <w:r>
        <w:rPr>
          <w:rFonts w:ascii="Times New Roman" w:hAnsi="Times New Roman"/>
          <w:b/>
          <w:sz w:val="24"/>
          <w:szCs w:val="24"/>
        </w:rPr>
        <w:t>9.</w:t>
      </w:r>
      <w:r>
        <w:tab/>
      </w:r>
      <w:r>
        <w:rPr>
          <w:rFonts w:ascii="Times New Roman" w:hAnsi="Times New Roman"/>
          <w:b/>
          <w:sz w:val="24"/>
          <w:szCs w:val="24"/>
        </w:rPr>
        <w:t>C 48.02 – Finantsvõimenduse määra volatiilsus: Aruandeperioodi päevaväärtused</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Esitada tuleb kvartali päevaväärtused.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Rida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lastRenderedPageBreak/>
              <w:t>ja veerg</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lastRenderedPageBreak/>
              <w:t>Juhised</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Aruandekuupäev aruandeperioodil</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Krediidiasutused ja investeerimisühingud märgivad, millise kuupäeva väärtusele esitatud päevaväärtus viitab. Esitada tuleb aruandekvartali kõik päevad.</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Väärtpaberite kaudu finantseerimise tehingute riskipositsiooni väärtus</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Krediidiasutused ja investeerimisühingud esitavad aruandekvartali väärtpaberite kaudu finantseerimise tehingutega seotud riskipositsiooni päevaväärtused, võtmata arvesse vormi C47.00 ridadel 0010 ja 0050 kajastatud maaklerkliiritud kauplemisriskipositsioonide keskse vastaspoole poolt, mis tuleb välja jätta.</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Korrigeerimine raamatupidamislike väärtpaberite kaudu finantseerimise müügitehingute puhul</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Krediidiasutused ja investeerimisühingud esitavad aruandekvartali raamatupidamislike väärtpaberite kaudu finantseerimise müügitehingute korrigeerimiste päevaväärtused, nagu kajastatud vormi C47.00 real 0230.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01422F9F" w:rsidR="000B66BC" w:rsidRDefault="000B66BC">
        <w:pPr>
          <w:pStyle w:val="Footer"/>
          <w:jc w:val="center"/>
        </w:pPr>
        <w:r>
          <w:fldChar w:fldCharType="begin"/>
        </w:r>
        <w:r>
          <w:instrText xml:space="preserve"> PAGE   \* MERGEFORMAT </w:instrText>
        </w:r>
        <w:r>
          <w:fldChar w:fldCharType="separate"/>
        </w:r>
        <w:r w:rsidR="00DC4BAF">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15D7CA94" w:rsidR="000B66BC" w:rsidRPr="009A78F0" w:rsidRDefault="000B66BC"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DC4BAF">
          <w:rPr>
            <w:rFonts w:ascii="Times New Roman" w:hAnsi="Times New Roman"/>
            <w:noProof/>
            <w:sz w:val="20"/>
          </w:rPr>
          <w:t>78</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17F84"/>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5559"/>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0D5"/>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6B08"/>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6D6"/>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4BA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95F61"/>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t-EE"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t-EE"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t-EE"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809811-5823-4722-9036-50164068D136}">
  <ds:schemaRefs>
    <ds:schemaRef ds:uri="http://schemas.openxmlformats.org/officeDocument/2006/bibliography"/>
  </ds:schemaRefs>
</ds:datastoreItem>
</file>

<file path=customXml/itemProps2.xml><?xml version="1.0" encoding="utf-8"?>
<ds:datastoreItem xmlns:ds="http://schemas.openxmlformats.org/officeDocument/2006/customXml" ds:itemID="{C541951E-FDC3-498D-A04F-48EF62836402}">
  <ds:schemaRefs>
    <ds:schemaRef ds:uri="http://schemas.openxmlformats.org/officeDocument/2006/bibliography"/>
  </ds:schemaRefs>
</ds:datastoreItem>
</file>

<file path=customXml/itemProps3.xml><?xml version="1.0" encoding="utf-8"?>
<ds:datastoreItem xmlns:ds="http://schemas.openxmlformats.org/officeDocument/2006/customXml" ds:itemID="{2ED3D322-8F38-4083-B8C4-BC9A01103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17803</Words>
  <Characters>150664</Characters>
  <Application>Microsoft Office Word</Application>
  <DocSecurity>0</DocSecurity>
  <Lines>3198</Lines>
  <Paragraphs>1276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167602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2020-12-11T13:05:00Z</dcterms:modified>
</cp:coreProperties>
</file>