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6FE246C4" w:rsidR="00C36E0D" w:rsidRPr="0035286D" w:rsidRDefault="001814C5" w:rsidP="0035286D">
      <w:pPr>
        <w:pStyle w:val="Pagedecouverture"/>
      </w:pPr>
      <w:bookmarkStart w:id="0" w:name="_GoBack"/>
      <w:bookmarkEnd w:id="0"/>
      <w:r>
        <w:pict w14:anchorId="41701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71CDE62A-3518-4854-8C75-48389E1EE6C5" style="width:450.65pt;height:422.45pt">
            <v:imagedata r:id="rId8" o:title=""/>
          </v:shape>
        </w:pict>
      </w:r>
    </w:p>
    <w:p w14:paraId="703F7C0E" w14:textId="77777777" w:rsidR="0004170D" w:rsidRPr="0035286D" w:rsidRDefault="0004170D">
      <w:pPr>
        <w:sectPr w:rsidR="0004170D" w:rsidRPr="0035286D" w:rsidSect="00276921">
          <w:footerReference w:type="default" r:id="rId9"/>
          <w:pgSz w:w="11907" w:h="16839"/>
          <w:pgMar w:top="1134" w:right="1417" w:bottom="1134" w:left="1417" w:header="709" w:footer="709" w:gutter="0"/>
          <w:pgNumType w:start="0"/>
          <w:cols w:space="720"/>
          <w:docGrid w:linePitch="360"/>
        </w:sectPr>
      </w:pPr>
    </w:p>
    <w:p w14:paraId="4E87218B" w14:textId="42EB1FAE" w:rsidR="0004170D" w:rsidRPr="0035286D" w:rsidRDefault="0035286D" w:rsidP="0035286D">
      <w:pPr>
        <w:pStyle w:val="Typedudocument"/>
      </w:pPr>
      <w:r w:rsidRPr="0035286D">
        <w:lastRenderedPageBreak/>
        <w:t>UITVOERINGSVERORDENING (EU) …/... VAN DE COMMISSIE</w:t>
      </w:r>
    </w:p>
    <w:p w14:paraId="311EA019" w14:textId="40D47543" w:rsidR="0004170D" w:rsidRPr="0035286D" w:rsidRDefault="0035286D" w:rsidP="0035286D">
      <w:pPr>
        <w:pStyle w:val="Datedadoption"/>
      </w:pPr>
      <w:r w:rsidRPr="0035286D">
        <w:t xml:space="preserve">van </w:t>
      </w:r>
      <w:r w:rsidRPr="0035286D">
        <w:rPr>
          <w:rStyle w:val="Marker2"/>
        </w:rPr>
        <w:t>XXX</w:t>
      </w:r>
    </w:p>
    <w:p w14:paraId="7EF0A74F" w14:textId="55338CC1" w:rsidR="0004170D" w:rsidRPr="0035286D" w:rsidRDefault="0035286D" w:rsidP="0035286D">
      <w:pPr>
        <w:pStyle w:val="Titreobjet"/>
      </w:pPr>
      <w:r w:rsidRPr="0035286D">
        <w:t xml:space="preserve">tot vaststelling van technische uitvoeringsnormen voor de toepassing van Verordening (EU) nr. </w:t>
      </w:r>
      <w:r w:rsidRPr="00762DB3">
        <w:t>575</w:t>
      </w:r>
      <w:r w:rsidRPr="0035286D">
        <w:t>/</w:t>
      </w:r>
      <w:r w:rsidRPr="00762DB3">
        <w:t>2013</w:t>
      </w:r>
      <w:r w:rsidRPr="0035286D">
        <w:t xml:space="preserve"> van het Europees Parlement en de Raad wat betreft de rapportage aan de toezichthoudende autoriteit door instellingen en tot intrekking van Uitvoeringsverordening (EU) nr. </w:t>
      </w:r>
      <w:r w:rsidRPr="00762DB3">
        <w:t>680</w:t>
      </w:r>
      <w:r w:rsidRPr="0035286D">
        <w:t>/</w:t>
      </w:r>
      <w:r w:rsidRPr="00762DB3">
        <w:t>2014</w:t>
      </w:r>
      <w:r w:rsidRPr="0035286D">
        <w:t xml:space="preserve"> </w:t>
      </w:r>
      <w:r w:rsidRPr="0035286D">
        <w:br/>
      </w:r>
    </w:p>
    <w:p w14:paraId="714F85CC" w14:textId="4C230B30" w:rsidR="0004170D" w:rsidRPr="0035286D" w:rsidRDefault="0035286D" w:rsidP="0035286D">
      <w:pPr>
        <w:pStyle w:val="IntrtEEE"/>
      </w:pPr>
      <w:r w:rsidRPr="0035286D">
        <w:t>(Voor de EER relevante tekst)</w:t>
      </w:r>
    </w:p>
    <w:p w14:paraId="12CCC5F1" w14:textId="77777777" w:rsidR="0004170D" w:rsidRPr="0035286D" w:rsidRDefault="0004170D" w:rsidP="009675DD">
      <w:pPr>
        <w:pStyle w:val="Institutionquiagit"/>
      </w:pPr>
      <w:r w:rsidRPr="0035286D">
        <w:t>DE EUROPESE COMMISSIE,</w:t>
      </w:r>
    </w:p>
    <w:p w14:paraId="54D27881" w14:textId="77777777" w:rsidR="0004170D" w:rsidRPr="0035286D" w:rsidRDefault="0004170D" w:rsidP="009675DD">
      <w:r w:rsidRPr="0035286D">
        <w:t>Gezien het Verdrag betreffende de werking van de Europese Unie,</w:t>
      </w:r>
    </w:p>
    <w:p w14:paraId="2965D16B" w14:textId="4EFD17A3" w:rsidR="0004170D" w:rsidRPr="0035286D" w:rsidRDefault="00AD21AA" w:rsidP="009675DD">
      <w:pPr>
        <w:rPr>
          <w:rFonts w:eastAsia="Times New Roman"/>
          <w:noProof/>
          <w:color w:val="000000"/>
        </w:rPr>
      </w:pPr>
      <w:r w:rsidRPr="0035286D">
        <w:t xml:space="preserve">Gezien Verordening (EU) nr. </w:t>
      </w:r>
      <w:r w:rsidRPr="00762DB3">
        <w:t>575</w:t>
      </w:r>
      <w:r w:rsidRPr="0035286D">
        <w:t>/</w:t>
      </w:r>
      <w:r w:rsidRPr="00762DB3">
        <w:t>2013</w:t>
      </w:r>
      <w:r w:rsidRPr="0035286D">
        <w:t xml:space="preserve"> van het Europees Parlement en de Raad van </w:t>
      </w:r>
      <w:r w:rsidRPr="00762DB3">
        <w:t>26</w:t>
      </w:r>
      <w:r w:rsidRPr="0035286D">
        <w:t xml:space="preserve"> juni </w:t>
      </w:r>
      <w:r w:rsidRPr="00762DB3">
        <w:t>2013</w:t>
      </w:r>
      <w:r w:rsidRPr="0035286D">
        <w:t xml:space="preserve"> betreffende prudentiële vereisten voor kredietinstellingen en beleggingsondernemingen en tot wijziging van Verordening (EU) nr. </w:t>
      </w:r>
      <w:r w:rsidRPr="00762DB3">
        <w:t>648</w:t>
      </w:r>
      <w:r w:rsidRPr="0035286D">
        <w:t>/</w:t>
      </w:r>
      <w:r w:rsidRPr="00762DB3">
        <w:t>2012</w:t>
      </w:r>
      <w:r w:rsidRPr="0035286D">
        <w:rPr>
          <w:rStyle w:val="FootnoteReference"/>
        </w:rPr>
        <w:footnoteReference w:id="1"/>
      </w:r>
      <w:r w:rsidRPr="0035286D">
        <w:t xml:space="preserve">, en met name artikel </w:t>
      </w:r>
      <w:r w:rsidRPr="00762DB3">
        <w:t>415</w:t>
      </w:r>
      <w:r w:rsidRPr="0035286D">
        <w:t xml:space="preserve">, lid </w:t>
      </w:r>
      <w:r w:rsidRPr="00762DB3">
        <w:t>3</w:t>
      </w:r>
      <w:r w:rsidRPr="0035286D">
        <w:t xml:space="preserve">, eerste alinea, artikel </w:t>
      </w:r>
      <w:r w:rsidRPr="00762DB3">
        <w:t>415</w:t>
      </w:r>
      <w:r w:rsidRPr="0035286D">
        <w:t xml:space="preserve">, lid </w:t>
      </w:r>
      <w:r w:rsidRPr="00762DB3">
        <w:t>3</w:t>
      </w:r>
      <w:r w:rsidRPr="0035286D">
        <w:t xml:space="preserve"> bis, eerste alinea, artikel </w:t>
      </w:r>
      <w:r w:rsidRPr="00762DB3">
        <w:t>430</w:t>
      </w:r>
      <w:r w:rsidRPr="0035286D">
        <w:t xml:space="preserve">, lid </w:t>
      </w:r>
      <w:r w:rsidRPr="00762DB3">
        <w:t>7</w:t>
      </w:r>
      <w:r w:rsidRPr="0035286D">
        <w:t xml:space="preserve">, eerste alinea, en artikel </w:t>
      </w:r>
      <w:r w:rsidRPr="00762DB3">
        <w:t>430</w:t>
      </w:r>
      <w:r w:rsidRPr="0035286D">
        <w:t xml:space="preserve">, lid </w:t>
      </w:r>
      <w:r w:rsidRPr="00762DB3">
        <w:t>9</w:t>
      </w:r>
      <w:r w:rsidRPr="0035286D">
        <w:t>, tweede alinea,</w:t>
      </w:r>
    </w:p>
    <w:p w14:paraId="421FC692" w14:textId="77777777" w:rsidR="0004170D" w:rsidRPr="0035286D" w:rsidRDefault="0004170D" w:rsidP="009675DD">
      <w:r w:rsidRPr="0035286D">
        <w:t>Overwegende hetgeen volgt:</w:t>
      </w:r>
    </w:p>
    <w:p w14:paraId="0A7D0586" w14:textId="77777777" w:rsidR="00AD21AA" w:rsidRPr="0035286D" w:rsidRDefault="00AD21AA" w:rsidP="0047317A">
      <w:pPr>
        <w:pStyle w:val="Considrant"/>
        <w:numPr>
          <w:ilvl w:val="0"/>
          <w:numId w:val="11"/>
        </w:numPr>
      </w:pPr>
      <w:r w:rsidRPr="0035286D">
        <w:t xml:space="preserve">Onverminderd de bevoegdheden van de bevoegde autoriteiten uit hoofde van artikel </w:t>
      </w:r>
      <w:r w:rsidRPr="00762DB3">
        <w:t>104</w:t>
      </w:r>
      <w:r w:rsidRPr="0035286D">
        <w:t xml:space="preserve">, lid </w:t>
      </w:r>
      <w:r w:rsidRPr="00762DB3">
        <w:t>1</w:t>
      </w:r>
      <w:r w:rsidRPr="0035286D">
        <w:t xml:space="preserve">, punt j), van Richtlijn </w:t>
      </w:r>
      <w:r w:rsidRPr="00762DB3">
        <w:t>2013</w:t>
      </w:r>
      <w:r w:rsidRPr="0035286D">
        <w:t>/</w:t>
      </w:r>
      <w:r w:rsidRPr="00762DB3">
        <w:t>36</w:t>
      </w:r>
      <w:r w:rsidRPr="0035286D">
        <w:t>/EU van het Europees Parlement en de Raad</w:t>
      </w:r>
      <w:r w:rsidRPr="0035286D">
        <w:rPr>
          <w:rStyle w:val="FootnoteReference"/>
        </w:rPr>
        <w:footnoteReference w:id="2"/>
      </w:r>
      <w:r w:rsidRPr="0035286D">
        <w:t xml:space="preserve">, stelt Uitvoeringsverordening (EU) nr. </w:t>
      </w:r>
      <w:r w:rsidRPr="00762DB3">
        <w:t>680</w:t>
      </w:r>
      <w:r w:rsidRPr="0035286D">
        <w:t>/</w:t>
      </w:r>
      <w:r w:rsidRPr="00762DB3">
        <w:t>2014</w:t>
      </w:r>
      <w:r w:rsidRPr="0035286D">
        <w:t xml:space="preserve"> van de Commissie</w:t>
      </w:r>
      <w:r w:rsidRPr="0035286D">
        <w:rPr>
          <w:rStyle w:val="FootnoteReference"/>
        </w:rPr>
        <w:footnoteReference w:id="3"/>
      </w:r>
      <w:r w:rsidRPr="0035286D">
        <w:t xml:space="preserve"> op grond van artikel </w:t>
      </w:r>
      <w:r w:rsidRPr="00762DB3">
        <w:t>430</w:t>
      </w:r>
      <w:r w:rsidRPr="0035286D">
        <w:t xml:space="preserve"> van Verordening (EU) nr. </w:t>
      </w:r>
      <w:r w:rsidRPr="00762DB3">
        <w:t>575</w:t>
      </w:r>
      <w:r w:rsidRPr="0035286D">
        <w:t>/</w:t>
      </w:r>
      <w:r w:rsidRPr="00762DB3">
        <w:t>2013</w:t>
      </w:r>
      <w:r w:rsidRPr="0035286D">
        <w:t xml:space="preserve"> een coherent rapportagekader vast. Uitvoeringsverordening (EU) nr. </w:t>
      </w:r>
      <w:r w:rsidRPr="00762DB3">
        <w:t>680</w:t>
      </w:r>
      <w:r w:rsidRPr="0035286D">
        <w:t>/</w:t>
      </w:r>
      <w:r w:rsidRPr="00762DB3">
        <w:t>2014</w:t>
      </w:r>
      <w:r w:rsidRPr="0035286D">
        <w:t xml:space="preserve"> is verscheidene keren gewijzigd naar aanleiding van de wijzigingen van Verordening (EU) nr. </w:t>
      </w:r>
      <w:r w:rsidRPr="00762DB3">
        <w:t>575</w:t>
      </w:r>
      <w:r w:rsidRPr="0035286D">
        <w:t>/</w:t>
      </w:r>
      <w:r w:rsidRPr="00762DB3">
        <w:t>2013</w:t>
      </w:r>
      <w:r w:rsidRPr="0035286D">
        <w:t xml:space="preserve"> die zijn vastgesteld om prudentiële elementen in te voeren, verder te ontwikkelen of aan te passen.</w:t>
      </w:r>
    </w:p>
    <w:p w14:paraId="7949AA03" w14:textId="77777777" w:rsidR="00AD21AA" w:rsidRPr="0035286D" w:rsidRDefault="00AD21AA" w:rsidP="0047317A">
      <w:pPr>
        <w:pStyle w:val="Considrant"/>
        <w:numPr>
          <w:ilvl w:val="0"/>
          <w:numId w:val="11"/>
        </w:numPr>
      </w:pPr>
      <w:r w:rsidRPr="0035286D">
        <w:t xml:space="preserve">De bepalingen van deze verordening houden nauw verband met elkaar, aangezien zij betrekking hebben op de rapportageverplichtingen van instellingen. Om de samenhang tussen die bepalingen, die gelijktijdig in werking moeten treden, te waarborgen en om de personen die aan deze verplichtingen onderworpen zijn, een volledig beeld van en een compacte toegang tot deze bepalingen te bieden, is het wenselijk alle bij Verordening (EU) nr. </w:t>
      </w:r>
      <w:r w:rsidRPr="00762DB3">
        <w:t>575</w:t>
      </w:r>
      <w:r w:rsidRPr="0035286D">
        <w:t>/</w:t>
      </w:r>
      <w:r w:rsidRPr="00762DB3">
        <w:t>2013</w:t>
      </w:r>
      <w:r w:rsidRPr="0035286D">
        <w:t xml:space="preserve"> vereiste technische uitvoeringsnormen in één enkele verordening op te nemen.</w:t>
      </w:r>
    </w:p>
    <w:p w14:paraId="1A0C281B" w14:textId="77777777" w:rsidR="00AD21AA" w:rsidRPr="0035286D" w:rsidRDefault="00AD21AA" w:rsidP="00AD21AA">
      <w:pPr>
        <w:pStyle w:val="Considrant"/>
      </w:pPr>
      <w:r w:rsidRPr="0035286D">
        <w:t xml:space="preserve">Rekening houdend met de internationale normen van het Bazels Comité voor bankentoezicht heeft Verordening (EU) </w:t>
      </w:r>
      <w:r w:rsidRPr="00762DB3">
        <w:t>2019</w:t>
      </w:r>
      <w:r w:rsidRPr="0035286D">
        <w:t>/</w:t>
      </w:r>
      <w:r w:rsidRPr="00762DB3">
        <w:t>876</w:t>
      </w:r>
      <w:r w:rsidRPr="0035286D">
        <w:t xml:space="preserve"> van het Europees Parlement en de </w:t>
      </w:r>
      <w:r w:rsidRPr="0035286D">
        <w:lastRenderedPageBreak/>
        <w:t>Raad</w:t>
      </w:r>
      <w:r w:rsidRPr="0035286D">
        <w:rPr>
          <w:rStyle w:val="FootnoteReference"/>
        </w:rPr>
        <w:footnoteReference w:id="4"/>
      </w:r>
      <w:r w:rsidRPr="0035286D">
        <w:t xml:space="preserve"> een aantal aspecten van Verordening (EU) nr. </w:t>
      </w:r>
      <w:r w:rsidRPr="00762DB3">
        <w:t>575</w:t>
      </w:r>
      <w:r w:rsidRPr="0035286D">
        <w:t>/</w:t>
      </w:r>
      <w:r w:rsidRPr="00762DB3">
        <w:t>2013</w:t>
      </w:r>
      <w:r w:rsidRPr="0035286D">
        <w:t xml:space="preserve"> gewijzigd, zoals de hefboomratio, het nettostabielefinancieringsvereiste, vereisten voor eigen vermogen en in aanmerking komende passiva, tegenpartijkredietrisico, marktrisico, blootstellingen aan centrale tegenpartijen, blootstellingen aan instellingen voor collectieve belegging, grote blootstellingen en rapportage- en openbaarmakingsvereisten. Het in Uitvoeringsverordening (EU) nr. </w:t>
      </w:r>
      <w:r w:rsidRPr="00762DB3">
        <w:t>680</w:t>
      </w:r>
      <w:r w:rsidRPr="0035286D">
        <w:t>/</w:t>
      </w:r>
      <w:r w:rsidRPr="00762DB3">
        <w:t>2014</w:t>
      </w:r>
      <w:r w:rsidRPr="0035286D">
        <w:t xml:space="preserve"> vastgestelde rapportagekader moet daarom worden herzien en de reeks templates voor het verzamelen van informatie ten behoeve van de toezichtrapportage moet worden geactualiseerd.</w:t>
      </w:r>
    </w:p>
    <w:p w14:paraId="5F6B66C1" w14:textId="77777777" w:rsidR="00AD21AA" w:rsidRPr="0035286D" w:rsidRDefault="00AD21AA" w:rsidP="00AD21AA">
      <w:pPr>
        <w:pStyle w:val="Considrant"/>
      </w:pPr>
      <w:r w:rsidRPr="0035286D">
        <w:t xml:space="preserve">Verordening (EU) </w:t>
      </w:r>
      <w:r w:rsidRPr="00762DB3">
        <w:t>2019</w:t>
      </w:r>
      <w:r w:rsidRPr="0035286D">
        <w:t>/</w:t>
      </w:r>
      <w:r w:rsidRPr="00762DB3">
        <w:t>876</w:t>
      </w:r>
      <w:r w:rsidRPr="0035286D">
        <w:t xml:space="preserve"> heeft in Verordening (EU) nr. </w:t>
      </w:r>
      <w:r w:rsidRPr="00762DB3">
        <w:t>575</w:t>
      </w:r>
      <w:r w:rsidRPr="0035286D">
        <w:t>/</w:t>
      </w:r>
      <w:r w:rsidRPr="00762DB3">
        <w:t>2013</w:t>
      </w:r>
      <w:r w:rsidRPr="0035286D">
        <w:t xml:space="preserve"> een op </w:t>
      </w:r>
      <w:r w:rsidRPr="00762DB3">
        <w:t>3</w:t>
      </w:r>
      <w:r w:rsidRPr="0035286D">
        <w:t xml:space="preserve"> % geijkt hefboomratiovereiste voor tier </w:t>
      </w:r>
      <w:r w:rsidRPr="00762DB3">
        <w:t>1</w:t>
      </w:r>
      <w:r w:rsidRPr="0035286D">
        <w:t xml:space="preserve">-kapitaal ingevoerd, een reeks aanpassingen aan de berekening van de blootstelling aan de hefboomratio en een hefboomratiobuffervereiste voor instellingen die overeenkomstig Richtlijn </w:t>
      </w:r>
      <w:r w:rsidRPr="00762DB3">
        <w:t>2013</w:t>
      </w:r>
      <w:r w:rsidRPr="0035286D">
        <w:t>/</w:t>
      </w:r>
      <w:r w:rsidRPr="00762DB3">
        <w:t>36</w:t>
      </w:r>
      <w:r w:rsidRPr="0035286D">
        <w:t>/EU als mondiaal systeemrelevante instellingen (MSI’s) zijn aangemerkt. De rapportage over de hefboomratio moet daarom worden geactualiseerd om met die vereisten en aanpassingen in de berekening van de blootstelling rekening te houden.</w:t>
      </w:r>
    </w:p>
    <w:p w14:paraId="3651D6E0" w14:textId="77777777" w:rsidR="00AD21AA" w:rsidRPr="0035286D" w:rsidRDefault="00AD21AA" w:rsidP="00AD21AA">
      <w:pPr>
        <w:pStyle w:val="Considrant"/>
      </w:pPr>
      <w:r w:rsidRPr="0035286D">
        <w:t xml:space="preserve">Verordening (EU) </w:t>
      </w:r>
      <w:r w:rsidRPr="00762DB3">
        <w:t>2019</w:t>
      </w:r>
      <w:r w:rsidRPr="0035286D">
        <w:t>/</w:t>
      </w:r>
      <w:r w:rsidRPr="00762DB3">
        <w:t>876</w:t>
      </w:r>
      <w:r w:rsidRPr="0035286D">
        <w:t xml:space="preserve"> heeft in Verordening (EU) nr. </w:t>
      </w:r>
      <w:r w:rsidRPr="00762DB3">
        <w:t>575</w:t>
      </w:r>
      <w:r w:rsidRPr="0035286D">
        <w:t>/</w:t>
      </w:r>
      <w:r w:rsidRPr="00762DB3">
        <w:t>2013</w:t>
      </w:r>
      <w:r w:rsidRPr="0035286D">
        <w:t xml:space="preserve"> rapportagevereisten voor de nettostabielefinancieringsratio ingevoerd, met inbegrip van vereenvoudigde vereisten. Daarom moet een nieuwe reeks rapportagetemplates en instructies worden vastgesteld.</w:t>
      </w:r>
    </w:p>
    <w:p w14:paraId="7CAD2444" w14:textId="77777777" w:rsidR="00AD21AA" w:rsidRPr="0035286D" w:rsidRDefault="00AD21AA" w:rsidP="00AD21AA">
      <w:pPr>
        <w:pStyle w:val="Considrant"/>
      </w:pPr>
      <w:r w:rsidRPr="0035286D">
        <w:t xml:space="preserve">Verordening (EU) </w:t>
      </w:r>
      <w:r w:rsidRPr="00762DB3">
        <w:t>2019</w:t>
      </w:r>
      <w:r w:rsidRPr="0035286D">
        <w:t>/</w:t>
      </w:r>
      <w:r w:rsidRPr="00762DB3">
        <w:t>876</w:t>
      </w:r>
      <w:r w:rsidRPr="0035286D">
        <w:t xml:space="preserve"> heeft in Verordening (EU) nr. </w:t>
      </w:r>
      <w:r w:rsidRPr="00762DB3">
        <w:t>575</w:t>
      </w:r>
      <w:r w:rsidRPr="0035286D">
        <w:t>/</w:t>
      </w:r>
      <w:r w:rsidRPr="00762DB3">
        <w:t>2013</w:t>
      </w:r>
      <w:r w:rsidRPr="0035286D">
        <w:t xml:space="preserve"> een nieuwe ondersteuningsfactor ingevoerd die moet worden toegepast op blootstellingen aan infrastructuurprojecten, en geactualiseerde benaderingen voor de berekening van risicogewogen posten voor instellingen voor collectieve belegging. Daarom moeten, mede in overeenstemming met het openbaarmakingskader, nieuwe templates en instructies voor de rapportage over kredietrisico worden vastgesteld en moeten de huidige instructies worden geactualiseerd.</w:t>
      </w:r>
    </w:p>
    <w:p w14:paraId="19553D31" w14:textId="77777777" w:rsidR="00AD21AA" w:rsidRPr="0035286D" w:rsidRDefault="00AD21AA" w:rsidP="00AD21AA">
      <w:pPr>
        <w:pStyle w:val="Considrant"/>
      </w:pPr>
      <w:r w:rsidRPr="0035286D">
        <w:t xml:space="preserve">Verordening (EU) </w:t>
      </w:r>
      <w:r w:rsidRPr="00762DB3">
        <w:t>2019</w:t>
      </w:r>
      <w:r w:rsidRPr="0035286D">
        <w:t>/</w:t>
      </w:r>
      <w:r w:rsidRPr="00762DB3">
        <w:t>876</w:t>
      </w:r>
      <w:r w:rsidRPr="0035286D">
        <w:t xml:space="preserve"> heeft in Verordening (EU) nr. </w:t>
      </w:r>
      <w:r w:rsidRPr="00762DB3">
        <w:t>575</w:t>
      </w:r>
      <w:r w:rsidRPr="0035286D">
        <w:t>/</w:t>
      </w:r>
      <w:r w:rsidRPr="00762DB3">
        <w:t>2013</w:t>
      </w:r>
      <w:r w:rsidRPr="0035286D">
        <w:t xml:space="preserve"> de standaardbenadering vervangen door een risicogevoeligere standaardbenadering voor tegenpartijkredietrisico (SB-TKR) en een vereenvoudigde versie (de vereenvoudigde SB-TKR) voor instellingen die voldoen aan vooraf bepaalde toelaatbaarheidscriteria. De oorspronkelijkeblootstellingsmethode blijft, hoewel herzien, beschikbaar voor instellingen die voldoen aan vooraf bepaalde criteria. Daarom moeten nieuwe templates en instructies voor de rapportage over tegenpartijrisico worden vastgesteld en moeten de huidige instructies worden geactualiseerd.</w:t>
      </w:r>
    </w:p>
    <w:p w14:paraId="76193745" w14:textId="77777777" w:rsidR="00AD21AA" w:rsidRPr="0035286D" w:rsidRDefault="00AD21AA" w:rsidP="00AD21AA">
      <w:pPr>
        <w:pStyle w:val="Considrant"/>
      </w:pPr>
      <w:r w:rsidRPr="0035286D">
        <w:t xml:space="preserve">Verordening (EU) </w:t>
      </w:r>
      <w:r w:rsidRPr="00762DB3">
        <w:t>2019</w:t>
      </w:r>
      <w:r w:rsidRPr="0035286D">
        <w:t>/</w:t>
      </w:r>
      <w:r w:rsidRPr="00762DB3">
        <w:t>876</w:t>
      </w:r>
      <w:r w:rsidRPr="0035286D">
        <w:t xml:space="preserve"> heeft in Verordening (EU) nr. </w:t>
      </w:r>
      <w:r w:rsidRPr="00762DB3">
        <w:t>575</w:t>
      </w:r>
      <w:r w:rsidRPr="0035286D">
        <w:t>/</w:t>
      </w:r>
      <w:r w:rsidRPr="00762DB3">
        <w:t>2013</w:t>
      </w:r>
      <w:r w:rsidRPr="0035286D">
        <w:t xml:space="preserve"> de verwijzingen naar “in aanmerking komend kapitaal” bij de berekening van grote blootstellingen vervangen door verwijzingen naar “tier </w:t>
      </w:r>
      <w:r w:rsidRPr="00762DB3">
        <w:t>1</w:t>
      </w:r>
      <w:r w:rsidRPr="0035286D">
        <w:t>-kapitaal” en een andere drempel ingevoerd voor de rapportage van grote blootstellingen op geconsolideerde basis. De rapportage over grote blootstellingen moet daarom worden geactualiseerd.</w:t>
      </w:r>
    </w:p>
    <w:p w14:paraId="406A544B" w14:textId="77777777" w:rsidR="00AD21AA" w:rsidRPr="0035286D" w:rsidRDefault="00AD21AA" w:rsidP="00AD21AA">
      <w:pPr>
        <w:pStyle w:val="Considrant"/>
      </w:pPr>
      <w:r w:rsidRPr="0035286D">
        <w:lastRenderedPageBreak/>
        <w:t xml:space="preserve">Verordening (EU) </w:t>
      </w:r>
      <w:r w:rsidRPr="00762DB3">
        <w:t>2019</w:t>
      </w:r>
      <w:r w:rsidRPr="0035286D">
        <w:t>/</w:t>
      </w:r>
      <w:r w:rsidRPr="00762DB3">
        <w:t>630</w:t>
      </w:r>
      <w:r w:rsidRPr="0035286D">
        <w:t xml:space="preserve"> van het Europees Parlement en de Raad</w:t>
      </w:r>
      <w:r w:rsidRPr="0035286D">
        <w:rPr>
          <w:rStyle w:val="FootnoteReference"/>
        </w:rPr>
        <w:footnoteReference w:id="5"/>
      </w:r>
      <w:r w:rsidRPr="0035286D">
        <w:t xml:space="preserve"> heeft in Verordening (EU) nr. </w:t>
      </w:r>
      <w:r w:rsidRPr="00762DB3">
        <w:t>575</w:t>
      </w:r>
      <w:r w:rsidRPr="0035286D">
        <w:t>/</w:t>
      </w:r>
      <w:r w:rsidRPr="00762DB3">
        <w:t>2013</w:t>
      </w:r>
      <w:r w:rsidRPr="0035286D">
        <w:t xml:space="preserve"> een prudentiële achtervang voor niet-renderende blootstellingen (NPE’s) ingevoerd waarbij een aftrekking van het eigen vermogen van instellingen wordt opgelegd wanneer NPE’s onvoldoende gedekt zijn door voorzieningen of andere aanpassingen, volgens een vooraf bepaald tijdschema om mettertijd een volledige dekking op te bouwen. Die prudentiële achtervang is gebaseerd op de definities van “niet-renderende blootstelling” en “respijtmaatregelen” in Uitvoeringsverordening (EU) nr. </w:t>
      </w:r>
      <w:r w:rsidRPr="00762DB3">
        <w:t>680</w:t>
      </w:r>
      <w:r w:rsidRPr="0035286D">
        <w:t>/</w:t>
      </w:r>
      <w:r w:rsidRPr="00762DB3">
        <w:t>2014</w:t>
      </w:r>
      <w:r w:rsidRPr="0035286D">
        <w:t>. Daarom moeten templates en instructies worden gewijzigd om ervoor te zorgen dat er één definitie is van “niet-renderende blootstelling” en “respijtmaatregelen” voor zowel de rapportage als de prudentiële achtervang. Er zijn ook nieuwe templates nodig voor het verzamelen van informatie voor de berekening van de achtervang.</w:t>
      </w:r>
    </w:p>
    <w:p w14:paraId="4A308F65" w14:textId="77777777" w:rsidR="00AD21AA" w:rsidRPr="0035286D" w:rsidRDefault="00AD21AA" w:rsidP="00AD21AA">
      <w:pPr>
        <w:pStyle w:val="Considrant"/>
      </w:pPr>
      <w:r w:rsidRPr="0035286D">
        <w:t xml:space="preserve">Verordening (EU) </w:t>
      </w:r>
      <w:r w:rsidRPr="00762DB3">
        <w:t>2019</w:t>
      </w:r>
      <w:r w:rsidRPr="0035286D">
        <w:t>/</w:t>
      </w:r>
      <w:r w:rsidRPr="00762DB3">
        <w:t>2033</w:t>
      </w:r>
      <w:r w:rsidRPr="0035286D">
        <w:t xml:space="preserve"> van het Europees Parlement en de Raad</w:t>
      </w:r>
      <w:r w:rsidRPr="0035286D">
        <w:rPr>
          <w:rStyle w:val="FootnoteReference"/>
        </w:rPr>
        <w:footnoteReference w:id="6"/>
      </w:r>
      <w:r w:rsidRPr="0035286D">
        <w:t xml:space="preserve"> trekt met ingang van </w:t>
      </w:r>
      <w:r w:rsidRPr="00762DB3">
        <w:t>26</w:t>
      </w:r>
      <w:r w:rsidRPr="0035286D">
        <w:t xml:space="preserve"> juni </w:t>
      </w:r>
      <w:r w:rsidRPr="00762DB3">
        <w:t>2026</w:t>
      </w:r>
      <w:r w:rsidRPr="0035286D">
        <w:t xml:space="preserve"> in hoofdstuk </w:t>
      </w:r>
      <w:r w:rsidRPr="00762DB3">
        <w:t>1</w:t>
      </w:r>
      <w:r w:rsidRPr="0035286D">
        <w:t xml:space="preserve"> van titel I van deel drie van Verordening (EU) nr. </w:t>
      </w:r>
      <w:r w:rsidRPr="00762DB3">
        <w:t>575</w:t>
      </w:r>
      <w:r w:rsidRPr="0035286D">
        <w:t>/</w:t>
      </w:r>
      <w:r w:rsidRPr="00762DB3">
        <w:t>2013</w:t>
      </w:r>
      <w:r w:rsidRPr="0035286D">
        <w:t xml:space="preserve"> afdeling </w:t>
      </w:r>
      <w:r w:rsidRPr="00762DB3">
        <w:t>2</w:t>
      </w:r>
      <w:r w:rsidRPr="0035286D">
        <w:t xml:space="preserve"> (artikelen </w:t>
      </w:r>
      <w:r w:rsidRPr="00762DB3">
        <w:t>95</w:t>
      </w:r>
      <w:r w:rsidRPr="0035286D">
        <w:t xml:space="preserve"> tot en met </w:t>
      </w:r>
      <w:r w:rsidRPr="00762DB3">
        <w:t>98</w:t>
      </w:r>
      <w:r w:rsidRPr="0035286D">
        <w:t xml:space="preserve">) in. Daarom moeten de bepalingen inzake rapportage voor groepen die alleen bestaan uit beleggingsondernemingen die op individuele basis of op geconsolideerde basis onder de artikelen </w:t>
      </w:r>
      <w:r w:rsidRPr="00762DB3">
        <w:t>95</w:t>
      </w:r>
      <w:r w:rsidRPr="0035286D">
        <w:t xml:space="preserve"> en </w:t>
      </w:r>
      <w:r w:rsidRPr="00762DB3">
        <w:t>96</w:t>
      </w:r>
      <w:r w:rsidRPr="0035286D">
        <w:t xml:space="preserve"> van Verordening (EU) nr. </w:t>
      </w:r>
      <w:r w:rsidRPr="00762DB3">
        <w:t>575</w:t>
      </w:r>
      <w:r w:rsidRPr="0035286D">
        <w:t>/</w:t>
      </w:r>
      <w:r w:rsidRPr="00762DB3">
        <w:t>2013</w:t>
      </w:r>
      <w:r w:rsidRPr="0035286D">
        <w:t xml:space="preserve"> vallen, op </w:t>
      </w:r>
      <w:r w:rsidRPr="00762DB3">
        <w:t>26</w:t>
      </w:r>
      <w:r w:rsidRPr="0035286D">
        <w:t xml:space="preserve"> juni </w:t>
      </w:r>
      <w:r w:rsidRPr="00762DB3">
        <w:t>2026</w:t>
      </w:r>
      <w:r w:rsidRPr="0035286D">
        <w:t xml:space="preserve"> niet langer van toepassing zijn.</w:t>
      </w:r>
    </w:p>
    <w:p w14:paraId="43FA00D7" w14:textId="77777777" w:rsidR="00AD21AA" w:rsidRPr="0035286D" w:rsidRDefault="00AD21AA" w:rsidP="00AD21AA">
      <w:pPr>
        <w:pStyle w:val="Considrant"/>
      </w:pPr>
      <w:r w:rsidRPr="0035286D">
        <w:t xml:space="preserve">Gezien de omvang van die wijzigingen en ter wille van de duidelijkheid moet Uitvoeringsverordening (EU) nr. </w:t>
      </w:r>
      <w:r w:rsidRPr="00762DB3">
        <w:t>680</w:t>
      </w:r>
      <w:r w:rsidRPr="0035286D">
        <w:t>/</w:t>
      </w:r>
      <w:r w:rsidRPr="00762DB3">
        <w:t>2014</w:t>
      </w:r>
      <w:r w:rsidRPr="0035286D">
        <w:t xml:space="preserve"> worden ingetrokken en door deze verordening worden vervangen.</w:t>
      </w:r>
    </w:p>
    <w:p w14:paraId="68FF0834" w14:textId="77777777" w:rsidR="00AD21AA" w:rsidRPr="0035286D" w:rsidRDefault="00AD21AA" w:rsidP="00AD21AA">
      <w:pPr>
        <w:pStyle w:val="Considrant"/>
      </w:pPr>
      <w:r w:rsidRPr="0035286D">
        <w:t xml:space="preserve">Verordening (EU) </w:t>
      </w:r>
      <w:r w:rsidRPr="00762DB3">
        <w:t>2020</w:t>
      </w:r>
      <w:r w:rsidRPr="0035286D">
        <w:t>/</w:t>
      </w:r>
      <w:r w:rsidRPr="00762DB3">
        <w:t>873</w:t>
      </w:r>
      <w:r w:rsidRPr="0035286D">
        <w:t xml:space="preserve"> van het Europees Parlement en de Raad</w:t>
      </w:r>
      <w:r w:rsidRPr="0035286D">
        <w:rPr>
          <w:rStyle w:val="FootnoteReference"/>
        </w:rPr>
        <w:footnoteReference w:id="7"/>
      </w:r>
      <w:r w:rsidRPr="0035286D">
        <w:t xml:space="preserve"> maakt deel uit van een reeks maatregelen om de impact van de COVID-</w:t>
      </w:r>
      <w:r w:rsidRPr="00762DB3">
        <w:t>19</w:t>
      </w:r>
      <w:r w:rsidRPr="0035286D">
        <w:t xml:space="preserve">-pandemie voor instellingen overal in de Unie te beperken. Die verordening heeft bepaalde wijzigingen van de Verordeningen (EU) nr. </w:t>
      </w:r>
      <w:r w:rsidRPr="00762DB3">
        <w:t>575</w:t>
      </w:r>
      <w:r w:rsidRPr="0035286D">
        <w:t>/</w:t>
      </w:r>
      <w:r w:rsidRPr="00762DB3">
        <w:t>2013</w:t>
      </w:r>
      <w:r w:rsidRPr="0035286D">
        <w:t xml:space="preserve"> en (EU) </w:t>
      </w:r>
      <w:r w:rsidRPr="00762DB3">
        <w:t>2019</w:t>
      </w:r>
      <w:r w:rsidRPr="0035286D">
        <w:t>/</w:t>
      </w:r>
      <w:r w:rsidRPr="00762DB3">
        <w:t>876</w:t>
      </w:r>
      <w:r w:rsidRPr="0035286D">
        <w:t xml:space="preserve"> ingevoerd die gevolgen hebben voor de toezichtrapportage. Daarom moet in het rapportagekader met die wijzigingen rekening worden gehouden. </w:t>
      </w:r>
    </w:p>
    <w:p w14:paraId="1AEA9367" w14:textId="77777777" w:rsidR="00AD21AA" w:rsidRPr="0035286D" w:rsidRDefault="00AD21AA" w:rsidP="00AD21AA">
      <w:pPr>
        <w:pStyle w:val="Considrant"/>
      </w:pPr>
      <w:r w:rsidRPr="0035286D">
        <w:t xml:space="preserve">Instellingen moeten aan het einde van het tweede kwartaal van </w:t>
      </w:r>
      <w:r w:rsidRPr="00762DB3">
        <w:t>2021</w:t>
      </w:r>
      <w:r w:rsidRPr="0035286D">
        <w:t xml:space="preserve"> beginnen met de toezichtrapportage. De rapportage over de hefboomratiobuffer moet echter vanaf januari </w:t>
      </w:r>
      <w:r w:rsidRPr="00762DB3">
        <w:t>2023</w:t>
      </w:r>
      <w:r w:rsidRPr="0035286D">
        <w:t xml:space="preserve"> beginnen, aangezien de toepassing van de hefboombuffervereisten bij Verordening (EU) </w:t>
      </w:r>
      <w:r w:rsidRPr="00762DB3">
        <w:t>2020</w:t>
      </w:r>
      <w:r w:rsidRPr="0035286D">
        <w:t>/</w:t>
      </w:r>
      <w:r w:rsidRPr="00762DB3">
        <w:t>873</w:t>
      </w:r>
      <w:r w:rsidRPr="0035286D">
        <w:t xml:space="preserve"> tot januari </w:t>
      </w:r>
      <w:r w:rsidRPr="00762DB3">
        <w:t>2023</w:t>
      </w:r>
      <w:r w:rsidRPr="0035286D">
        <w:t xml:space="preserve"> is uitgesteld.</w:t>
      </w:r>
    </w:p>
    <w:p w14:paraId="34258819" w14:textId="77777777" w:rsidR="00AD21AA" w:rsidRPr="0035286D" w:rsidRDefault="00AD21AA" w:rsidP="00AD21AA">
      <w:pPr>
        <w:pStyle w:val="Considrant"/>
      </w:pPr>
      <w:r w:rsidRPr="0035286D">
        <w:t>Deze verordening is gebaseerd op de ontwerpen van technische uitvoeringsnormen die de Europese Bankautoriteit (EBA) aan de Commissie heeft voorgelegd.</w:t>
      </w:r>
    </w:p>
    <w:p w14:paraId="1EE2EAF8" w14:textId="77777777" w:rsidR="00AD21AA" w:rsidRPr="0035286D" w:rsidRDefault="00AD21AA" w:rsidP="00AD21AA">
      <w:pPr>
        <w:pStyle w:val="Considrant"/>
        <w:rPr>
          <w:noProof/>
        </w:rPr>
      </w:pPr>
      <w:r w:rsidRPr="0035286D">
        <w:t xml:space="preserve">De EBA heeft openbare raadplegingen gehouden over de ontwerpen van technische uitvoeringsnormen waarop deze verordening is gebaseerd, de mogelijke desbetreffende kosten en baten geanalyseerd en het advies van de in overeenstemming met artikel </w:t>
      </w:r>
      <w:r w:rsidRPr="00762DB3">
        <w:t>37</w:t>
      </w:r>
      <w:r w:rsidRPr="0035286D">
        <w:t xml:space="preserve"> van Verordening (EU) nr. </w:t>
      </w:r>
      <w:r w:rsidRPr="00762DB3">
        <w:t>1093</w:t>
      </w:r>
      <w:r w:rsidRPr="0035286D">
        <w:t>/</w:t>
      </w:r>
      <w:r w:rsidRPr="00762DB3">
        <w:t>2010</w:t>
      </w:r>
      <w:r w:rsidRPr="0035286D">
        <w:t xml:space="preserve"> van het Europees Parlement en de </w:t>
      </w:r>
      <w:r w:rsidRPr="0035286D">
        <w:lastRenderedPageBreak/>
        <w:t>Raad</w:t>
      </w:r>
      <w:r w:rsidRPr="0035286D">
        <w:rPr>
          <w:rStyle w:val="FootnoteReference"/>
        </w:rPr>
        <w:footnoteReference w:id="8"/>
      </w:r>
      <w:r w:rsidRPr="0035286D">
        <w:t xml:space="preserve"> opgerichte Stakeholdergroep Bankwezen ingewonnen, met uitzondering van de bepalingen waarmee rekening is gehouden met de wijzigingen van Verordening (EU) nr. </w:t>
      </w:r>
      <w:r w:rsidRPr="00762DB3">
        <w:t>575</w:t>
      </w:r>
      <w:r w:rsidRPr="0035286D">
        <w:t>/</w:t>
      </w:r>
      <w:r w:rsidRPr="00762DB3">
        <w:t>2013</w:t>
      </w:r>
      <w:r w:rsidRPr="0035286D">
        <w:t xml:space="preserve"> bij Verordening (EU) </w:t>
      </w:r>
      <w:r w:rsidRPr="00762DB3">
        <w:t>2020</w:t>
      </w:r>
      <w:r w:rsidRPr="0035286D">
        <w:t>/</w:t>
      </w:r>
      <w:r w:rsidRPr="00762DB3">
        <w:t>873</w:t>
      </w:r>
      <w:r w:rsidRPr="0035286D">
        <w:t>. De EBA heeft besloten dat het bijzonder buitensporig zou zijn om over die bepalingen openbare raadplegingen te houden of daarvan een kosten-batenanalyse uit te voeren, aangezien zij betrekking hebben op zeer weinig rijen in de rapportagetemplates inzake solvabiliteit en hefboomratio’s en waarschijnlijk geen wezenlijke gevolgen zullen hebben voor de kosten van de rapportage. Bovendien zou een dergelijke openbare raadpleging of een kosten-batenanalyse de toezichthouders beletten tijdig, coherent en op regelmatige basis relevante gegevens te verzamelen.</w:t>
      </w:r>
    </w:p>
    <w:p w14:paraId="38285338" w14:textId="5E242B95" w:rsidR="0004170D" w:rsidRPr="0035286D" w:rsidRDefault="00AD21AA" w:rsidP="00AD21AA">
      <w:pPr>
        <w:pStyle w:val="Considrant"/>
        <w:rPr>
          <w:noProof/>
        </w:rPr>
      </w:pPr>
      <w:r w:rsidRPr="0035286D">
        <w:t xml:space="preserve">Om instellingen voldoende tijd te geven om de rapportage overeenkomstig deze verordening voor te bereiden, moet deze verordening in werking treden op de dag na die van bekendmaking ervan in het Publicatieblad van de Europese Unie, </w:t>
      </w:r>
    </w:p>
    <w:p w14:paraId="7E0D596A" w14:textId="77777777" w:rsidR="0004170D" w:rsidRPr="0035286D" w:rsidRDefault="0004170D" w:rsidP="009675DD">
      <w:pPr>
        <w:pStyle w:val="Formuledadoption"/>
      </w:pPr>
      <w:r w:rsidRPr="0035286D">
        <w:t>HEEFT DE VOLGENDE VERORDENING VASTGESTELD:</w:t>
      </w:r>
    </w:p>
    <w:p w14:paraId="576F9D8E" w14:textId="77777777" w:rsidR="0004170D" w:rsidRPr="0035286D" w:rsidRDefault="0004170D" w:rsidP="009675DD">
      <w:pPr>
        <w:pStyle w:val="Titrearticle"/>
      </w:pPr>
      <w:r w:rsidRPr="0035286D">
        <w:t xml:space="preserve">Artikel </w:t>
      </w:r>
      <w:r w:rsidRPr="00762DB3">
        <w:t>1</w:t>
      </w:r>
    </w:p>
    <w:p w14:paraId="288B3999" w14:textId="77777777" w:rsidR="006B61AF" w:rsidRPr="0035286D" w:rsidRDefault="006B61AF" w:rsidP="006B61AF">
      <w:pPr>
        <w:pStyle w:val="Titrearticle"/>
        <w:spacing w:before="120"/>
        <w:rPr>
          <w:b/>
          <w:i w:val="0"/>
        </w:rPr>
      </w:pPr>
      <w:r w:rsidRPr="0035286D">
        <w:rPr>
          <w:b/>
          <w:i w:val="0"/>
        </w:rPr>
        <w:t>Onderwerp en toepassingsgebied</w:t>
      </w:r>
    </w:p>
    <w:p w14:paraId="37986D69" w14:textId="774022E5" w:rsidR="0004170D" w:rsidRPr="0035286D" w:rsidRDefault="006B61AF" w:rsidP="00BC75BD">
      <w:r w:rsidRPr="0035286D">
        <w:t xml:space="preserve">Deze verordening stelt uniforme rapportageformats en -templates vast, de instructies en de methodiek voor het gebruik van die templates, de frequentie en de data van de rapportage, de definities en de IT-oplossingen voor de rapportage van instellingen aan hun bevoegde autoriteiten overeenkomstig artikel </w:t>
      </w:r>
      <w:r w:rsidRPr="00762DB3">
        <w:t>415</w:t>
      </w:r>
      <w:r w:rsidRPr="0035286D">
        <w:t xml:space="preserve">, leden </w:t>
      </w:r>
      <w:r w:rsidRPr="00762DB3">
        <w:t>3</w:t>
      </w:r>
      <w:r w:rsidRPr="0035286D">
        <w:t xml:space="preserve"> en </w:t>
      </w:r>
      <w:r w:rsidRPr="00762DB3">
        <w:t>3</w:t>
      </w:r>
      <w:r w:rsidRPr="0035286D">
        <w:t xml:space="preserve"> bis, van Verordening (EU) nr. </w:t>
      </w:r>
      <w:r w:rsidRPr="00762DB3">
        <w:t>575</w:t>
      </w:r>
      <w:r w:rsidRPr="0035286D">
        <w:t>/</w:t>
      </w:r>
      <w:r w:rsidRPr="00762DB3">
        <w:t>2013</w:t>
      </w:r>
      <w:r w:rsidRPr="0035286D">
        <w:t xml:space="preserve"> en artikel </w:t>
      </w:r>
      <w:r w:rsidRPr="00762DB3">
        <w:t>430</w:t>
      </w:r>
      <w:r w:rsidRPr="0035286D">
        <w:t xml:space="preserve">, leden </w:t>
      </w:r>
      <w:r w:rsidRPr="00762DB3">
        <w:t>1</w:t>
      </w:r>
      <w:r w:rsidRPr="0035286D">
        <w:t xml:space="preserve"> tot en met </w:t>
      </w:r>
      <w:r w:rsidRPr="00762DB3">
        <w:t>4</w:t>
      </w:r>
      <w:r w:rsidRPr="0035286D">
        <w:t xml:space="preserve">, en artikel </w:t>
      </w:r>
      <w:r w:rsidRPr="00762DB3">
        <w:t>430</w:t>
      </w:r>
      <w:r w:rsidRPr="0035286D">
        <w:t xml:space="preserve">, leden </w:t>
      </w:r>
      <w:r w:rsidRPr="00762DB3">
        <w:t>7</w:t>
      </w:r>
      <w:r w:rsidRPr="0035286D">
        <w:t xml:space="preserve"> en </w:t>
      </w:r>
      <w:r w:rsidRPr="00762DB3">
        <w:t>9</w:t>
      </w:r>
      <w:r w:rsidRPr="0035286D">
        <w:t xml:space="preserve">, van die verordening. </w:t>
      </w:r>
    </w:p>
    <w:p w14:paraId="46D6B4CF" w14:textId="77777777" w:rsidR="00FF364B" w:rsidRPr="0035286D" w:rsidRDefault="00FF364B" w:rsidP="00FF364B">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2</w:t>
      </w:r>
      <w:r w:rsidR="007208C1">
        <w:fldChar w:fldCharType="end"/>
      </w:r>
    </w:p>
    <w:p w14:paraId="35E34B0E" w14:textId="1A25917F" w:rsidR="00FF364B" w:rsidRPr="0035286D" w:rsidRDefault="006B61AF" w:rsidP="00FF364B">
      <w:pPr>
        <w:pStyle w:val="Titrearticle"/>
        <w:spacing w:before="120"/>
        <w:rPr>
          <w:b/>
          <w:i w:val="0"/>
        </w:rPr>
      </w:pPr>
      <w:r w:rsidRPr="0035286D">
        <w:rPr>
          <w:b/>
          <w:i w:val="0"/>
        </w:rPr>
        <w:t>Rapportagereferentiedata</w:t>
      </w:r>
    </w:p>
    <w:p w14:paraId="10AD0363" w14:textId="77777777" w:rsidR="006B61AF" w:rsidRPr="0035286D" w:rsidRDefault="006B61AF" w:rsidP="006B61AF">
      <w:pPr>
        <w:pStyle w:val="NumPar1"/>
        <w:numPr>
          <w:ilvl w:val="0"/>
          <w:numId w:val="10"/>
        </w:numPr>
      </w:pPr>
      <w:r w:rsidRPr="0035286D">
        <w:t>Instellingen dienen bij de bevoegde autoriteiten informatie in zoals die informatie op de volgende rapportagereferentiedata beschikbaar is:</w:t>
      </w:r>
    </w:p>
    <w:p w14:paraId="7FC44D08" w14:textId="2BC9CD43" w:rsidR="006B61AF" w:rsidRPr="0035286D" w:rsidRDefault="00D9176D" w:rsidP="006B61AF">
      <w:pPr>
        <w:pStyle w:val="Point1"/>
      </w:pPr>
      <w:r w:rsidRPr="0035286D">
        <w:t>a)</w:t>
      </w:r>
      <w:r w:rsidRPr="0035286D">
        <w:tab/>
        <w:t>maandelijkse rapportage: op de laatste dag van elke maand;</w:t>
      </w:r>
    </w:p>
    <w:p w14:paraId="28CC3121" w14:textId="77777777" w:rsidR="006B61AF" w:rsidRPr="0035286D" w:rsidRDefault="006B61AF" w:rsidP="006B61AF">
      <w:pPr>
        <w:pStyle w:val="Point1"/>
      </w:pPr>
      <w:r w:rsidRPr="0035286D">
        <w:t>b)</w:t>
      </w:r>
      <w:r w:rsidRPr="0035286D">
        <w:tab/>
        <w:t xml:space="preserve">kwartaalrapportage: </w:t>
      </w:r>
      <w:r w:rsidRPr="00762DB3">
        <w:t>31</w:t>
      </w:r>
      <w:r w:rsidRPr="0035286D">
        <w:t xml:space="preserve"> maart, </w:t>
      </w:r>
      <w:r w:rsidRPr="00762DB3">
        <w:t>30</w:t>
      </w:r>
      <w:r w:rsidRPr="0035286D">
        <w:t xml:space="preserve"> juni, </w:t>
      </w:r>
      <w:r w:rsidRPr="00762DB3">
        <w:t>30</w:t>
      </w:r>
      <w:r w:rsidRPr="0035286D">
        <w:t xml:space="preserve"> september en </w:t>
      </w:r>
      <w:r w:rsidRPr="00762DB3">
        <w:t>31</w:t>
      </w:r>
      <w:r w:rsidRPr="0035286D">
        <w:t xml:space="preserve"> december;</w:t>
      </w:r>
    </w:p>
    <w:p w14:paraId="3C859754" w14:textId="77777777" w:rsidR="006B61AF" w:rsidRPr="0035286D" w:rsidRDefault="006B61AF" w:rsidP="006B61AF">
      <w:pPr>
        <w:pStyle w:val="Point1"/>
      </w:pPr>
      <w:r w:rsidRPr="0035286D">
        <w:t>c)</w:t>
      </w:r>
      <w:r w:rsidRPr="0035286D">
        <w:tab/>
        <w:t xml:space="preserve">halfjaarlijkse rapportage: </w:t>
      </w:r>
      <w:r w:rsidRPr="00762DB3">
        <w:t>30</w:t>
      </w:r>
      <w:r w:rsidRPr="0035286D">
        <w:t xml:space="preserve"> juni en </w:t>
      </w:r>
      <w:r w:rsidRPr="00762DB3">
        <w:t>31</w:t>
      </w:r>
      <w:r w:rsidRPr="0035286D">
        <w:t xml:space="preserve"> december;</w:t>
      </w:r>
    </w:p>
    <w:p w14:paraId="03865441" w14:textId="5E46B259" w:rsidR="00FF364B" w:rsidRPr="0035286D" w:rsidRDefault="006B61AF" w:rsidP="006B61AF">
      <w:pPr>
        <w:pStyle w:val="Point1"/>
      </w:pPr>
      <w:r w:rsidRPr="0035286D">
        <w:t>d)</w:t>
      </w:r>
      <w:r w:rsidRPr="0035286D">
        <w:tab/>
        <w:t xml:space="preserve">jaarlijkse rapportage: </w:t>
      </w:r>
      <w:r w:rsidRPr="00762DB3">
        <w:t>31</w:t>
      </w:r>
      <w:r w:rsidRPr="0035286D">
        <w:t xml:space="preserve"> december.</w:t>
      </w:r>
    </w:p>
    <w:p w14:paraId="40A4E6AA" w14:textId="77777777" w:rsidR="006B61AF" w:rsidRPr="0035286D" w:rsidRDefault="006B61AF" w:rsidP="006B61AF">
      <w:pPr>
        <w:pStyle w:val="NumPar1"/>
      </w:pPr>
      <w:r w:rsidRPr="0035286D">
        <w:t>Informatie over een bepaalde periode die volgens de templates in de bijlagen III en IV en overeenkomstig de instructies in bijlage V wordt verstrekt, wordt cumulatief gerapporteerd vanaf de eerste dag van het boekjaar tot de referentiedatum.</w:t>
      </w:r>
    </w:p>
    <w:p w14:paraId="65D209FF" w14:textId="1131E63F" w:rsidR="00FF364B" w:rsidRPr="0035286D" w:rsidRDefault="006B61AF" w:rsidP="006B61AF">
      <w:pPr>
        <w:pStyle w:val="NumPar1"/>
      </w:pPr>
      <w:r w:rsidRPr="0035286D">
        <w:t>Voor instellingen die krachtens de nationale wetgeving financiële informatie mogen rapporteren op basis van het einde van een boekjaar dat afwijkt van het kalenderjaar, mogen de rapportagereferentiedata zodanig worden aangepast dat zij hun financiële informatie en de informatie om mondiaal systeemrelevante instellingen (MSI’s) te identificeren en MSI-bufferpercentages toe te kennen, respectievelijk om de drie, zes of twaalf maanden na het einde van hun boekjaar rapporteren.</w:t>
      </w:r>
    </w:p>
    <w:p w14:paraId="45D66A15" w14:textId="77777777" w:rsidR="00725875" w:rsidRPr="0035286D" w:rsidRDefault="00725875" w:rsidP="00725875">
      <w:pPr>
        <w:pStyle w:val="Titrearticle"/>
      </w:pPr>
      <w:r w:rsidRPr="0035286D">
        <w:lastRenderedPageBreak/>
        <w:t xml:space="preserve">Artikel </w:t>
      </w:r>
      <w:r w:rsidRPr="00762DB3">
        <w:t>3</w:t>
      </w:r>
    </w:p>
    <w:p w14:paraId="19D84E1B" w14:textId="77777777" w:rsidR="0014552F" w:rsidRPr="0035286D" w:rsidRDefault="0014552F" w:rsidP="0014552F">
      <w:pPr>
        <w:pStyle w:val="Titrearticle"/>
        <w:spacing w:before="120"/>
        <w:rPr>
          <w:b/>
          <w:i w:val="0"/>
        </w:rPr>
      </w:pPr>
      <w:r w:rsidRPr="0035286D">
        <w:rPr>
          <w:b/>
          <w:i w:val="0"/>
        </w:rPr>
        <w:t>Inzenddata voor de rapportage</w:t>
      </w:r>
    </w:p>
    <w:p w14:paraId="1A3916EF" w14:textId="77777777" w:rsidR="0014552F" w:rsidRPr="0035286D" w:rsidRDefault="0014552F" w:rsidP="0047317A">
      <w:pPr>
        <w:pStyle w:val="NumPar1"/>
        <w:numPr>
          <w:ilvl w:val="0"/>
          <w:numId w:val="12"/>
        </w:numPr>
      </w:pPr>
      <w:r w:rsidRPr="0035286D">
        <w:t>Instellingen verstrekken op de volgende inzenddata bij de bevoegde autoriteiten informatie aan het eind van de werkdag:</w:t>
      </w:r>
    </w:p>
    <w:p w14:paraId="1B31A059" w14:textId="77777777" w:rsidR="0014552F" w:rsidRPr="0035286D" w:rsidRDefault="0014552F" w:rsidP="0014552F">
      <w:pPr>
        <w:pStyle w:val="Point1"/>
      </w:pPr>
      <w:r w:rsidRPr="0035286D">
        <w:t>a)</w:t>
      </w:r>
      <w:r w:rsidRPr="0035286D">
        <w:tab/>
        <w:t>maandelijkse rapportage: vijftiende kalenderdag na de rapportagereferentiedatum;</w:t>
      </w:r>
    </w:p>
    <w:p w14:paraId="59E141C9" w14:textId="77777777" w:rsidR="0014552F" w:rsidRPr="0035286D" w:rsidRDefault="0014552F" w:rsidP="0014552F">
      <w:pPr>
        <w:pStyle w:val="Point1"/>
      </w:pPr>
      <w:r w:rsidRPr="0035286D">
        <w:t>b)</w:t>
      </w:r>
      <w:r w:rsidRPr="0035286D">
        <w:tab/>
        <w:t xml:space="preserve">kwartaalrapportage: </w:t>
      </w:r>
      <w:r w:rsidRPr="00762DB3">
        <w:t>12</w:t>
      </w:r>
      <w:r w:rsidRPr="0035286D">
        <w:t xml:space="preserve"> mei, </w:t>
      </w:r>
      <w:r w:rsidRPr="00762DB3">
        <w:t>11</w:t>
      </w:r>
      <w:r w:rsidRPr="0035286D">
        <w:t xml:space="preserve"> augustus, </w:t>
      </w:r>
      <w:r w:rsidRPr="00762DB3">
        <w:t>11</w:t>
      </w:r>
      <w:r w:rsidRPr="0035286D">
        <w:t xml:space="preserve"> november en </w:t>
      </w:r>
      <w:r w:rsidRPr="00762DB3">
        <w:t>11</w:t>
      </w:r>
      <w:r w:rsidRPr="0035286D">
        <w:t xml:space="preserve"> februari;</w:t>
      </w:r>
    </w:p>
    <w:p w14:paraId="31A5927D" w14:textId="77777777" w:rsidR="0014552F" w:rsidRPr="0035286D" w:rsidRDefault="0014552F" w:rsidP="0014552F">
      <w:pPr>
        <w:pStyle w:val="Point1"/>
      </w:pPr>
      <w:r w:rsidRPr="0035286D">
        <w:t>c)</w:t>
      </w:r>
      <w:r w:rsidRPr="0035286D">
        <w:tab/>
        <w:t xml:space="preserve">halfjaarlijkse rapportage: </w:t>
      </w:r>
      <w:r w:rsidRPr="00762DB3">
        <w:t>11</w:t>
      </w:r>
      <w:r w:rsidRPr="0035286D">
        <w:t xml:space="preserve"> augustus en </w:t>
      </w:r>
      <w:r w:rsidRPr="00762DB3">
        <w:t>11</w:t>
      </w:r>
      <w:r w:rsidRPr="0035286D">
        <w:t xml:space="preserve"> februari;</w:t>
      </w:r>
    </w:p>
    <w:p w14:paraId="37F1906A" w14:textId="77777777" w:rsidR="0014552F" w:rsidRPr="0035286D" w:rsidRDefault="0014552F" w:rsidP="0014552F">
      <w:pPr>
        <w:pStyle w:val="Point1"/>
      </w:pPr>
      <w:r w:rsidRPr="0035286D">
        <w:t>d)</w:t>
      </w:r>
      <w:r w:rsidRPr="0035286D">
        <w:tab/>
        <w:t xml:space="preserve">jaarlijkse rapportage: </w:t>
      </w:r>
      <w:r w:rsidRPr="00762DB3">
        <w:t>11</w:t>
      </w:r>
      <w:r w:rsidRPr="0035286D">
        <w:t xml:space="preserve"> februari.</w:t>
      </w:r>
    </w:p>
    <w:p w14:paraId="493E0587" w14:textId="77777777" w:rsidR="0014552F" w:rsidRPr="0035286D" w:rsidRDefault="0014552F" w:rsidP="0014552F">
      <w:pPr>
        <w:pStyle w:val="NumPar1"/>
        <w:numPr>
          <w:ilvl w:val="0"/>
          <w:numId w:val="10"/>
        </w:numPr>
      </w:pPr>
      <w:r w:rsidRPr="0035286D">
        <w:t>Wanneer de inleverdag in de lidstaat van de bevoegde autoriteit waarbij de rapportage moet worden ingediend, op een feestdag of op een zaterdag of zondag valt, worden de gegevens op de eerstvolgende werkdag ingediend.</w:t>
      </w:r>
    </w:p>
    <w:p w14:paraId="6B66EFC5" w14:textId="77777777" w:rsidR="0014552F" w:rsidRPr="0035286D" w:rsidRDefault="0014552F" w:rsidP="0014552F">
      <w:pPr>
        <w:pStyle w:val="NumPar1"/>
        <w:numPr>
          <w:ilvl w:val="0"/>
          <w:numId w:val="10"/>
        </w:numPr>
      </w:pPr>
      <w:r w:rsidRPr="0035286D">
        <w:t xml:space="preserve">Voor instellingen die hun financiële informatie of de informatie om mondiaal systeemrelevante instellingen te identificeren en MSI-bufferpercentages toe te kennen, rapporteren op rapportagereferentiedata die zijn aangepast op basis van het einde van hun boekjaar zoals beschreven in artikel </w:t>
      </w:r>
      <w:r w:rsidRPr="00762DB3">
        <w:t>3</w:t>
      </w:r>
      <w:r w:rsidRPr="0035286D">
        <w:t xml:space="preserve">, lid </w:t>
      </w:r>
      <w:r w:rsidRPr="00762DB3">
        <w:t>2</w:t>
      </w:r>
      <w:r w:rsidRPr="0035286D">
        <w:t>, mogen de inzenddata eveneens dienovereenkomstig worden aangepast, zodat vanaf de aangepaste rapportagereferentiedatum dezelfde periode voor de indiening van de informatie wordt gehandhaafd.</w:t>
      </w:r>
    </w:p>
    <w:p w14:paraId="67094FB3" w14:textId="77777777" w:rsidR="0014552F" w:rsidRPr="0035286D" w:rsidRDefault="0014552F" w:rsidP="0014552F">
      <w:pPr>
        <w:pStyle w:val="NumPar1"/>
        <w:numPr>
          <w:ilvl w:val="0"/>
          <w:numId w:val="10"/>
        </w:numPr>
      </w:pPr>
      <w:r w:rsidRPr="0035286D">
        <w:t>Instellingen mogen ongecontroleerde cijfers indienen. Wanneer gecontroleerde cijfers afwijken van ingediende ongecontroleerde cijfers, worden de herziene, gecontroleerde cijfers onverwijld ingediend. Ongecontroleerde cijfers zijn cijfers waarvoor geen verklaring is afgegeven door een externe accountant; gecontroleerde cijfers zijn cijfers die zijn gecontroleerd door een externe accountant die daarbij een verklaring heeft afgegeven.</w:t>
      </w:r>
    </w:p>
    <w:p w14:paraId="758E2E74" w14:textId="6B437F09" w:rsidR="00725875" w:rsidRPr="0035286D" w:rsidRDefault="0014552F" w:rsidP="0014552F">
      <w:pPr>
        <w:pStyle w:val="NumPar1"/>
        <w:numPr>
          <w:ilvl w:val="0"/>
          <w:numId w:val="10"/>
        </w:numPr>
      </w:pPr>
      <w:r w:rsidRPr="0035286D">
        <w:t>Andere correcties van de ingediende rapportage worden eveneens onverwijld bij de bevoegde autoriteiten ingediend.</w:t>
      </w:r>
    </w:p>
    <w:p w14:paraId="60D8A63C" w14:textId="77777777" w:rsidR="0014552F" w:rsidRPr="0035286D" w:rsidRDefault="0014552F" w:rsidP="0014552F">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4</w:t>
      </w:r>
      <w:r w:rsidR="007208C1">
        <w:fldChar w:fldCharType="end"/>
      </w:r>
    </w:p>
    <w:p w14:paraId="726E257C" w14:textId="77777777" w:rsidR="0014552F" w:rsidRPr="0035286D" w:rsidRDefault="0014552F" w:rsidP="0014552F">
      <w:pPr>
        <w:pStyle w:val="Titrearticle"/>
        <w:spacing w:before="120"/>
        <w:rPr>
          <w:b/>
          <w:i w:val="0"/>
        </w:rPr>
      </w:pPr>
      <w:r w:rsidRPr="0035286D">
        <w:rPr>
          <w:b/>
          <w:i w:val="0"/>
        </w:rPr>
        <w:t>Rapportagedrempels — instap- en uitstapcriteria</w:t>
      </w:r>
    </w:p>
    <w:p w14:paraId="06A0F026" w14:textId="77777777" w:rsidR="0014552F" w:rsidRPr="0035286D" w:rsidRDefault="0014552F" w:rsidP="0047317A">
      <w:pPr>
        <w:pStyle w:val="NumPar1"/>
        <w:numPr>
          <w:ilvl w:val="0"/>
          <w:numId w:val="13"/>
        </w:numPr>
      </w:pPr>
      <w:r w:rsidRPr="0035286D">
        <w:t xml:space="preserve">Instellingen die aan de voorwaarden van artikel </w:t>
      </w:r>
      <w:r w:rsidRPr="00762DB3">
        <w:t>4</w:t>
      </w:r>
      <w:r w:rsidRPr="0035286D">
        <w:t xml:space="preserve">, lid </w:t>
      </w:r>
      <w:r w:rsidRPr="00762DB3">
        <w:t>1</w:t>
      </w:r>
      <w:r w:rsidRPr="0035286D">
        <w:t xml:space="preserve">, punt </w:t>
      </w:r>
      <w:r w:rsidRPr="00762DB3">
        <w:t>145</w:t>
      </w:r>
      <w:r w:rsidRPr="0035286D">
        <w:t xml:space="preserve">, van Verordening nr. </w:t>
      </w:r>
      <w:r w:rsidRPr="00762DB3">
        <w:t>575</w:t>
      </w:r>
      <w:r w:rsidRPr="0035286D">
        <w:t>/</w:t>
      </w:r>
      <w:r w:rsidRPr="00762DB3">
        <w:t>2013</w:t>
      </w:r>
      <w:r w:rsidRPr="0035286D">
        <w:t xml:space="preserve"> voldoen, beginnen vanaf de eerstvolgende rapportagereferentiedatum nadat aan die voorwaarden is voldaan, te rapporteren als kleine en niet-complexe instelling. Wanneer instellingen niet langer aan die voorwaarden voldoen, rapporteren zij niet langer de informatie op de eerstvolgende rapportagereferentiedatum daarna.</w:t>
      </w:r>
    </w:p>
    <w:p w14:paraId="67299D12" w14:textId="77777777" w:rsidR="0014552F" w:rsidRPr="0035286D" w:rsidRDefault="0014552F" w:rsidP="0014552F">
      <w:pPr>
        <w:pStyle w:val="NumPar1"/>
        <w:numPr>
          <w:ilvl w:val="0"/>
          <w:numId w:val="10"/>
        </w:numPr>
      </w:pPr>
      <w:r w:rsidRPr="0035286D">
        <w:t xml:space="preserve">Instellingen die aan de voorwaarden van artikel </w:t>
      </w:r>
      <w:r w:rsidRPr="00762DB3">
        <w:t>4</w:t>
      </w:r>
      <w:r w:rsidRPr="0035286D">
        <w:t xml:space="preserve">, lid </w:t>
      </w:r>
      <w:r w:rsidRPr="00762DB3">
        <w:t>1</w:t>
      </w:r>
      <w:r w:rsidRPr="0035286D">
        <w:t xml:space="preserve">, punt </w:t>
      </w:r>
      <w:r w:rsidRPr="00762DB3">
        <w:t>146</w:t>
      </w:r>
      <w:r w:rsidRPr="0035286D">
        <w:t xml:space="preserve">, van Verordening (EU) nr. </w:t>
      </w:r>
      <w:r w:rsidRPr="00762DB3">
        <w:t>575</w:t>
      </w:r>
      <w:r w:rsidRPr="0035286D">
        <w:t>/</w:t>
      </w:r>
      <w:r w:rsidRPr="00762DB3">
        <w:t>2013</w:t>
      </w:r>
      <w:r w:rsidRPr="0035286D">
        <w:t xml:space="preserve"> voldoen, beginnen vanaf de eerstvolgende rapportagereferentiedatum nadat aan die voorwaarden is voldaan, te rapporteren als grote instelling. Wanneer instellingen niet langer aan die voorwaarden voldoen, rapporteren zij niet langer de informatie op de eerstvolgende rapportagereferentiedatum daarna.</w:t>
      </w:r>
    </w:p>
    <w:p w14:paraId="427BAF61" w14:textId="77777777" w:rsidR="0014552F" w:rsidRPr="0035286D" w:rsidRDefault="0014552F" w:rsidP="0014552F">
      <w:pPr>
        <w:pStyle w:val="NumPar1"/>
        <w:numPr>
          <w:ilvl w:val="0"/>
          <w:numId w:val="10"/>
        </w:numPr>
      </w:pPr>
      <w:r w:rsidRPr="0035286D">
        <w:t xml:space="preserve">Instellingen die op twee opeenvolgende rapportagereferentiedata de betrokken drempels hebben overschreden, beginnen informatie die aan in deze verordening </w:t>
      </w:r>
      <w:r w:rsidRPr="0035286D">
        <w:lastRenderedPageBreak/>
        <w:t>vastgestelde drempels is onderworpen, te rapporteren met ingang van de eerstvolgende rapportagereferentiedatum. Instellingen die op drie opeenvolgende rapportagereferentiedata onder de betrokken drempels zijn gebleven, hoeven informatie die aan in deze verordening vastgestelde drempels is onderworpen, niet langer te rapporteren met ingang van de eerstvolgende rapportagereferentiedatum.</w:t>
      </w:r>
    </w:p>
    <w:p w14:paraId="1E03EF09" w14:textId="77777777" w:rsidR="0014552F" w:rsidRPr="0035286D" w:rsidRDefault="0014552F" w:rsidP="0014552F">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5</w:t>
      </w:r>
      <w:r w:rsidR="007208C1">
        <w:fldChar w:fldCharType="end"/>
      </w:r>
    </w:p>
    <w:p w14:paraId="17F5FB19" w14:textId="77777777" w:rsidR="0014552F" w:rsidRPr="0035286D" w:rsidRDefault="0014552F" w:rsidP="0014552F">
      <w:pPr>
        <w:pStyle w:val="Titrearticle"/>
        <w:spacing w:before="120"/>
        <w:rPr>
          <w:b/>
          <w:i w:val="0"/>
        </w:rPr>
      </w:pPr>
      <w:r w:rsidRPr="0035286D">
        <w:rPr>
          <w:b/>
          <w:i w:val="0"/>
        </w:rPr>
        <w:t xml:space="preserve">Rapportage over eigen vermogen en eigenvermogensvereisten op individuele basis - kwartaalrapportage </w:t>
      </w:r>
    </w:p>
    <w:p w14:paraId="52AEA4DB" w14:textId="77777777" w:rsidR="0014552F" w:rsidRPr="0035286D" w:rsidRDefault="0014552F" w:rsidP="0047317A">
      <w:pPr>
        <w:pStyle w:val="NumPar1"/>
        <w:numPr>
          <w:ilvl w:val="0"/>
          <w:numId w:val="14"/>
        </w:numPr>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individuele basis te rapporteren, verstrekken instellingen de in dit artikel bedoelde informatie met een driemaandelijkse frequentie.</w:t>
      </w:r>
    </w:p>
    <w:p w14:paraId="10F736EF" w14:textId="77777777" w:rsidR="0014552F" w:rsidRPr="0035286D" w:rsidRDefault="0014552F" w:rsidP="0014552F">
      <w:pPr>
        <w:pStyle w:val="NumPar1"/>
      </w:pPr>
      <w:r w:rsidRPr="0035286D">
        <w:t xml:space="preserve">Instellingen verstrekken informatie over eigen vermogen en eigenvermogensvereisten zoals gespecificeerd in bijlage I, templates </w:t>
      </w:r>
      <w:r w:rsidRPr="00762DB3">
        <w:t>1</w:t>
      </w:r>
      <w:r w:rsidRPr="0035286D">
        <w:t xml:space="preserve"> tot en met </w:t>
      </w:r>
      <w:r w:rsidRPr="00762DB3">
        <w:t>5</w:t>
      </w:r>
      <w:r w:rsidRPr="0035286D">
        <w:t xml:space="preserve">, overeenkomstig de instructies in bijlage II, deel II, punt </w:t>
      </w:r>
      <w:r w:rsidRPr="00762DB3">
        <w:t>1</w:t>
      </w:r>
      <w:r w:rsidRPr="0035286D">
        <w:t>.</w:t>
      </w:r>
    </w:p>
    <w:p w14:paraId="77032C56" w14:textId="77777777" w:rsidR="0014552F" w:rsidRPr="0035286D" w:rsidRDefault="0014552F" w:rsidP="0014552F">
      <w:pPr>
        <w:pStyle w:val="NumPar1"/>
      </w:pPr>
      <w:r w:rsidRPr="0035286D">
        <w:t xml:space="preserve">Instellingen verstrekken informatie over volgens de standaardbenadering behandelde blootstellingen aan het kredietrisico en aan het tegenpartijrisico zoals gespecificeerd in bijlage I, template </w:t>
      </w:r>
      <w:r w:rsidRPr="00762DB3">
        <w:t>7</w:t>
      </w:r>
      <w:r w:rsidRPr="0035286D">
        <w:t xml:space="preserve">, overeenkomstig de instructies in bijlage II, deel II, punt </w:t>
      </w:r>
      <w:r w:rsidRPr="00762DB3">
        <w:t>3</w:t>
      </w:r>
      <w:r w:rsidRPr="0035286D">
        <w:t>.</w:t>
      </w:r>
      <w:r w:rsidRPr="00762DB3">
        <w:t>2</w:t>
      </w:r>
      <w:r w:rsidRPr="0035286D">
        <w:t>.</w:t>
      </w:r>
    </w:p>
    <w:p w14:paraId="4FC8E450" w14:textId="77777777" w:rsidR="0014552F" w:rsidRPr="0035286D" w:rsidRDefault="0014552F" w:rsidP="0014552F">
      <w:pPr>
        <w:pStyle w:val="NumPar1"/>
      </w:pPr>
      <w:r w:rsidRPr="0035286D">
        <w:t xml:space="preserve">Instellingen verstrekken informatie over volgens de interneratingbenadering behandelde blootstellingen aan het kredietrisico en aan het tegenpartijrisico zoals gespecificeerd in bijlage I, templates </w:t>
      </w:r>
      <w:r w:rsidRPr="00762DB3">
        <w:t>8</w:t>
      </w:r>
      <w:r w:rsidRPr="0035286D">
        <w:t>.</w:t>
      </w:r>
      <w:r w:rsidRPr="00762DB3">
        <w:t>1</w:t>
      </w:r>
      <w:r w:rsidRPr="0035286D">
        <w:t xml:space="preserve"> en </w:t>
      </w:r>
      <w:r w:rsidRPr="00762DB3">
        <w:t>8</w:t>
      </w:r>
      <w:r w:rsidRPr="0035286D">
        <w:t>.</w:t>
      </w:r>
      <w:r w:rsidRPr="00762DB3">
        <w:t>2</w:t>
      </w:r>
      <w:r w:rsidRPr="0035286D">
        <w:t xml:space="preserve">, overeenkomstig de instructies in bijlage II, deel II, punt </w:t>
      </w:r>
      <w:r w:rsidRPr="00762DB3">
        <w:t>3</w:t>
      </w:r>
      <w:r w:rsidRPr="0035286D">
        <w:t>.</w:t>
      </w:r>
      <w:r w:rsidRPr="00762DB3">
        <w:t>3</w:t>
      </w:r>
      <w:r w:rsidRPr="0035286D">
        <w:t>.</w:t>
      </w:r>
    </w:p>
    <w:p w14:paraId="68EBC1AD" w14:textId="77777777" w:rsidR="0014552F" w:rsidRPr="0035286D" w:rsidRDefault="0014552F" w:rsidP="0014552F">
      <w:pPr>
        <w:pStyle w:val="NumPar1"/>
      </w:pPr>
      <w:r w:rsidRPr="0035286D">
        <w:t xml:space="preserve">Instellingen verstrekken informatie over de geografische verdeling van blootstellingen per land, alsook over op totaalniveau geaggregeerde blootstellingen, zoals gespecificeerd in bijlage I, template </w:t>
      </w:r>
      <w:r w:rsidRPr="00762DB3">
        <w:t>9</w:t>
      </w:r>
      <w:r w:rsidRPr="0035286D">
        <w:t xml:space="preserve">, overeenkomstig de instructies in bijlage II, deel II, punt </w:t>
      </w:r>
      <w:r w:rsidRPr="00762DB3">
        <w:t>3</w:t>
      </w:r>
      <w:r w:rsidRPr="0035286D">
        <w:t>.</w:t>
      </w:r>
      <w:r w:rsidRPr="00762DB3">
        <w:t>4</w:t>
      </w:r>
      <w:r w:rsidRPr="0035286D">
        <w:t xml:space="preserve">. </w:t>
      </w:r>
    </w:p>
    <w:p w14:paraId="37720A47" w14:textId="380C1EA6" w:rsidR="0014552F" w:rsidRPr="0035286D" w:rsidRDefault="0014552F" w:rsidP="006B3AF7">
      <w:pPr>
        <w:pStyle w:val="Text1"/>
      </w:pPr>
      <w:r w:rsidRPr="0035286D">
        <w:t xml:space="preserve">Instellingen verstrekken de in de templates </w:t>
      </w:r>
      <w:r w:rsidRPr="00762DB3">
        <w:t>9</w:t>
      </w:r>
      <w:r w:rsidRPr="0035286D">
        <w:t>.</w:t>
      </w:r>
      <w:r w:rsidRPr="00762DB3">
        <w:t>1</w:t>
      </w:r>
      <w:r w:rsidRPr="0035286D">
        <w:t xml:space="preserve"> en </w:t>
      </w:r>
      <w:r w:rsidRPr="00762DB3">
        <w:t>9</w:t>
      </w:r>
      <w:r w:rsidRPr="0035286D">
        <w:t>.</w:t>
      </w:r>
      <w:r w:rsidRPr="00762DB3">
        <w:t>2</w:t>
      </w:r>
      <w:r w:rsidRPr="0035286D">
        <w:t xml:space="preserve"> gespecificeerde informatie, en met name informatie over de geografische verdeling van blootstellingen per land, indien de buitenlandse oorspronkelijke blootstellingen in alle andere landen dan het eigen land in alle blootstellingscategorieën, zoals gerapporteerd overeenkomstig bijlage I, template </w:t>
      </w:r>
      <w:r w:rsidRPr="00762DB3">
        <w:t>4</w:t>
      </w:r>
      <w:r w:rsidRPr="0035286D">
        <w:t xml:space="preserve">, rij </w:t>
      </w:r>
      <w:r w:rsidRPr="00762DB3">
        <w:t>0850</w:t>
      </w:r>
      <w:r w:rsidRPr="0035286D">
        <w:t xml:space="preserve">, ten minste </w:t>
      </w:r>
      <w:r w:rsidRPr="00762DB3">
        <w:t>10</w:t>
      </w:r>
      <w:r w:rsidRPr="0035286D">
        <w:t xml:space="preserve"> % uitmaken van de totale binnenlandse en buitenlandse oorspronkelijke blootstellingen, zoals gerapporteerd overeenkomstig bijlage I, template </w:t>
      </w:r>
      <w:r w:rsidRPr="00762DB3">
        <w:t>4</w:t>
      </w:r>
      <w:r w:rsidRPr="0035286D">
        <w:t xml:space="preserve">, rij </w:t>
      </w:r>
      <w:r w:rsidRPr="00762DB3">
        <w:t>0860</w:t>
      </w:r>
      <w:r w:rsidRPr="0035286D">
        <w:t xml:space="preserve">. Blootstellingen worden geacht binnenlands te zijn indien zij betrekking hebben op een tegenpartij in de lidstaat waar de instelling is gevestigd. </w:t>
      </w:r>
    </w:p>
    <w:p w14:paraId="2D010602" w14:textId="678AF76C" w:rsidR="0014552F" w:rsidRPr="0035286D" w:rsidRDefault="0014552F" w:rsidP="006B3AF7">
      <w:pPr>
        <w:pStyle w:val="Text1"/>
      </w:pPr>
      <w:r w:rsidRPr="0035286D">
        <w:t xml:space="preserve">De in artikel </w:t>
      </w:r>
      <w:r w:rsidRPr="00762DB3">
        <w:t>4</w:t>
      </w:r>
      <w:r w:rsidRPr="0035286D">
        <w:t xml:space="preserve"> vastgestelde instap- en uitstapcriteria zijn van toepassing.</w:t>
      </w:r>
    </w:p>
    <w:p w14:paraId="1B5047C1" w14:textId="77777777" w:rsidR="0014552F" w:rsidRPr="0035286D" w:rsidRDefault="0014552F" w:rsidP="0014552F">
      <w:pPr>
        <w:pStyle w:val="NumPar1"/>
      </w:pPr>
      <w:r w:rsidRPr="0035286D">
        <w:t xml:space="preserve">Instellingen verstrekken informatie over tegenpartijkredietrisico zoals gespecificeerd in bijlage I, templates </w:t>
      </w:r>
      <w:r w:rsidRPr="00762DB3">
        <w:t>34</w:t>
      </w:r>
      <w:r w:rsidRPr="0035286D">
        <w:t>.</w:t>
      </w:r>
      <w:r w:rsidRPr="00762DB3">
        <w:t>01</w:t>
      </w:r>
      <w:r w:rsidRPr="0035286D">
        <w:t xml:space="preserve"> tot en met </w:t>
      </w:r>
      <w:r w:rsidRPr="00762DB3">
        <w:t>34</w:t>
      </w:r>
      <w:r w:rsidRPr="0035286D">
        <w:t>.</w:t>
      </w:r>
      <w:r w:rsidRPr="00762DB3">
        <w:t>05</w:t>
      </w:r>
      <w:r w:rsidRPr="0035286D">
        <w:t xml:space="preserve"> en templates </w:t>
      </w:r>
      <w:r w:rsidRPr="00762DB3">
        <w:t>34</w:t>
      </w:r>
      <w:r w:rsidRPr="0035286D">
        <w:t>.</w:t>
      </w:r>
      <w:r w:rsidRPr="00762DB3">
        <w:t>08</w:t>
      </w:r>
      <w:r w:rsidRPr="0035286D">
        <w:t xml:space="preserve"> tot en met </w:t>
      </w:r>
      <w:r w:rsidRPr="00762DB3">
        <w:t>34</w:t>
      </w:r>
      <w:r w:rsidRPr="0035286D">
        <w:t>.</w:t>
      </w:r>
      <w:r w:rsidRPr="00762DB3">
        <w:t>10</w:t>
      </w:r>
      <w:r w:rsidRPr="0035286D">
        <w:t xml:space="preserve">, overeenkomstig de instructies in bijlage II, deel II, punt </w:t>
      </w:r>
      <w:r w:rsidRPr="00762DB3">
        <w:t>3</w:t>
      </w:r>
      <w:r w:rsidRPr="0035286D">
        <w:t>.</w:t>
      </w:r>
      <w:r w:rsidRPr="00762DB3">
        <w:t>9</w:t>
      </w:r>
    </w:p>
    <w:p w14:paraId="71DD8676" w14:textId="77777777" w:rsidR="0014552F" w:rsidRPr="0035286D" w:rsidRDefault="0014552F" w:rsidP="0014552F">
      <w:pPr>
        <w:pStyle w:val="NumPar1"/>
      </w:pPr>
      <w:r w:rsidRPr="0035286D">
        <w:t xml:space="preserve">Instellingen die de standaardbenadering of de internemodellenmethode toepassen voor de berekening van blootstellingen aan tegenpartijkredietrisico overeenkomstig deel drie, titel II, hoofdstuk </w:t>
      </w:r>
      <w:r w:rsidRPr="00762DB3">
        <w:t>6</w:t>
      </w:r>
      <w:r w:rsidRPr="0035286D">
        <w:t xml:space="preserve">, afdelingen </w:t>
      </w:r>
      <w:r w:rsidRPr="00762DB3">
        <w:t>3</w:t>
      </w:r>
      <w:r w:rsidRPr="0035286D">
        <w:t xml:space="preserve"> en </w:t>
      </w:r>
      <w:r w:rsidRPr="00762DB3">
        <w:t>6</w:t>
      </w:r>
      <w:r w:rsidRPr="0035286D">
        <w:t xml:space="preserve">, van Verordening (EU) nr. </w:t>
      </w:r>
      <w:r w:rsidRPr="00762DB3">
        <w:t>575</w:t>
      </w:r>
      <w:r w:rsidRPr="0035286D">
        <w:t>/</w:t>
      </w:r>
      <w:r w:rsidRPr="00762DB3">
        <w:t>2013</w:t>
      </w:r>
      <w:r w:rsidRPr="0035286D">
        <w:t xml:space="preserve">, verstrekken informatie over tegenpartijkredietrisico zoals gespecificeerd in bijlage I, template </w:t>
      </w:r>
      <w:r w:rsidRPr="00762DB3">
        <w:t>34</w:t>
      </w:r>
      <w:r w:rsidRPr="0035286D">
        <w:t>.</w:t>
      </w:r>
      <w:r w:rsidRPr="00762DB3">
        <w:t>06</w:t>
      </w:r>
      <w:r w:rsidRPr="0035286D">
        <w:t xml:space="preserve">, overeenkomstig de instructies in bijlage II, deel II, punt </w:t>
      </w:r>
      <w:r w:rsidRPr="00762DB3">
        <w:t>3</w:t>
      </w:r>
      <w:r w:rsidRPr="0035286D">
        <w:t>.</w:t>
      </w:r>
      <w:r w:rsidRPr="00762DB3">
        <w:t>9</w:t>
      </w:r>
      <w:r w:rsidRPr="0035286D">
        <w:t>.</w:t>
      </w:r>
      <w:r w:rsidRPr="00762DB3">
        <w:t>7</w:t>
      </w:r>
      <w:r w:rsidRPr="0035286D">
        <w:t>.</w:t>
      </w:r>
    </w:p>
    <w:p w14:paraId="5A7C446B" w14:textId="77777777" w:rsidR="0014552F" w:rsidRPr="0035286D" w:rsidRDefault="0014552F" w:rsidP="0014552F">
      <w:pPr>
        <w:pStyle w:val="NumPar1"/>
      </w:pPr>
      <w:r w:rsidRPr="0035286D">
        <w:lastRenderedPageBreak/>
        <w:t xml:space="preserve">Instellingen verstrekken informatie over volgens de interneratingbenadering behandelde blootstellingen in aandelen zoals gespecificeerd in bijlage I, template </w:t>
      </w:r>
      <w:r w:rsidRPr="00762DB3">
        <w:t>10</w:t>
      </w:r>
      <w:r w:rsidRPr="0035286D">
        <w:t xml:space="preserve">, overeenkomstig de instructies in bijlage II, deel II, punt </w:t>
      </w:r>
      <w:r w:rsidRPr="00762DB3">
        <w:t>3</w:t>
      </w:r>
      <w:r w:rsidRPr="0035286D">
        <w:t>.</w:t>
      </w:r>
      <w:r w:rsidRPr="00762DB3">
        <w:t>5</w:t>
      </w:r>
      <w:r w:rsidRPr="0035286D">
        <w:t>.</w:t>
      </w:r>
    </w:p>
    <w:p w14:paraId="6C5997E8" w14:textId="77777777" w:rsidR="0014552F" w:rsidRPr="0035286D" w:rsidRDefault="0014552F" w:rsidP="0014552F">
      <w:pPr>
        <w:pStyle w:val="NumPar1"/>
      </w:pPr>
      <w:r w:rsidRPr="0035286D">
        <w:t xml:space="preserve">Instellingen verstrekken informatie over afwikkelingsrisico zoals gespecificeerd in bijlage I, template </w:t>
      </w:r>
      <w:r w:rsidRPr="00762DB3">
        <w:t>11</w:t>
      </w:r>
      <w:r w:rsidRPr="0035286D">
        <w:t xml:space="preserve">, overeenkomstig de instructies in bijlage II, deel II, punt </w:t>
      </w:r>
      <w:r w:rsidRPr="00762DB3">
        <w:t>3</w:t>
      </w:r>
      <w:r w:rsidRPr="0035286D">
        <w:t>.</w:t>
      </w:r>
      <w:r w:rsidRPr="00762DB3">
        <w:t>6</w:t>
      </w:r>
      <w:r w:rsidRPr="0035286D">
        <w:t>.</w:t>
      </w:r>
    </w:p>
    <w:p w14:paraId="442593B8" w14:textId="77777777" w:rsidR="0014552F" w:rsidRPr="0035286D" w:rsidRDefault="0014552F" w:rsidP="0014552F">
      <w:pPr>
        <w:pStyle w:val="NumPar1"/>
      </w:pPr>
      <w:r w:rsidRPr="0035286D">
        <w:t xml:space="preserve">Instellingen verstrekken informatie over securitisatieblootstellingen zoals gespecificeerd in bijlage I, template </w:t>
      </w:r>
      <w:r w:rsidRPr="00762DB3">
        <w:t>13</w:t>
      </w:r>
      <w:r w:rsidRPr="0035286D">
        <w:t>.</w:t>
      </w:r>
      <w:r w:rsidRPr="00762DB3">
        <w:t>01</w:t>
      </w:r>
      <w:r w:rsidRPr="0035286D">
        <w:t xml:space="preserve">, overeenkomstig de instructies in bijlage II, deel II, punt </w:t>
      </w:r>
      <w:r w:rsidRPr="00762DB3">
        <w:t>3</w:t>
      </w:r>
      <w:r w:rsidRPr="0035286D">
        <w:t>.</w:t>
      </w:r>
      <w:r w:rsidRPr="00762DB3">
        <w:t>7</w:t>
      </w:r>
      <w:r w:rsidRPr="0035286D">
        <w:t>.</w:t>
      </w:r>
    </w:p>
    <w:p w14:paraId="70A0DE2C" w14:textId="77777777" w:rsidR="0014552F" w:rsidRPr="0035286D" w:rsidRDefault="0014552F" w:rsidP="0014552F">
      <w:pPr>
        <w:pStyle w:val="NumPar1"/>
      </w:pPr>
      <w:r w:rsidRPr="0035286D">
        <w:t xml:space="preserve">Instellingen verstrekken informatie over eigenvermogensvereisten en verliezen in verband met operationeel risico zoals gespecificeerd in bijlage I, template </w:t>
      </w:r>
      <w:r w:rsidRPr="00762DB3">
        <w:t>16</w:t>
      </w:r>
      <w:r w:rsidRPr="0035286D">
        <w:t xml:space="preserve">, overeenkomstig de instructies in bijlage II, deel II, punt </w:t>
      </w:r>
      <w:r w:rsidRPr="00762DB3">
        <w:t>4</w:t>
      </w:r>
      <w:r w:rsidRPr="0035286D">
        <w:t>.</w:t>
      </w:r>
      <w:r w:rsidRPr="00762DB3">
        <w:t>1</w:t>
      </w:r>
      <w:r w:rsidRPr="0035286D">
        <w:t>.</w:t>
      </w:r>
    </w:p>
    <w:p w14:paraId="66782023" w14:textId="77777777" w:rsidR="0014552F" w:rsidRPr="0035286D" w:rsidRDefault="0014552F" w:rsidP="0014552F">
      <w:pPr>
        <w:pStyle w:val="NumPar1"/>
      </w:pPr>
      <w:r w:rsidRPr="0035286D">
        <w:t xml:space="preserve">Instellingen verstrekken informatie over eigenvermogensvereisten in verband met marktrisico zoals gespecificeerd in bijlage I, templates </w:t>
      </w:r>
      <w:r w:rsidRPr="00762DB3">
        <w:t>18</w:t>
      </w:r>
      <w:r w:rsidRPr="0035286D">
        <w:t xml:space="preserve"> tot en met </w:t>
      </w:r>
      <w:r w:rsidRPr="00762DB3">
        <w:t>24</w:t>
      </w:r>
      <w:r w:rsidRPr="0035286D">
        <w:t xml:space="preserve">, overeenkomstig de instructies in bijlage II, deel II, punten </w:t>
      </w:r>
      <w:r w:rsidRPr="00762DB3">
        <w:t>5</w:t>
      </w:r>
      <w:r w:rsidRPr="0035286D">
        <w:t>.</w:t>
      </w:r>
      <w:r w:rsidRPr="00762DB3">
        <w:t>1</w:t>
      </w:r>
      <w:r w:rsidRPr="0035286D">
        <w:t xml:space="preserve"> tot en met </w:t>
      </w:r>
      <w:r w:rsidRPr="00762DB3">
        <w:t>5</w:t>
      </w:r>
      <w:r w:rsidRPr="0035286D">
        <w:t>.</w:t>
      </w:r>
      <w:r w:rsidRPr="00762DB3">
        <w:t>7</w:t>
      </w:r>
      <w:r w:rsidRPr="0035286D">
        <w:t>.</w:t>
      </w:r>
    </w:p>
    <w:p w14:paraId="2975DD1F" w14:textId="77777777" w:rsidR="0014552F" w:rsidRPr="0035286D" w:rsidRDefault="0014552F" w:rsidP="0014552F">
      <w:pPr>
        <w:pStyle w:val="NumPar1"/>
      </w:pPr>
      <w:r w:rsidRPr="0035286D">
        <w:t xml:space="preserve">Instellingen verstrekken informatie over eigenvermogensvereisten in verband met uit aanpassingen van de kredietwaardering voortvloeiend risico zoals gespecificeerd in bijlage I, template </w:t>
      </w:r>
      <w:r w:rsidRPr="00762DB3">
        <w:t>25</w:t>
      </w:r>
      <w:r w:rsidRPr="0035286D">
        <w:t xml:space="preserve">, overeenkomstig de instructies in bijlage II, deel II, punt </w:t>
      </w:r>
      <w:r w:rsidRPr="00762DB3">
        <w:t>5</w:t>
      </w:r>
      <w:r w:rsidRPr="0035286D">
        <w:t>.</w:t>
      </w:r>
      <w:r w:rsidRPr="00762DB3">
        <w:t>8</w:t>
      </w:r>
      <w:r w:rsidRPr="0035286D">
        <w:t>.</w:t>
      </w:r>
    </w:p>
    <w:p w14:paraId="29B0B226" w14:textId="5F3CD6D2" w:rsidR="0014552F" w:rsidRPr="0035286D" w:rsidRDefault="0014552F" w:rsidP="0014552F">
      <w:pPr>
        <w:pStyle w:val="NumPar1"/>
      </w:pPr>
      <w:r w:rsidRPr="0035286D">
        <w:t xml:space="preserve">Instellingen verstrekken informatie over prudente waardering zoals gespecificeerd in bijlage I, template </w:t>
      </w:r>
      <w:r w:rsidRPr="00762DB3">
        <w:t>32</w:t>
      </w:r>
      <w:r w:rsidRPr="0035286D">
        <w:t xml:space="preserve">, overeenkomstig de instructies in bijlage II, deel II, punt </w:t>
      </w:r>
      <w:r w:rsidRPr="00762DB3">
        <w:t>6</w:t>
      </w:r>
      <w:r w:rsidRPr="0035286D">
        <w:t>, als volgt:</w:t>
      </w:r>
    </w:p>
    <w:p w14:paraId="7AAF2502" w14:textId="77777777" w:rsidR="0014552F" w:rsidRPr="0035286D" w:rsidRDefault="0014552F" w:rsidP="0014552F">
      <w:pPr>
        <w:pStyle w:val="Point1"/>
      </w:pPr>
      <w:r w:rsidRPr="0035286D">
        <w:t>a)</w:t>
      </w:r>
      <w:r w:rsidRPr="0035286D">
        <w:tab/>
        <w:t xml:space="preserve">alle instellingen verstrekken de in bijlage I, template </w:t>
      </w:r>
      <w:r w:rsidRPr="00762DB3">
        <w:t>32</w:t>
      </w:r>
      <w:r w:rsidRPr="0035286D">
        <w:t>.</w:t>
      </w:r>
      <w:r w:rsidRPr="00762DB3">
        <w:t>1</w:t>
      </w:r>
      <w:r w:rsidRPr="0035286D">
        <w:t xml:space="preserve">, gespecificeerde informatie, overeenkomstig de instructies in bijlage II, deel II, punt </w:t>
      </w:r>
      <w:r w:rsidRPr="00762DB3">
        <w:t>6</w:t>
      </w:r>
      <w:r w:rsidRPr="0035286D">
        <w:t>;</w:t>
      </w:r>
    </w:p>
    <w:p w14:paraId="2C2BA953" w14:textId="77777777" w:rsidR="0014552F" w:rsidRPr="0035286D" w:rsidRDefault="0014552F" w:rsidP="0014552F">
      <w:pPr>
        <w:pStyle w:val="Point1"/>
      </w:pPr>
      <w:r w:rsidRPr="0035286D">
        <w:t>b)</w:t>
      </w:r>
      <w:r w:rsidRPr="0035286D">
        <w:tab/>
        <w:t xml:space="preserve">instellingen die de kernbenadering toepassen overeenkomstig Gedelegeerde Verordening (EU) </w:t>
      </w:r>
      <w:r w:rsidRPr="00762DB3">
        <w:t>2016</w:t>
      </w:r>
      <w:r w:rsidRPr="0035286D">
        <w:t>/</w:t>
      </w:r>
      <w:r w:rsidRPr="00762DB3">
        <w:t>101</w:t>
      </w:r>
      <w:r w:rsidRPr="0035286D">
        <w:t xml:space="preserve"> van de Commissie</w:t>
      </w:r>
      <w:r w:rsidRPr="0035286D">
        <w:rPr>
          <w:rStyle w:val="FootnoteReference"/>
        </w:rPr>
        <w:footnoteReference w:id="9"/>
      </w:r>
      <w:r w:rsidRPr="0035286D">
        <w:t xml:space="preserve">, rapporteren, naast de in punt a) van dit lid bedoelde informatie, de in bijlage I, template </w:t>
      </w:r>
      <w:r w:rsidRPr="00762DB3">
        <w:t>32</w:t>
      </w:r>
      <w:r w:rsidRPr="0035286D">
        <w:t>.</w:t>
      </w:r>
      <w:r w:rsidRPr="00762DB3">
        <w:t>2</w:t>
      </w:r>
      <w:r w:rsidRPr="0035286D">
        <w:t xml:space="preserve">, gespecificeerde informatie, overeenkomstig de instructies in bijlage II, deel II, punt </w:t>
      </w:r>
      <w:r w:rsidRPr="00762DB3">
        <w:t>6</w:t>
      </w:r>
      <w:r w:rsidRPr="0035286D">
        <w:t>;</w:t>
      </w:r>
    </w:p>
    <w:p w14:paraId="220BA8B3" w14:textId="77777777" w:rsidR="0014552F" w:rsidRPr="0035286D" w:rsidRDefault="0014552F" w:rsidP="0014552F">
      <w:pPr>
        <w:pStyle w:val="Point1"/>
      </w:pPr>
      <w:r w:rsidRPr="0035286D">
        <w:t>c)</w:t>
      </w:r>
      <w:r w:rsidRPr="0035286D">
        <w:tab/>
        <w:t xml:space="preserve">instellingen die de kernbenadering toepassen overeenkomstig Gedelegeerde Verordening (EU) </w:t>
      </w:r>
      <w:r w:rsidRPr="00762DB3">
        <w:t>2016</w:t>
      </w:r>
      <w:r w:rsidRPr="0035286D">
        <w:t>/</w:t>
      </w:r>
      <w:r w:rsidRPr="00762DB3">
        <w:t>101</w:t>
      </w:r>
      <w:r w:rsidRPr="0035286D">
        <w:t xml:space="preserve"> van de Commissie, en die de in artikel </w:t>
      </w:r>
      <w:r w:rsidRPr="00762DB3">
        <w:t>4</w:t>
      </w:r>
      <w:r w:rsidRPr="0035286D">
        <w:t xml:space="preserve">, lid </w:t>
      </w:r>
      <w:r w:rsidRPr="00762DB3">
        <w:t>1</w:t>
      </w:r>
      <w:r w:rsidRPr="0035286D">
        <w:t xml:space="preserve">, van die verordening bedoelde drempel overschrijden, rapporteren, naast de in de punten a) en b) van dit lid bedoelde informatie, de in bijlage I, templates </w:t>
      </w:r>
      <w:r w:rsidRPr="00762DB3">
        <w:t>32</w:t>
      </w:r>
      <w:r w:rsidRPr="0035286D">
        <w:t>.</w:t>
      </w:r>
      <w:r w:rsidRPr="00762DB3">
        <w:t>3</w:t>
      </w:r>
      <w:r w:rsidRPr="0035286D">
        <w:t xml:space="preserve"> en </w:t>
      </w:r>
      <w:r w:rsidRPr="00762DB3">
        <w:t>32</w:t>
      </w:r>
      <w:r w:rsidRPr="0035286D">
        <w:t>.</w:t>
      </w:r>
      <w:r w:rsidRPr="00762DB3">
        <w:t>4</w:t>
      </w:r>
      <w:r w:rsidRPr="0035286D">
        <w:t xml:space="preserve">, gespecificeerde informatie, overeenkomstig de instructies in bijlage II, deel II, punt </w:t>
      </w:r>
      <w:r w:rsidRPr="00762DB3">
        <w:t>6</w:t>
      </w:r>
      <w:r w:rsidRPr="0035286D">
        <w:t>.</w:t>
      </w:r>
    </w:p>
    <w:p w14:paraId="3453A2CF" w14:textId="77777777" w:rsidR="0014552F" w:rsidRPr="0035286D" w:rsidRDefault="0014552F" w:rsidP="0014552F">
      <w:pPr>
        <w:pStyle w:val="Text1"/>
      </w:pPr>
      <w:r w:rsidRPr="0035286D">
        <w:t xml:space="preserve">Voor de toepassing van dit lid, zijn de in artikel </w:t>
      </w:r>
      <w:r w:rsidRPr="00762DB3">
        <w:t>4</w:t>
      </w:r>
      <w:r w:rsidRPr="0035286D">
        <w:t xml:space="preserve"> vastgestelde instap- en uitstapcriteria niet van toepassing.</w:t>
      </w:r>
    </w:p>
    <w:p w14:paraId="3329EA93" w14:textId="0799B97E" w:rsidR="00725875" w:rsidRPr="0035286D" w:rsidRDefault="0014552F" w:rsidP="0014552F">
      <w:pPr>
        <w:pStyle w:val="NumPar1"/>
      </w:pPr>
      <w:r w:rsidRPr="0035286D">
        <w:t xml:space="preserve">Instellingen verstrekken informatie over de prudentiële achtervang voor niet-renderende blootstellingen (NPE’s) zoals gespecificeerd in bijlage I, templates </w:t>
      </w:r>
      <w:r w:rsidRPr="00762DB3">
        <w:t>35</w:t>
      </w:r>
      <w:r w:rsidRPr="0035286D">
        <w:t>.</w:t>
      </w:r>
      <w:r w:rsidRPr="00762DB3">
        <w:t>01</w:t>
      </w:r>
      <w:r w:rsidRPr="0035286D">
        <w:t xml:space="preserve">, </w:t>
      </w:r>
      <w:r w:rsidRPr="00762DB3">
        <w:t>35</w:t>
      </w:r>
      <w:r w:rsidRPr="0035286D">
        <w:t>.</w:t>
      </w:r>
      <w:r w:rsidRPr="00762DB3">
        <w:t>02</w:t>
      </w:r>
      <w:r w:rsidRPr="0035286D">
        <w:t xml:space="preserve"> en </w:t>
      </w:r>
      <w:r w:rsidRPr="00762DB3">
        <w:t>35</w:t>
      </w:r>
      <w:r w:rsidRPr="0035286D">
        <w:t>.</w:t>
      </w:r>
      <w:r w:rsidRPr="00762DB3">
        <w:t>03</w:t>
      </w:r>
      <w:r w:rsidRPr="0035286D">
        <w:t xml:space="preserve">, overeenkomstig de instructies in bijlage II, deel II, punt </w:t>
      </w:r>
      <w:r w:rsidRPr="00762DB3">
        <w:t>8</w:t>
      </w:r>
      <w:r w:rsidRPr="0035286D">
        <w:t>.</w:t>
      </w:r>
    </w:p>
    <w:p w14:paraId="2263BAFA" w14:textId="77777777" w:rsidR="004A4E65" w:rsidRPr="0035286D" w:rsidRDefault="004A4E65" w:rsidP="004A4E65">
      <w:pPr>
        <w:pStyle w:val="Titrearticle"/>
      </w:pPr>
      <w:r w:rsidRPr="0035286D">
        <w:lastRenderedPageBreak/>
        <w:t xml:space="preserve">Artikel </w:t>
      </w:r>
      <w:r w:rsidR="007208C1">
        <w:fldChar w:fldCharType="begin"/>
      </w:r>
      <w:r w:rsidR="007208C1">
        <w:instrText xml:space="preserve"> seq article </w:instrText>
      </w:r>
      <w:r w:rsidR="007208C1">
        <w:fldChar w:fldCharType="separate"/>
      </w:r>
      <w:r w:rsidRPr="00762DB3">
        <w:t>6</w:t>
      </w:r>
      <w:r w:rsidR="007208C1">
        <w:fldChar w:fldCharType="end"/>
      </w:r>
      <w:r w:rsidRPr="0035286D">
        <w:t xml:space="preserve"> </w:t>
      </w:r>
    </w:p>
    <w:p w14:paraId="6708BD45" w14:textId="77777777" w:rsidR="004A4E65" w:rsidRPr="0035286D" w:rsidRDefault="004A4E65" w:rsidP="004A4E65">
      <w:pPr>
        <w:pStyle w:val="Titrearticle"/>
        <w:rPr>
          <w:b/>
          <w:i w:val="0"/>
        </w:rPr>
      </w:pPr>
      <w:r w:rsidRPr="0035286D">
        <w:rPr>
          <w:b/>
          <w:i w:val="0"/>
        </w:rPr>
        <w:t xml:space="preserve">Rapportage over eigen vermogen en eigenvermogensvereisten op individuele basis - halfjaarlijkse rapportage </w:t>
      </w:r>
    </w:p>
    <w:p w14:paraId="5551DF99" w14:textId="77777777" w:rsidR="004A4E65" w:rsidRPr="0035286D" w:rsidRDefault="004A4E65" w:rsidP="005F180D">
      <w:pPr>
        <w:pStyle w:val="NumPar1"/>
        <w:numPr>
          <w:ilvl w:val="0"/>
          <w:numId w:val="15"/>
        </w:numPr>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individuele basis te rapporteren, verstrekken instellingen de in dit artikel bedoelde informatie met een halfjaarlijkse frequentie. </w:t>
      </w:r>
    </w:p>
    <w:p w14:paraId="40FBE120" w14:textId="77777777" w:rsidR="004A4E65" w:rsidRPr="0035286D" w:rsidRDefault="004A4E65" w:rsidP="004A4E65">
      <w:pPr>
        <w:pStyle w:val="NumPar1"/>
      </w:pPr>
      <w:r w:rsidRPr="0035286D">
        <w:t xml:space="preserve">Instellingen verstrekken informatie over alle securitisatieblootstellingen zoals gespecificeerd in bijlage I, templates </w:t>
      </w:r>
      <w:r w:rsidRPr="00762DB3">
        <w:t>14</w:t>
      </w:r>
      <w:r w:rsidRPr="0035286D">
        <w:t xml:space="preserve"> en </w:t>
      </w:r>
      <w:r w:rsidRPr="00762DB3">
        <w:t>14</w:t>
      </w:r>
      <w:r w:rsidRPr="0035286D">
        <w:t>.</w:t>
      </w:r>
      <w:r w:rsidRPr="00762DB3">
        <w:t>01</w:t>
      </w:r>
      <w:r w:rsidRPr="0035286D">
        <w:t xml:space="preserve">, overeenkomstig de instructies in bijlage II, deel II, punt </w:t>
      </w:r>
      <w:r w:rsidRPr="00762DB3">
        <w:t>3</w:t>
      </w:r>
      <w:r w:rsidRPr="0035286D">
        <w:t>.</w:t>
      </w:r>
      <w:r w:rsidRPr="00762DB3">
        <w:t>8</w:t>
      </w:r>
      <w:r w:rsidRPr="0035286D">
        <w:t>; tenzij zij deel uitmaken van een groep in hetzelfde land waarin zij aan eigenvermogensvereisten zijn onderworpen.</w:t>
      </w:r>
    </w:p>
    <w:p w14:paraId="19F85BB9" w14:textId="77777777" w:rsidR="004A4E65" w:rsidRPr="0035286D" w:rsidRDefault="004A4E65" w:rsidP="004A4E65">
      <w:pPr>
        <w:pStyle w:val="NumPar1"/>
      </w:pPr>
      <w:r w:rsidRPr="0035286D">
        <w:t>De instellingen verstrekken de volgende informatie over blootstellingen aan overheden:</w:t>
      </w:r>
    </w:p>
    <w:p w14:paraId="67E38C8A" w14:textId="77777777" w:rsidR="004A4E65" w:rsidRPr="0035286D" w:rsidRDefault="004A4E65" w:rsidP="004A4E65">
      <w:pPr>
        <w:pStyle w:val="Point1"/>
      </w:pPr>
      <w:r w:rsidRPr="0035286D">
        <w:t>a)</w:t>
      </w:r>
      <w:r w:rsidRPr="0035286D">
        <w:tab/>
        <w:t xml:space="preserve">wanneer de totale boekwaarde van de financiële activa van de tegenpartijsector “algemene overheden” ten minste </w:t>
      </w:r>
      <w:r w:rsidRPr="00762DB3">
        <w:t>1</w:t>
      </w:r>
      <w:r w:rsidRPr="0035286D">
        <w:t xml:space="preserve"> % van de som van de totale boekwaarde voor “schuldtitels” en “leningen en voorschotten” uitmaakt, verstrekken instellingen de informatie zoals gespecificeerd in bijlage I, template </w:t>
      </w:r>
      <w:r w:rsidRPr="00762DB3">
        <w:t>33</w:t>
      </w:r>
      <w:r w:rsidRPr="0035286D">
        <w:t xml:space="preserve">, overeenkomstig de instructies in bijlage II, deel II, punt </w:t>
      </w:r>
      <w:r w:rsidRPr="00762DB3">
        <w:t>7</w:t>
      </w:r>
      <w:r w:rsidRPr="0035286D">
        <w:t xml:space="preserve">, en volgen zij de instructies in bijlage V betreffende template </w:t>
      </w:r>
      <w:r w:rsidRPr="00762DB3">
        <w:t>4</w:t>
      </w:r>
      <w:r w:rsidRPr="0035286D">
        <w:t xml:space="preserve"> in bijlage III of bijlage IV, naargelang het geval, om de relevante waarden te berekenen;</w:t>
      </w:r>
    </w:p>
    <w:p w14:paraId="1F937D26" w14:textId="77777777" w:rsidR="004A4E65" w:rsidRPr="0035286D" w:rsidRDefault="004A4E65" w:rsidP="004A4E65">
      <w:pPr>
        <w:pStyle w:val="Point1"/>
      </w:pPr>
      <w:r w:rsidRPr="0035286D">
        <w:t>b)</w:t>
      </w:r>
      <w:r w:rsidRPr="0035286D">
        <w:tab/>
        <w:t xml:space="preserve">wanneer de waarde gerapporteerd voor binnenlandse blootstellingen van niet-afgeleide financiële activa zoals omschreven in bijlage I, template </w:t>
      </w:r>
      <w:r w:rsidRPr="00762DB3">
        <w:t>33</w:t>
      </w:r>
      <w:r w:rsidRPr="0035286D">
        <w:t xml:space="preserve">, rij </w:t>
      </w:r>
      <w:r w:rsidRPr="00762DB3">
        <w:t>0010</w:t>
      </w:r>
      <w:r w:rsidRPr="0035286D">
        <w:t xml:space="preserve">, kolom </w:t>
      </w:r>
      <w:r w:rsidRPr="00762DB3">
        <w:t>0010</w:t>
      </w:r>
      <w:r w:rsidRPr="0035286D">
        <w:t xml:space="preserve">, minder is dan </w:t>
      </w:r>
      <w:r w:rsidRPr="00762DB3">
        <w:t>90</w:t>
      </w:r>
      <w:r w:rsidRPr="0035286D">
        <w:t xml:space="preserve"> % van de waarde gerapporteerd voor binnenlandse en niet-binnenlandse blootstellingen voor hetzelfde gegevenspunt, verstrekken instellingen die aan de in punt a) bedoelde voorwaarde voldoen, de informatie zoals gespecificeerd in bijlage I, template </w:t>
      </w:r>
      <w:r w:rsidRPr="00762DB3">
        <w:t>33</w:t>
      </w:r>
      <w:r w:rsidRPr="0035286D">
        <w:t xml:space="preserve">, overeenkomstig de instructies in bijlage II, deel II, punt </w:t>
      </w:r>
      <w:r w:rsidRPr="00762DB3">
        <w:t>7</w:t>
      </w:r>
      <w:r w:rsidRPr="0035286D">
        <w:t>, met een volledige uitsplitsing naar land;</w:t>
      </w:r>
    </w:p>
    <w:p w14:paraId="7834EDAC" w14:textId="77777777" w:rsidR="004A4E65" w:rsidRPr="0035286D" w:rsidRDefault="004A4E65" w:rsidP="004A4E65">
      <w:pPr>
        <w:pStyle w:val="Point1"/>
      </w:pPr>
      <w:r w:rsidRPr="0035286D">
        <w:t>c)</w:t>
      </w:r>
      <w:r w:rsidRPr="0035286D">
        <w:tab/>
        <w:t xml:space="preserve">instellingen die voldoen aan de in punt a) bedoelde voorwaarden, maar niet aan de in punt b) bedoelde voorwaarden, verstrekken de informatie zoals gespecificeerd in template </w:t>
      </w:r>
      <w:r w:rsidRPr="00762DB3">
        <w:t>33</w:t>
      </w:r>
      <w:r w:rsidRPr="0035286D">
        <w:t xml:space="preserve">, overeenkomstig de instructies in bijlage II, deel II, punt </w:t>
      </w:r>
      <w:r w:rsidRPr="00762DB3">
        <w:t>7</w:t>
      </w:r>
      <w:r w:rsidRPr="0035286D">
        <w:t>, waarbij de blootstellingen worden geaggregeerd:</w:t>
      </w:r>
    </w:p>
    <w:p w14:paraId="218EDBA5" w14:textId="77777777" w:rsidR="004A4E65" w:rsidRPr="0035286D" w:rsidRDefault="004A4E65" w:rsidP="004A4E65">
      <w:pPr>
        <w:pStyle w:val="Point1"/>
        <w:ind w:firstLine="0"/>
      </w:pPr>
      <w:r w:rsidRPr="0035286D">
        <w:t>i) op totaal niveau; en</w:t>
      </w:r>
    </w:p>
    <w:p w14:paraId="008CFBAC" w14:textId="77777777" w:rsidR="004A4E65" w:rsidRPr="0035286D" w:rsidRDefault="004A4E65" w:rsidP="004A4E65">
      <w:pPr>
        <w:pStyle w:val="Point1"/>
        <w:ind w:firstLine="0"/>
      </w:pPr>
      <w:r w:rsidRPr="0035286D">
        <w:t>ii) op binnenlands niveau.</w:t>
      </w:r>
    </w:p>
    <w:p w14:paraId="3B9FA7D6" w14:textId="77777777" w:rsidR="004A4E65" w:rsidRPr="0035286D" w:rsidRDefault="004A4E65" w:rsidP="004A4E65">
      <w:pPr>
        <w:pStyle w:val="Text1"/>
      </w:pPr>
      <w:r w:rsidRPr="0035286D">
        <w:t xml:space="preserve">De instap- en uitstapcriteria van artikel </w:t>
      </w:r>
      <w:r w:rsidRPr="00762DB3">
        <w:t>4</w:t>
      </w:r>
      <w:r w:rsidRPr="0035286D">
        <w:t xml:space="preserve">, lid </w:t>
      </w:r>
      <w:r w:rsidRPr="00762DB3">
        <w:t>3</w:t>
      </w:r>
      <w:r w:rsidRPr="0035286D">
        <w:t>, zijn van toepassing.</w:t>
      </w:r>
    </w:p>
    <w:p w14:paraId="76F698FA" w14:textId="77777777" w:rsidR="004A4E65" w:rsidRPr="0035286D" w:rsidRDefault="004A4E65" w:rsidP="004A4E65">
      <w:pPr>
        <w:pStyle w:val="NumPar1"/>
      </w:pPr>
      <w:r w:rsidRPr="0035286D">
        <w:t>Informatie over materiële verliezen met betrekking tot operationeel risico wordt als volgt gerapporteerd:</w:t>
      </w:r>
    </w:p>
    <w:p w14:paraId="6D57AB20" w14:textId="77777777" w:rsidR="004A4E65" w:rsidRPr="0035286D" w:rsidRDefault="004A4E65" w:rsidP="004A4E65">
      <w:pPr>
        <w:pStyle w:val="Point1"/>
      </w:pPr>
      <w:r w:rsidRPr="0035286D">
        <w:t>a)</w:t>
      </w:r>
      <w:r w:rsidRPr="0035286D">
        <w:tab/>
        <w:t xml:space="preserve">instellingen die eigenvermogensvereisten in verband met operationeel risico berekenen overeenkomstig deel drie, titel III, hoofdstuk </w:t>
      </w:r>
      <w:r w:rsidRPr="00762DB3">
        <w:t>4</w:t>
      </w:r>
      <w:r w:rsidRPr="0035286D">
        <w:t xml:space="preserve">, van Verordening (EU) nr. </w:t>
      </w:r>
      <w:r w:rsidRPr="00762DB3">
        <w:t>575</w:t>
      </w:r>
      <w:r w:rsidRPr="0035286D">
        <w:t>/</w:t>
      </w:r>
      <w:r w:rsidRPr="00762DB3">
        <w:t>2013</w:t>
      </w:r>
      <w:r w:rsidRPr="0035286D">
        <w:t xml:space="preserve">, rapporteren die informatie zoals gespecificeerd in bijlage I, templates </w:t>
      </w:r>
      <w:r w:rsidRPr="00762DB3">
        <w:t>17</w:t>
      </w:r>
      <w:r w:rsidRPr="0035286D">
        <w:t>.</w:t>
      </w:r>
      <w:r w:rsidRPr="00762DB3">
        <w:t>01</w:t>
      </w:r>
      <w:r w:rsidRPr="0035286D">
        <w:t xml:space="preserve"> en </w:t>
      </w:r>
      <w:r w:rsidRPr="00762DB3">
        <w:t>17</w:t>
      </w:r>
      <w:r w:rsidRPr="0035286D">
        <w:t>.</w:t>
      </w:r>
      <w:r w:rsidRPr="00762DB3">
        <w:t>02</w:t>
      </w:r>
      <w:r w:rsidRPr="0035286D">
        <w:t xml:space="preserve">, overeenkomstig de instructies in bijlage II, deel II, punt </w:t>
      </w:r>
      <w:r w:rsidRPr="00762DB3">
        <w:t>4</w:t>
      </w:r>
      <w:r w:rsidRPr="0035286D">
        <w:t>.</w:t>
      </w:r>
      <w:r w:rsidRPr="00762DB3">
        <w:t>2</w:t>
      </w:r>
      <w:r w:rsidRPr="0035286D">
        <w:t>;</w:t>
      </w:r>
    </w:p>
    <w:p w14:paraId="574CD1A6" w14:textId="77777777" w:rsidR="004A4E65" w:rsidRPr="0035286D" w:rsidRDefault="004A4E65" w:rsidP="004A4E65">
      <w:pPr>
        <w:pStyle w:val="Point1"/>
      </w:pPr>
      <w:r w:rsidRPr="0035286D">
        <w:t>b)</w:t>
      </w:r>
      <w:r w:rsidRPr="0035286D">
        <w:tab/>
        <w:t xml:space="preserve">grote instellingen die eigenvermogensvereisten in verband met operationeel risico berekenen overeenkomstig deel drie, titel III, hoofdstuk </w:t>
      </w:r>
      <w:r w:rsidRPr="00762DB3">
        <w:t>3</w:t>
      </w:r>
      <w:r w:rsidRPr="0035286D">
        <w:t xml:space="preserve">, van </w:t>
      </w:r>
      <w:r w:rsidRPr="0035286D">
        <w:lastRenderedPageBreak/>
        <w:t xml:space="preserve">Verordening (EU) nr. </w:t>
      </w:r>
      <w:r w:rsidRPr="00762DB3">
        <w:t>575</w:t>
      </w:r>
      <w:r w:rsidRPr="0035286D">
        <w:t>/</w:t>
      </w:r>
      <w:r w:rsidRPr="00762DB3">
        <w:t>2013</w:t>
      </w:r>
      <w:r w:rsidRPr="0035286D">
        <w:t xml:space="preserve">, rapporteren die informatie zoals gespecificeerd in bijlage I, templates </w:t>
      </w:r>
      <w:r w:rsidRPr="00762DB3">
        <w:t>17</w:t>
      </w:r>
      <w:r w:rsidRPr="0035286D">
        <w:t>.</w:t>
      </w:r>
      <w:r w:rsidRPr="00762DB3">
        <w:t>01</w:t>
      </w:r>
      <w:r w:rsidRPr="0035286D">
        <w:t xml:space="preserve"> en </w:t>
      </w:r>
      <w:r w:rsidRPr="00762DB3">
        <w:t>17</w:t>
      </w:r>
      <w:r w:rsidRPr="0035286D">
        <w:t>.</w:t>
      </w:r>
      <w:r w:rsidRPr="00762DB3">
        <w:t>02</w:t>
      </w:r>
      <w:r w:rsidRPr="0035286D">
        <w:t xml:space="preserve">, overeenkomstig de instructies in bijlage II, deel II, punt </w:t>
      </w:r>
      <w:r w:rsidRPr="00762DB3">
        <w:t>4</w:t>
      </w:r>
      <w:r w:rsidRPr="0035286D">
        <w:t>.</w:t>
      </w:r>
      <w:r w:rsidRPr="00762DB3">
        <w:t>2</w:t>
      </w:r>
      <w:r w:rsidRPr="0035286D">
        <w:t>;</w:t>
      </w:r>
    </w:p>
    <w:p w14:paraId="3913C437" w14:textId="77777777" w:rsidR="004A4E65" w:rsidRPr="0035286D" w:rsidRDefault="004A4E65" w:rsidP="004A4E65">
      <w:pPr>
        <w:pStyle w:val="Point1"/>
      </w:pPr>
      <w:r w:rsidRPr="0035286D">
        <w:t>c)</w:t>
      </w:r>
      <w:r w:rsidRPr="0035286D">
        <w:tab/>
        <w:t xml:space="preserve">andere instellingen dan grote instellingen die eigenvermogensvereisten in verband met operationeel risico berekenen overeenkomstig deel drie, titel III, hoofdstuk </w:t>
      </w:r>
      <w:r w:rsidRPr="00762DB3">
        <w:t>3</w:t>
      </w:r>
      <w:r w:rsidRPr="0035286D">
        <w:t xml:space="preserve">, van Verordening (EU) nr. </w:t>
      </w:r>
      <w:r w:rsidRPr="00762DB3">
        <w:t>575</w:t>
      </w:r>
      <w:r w:rsidRPr="0035286D">
        <w:t>/</w:t>
      </w:r>
      <w:r w:rsidRPr="00762DB3">
        <w:t>2013</w:t>
      </w:r>
      <w:r w:rsidRPr="0035286D">
        <w:t xml:space="preserve">, rapporteren, overeenkomstig de instructies in bijlage II, deel II, punt </w:t>
      </w:r>
      <w:r w:rsidRPr="00762DB3">
        <w:t>4</w:t>
      </w:r>
      <w:r w:rsidRPr="0035286D">
        <w:t>.</w:t>
      </w:r>
      <w:r w:rsidRPr="00762DB3">
        <w:t>2</w:t>
      </w:r>
      <w:r w:rsidRPr="0035286D">
        <w:t>, de volgende informatie:</w:t>
      </w:r>
    </w:p>
    <w:p w14:paraId="465B55EF" w14:textId="77777777" w:rsidR="004A4E65" w:rsidRPr="0035286D" w:rsidRDefault="004A4E65" w:rsidP="004A4E65">
      <w:pPr>
        <w:pStyle w:val="Point2"/>
      </w:pPr>
      <w:r w:rsidRPr="0035286D">
        <w:t>i)</w:t>
      </w:r>
      <w:r w:rsidRPr="0035286D">
        <w:tab/>
        <w:t xml:space="preserve">de informatie zoals gespecificeerd in bijlage I, template </w:t>
      </w:r>
      <w:r w:rsidRPr="00762DB3">
        <w:t>17</w:t>
      </w:r>
      <w:r w:rsidRPr="0035286D">
        <w:t>.</w:t>
      </w:r>
      <w:r w:rsidRPr="00762DB3">
        <w:t>01</w:t>
      </w:r>
      <w:r w:rsidRPr="0035286D">
        <w:t xml:space="preserve">, kolom </w:t>
      </w:r>
      <w:r w:rsidRPr="00762DB3">
        <w:t>0080</w:t>
      </w:r>
      <w:r w:rsidRPr="0035286D">
        <w:t xml:space="preserve"> voor de volgende rijen:</w:t>
      </w:r>
    </w:p>
    <w:p w14:paraId="38FC9781" w14:textId="77777777" w:rsidR="004A4E65" w:rsidRPr="0035286D" w:rsidRDefault="004A4E65" w:rsidP="004A4E65">
      <w:pPr>
        <w:pStyle w:val="Point3"/>
      </w:pPr>
      <w:r w:rsidRPr="0035286D">
        <w:t>-</w:t>
      </w:r>
      <w:r w:rsidRPr="0035286D">
        <w:tab/>
        <w:t xml:space="preserve">aantal gebeurtenissen (nieuwe gebeurtenissen) (rij </w:t>
      </w:r>
      <w:r w:rsidRPr="00762DB3">
        <w:t>0910</w:t>
      </w:r>
      <w:r w:rsidRPr="0035286D">
        <w:t>);</w:t>
      </w:r>
    </w:p>
    <w:p w14:paraId="4D4CF5FF" w14:textId="77777777" w:rsidR="004A4E65" w:rsidRPr="0035286D" w:rsidRDefault="004A4E65" w:rsidP="004A4E65">
      <w:pPr>
        <w:pStyle w:val="Point3"/>
      </w:pPr>
      <w:r w:rsidRPr="0035286D">
        <w:t>-</w:t>
      </w:r>
      <w:r w:rsidRPr="0035286D">
        <w:tab/>
        <w:t xml:space="preserve">bruto verliesbedrag (nieuwe gebeurtenissen) (rij </w:t>
      </w:r>
      <w:r w:rsidRPr="00762DB3">
        <w:t>0920</w:t>
      </w:r>
      <w:r w:rsidRPr="0035286D">
        <w:t>);</w:t>
      </w:r>
    </w:p>
    <w:p w14:paraId="1C861214" w14:textId="77777777" w:rsidR="004A4E65" w:rsidRPr="0035286D" w:rsidRDefault="004A4E65" w:rsidP="004A4E65">
      <w:pPr>
        <w:pStyle w:val="Point3"/>
      </w:pPr>
      <w:r w:rsidRPr="0035286D">
        <w:t>-</w:t>
      </w:r>
      <w:r w:rsidRPr="0035286D">
        <w:tab/>
        <w:t xml:space="preserve">aantal gebeurtenissen waarvoor verliesaanpassingen worden gedaan (rij </w:t>
      </w:r>
      <w:r w:rsidRPr="00762DB3">
        <w:t>0930</w:t>
      </w:r>
      <w:r w:rsidRPr="0035286D">
        <w:t>);</w:t>
      </w:r>
    </w:p>
    <w:p w14:paraId="5E7045F5" w14:textId="77777777" w:rsidR="004A4E65" w:rsidRPr="0035286D" w:rsidRDefault="004A4E65" w:rsidP="004A4E65">
      <w:pPr>
        <w:pStyle w:val="Point3"/>
      </w:pPr>
      <w:r w:rsidRPr="0035286D">
        <w:t>-</w:t>
      </w:r>
      <w:r w:rsidRPr="0035286D">
        <w:tab/>
        <w:t xml:space="preserve">verliesaanpassingen met betrekking tot voorgaande rapportageperioden (rij </w:t>
      </w:r>
      <w:r w:rsidRPr="00762DB3">
        <w:t>0940</w:t>
      </w:r>
      <w:r w:rsidRPr="0035286D">
        <w:t>);</w:t>
      </w:r>
    </w:p>
    <w:p w14:paraId="1438A6CB" w14:textId="77777777" w:rsidR="004A4E65" w:rsidRPr="0035286D" w:rsidRDefault="004A4E65" w:rsidP="004A4E65">
      <w:pPr>
        <w:pStyle w:val="Point3"/>
      </w:pPr>
      <w:r w:rsidRPr="0035286D">
        <w:t>-</w:t>
      </w:r>
      <w:r w:rsidRPr="0035286D">
        <w:tab/>
        <w:t xml:space="preserve">het grootste afzonderlijke verlies (rij </w:t>
      </w:r>
      <w:r w:rsidRPr="00762DB3">
        <w:t>0950</w:t>
      </w:r>
      <w:r w:rsidRPr="0035286D">
        <w:t xml:space="preserve">); </w:t>
      </w:r>
    </w:p>
    <w:p w14:paraId="5C63649B" w14:textId="77777777" w:rsidR="004A4E65" w:rsidRPr="0035286D" w:rsidRDefault="004A4E65" w:rsidP="004A4E65">
      <w:pPr>
        <w:pStyle w:val="Point3"/>
      </w:pPr>
      <w:r w:rsidRPr="0035286D">
        <w:t>-</w:t>
      </w:r>
      <w:r w:rsidRPr="0035286D">
        <w:tab/>
        <w:t xml:space="preserve">som van de vijf grootste verliezen (rij </w:t>
      </w:r>
      <w:r w:rsidRPr="00762DB3">
        <w:t>0960</w:t>
      </w:r>
      <w:r w:rsidRPr="0035286D">
        <w:t>);</w:t>
      </w:r>
    </w:p>
    <w:p w14:paraId="6C176440" w14:textId="77777777" w:rsidR="004A4E65" w:rsidRPr="0035286D" w:rsidRDefault="004A4E65" w:rsidP="004A4E65">
      <w:pPr>
        <w:pStyle w:val="Point3"/>
      </w:pPr>
      <w:r w:rsidRPr="0035286D">
        <w:t>-</w:t>
      </w:r>
      <w:r w:rsidRPr="0035286D">
        <w:tab/>
        <w:t xml:space="preserve">totaal direct goedgemaakt verlies (exclusief verzekering en andere mechanismen voor risico-overdracht) (rij </w:t>
      </w:r>
      <w:r w:rsidRPr="00762DB3">
        <w:t>0970</w:t>
      </w:r>
      <w:r w:rsidRPr="0035286D">
        <w:t>);</w:t>
      </w:r>
    </w:p>
    <w:p w14:paraId="586DD233" w14:textId="77777777" w:rsidR="004A4E65" w:rsidRPr="0035286D" w:rsidRDefault="004A4E65" w:rsidP="004A4E65">
      <w:pPr>
        <w:pStyle w:val="Point3"/>
      </w:pPr>
      <w:r w:rsidRPr="0035286D">
        <w:t>-</w:t>
      </w:r>
      <w:r w:rsidRPr="0035286D">
        <w:tab/>
        <w:t xml:space="preserve">totaal goedgemaakt verlies door verzekering en andere mechanismen voor risico-overdracht (rij </w:t>
      </w:r>
      <w:r w:rsidRPr="00762DB3">
        <w:t>0980</w:t>
      </w:r>
      <w:r w:rsidRPr="0035286D">
        <w:t xml:space="preserve">); </w:t>
      </w:r>
    </w:p>
    <w:p w14:paraId="0825DE8D" w14:textId="77777777" w:rsidR="004A4E65" w:rsidRPr="0035286D" w:rsidRDefault="004A4E65" w:rsidP="004A4E65">
      <w:pPr>
        <w:pStyle w:val="Point2"/>
      </w:pPr>
      <w:r w:rsidRPr="0035286D">
        <w:t>ii)</w:t>
      </w:r>
      <w:r w:rsidRPr="0035286D">
        <w:tab/>
        <w:t xml:space="preserve">de informatie zoals gespecificeerd in bijlage I, template </w:t>
      </w:r>
      <w:r w:rsidRPr="00762DB3">
        <w:t>17</w:t>
      </w:r>
      <w:r w:rsidRPr="0035286D">
        <w:t>.</w:t>
      </w:r>
      <w:r w:rsidRPr="00762DB3">
        <w:t>02</w:t>
      </w:r>
      <w:r w:rsidRPr="0035286D">
        <w:t>;</w:t>
      </w:r>
    </w:p>
    <w:p w14:paraId="2FD7698B" w14:textId="77777777" w:rsidR="004A4E65" w:rsidRPr="0035286D" w:rsidRDefault="004A4E65" w:rsidP="004A4E65">
      <w:pPr>
        <w:pStyle w:val="Point1"/>
      </w:pPr>
      <w:r w:rsidRPr="0035286D">
        <w:t>d)</w:t>
      </w:r>
      <w:r w:rsidRPr="0035286D">
        <w:tab/>
        <w:t xml:space="preserve">de in punt c) bedoelde instellingen mogen de volledige set informatie gespecificeerd in bijlage I, templates </w:t>
      </w:r>
      <w:r w:rsidRPr="00762DB3">
        <w:t>17</w:t>
      </w:r>
      <w:r w:rsidRPr="0035286D">
        <w:t>.</w:t>
      </w:r>
      <w:r w:rsidRPr="00762DB3">
        <w:t>01</w:t>
      </w:r>
      <w:r w:rsidRPr="0035286D">
        <w:t xml:space="preserve"> en </w:t>
      </w:r>
      <w:r w:rsidRPr="00762DB3">
        <w:t>17</w:t>
      </w:r>
      <w:r w:rsidRPr="0035286D">
        <w:t>.</w:t>
      </w:r>
      <w:r w:rsidRPr="00762DB3">
        <w:t>02</w:t>
      </w:r>
      <w:r w:rsidRPr="0035286D">
        <w:t xml:space="preserve">, rapporteren overeenkomstig de instructies in bijlage II, deel II, punt </w:t>
      </w:r>
      <w:r w:rsidRPr="00762DB3">
        <w:t>4</w:t>
      </w:r>
      <w:r w:rsidRPr="0035286D">
        <w:t>.</w:t>
      </w:r>
      <w:r w:rsidRPr="00762DB3">
        <w:t>2</w:t>
      </w:r>
      <w:r w:rsidRPr="0035286D">
        <w:t>;</w:t>
      </w:r>
    </w:p>
    <w:p w14:paraId="75F8B450" w14:textId="77777777" w:rsidR="004A4E65" w:rsidRPr="0035286D" w:rsidRDefault="004A4E65" w:rsidP="004A4E65">
      <w:pPr>
        <w:pStyle w:val="Point1"/>
      </w:pPr>
      <w:r w:rsidRPr="0035286D">
        <w:t>e)</w:t>
      </w:r>
      <w:r w:rsidRPr="0035286D">
        <w:tab/>
        <w:t xml:space="preserve">grote instellingen die eigenvermogensvereisten in verband met operationeel risico berekenen overeenkomstig deel drie, titel III, hoofdstuk </w:t>
      </w:r>
      <w:r w:rsidRPr="00762DB3">
        <w:t>2</w:t>
      </w:r>
      <w:r w:rsidRPr="0035286D">
        <w:t xml:space="preserve">, van Verordening (EU) nr. </w:t>
      </w:r>
      <w:r w:rsidRPr="00762DB3">
        <w:t>575</w:t>
      </w:r>
      <w:r w:rsidRPr="0035286D">
        <w:t>/</w:t>
      </w:r>
      <w:r w:rsidRPr="00762DB3">
        <w:t>2013</w:t>
      </w:r>
      <w:r w:rsidRPr="0035286D">
        <w:t xml:space="preserve">, rapporteren de informatie zoals gespecificeerd in bijlage I, templates </w:t>
      </w:r>
      <w:r w:rsidRPr="00762DB3">
        <w:t>17</w:t>
      </w:r>
      <w:r w:rsidRPr="0035286D">
        <w:t>.</w:t>
      </w:r>
      <w:r w:rsidRPr="00762DB3">
        <w:t>01</w:t>
      </w:r>
      <w:r w:rsidRPr="0035286D">
        <w:t xml:space="preserve"> en </w:t>
      </w:r>
      <w:r w:rsidRPr="00762DB3">
        <w:t>17</w:t>
      </w:r>
      <w:r w:rsidRPr="0035286D">
        <w:t>.</w:t>
      </w:r>
      <w:r w:rsidRPr="00762DB3">
        <w:t>02</w:t>
      </w:r>
      <w:r w:rsidRPr="0035286D">
        <w:t xml:space="preserve">, overeenkomstig de instructies in bijlage II, deel II, punt </w:t>
      </w:r>
      <w:r w:rsidRPr="00762DB3">
        <w:t>4</w:t>
      </w:r>
      <w:r w:rsidRPr="0035286D">
        <w:t>.</w:t>
      </w:r>
      <w:r w:rsidRPr="00762DB3">
        <w:t>2</w:t>
      </w:r>
      <w:r w:rsidRPr="0035286D">
        <w:t>;</w:t>
      </w:r>
    </w:p>
    <w:p w14:paraId="612A5174" w14:textId="77777777" w:rsidR="004A4E65" w:rsidRPr="0035286D" w:rsidRDefault="004A4E65" w:rsidP="004A4E65">
      <w:pPr>
        <w:pStyle w:val="Point1"/>
      </w:pPr>
      <w:r w:rsidRPr="0035286D">
        <w:t>f)</w:t>
      </w:r>
      <w:r w:rsidRPr="0035286D">
        <w:tab/>
        <w:t xml:space="preserve">andere instellingen dan grote instellingen die eigenvermogensvereisten in verband met operationeel risico berekenen overeenkomstig deel drie, titel III, hoofdstuk </w:t>
      </w:r>
      <w:r w:rsidRPr="00762DB3">
        <w:t>2</w:t>
      </w:r>
      <w:r w:rsidRPr="0035286D">
        <w:t xml:space="preserve">, van Verordening (EU) nr. </w:t>
      </w:r>
      <w:r w:rsidRPr="00762DB3">
        <w:t>575</w:t>
      </w:r>
      <w:r w:rsidRPr="0035286D">
        <w:t>/</w:t>
      </w:r>
      <w:r w:rsidRPr="00762DB3">
        <w:t>2013</w:t>
      </w:r>
      <w:r w:rsidRPr="0035286D">
        <w:t xml:space="preserve">, mogen die informatie rapporteren zoals gespecificeerd in bijlage I, templates </w:t>
      </w:r>
      <w:r w:rsidRPr="00762DB3">
        <w:t>17</w:t>
      </w:r>
      <w:r w:rsidRPr="0035286D">
        <w:t>.</w:t>
      </w:r>
      <w:r w:rsidRPr="00762DB3">
        <w:t>01</w:t>
      </w:r>
      <w:r w:rsidRPr="0035286D">
        <w:t xml:space="preserve"> en </w:t>
      </w:r>
      <w:r w:rsidRPr="00762DB3">
        <w:t>17</w:t>
      </w:r>
      <w:r w:rsidRPr="0035286D">
        <w:t>.</w:t>
      </w:r>
      <w:r w:rsidRPr="00762DB3">
        <w:t>02</w:t>
      </w:r>
      <w:r w:rsidRPr="0035286D">
        <w:t xml:space="preserve">, overeenkomstig de instructies in bijlage II, deel II, punt </w:t>
      </w:r>
      <w:r w:rsidRPr="00762DB3">
        <w:t>4</w:t>
      </w:r>
      <w:r w:rsidRPr="0035286D">
        <w:t>.</w:t>
      </w:r>
      <w:r w:rsidRPr="00762DB3">
        <w:t>2</w:t>
      </w:r>
      <w:r w:rsidRPr="0035286D">
        <w:t>.</w:t>
      </w:r>
    </w:p>
    <w:p w14:paraId="2F83BAAA" w14:textId="77777777" w:rsidR="004A4E65" w:rsidRPr="0035286D" w:rsidRDefault="004A4E65" w:rsidP="004A4E65">
      <w:pPr>
        <w:pStyle w:val="Text1"/>
      </w:pPr>
      <w:r w:rsidRPr="0035286D">
        <w:t xml:space="preserve">De instap- en uitstapcriteria van artikel </w:t>
      </w:r>
      <w:r w:rsidRPr="00762DB3">
        <w:t>4</w:t>
      </w:r>
      <w:r w:rsidRPr="0035286D">
        <w:t xml:space="preserve">, lid </w:t>
      </w:r>
      <w:r w:rsidRPr="00762DB3">
        <w:t>3</w:t>
      </w:r>
      <w:r w:rsidRPr="0035286D">
        <w:t>, zijn van toepassing.</w:t>
      </w:r>
    </w:p>
    <w:p w14:paraId="490166B3" w14:textId="6B9CD855" w:rsidR="00496B08" w:rsidRPr="0035286D" w:rsidRDefault="004A4E65" w:rsidP="004A4E65">
      <w:pPr>
        <w:pStyle w:val="NumPar1"/>
      </w:pPr>
      <w:r w:rsidRPr="0035286D">
        <w:t xml:space="preserve">Instellingen die de vereenvoudigde standaardbenadering of de oorspronkelijkeblootstellingsmethode toepassen voor de berekening van blootstellingen aan tegenpartijkredietrisico overeenkomstig deel drie, titel II, hoofdstuk </w:t>
      </w:r>
      <w:r w:rsidRPr="00762DB3">
        <w:t>6</w:t>
      </w:r>
      <w:r w:rsidRPr="0035286D">
        <w:t xml:space="preserve">, afdelingen </w:t>
      </w:r>
      <w:r w:rsidRPr="00762DB3">
        <w:t>4</w:t>
      </w:r>
      <w:r w:rsidRPr="0035286D">
        <w:t xml:space="preserve"> en </w:t>
      </w:r>
      <w:r w:rsidRPr="00762DB3">
        <w:t>5</w:t>
      </w:r>
      <w:r w:rsidRPr="0035286D">
        <w:t xml:space="preserve">, van Verordening (EU) nr. </w:t>
      </w:r>
      <w:r w:rsidRPr="00762DB3">
        <w:t>575</w:t>
      </w:r>
      <w:r w:rsidRPr="0035286D">
        <w:t>/</w:t>
      </w:r>
      <w:r w:rsidRPr="00762DB3">
        <w:t>2013</w:t>
      </w:r>
      <w:r w:rsidRPr="0035286D">
        <w:t xml:space="preserve">, verstrekken de informatie over tegenpartijkredietrisico zoals gespecificeerd in bijlage I, template </w:t>
      </w:r>
      <w:r w:rsidRPr="00762DB3">
        <w:t>34</w:t>
      </w:r>
      <w:r w:rsidRPr="0035286D">
        <w:t>.</w:t>
      </w:r>
      <w:r w:rsidRPr="00762DB3">
        <w:t>06</w:t>
      </w:r>
      <w:r w:rsidRPr="0035286D">
        <w:t xml:space="preserve">, overeenkomstig de instructies in bijlage II, deel II, punt </w:t>
      </w:r>
      <w:r w:rsidRPr="00762DB3">
        <w:t>3</w:t>
      </w:r>
      <w:r w:rsidRPr="0035286D">
        <w:t>.</w:t>
      </w:r>
      <w:r w:rsidRPr="00762DB3">
        <w:t>9</w:t>
      </w:r>
      <w:r w:rsidRPr="0035286D">
        <w:t>.</w:t>
      </w:r>
      <w:r w:rsidRPr="00762DB3">
        <w:t>7</w:t>
      </w:r>
      <w:r w:rsidRPr="0035286D">
        <w:t>.</w:t>
      </w:r>
    </w:p>
    <w:p w14:paraId="6414DB48" w14:textId="77777777" w:rsidR="00FE0C02" w:rsidRPr="0035286D" w:rsidRDefault="00FE0C02" w:rsidP="00FE0C02">
      <w:pPr>
        <w:pStyle w:val="Titrearticle"/>
      </w:pPr>
      <w:r w:rsidRPr="0035286D">
        <w:lastRenderedPageBreak/>
        <w:t xml:space="preserve">Artikel </w:t>
      </w:r>
      <w:r w:rsidR="007208C1">
        <w:fldChar w:fldCharType="begin"/>
      </w:r>
      <w:r w:rsidR="007208C1">
        <w:instrText xml:space="preserve"> seq article </w:instrText>
      </w:r>
      <w:r w:rsidR="007208C1">
        <w:fldChar w:fldCharType="separate"/>
      </w:r>
      <w:r w:rsidRPr="00762DB3">
        <w:t>7</w:t>
      </w:r>
      <w:r w:rsidR="007208C1">
        <w:fldChar w:fldCharType="end"/>
      </w:r>
    </w:p>
    <w:p w14:paraId="0F2D57CA" w14:textId="77777777" w:rsidR="00FE0C02" w:rsidRPr="0035286D" w:rsidRDefault="00FE0C02" w:rsidP="00FE0C02">
      <w:pPr>
        <w:pStyle w:val="Titrearticle"/>
        <w:spacing w:before="120"/>
        <w:rPr>
          <w:b/>
          <w:i w:val="0"/>
        </w:rPr>
      </w:pPr>
      <w:r w:rsidRPr="0035286D">
        <w:rPr>
          <w:b/>
          <w:i w:val="0"/>
        </w:rPr>
        <w:t>Geconsolideerde rapportage over eigen vermogen en eigenvermogensvereisten</w:t>
      </w:r>
    </w:p>
    <w:p w14:paraId="598D92CF" w14:textId="77777777" w:rsidR="00FE0C02" w:rsidRPr="0035286D" w:rsidRDefault="00FE0C02" w:rsidP="00FE0C02">
      <w:pPr>
        <w:widowControl w:val="0"/>
        <w:autoSpaceDE w:val="0"/>
        <w:autoSpaceDN w:val="0"/>
        <w:spacing w:line="228" w:lineRule="auto"/>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geconsolideerde basis te rapporteren, verstrekken instellingen op geconsolideerde basis de informatie gespecificeerd in:</w:t>
      </w:r>
    </w:p>
    <w:p w14:paraId="2745F268" w14:textId="77777777" w:rsidR="00FE0C02" w:rsidRPr="0035286D" w:rsidRDefault="00FE0C02" w:rsidP="00FE0C02">
      <w:pPr>
        <w:pStyle w:val="Point1"/>
      </w:pPr>
      <w:r w:rsidRPr="0035286D">
        <w:t>a)</w:t>
      </w:r>
      <w:r w:rsidRPr="0035286D">
        <w:tab/>
        <w:t xml:space="preserve">de artikelen </w:t>
      </w:r>
      <w:r w:rsidRPr="00762DB3">
        <w:t>5</w:t>
      </w:r>
      <w:r w:rsidRPr="0035286D">
        <w:t xml:space="preserve"> en </w:t>
      </w:r>
      <w:r w:rsidRPr="00762DB3">
        <w:t>6</w:t>
      </w:r>
      <w:r w:rsidRPr="0035286D">
        <w:t xml:space="preserve"> van deze uitvoeringsverordening op geconsolideerde basis met de daarin vermelde frequentie; en</w:t>
      </w:r>
    </w:p>
    <w:p w14:paraId="41714624" w14:textId="77777777" w:rsidR="00FE0C02" w:rsidRPr="0035286D" w:rsidRDefault="00FE0C02" w:rsidP="00FE0C02">
      <w:pPr>
        <w:pStyle w:val="Point1"/>
      </w:pPr>
      <w:r w:rsidRPr="0035286D">
        <w:t>b)</w:t>
      </w:r>
      <w:r w:rsidRPr="0035286D">
        <w:tab/>
        <w:t xml:space="preserve">template </w:t>
      </w:r>
      <w:r w:rsidRPr="00762DB3">
        <w:t>6</w:t>
      </w:r>
      <w:r w:rsidRPr="0035286D">
        <w:t xml:space="preserve"> van bijlage I, overeenkomstig de instructies in bijlage II, deel II, punt </w:t>
      </w:r>
      <w:r w:rsidRPr="00762DB3">
        <w:t>2</w:t>
      </w:r>
      <w:r w:rsidRPr="0035286D">
        <w:t>, inzake entiteiten die binnen de consolidatiekring vallen, met een halfjaarlijkse frequentie.</w:t>
      </w:r>
    </w:p>
    <w:p w14:paraId="319C9C0F" w14:textId="77777777" w:rsidR="00FE0C02" w:rsidRPr="0035286D" w:rsidRDefault="00FE0C02" w:rsidP="00FE0C02">
      <w:pPr>
        <w:pStyle w:val="Titrearticle"/>
      </w:pPr>
      <w:r w:rsidRPr="0035286D">
        <w:t xml:space="preserve">Artikel </w:t>
      </w:r>
      <w:r w:rsidRPr="00762DB3">
        <w:t>8</w:t>
      </w:r>
    </w:p>
    <w:p w14:paraId="601BC224" w14:textId="77777777" w:rsidR="00FE0C02" w:rsidRPr="0035286D" w:rsidRDefault="00FE0C02" w:rsidP="00FE0C02">
      <w:pPr>
        <w:pStyle w:val="Titrearticle"/>
        <w:rPr>
          <w:b/>
          <w:i w:val="0"/>
        </w:rPr>
      </w:pPr>
      <w:r w:rsidRPr="0035286D">
        <w:rPr>
          <w:b/>
          <w:i w:val="0"/>
        </w:rPr>
        <w:t>Rapportage over eigen vermogen en eigenvermogensvereisten - aanvullende rapportage op individuele en op geconsolideerde basis</w:t>
      </w:r>
    </w:p>
    <w:p w14:paraId="23F3BEFD" w14:textId="596DDC34" w:rsidR="00FE0C02" w:rsidRPr="0035286D" w:rsidRDefault="00125634" w:rsidP="005F180D">
      <w:pPr>
        <w:pStyle w:val="NumPar1"/>
        <w:numPr>
          <w:ilvl w:val="0"/>
          <w:numId w:val="16"/>
        </w:numPr>
      </w:pPr>
      <w:r w:rsidRPr="0035286D">
        <w:t xml:space="preserve">Instellingen die verplicht zijn de informatie bedoeld in artikel </w:t>
      </w:r>
      <w:r w:rsidRPr="00762DB3">
        <w:t>438</w:t>
      </w:r>
      <w:r w:rsidRPr="0035286D">
        <w:t xml:space="preserve">, punt e) of h), of artikel </w:t>
      </w:r>
      <w:r w:rsidRPr="00762DB3">
        <w:t>452</w:t>
      </w:r>
      <w:r w:rsidRPr="0035286D">
        <w:t xml:space="preserve">, punt b), g) of h), van Verordening (EU) nr. </w:t>
      </w:r>
      <w:r w:rsidRPr="00762DB3">
        <w:t>575</w:t>
      </w:r>
      <w:r w:rsidRPr="0035286D">
        <w:t>/</w:t>
      </w:r>
      <w:r w:rsidRPr="00762DB3">
        <w:t>2013</w:t>
      </w:r>
      <w:r w:rsidRPr="0035286D">
        <w:t xml:space="preserve"> openbaar te maken met de frequentie bepaald in artikel </w:t>
      </w:r>
      <w:r w:rsidRPr="00762DB3">
        <w:t>433</w:t>
      </w:r>
      <w:r w:rsidRPr="0035286D">
        <w:t xml:space="preserve"> bis of artikel </w:t>
      </w:r>
      <w:r w:rsidRPr="00762DB3">
        <w:t>433</w:t>
      </w:r>
      <w:r w:rsidRPr="0035286D">
        <w:t xml:space="preserve"> quater, naargelang het geval, op individuele basis overeenkomstig artikel </w:t>
      </w:r>
      <w:r w:rsidRPr="00762DB3">
        <w:t>6</w:t>
      </w:r>
      <w:r w:rsidRPr="0035286D">
        <w:t xml:space="preserve"> of op geconsolideerde basis overeenkomstig artikel </w:t>
      </w:r>
      <w:r w:rsidRPr="00762DB3">
        <w:t>13</w:t>
      </w:r>
      <w:r w:rsidRPr="0035286D">
        <w:t xml:space="preserve">, naargelang het geval, van die verordening, verstrekken de informatie over kredietrisico en tegenpartijkredietrisico zoals gespecificeerd in bijlage I, templates </w:t>
      </w:r>
      <w:r w:rsidRPr="00762DB3">
        <w:t>8</w:t>
      </w:r>
      <w:r w:rsidRPr="0035286D">
        <w:t>.</w:t>
      </w:r>
      <w:r w:rsidRPr="00762DB3">
        <w:t>3</w:t>
      </w:r>
      <w:r w:rsidRPr="0035286D">
        <w:t xml:space="preserve">, </w:t>
      </w:r>
      <w:r w:rsidRPr="00762DB3">
        <w:t>8</w:t>
      </w:r>
      <w:r w:rsidRPr="0035286D">
        <w:t>.</w:t>
      </w:r>
      <w:r w:rsidRPr="00762DB3">
        <w:t>4</w:t>
      </w:r>
      <w:r w:rsidRPr="0035286D">
        <w:t xml:space="preserve">, </w:t>
      </w:r>
      <w:r w:rsidRPr="00762DB3">
        <w:t>8</w:t>
      </w:r>
      <w:r w:rsidRPr="0035286D">
        <w:t>.</w:t>
      </w:r>
      <w:r w:rsidRPr="00762DB3">
        <w:t>5</w:t>
      </w:r>
      <w:r w:rsidRPr="0035286D">
        <w:t xml:space="preserve">, </w:t>
      </w:r>
      <w:r w:rsidRPr="00762DB3">
        <w:t>8</w:t>
      </w:r>
      <w:r w:rsidRPr="0035286D">
        <w:t>.</w:t>
      </w:r>
      <w:r w:rsidRPr="00762DB3">
        <w:t>5</w:t>
      </w:r>
      <w:r w:rsidRPr="0035286D">
        <w:t>.</w:t>
      </w:r>
      <w:r w:rsidRPr="00762DB3">
        <w:t>1</w:t>
      </w:r>
      <w:r w:rsidRPr="0035286D">
        <w:t xml:space="preserve">, </w:t>
      </w:r>
      <w:r w:rsidRPr="00762DB3">
        <w:t>8</w:t>
      </w:r>
      <w:r w:rsidRPr="0035286D">
        <w:t>.</w:t>
      </w:r>
      <w:r w:rsidRPr="00762DB3">
        <w:t>6</w:t>
      </w:r>
      <w:r w:rsidRPr="0035286D">
        <w:t xml:space="preserve">, </w:t>
      </w:r>
      <w:r w:rsidRPr="00762DB3">
        <w:t>8</w:t>
      </w:r>
      <w:r w:rsidRPr="0035286D">
        <w:t>.</w:t>
      </w:r>
      <w:r w:rsidRPr="00762DB3">
        <w:t>7</w:t>
      </w:r>
      <w:r w:rsidRPr="0035286D">
        <w:t xml:space="preserve"> en </w:t>
      </w:r>
      <w:r w:rsidRPr="00762DB3">
        <w:t>34</w:t>
      </w:r>
      <w:r w:rsidRPr="0035286D">
        <w:t>.</w:t>
      </w:r>
      <w:r w:rsidRPr="00762DB3">
        <w:t>11</w:t>
      </w:r>
      <w:r w:rsidRPr="0035286D">
        <w:t xml:space="preserve">, bij deze verordening, met dezelfde frequentie en op dezelfde basis, volgens de instructies in bijlage II, deel II, punten </w:t>
      </w:r>
      <w:r w:rsidRPr="00762DB3">
        <w:t>3</w:t>
      </w:r>
      <w:r w:rsidRPr="0035286D">
        <w:t>.</w:t>
      </w:r>
      <w:r w:rsidRPr="00762DB3">
        <w:t>3</w:t>
      </w:r>
      <w:r w:rsidRPr="0035286D">
        <w:t xml:space="preserve"> en </w:t>
      </w:r>
      <w:r w:rsidRPr="00762DB3">
        <w:t>3</w:t>
      </w:r>
      <w:r w:rsidRPr="0035286D">
        <w:t>.</w:t>
      </w:r>
      <w:r w:rsidRPr="00762DB3">
        <w:t>9</w:t>
      </w:r>
      <w:r w:rsidRPr="0035286D">
        <w:t>.</w:t>
      </w:r>
      <w:r w:rsidRPr="00762DB3">
        <w:t>12</w:t>
      </w:r>
      <w:r w:rsidRPr="0035286D">
        <w:t>, bij deze verordening.</w:t>
      </w:r>
    </w:p>
    <w:p w14:paraId="58F2B691" w14:textId="6662E4F8" w:rsidR="00FE0C02" w:rsidRPr="0035286D" w:rsidRDefault="00977656" w:rsidP="00FE0C02">
      <w:pPr>
        <w:pStyle w:val="NumPar1"/>
      </w:pPr>
      <w:r w:rsidRPr="0035286D">
        <w:t xml:space="preserve">Instellingen die verplicht zijn de informatie bedoeld in artikel </w:t>
      </w:r>
      <w:r w:rsidRPr="00762DB3">
        <w:t>439</w:t>
      </w:r>
      <w:r w:rsidRPr="0035286D">
        <w:t xml:space="preserve">, punt l), van Verordening (EU) nr. </w:t>
      </w:r>
      <w:r w:rsidRPr="00762DB3">
        <w:t>575</w:t>
      </w:r>
      <w:r w:rsidRPr="0035286D">
        <w:t>/</w:t>
      </w:r>
      <w:r w:rsidRPr="00762DB3">
        <w:t>2013</w:t>
      </w:r>
      <w:r w:rsidRPr="0035286D">
        <w:t xml:space="preserve"> openbaar te maken met de frequentie bepaald in artikel </w:t>
      </w:r>
      <w:r w:rsidRPr="00762DB3">
        <w:t>433</w:t>
      </w:r>
      <w:r w:rsidRPr="0035286D">
        <w:t xml:space="preserve"> bis of artikel </w:t>
      </w:r>
      <w:r w:rsidRPr="00762DB3">
        <w:t>433</w:t>
      </w:r>
      <w:r w:rsidRPr="0035286D">
        <w:t xml:space="preserve"> quater, naargelang het geval, op individuele basis overeenkomstig artikel </w:t>
      </w:r>
      <w:r w:rsidRPr="00762DB3">
        <w:t>6</w:t>
      </w:r>
      <w:r w:rsidRPr="0035286D">
        <w:t xml:space="preserve"> of op geconsolideerde basis overeenkomstig artikel </w:t>
      </w:r>
      <w:r w:rsidRPr="00762DB3">
        <w:t>13</w:t>
      </w:r>
      <w:r w:rsidRPr="0035286D">
        <w:t xml:space="preserve">, naargelang het geval, van die verordening, verstrekken de informatie over tegenpartijkredietrisico zoals gespecificeerd in bijlage I, template </w:t>
      </w:r>
      <w:r w:rsidRPr="00762DB3">
        <w:t>34</w:t>
      </w:r>
      <w:r w:rsidRPr="0035286D">
        <w:t>.</w:t>
      </w:r>
      <w:r w:rsidRPr="00762DB3">
        <w:t>07</w:t>
      </w:r>
      <w:r w:rsidRPr="0035286D">
        <w:t xml:space="preserve">, bij deze verordening, met dezelfde frequentie en op dezelfde basis, volgens de instructies in bijlage II, deel II, punt </w:t>
      </w:r>
      <w:r w:rsidRPr="00762DB3">
        <w:t>3</w:t>
      </w:r>
      <w:r w:rsidRPr="0035286D">
        <w:t>.</w:t>
      </w:r>
      <w:r w:rsidRPr="00762DB3">
        <w:t>9</w:t>
      </w:r>
      <w:r w:rsidRPr="0035286D">
        <w:t>.</w:t>
      </w:r>
      <w:r w:rsidRPr="00762DB3">
        <w:t>8</w:t>
      </w:r>
      <w:r w:rsidRPr="0035286D">
        <w:t>, bij deze verordening.</w:t>
      </w:r>
    </w:p>
    <w:p w14:paraId="7252BD87"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9</w:t>
      </w:r>
      <w:r w:rsidR="007208C1">
        <w:fldChar w:fldCharType="end"/>
      </w:r>
    </w:p>
    <w:p w14:paraId="6B3DD09D" w14:textId="77777777" w:rsidR="00FE0C02" w:rsidRPr="0035286D" w:rsidRDefault="00FE0C02" w:rsidP="00FE0C02">
      <w:pPr>
        <w:pStyle w:val="Titrearticle"/>
        <w:spacing w:before="120"/>
        <w:rPr>
          <w:b/>
          <w:i w:val="0"/>
        </w:rPr>
      </w:pPr>
      <w:r w:rsidRPr="0035286D">
        <w:rPr>
          <w:b/>
          <w:i w:val="0"/>
        </w:rPr>
        <w:t xml:space="preserve">Rapportage over eigen vermogen en eigenvermogensvereisten op individuele basis voor beleggingsondernemingen die onderworpen zijn aan de artikelen </w:t>
      </w:r>
      <w:r w:rsidRPr="00762DB3">
        <w:rPr>
          <w:b/>
          <w:i w:val="0"/>
        </w:rPr>
        <w:t>95</w:t>
      </w:r>
      <w:r w:rsidRPr="0035286D">
        <w:rPr>
          <w:b/>
          <w:i w:val="0"/>
        </w:rPr>
        <w:t xml:space="preserve"> en </w:t>
      </w:r>
      <w:r w:rsidRPr="00762DB3">
        <w:rPr>
          <w:b/>
          <w:i w:val="0"/>
        </w:rPr>
        <w:t>96</w:t>
      </w:r>
      <w:r w:rsidRPr="0035286D">
        <w:rPr>
          <w:b/>
          <w:i w:val="0"/>
        </w:rPr>
        <w:t xml:space="preserve"> van Verordening (EU) nr. </w:t>
      </w:r>
      <w:r w:rsidRPr="00762DB3">
        <w:rPr>
          <w:b/>
          <w:i w:val="0"/>
        </w:rPr>
        <w:t>575</w:t>
      </w:r>
      <w:r w:rsidRPr="0035286D">
        <w:rPr>
          <w:b/>
          <w:i w:val="0"/>
        </w:rPr>
        <w:t>/</w:t>
      </w:r>
      <w:r w:rsidRPr="00762DB3">
        <w:rPr>
          <w:b/>
          <w:i w:val="0"/>
        </w:rPr>
        <w:t>2013</w:t>
      </w:r>
    </w:p>
    <w:p w14:paraId="3D78F884" w14:textId="77777777" w:rsidR="00FE0C02" w:rsidRPr="0035286D" w:rsidRDefault="00FE0C02" w:rsidP="005F180D">
      <w:pPr>
        <w:pStyle w:val="NumPar1"/>
        <w:numPr>
          <w:ilvl w:val="0"/>
          <w:numId w:val="17"/>
        </w:numPr>
      </w:pPr>
      <w:r w:rsidRPr="0035286D">
        <w:t>Beleggingsondernemingen die de overgangsbepalingen van artikel </w:t>
      </w:r>
      <w:r w:rsidRPr="00762DB3">
        <w:t>57</w:t>
      </w:r>
      <w:r w:rsidRPr="0035286D">
        <w:t>, lid </w:t>
      </w:r>
      <w:r w:rsidRPr="00762DB3">
        <w:t>3</w:t>
      </w:r>
      <w:r w:rsidRPr="0035286D">
        <w:t xml:space="preserve">, van Verordening (EU) </w:t>
      </w:r>
      <w:r w:rsidRPr="00762DB3">
        <w:t>2019</w:t>
      </w:r>
      <w:r w:rsidRPr="0035286D">
        <w:t>/</w:t>
      </w:r>
      <w:r w:rsidRPr="00762DB3">
        <w:t>2033</w:t>
      </w:r>
      <w:r w:rsidRPr="0035286D">
        <w:t xml:space="preserve"> toepassen, verstrekken informatie zoals vastgesteld in dit artikel.</w:t>
      </w:r>
    </w:p>
    <w:p w14:paraId="64E2C5EE" w14:textId="77777777" w:rsidR="00FE0C02" w:rsidRPr="0035286D" w:rsidRDefault="00FE0C02" w:rsidP="00FE0C02">
      <w:pPr>
        <w:pStyle w:val="NumPar1"/>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individuele basis te rapporteren, met uitzondering van informatie over de hefboomratio, verstrekken beleggingsondernemingen die met betrekking tot artikel </w:t>
      </w:r>
      <w:r w:rsidRPr="00762DB3">
        <w:t>95</w:t>
      </w:r>
      <w:r w:rsidRPr="0035286D">
        <w:t xml:space="preserve"> van Verordening (EU) nr. </w:t>
      </w:r>
      <w:r w:rsidRPr="00762DB3">
        <w:t>575</w:t>
      </w:r>
      <w:r w:rsidRPr="0035286D">
        <w:t>/</w:t>
      </w:r>
      <w:r w:rsidRPr="00762DB3">
        <w:t>2013</w:t>
      </w:r>
      <w:r w:rsidRPr="0035286D">
        <w:t xml:space="preserve"> gebruikmaken van artikel </w:t>
      </w:r>
      <w:r w:rsidRPr="00762DB3">
        <w:t>57</w:t>
      </w:r>
      <w:r w:rsidRPr="0035286D">
        <w:t xml:space="preserve">, lid </w:t>
      </w:r>
      <w:r w:rsidRPr="00762DB3">
        <w:t>3</w:t>
      </w:r>
      <w:r w:rsidRPr="0035286D">
        <w:t xml:space="preserve">, van </w:t>
      </w:r>
      <w:r w:rsidRPr="0035286D">
        <w:lastRenderedPageBreak/>
        <w:t xml:space="preserve">Verordening (EU) </w:t>
      </w:r>
      <w:r w:rsidRPr="00762DB3">
        <w:t>2019</w:t>
      </w:r>
      <w:r w:rsidRPr="0035286D">
        <w:t>/</w:t>
      </w:r>
      <w:r w:rsidRPr="00762DB3">
        <w:t>2033</w:t>
      </w:r>
      <w:r w:rsidRPr="0035286D">
        <w:t xml:space="preserve">, de in bijlage I, templates </w:t>
      </w:r>
      <w:r w:rsidRPr="00762DB3">
        <w:t>1</w:t>
      </w:r>
      <w:r w:rsidRPr="0035286D">
        <w:t xml:space="preserve"> tot en met </w:t>
      </w:r>
      <w:r w:rsidRPr="00762DB3">
        <w:t>5</w:t>
      </w:r>
      <w:r w:rsidRPr="0035286D">
        <w:t xml:space="preserve">, gespecificeerde informatie, overeenkomstig de instructies in bijlage II, deel II, punt </w:t>
      </w:r>
      <w:r w:rsidRPr="00762DB3">
        <w:t>1</w:t>
      </w:r>
      <w:r w:rsidRPr="0035286D">
        <w:t>, met een driemaandelijkse frequentie.</w:t>
      </w:r>
    </w:p>
    <w:p w14:paraId="6AD01D77" w14:textId="77777777" w:rsidR="00FE0C02" w:rsidRPr="0035286D" w:rsidRDefault="00FE0C02" w:rsidP="00FE0C02">
      <w:pPr>
        <w:pStyle w:val="NumPar1"/>
      </w:pPr>
      <w:r w:rsidRPr="0035286D">
        <w:t xml:space="preserve">Om informatie over eigen vermogen en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individuele basis te rapporteren, verstrekken beleggingsondernemingen die met betrekking tot artikel </w:t>
      </w:r>
      <w:r w:rsidRPr="00762DB3">
        <w:t>96</w:t>
      </w:r>
      <w:r w:rsidRPr="0035286D">
        <w:t xml:space="preserve"> van Verordening (EU) nr. </w:t>
      </w:r>
      <w:r w:rsidRPr="00762DB3">
        <w:t>575</w:t>
      </w:r>
      <w:r w:rsidRPr="0035286D">
        <w:t>/</w:t>
      </w:r>
      <w:r w:rsidRPr="00762DB3">
        <w:t>2013</w:t>
      </w:r>
      <w:r w:rsidRPr="0035286D">
        <w:t xml:space="preserve"> gebruikmaken van artikel </w:t>
      </w:r>
      <w:r w:rsidRPr="00762DB3">
        <w:t>57</w:t>
      </w:r>
      <w:r w:rsidRPr="0035286D">
        <w:t xml:space="preserve">, lid </w:t>
      </w:r>
      <w:r w:rsidRPr="00762DB3">
        <w:t>3</w:t>
      </w:r>
      <w:r w:rsidRPr="0035286D">
        <w:t xml:space="preserve">, van Verordening (EU) </w:t>
      </w:r>
      <w:r w:rsidRPr="00762DB3">
        <w:t>2019</w:t>
      </w:r>
      <w:r w:rsidRPr="0035286D">
        <w:t>/</w:t>
      </w:r>
      <w:r w:rsidRPr="00762DB3">
        <w:t>2033</w:t>
      </w:r>
      <w:r w:rsidRPr="0035286D">
        <w:t xml:space="preserve">, de in artikel </w:t>
      </w:r>
      <w:r w:rsidRPr="00762DB3">
        <w:t>5</w:t>
      </w:r>
      <w:r w:rsidRPr="0035286D">
        <w:t xml:space="preserve">, leden </w:t>
      </w:r>
      <w:r w:rsidRPr="00762DB3">
        <w:t>1</w:t>
      </w:r>
      <w:r w:rsidRPr="0035286D">
        <w:t xml:space="preserve"> tot en met </w:t>
      </w:r>
      <w:r w:rsidRPr="00762DB3">
        <w:t>5</w:t>
      </w:r>
      <w:r w:rsidRPr="0035286D">
        <w:t xml:space="preserve">, en artikel </w:t>
      </w:r>
      <w:r w:rsidRPr="00762DB3">
        <w:t>5</w:t>
      </w:r>
      <w:r w:rsidRPr="0035286D">
        <w:t xml:space="preserve">, leden </w:t>
      </w:r>
      <w:r w:rsidRPr="00762DB3">
        <w:t>8</w:t>
      </w:r>
      <w:r w:rsidRPr="0035286D">
        <w:t xml:space="preserve"> tot en met </w:t>
      </w:r>
      <w:r w:rsidRPr="00762DB3">
        <w:t>13</w:t>
      </w:r>
      <w:r w:rsidRPr="0035286D">
        <w:t xml:space="preserve">, en artikel </w:t>
      </w:r>
      <w:r w:rsidRPr="00762DB3">
        <w:t>6</w:t>
      </w:r>
      <w:r w:rsidRPr="0035286D">
        <w:t xml:space="preserve">, lid </w:t>
      </w:r>
      <w:r w:rsidRPr="00762DB3">
        <w:t>2</w:t>
      </w:r>
      <w:r w:rsidRPr="0035286D">
        <w:t>, van deze verordening bedoelde informatie, met de in die artikelen vastgestelde frequentie.</w:t>
      </w:r>
    </w:p>
    <w:p w14:paraId="4D074E8C"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10</w:t>
      </w:r>
      <w:r w:rsidR="007208C1">
        <w:fldChar w:fldCharType="end"/>
      </w:r>
    </w:p>
    <w:p w14:paraId="2C5D357D" w14:textId="77777777" w:rsidR="00FE0C02" w:rsidRPr="0035286D" w:rsidRDefault="00FE0C02" w:rsidP="00FE0C02">
      <w:pPr>
        <w:pStyle w:val="Titrearticle"/>
        <w:spacing w:before="120"/>
        <w:rPr>
          <w:b/>
          <w:i w:val="0"/>
        </w:rPr>
      </w:pPr>
      <w:r w:rsidRPr="0035286D">
        <w:rPr>
          <w:b/>
          <w:i w:val="0"/>
        </w:rPr>
        <w:t xml:space="preserve">Rapportage over eigen vermogen en eigenvermogensvereisten op geconsolideerde basis voor groepen die uitsluitend bestaan uit beleggingsondernemingen die onderworpen zijn aan de artikelen </w:t>
      </w:r>
      <w:r w:rsidRPr="00762DB3">
        <w:rPr>
          <w:b/>
          <w:i w:val="0"/>
        </w:rPr>
        <w:t>95</w:t>
      </w:r>
      <w:r w:rsidRPr="0035286D">
        <w:rPr>
          <w:b/>
          <w:i w:val="0"/>
        </w:rPr>
        <w:t xml:space="preserve"> en </w:t>
      </w:r>
      <w:r w:rsidRPr="00762DB3">
        <w:rPr>
          <w:b/>
          <w:i w:val="0"/>
        </w:rPr>
        <w:t>96</w:t>
      </w:r>
      <w:r w:rsidRPr="0035286D">
        <w:rPr>
          <w:b/>
          <w:i w:val="0"/>
        </w:rPr>
        <w:t xml:space="preserve"> van Verordening (EU) nr. </w:t>
      </w:r>
      <w:r w:rsidRPr="00762DB3">
        <w:rPr>
          <w:b/>
          <w:i w:val="0"/>
        </w:rPr>
        <w:t>575</w:t>
      </w:r>
      <w:r w:rsidRPr="0035286D">
        <w:rPr>
          <w:b/>
          <w:i w:val="0"/>
        </w:rPr>
        <w:t>/</w:t>
      </w:r>
      <w:r w:rsidRPr="00762DB3">
        <w:rPr>
          <w:b/>
          <w:i w:val="0"/>
        </w:rPr>
        <w:t>2013</w:t>
      </w:r>
    </w:p>
    <w:p w14:paraId="0ED9D414" w14:textId="77777777" w:rsidR="00FE0C02" w:rsidRPr="0035286D" w:rsidRDefault="00FE0C02" w:rsidP="005F180D">
      <w:pPr>
        <w:pStyle w:val="NumPar1"/>
        <w:numPr>
          <w:ilvl w:val="0"/>
          <w:numId w:val="18"/>
        </w:numPr>
      </w:pPr>
      <w:r w:rsidRPr="0035286D">
        <w:t xml:space="preserve">Beleggingsondernemingen die de overgangsbepalingen van artikel </w:t>
      </w:r>
      <w:r w:rsidRPr="00762DB3">
        <w:t>57</w:t>
      </w:r>
      <w:r w:rsidRPr="0035286D">
        <w:t xml:space="preserve">, lid </w:t>
      </w:r>
      <w:r w:rsidRPr="00762DB3">
        <w:t>3</w:t>
      </w:r>
      <w:r w:rsidRPr="0035286D">
        <w:t xml:space="preserve">, van Verordening (EU) </w:t>
      </w:r>
      <w:r w:rsidRPr="00762DB3">
        <w:t>2019</w:t>
      </w:r>
      <w:r w:rsidRPr="0035286D">
        <w:t>/</w:t>
      </w:r>
      <w:r w:rsidRPr="00762DB3">
        <w:t>2033</w:t>
      </w:r>
      <w:r w:rsidRPr="0035286D">
        <w:t xml:space="preserve"> toepassen, verstrekken informatie zoals vastgesteld in dit artikel.</w:t>
      </w:r>
    </w:p>
    <w:p w14:paraId="55A9CAAC" w14:textId="77777777" w:rsidR="00FE0C02" w:rsidRPr="0035286D" w:rsidRDefault="00FE0C02" w:rsidP="00FE0C02">
      <w:pPr>
        <w:pStyle w:val="NumPar1"/>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geconsolideerde basis te rapporteren, met uitzondering van informatie over de hefboomratio, verstrekken beleggingsondernemingen van groepen die uitsluitend bestaan uit beleggingsondernemingen die met betrekking tot artikel </w:t>
      </w:r>
      <w:r w:rsidRPr="00762DB3">
        <w:t>95</w:t>
      </w:r>
      <w:r w:rsidRPr="0035286D">
        <w:t xml:space="preserve"> van Verordening (EU) nr. </w:t>
      </w:r>
      <w:r w:rsidRPr="00762DB3">
        <w:t>575</w:t>
      </w:r>
      <w:r w:rsidRPr="0035286D">
        <w:t>/</w:t>
      </w:r>
      <w:r w:rsidRPr="00762DB3">
        <w:t>2013</w:t>
      </w:r>
      <w:r w:rsidRPr="0035286D">
        <w:t xml:space="preserve"> gebruikmaken van artikel </w:t>
      </w:r>
      <w:r w:rsidRPr="00762DB3">
        <w:t>57</w:t>
      </w:r>
      <w:r w:rsidRPr="0035286D">
        <w:t xml:space="preserve">, lid </w:t>
      </w:r>
      <w:r w:rsidRPr="00762DB3">
        <w:t>3</w:t>
      </w:r>
      <w:r w:rsidRPr="0035286D">
        <w:t xml:space="preserve">, van Verordening (EU) </w:t>
      </w:r>
      <w:r w:rsidRPr="00762DB3">
        <w:t>2019</w:t>
      </w:r>
      <w:r w:rsidRPr="0035286D">
        <w:t>/</w:t>
      </w:r>
      <w:r w:rsidRPr="00762DB3">
        <w:t>2033</w:t>
      </w:r>
      <w:r w:rsidRPr="0035286D">
        <w:t>, op geconsolideerde basis de volgende informatie:</w:t>
      </w:r>
    </w:p>
    <w:p w14:paraId="6DD1064B" w14:textId="77777777" w:rsidR="00FE0C02" w:rsidRPr="0035286D" w:rsidRDefault="00FE0C02" w:rsidP="00FE0C02">
      <w:pPr>
        <w:pStyle w:val="Point1"/>
      </w:pPr>
      <w:r w:rsidRPr="0035286D">
        <w:t>a)</w:t>
      </w:r>
      <w:r w:rsidRPr="0035286D">
        <w:tab/>
        <w:t xml:space="preserve">de informatie over eigen vermogen en over eigenvermogensvereisten zoals gespecificeerd in bijlage I, templates </w:t>
      </w:r>
      <w:r w:rsidRPr="00762DB3">
        <w:t>1</w:t>
      </w:r>
      <w:r w:rsidRPr="0035286D">
        <w:t xml:space="preserve"> tot en met </w:t>
      </w:r>
      <w:r w:rsidRPr="00762DB3">
        <w:t>5</w:t>
      </w:r>
      <w:r w:rsidRPr="0035286D">
        <w:t xml:space="preserve">, overeenkomstig de instructies in bijlage II, deel II, punt </w:t>
      </w:r>
      <w:r w:rsidRPr="00762DB3">
        <w:t>1</w:t>
      </w:r>
      <w:r w:rsidRPr="0035286D">
        <w:t>, met een driemaandelijkse frequentie;</w:t>
      </w:r>
    </w:p>
    <w:p w14:paraId="06EB54F9" w14:textId="77777777" w:rsidR="00FE0C02" w:rsidRPr="0035286D" w:rsidRDefault="00FE0C02" w:rsidP="00FE0C02">
      <w:pPr>
        <w:pStyle w:val="Point1"/>
      </w:pPr>
      <w:r w:rsidRPr="0035286D">
        <w:t>b)</w:t>
      </w:r>
      <w:r w:rsidRPr="0035286D">
        <w:tab/>
        <w:t xml:space="preserve">de informatie over eigen vermogen en over eigenvermogensvereisten inzake entiteiten die binnen de consolidatiekring vallen, zoals gespecificeerd in bijlage I, template </w:t>
      </w:r>
      <w:r w:rsidRPr="00762DB3">
        <w:t>6</w:t>
      </w:r>
      <w:r w:rsidRPr="0035286D">
        <w:t xml:space="preserve">, overeenkomstig de instructies in bijlage II, deel II, punt </w:t>
      </w:r>
      <w:r w:rsidRPr="00762DB3">
        <w:t>2</w:t>
      </w:r>
      <w:r w:rsidRPr="0035286D">
        <w:t>, met een halfjaarlijkse frequentie.</w:t>
      </w:r>
    </w:p>
    <w:p w14:paraId="0D279353" w14:textId="61576F44" w:rsidR="00FE0C02" w:rsidRPr="0035286D" w:rsidRDefault="00FE0C02" w:rsidP="00FE0C02">
      <w:pPr>
        <w:pStyle w:val="NumPar1"/>
      </w:pPr>
      <w:r w:rsidRPr="0035286D">
        <w:t xml:space="preserve">Om informatie over eigen vermogen en over eigenvermogensvereisten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geconsolideerde basis te rapporteren, verstrekken beleggingsondernemingen van groepen die uitsluitend bestaan uit beleggingsondernemingen die aan artikel </w:t>
      </w:r>
      <w:r w:rsidRPr="00762DB3">
        <w:t>95</w:t>
      </w:r>
      <w:r w:rsidRPr="0035286D">
        <w:t xml:space="preserve"> onderworpen zijn en beleggingsondernemingen die aan artikel </w:t>
      </w:r>
      <w:r w:rsidRPr="00762DB3">
        <w:t>96</w:t>
      </w:r>
      <w:r w:rsidRPr="0035286D">
        <w:t xml:space="preserve"> onderworpen zijn, of van groepen die uitsluitend bestaan uit beleggingsondernemingen die met betrekking tot artikel </w:t>
      </w:r>
      <w:r w:rsidRPr="00762DB3">
        <w:t>96</w:t>
      </w:r>
      <w:r w:rsidRPr="0035286D">
        <w:t xml:space="preserve"> van Verordening (EU) nr. </w:t>
      </w:r>
      <w:r w:rsidRPr="00762DB3">
        <w:t>575</w:t>
      </w:r>
      <w:r w:rsidRPr="0035286D">
        <w:t>/</w:t>
      </w:r>
      <w:r w:rsidRPr="00762DB3">
        <w:t>2013</w:t>
      </w:r>
      <w:r w:rsidRPr="0035286D">
        <w:t xml:space="preserve"> gebruikmaken van artikel </w:t>
      </w:r>
      <w:r w:rsidRPr="00762DB3">
        <w:t>57</w:t>
      </w:r>
      <w:r w:rsidRPr="0035286D">
        <w:t xml:space="preserve">, lid </w:t>
      </w:r>
      <w:r w:rsidRPr="00762DB3">
        <w:t>3</w:t>
      </w:r>
      <w:r w:rsidRPr="0035286D">
        <w:t xml:space="preserve">, van Verordening (EU) </w:t>
      </w:r>
      <w:r w:rsidRPr="00762DB3">
        <w:t>2019</w:t>
      </w:r>
      <w:r w:rsidRPr="0035286D">
        <w:t>/</w:t>
      </w:r>
      <w:r w:rsidRPr="00762DB3">
        <w:t>2033</w:t>
      </w:r>
      <w:r w:rsidRPr="0035286D">
        <w:t>, op geconsolideerde basis de volgende informatie:</w:t>
      </w:r>
    </w:p>
    <w:p w14:paraId="424B99D7" w14:textId="77777777" w:rsidR="00FE0C02" w:rsidRPr="0035286D" w:rsidRDefault="00FE0C02" w:rsidP="00FE0C02">
      <w:pPr>
        <w:pStyle w:val="Point1"/>
      </w:pPr>
      <w:r w:rsidRPr="0035286D">
        <w:t>a)</w:t>
      </w:r>
      <w:r w:rsidRPr="0035286D">
        <w:tab/>
        <w:t xml:space="preserve">de informatie gespecificeerd in artikel </w:t>
      </w:r>
      <w:r w:rsidRPr="00762DB3">
        <w:t>5</w:t>
      </w:r>
      <w:r w:rsidRPr="0035286D">
        <w:t xml:space="preserve">, leden </w:t>
      </w:r>
      <w:r w:rsidRPr="00762DB3">
        <w:t>1</w:t>
      </w:r>
      <w:r w:rsidRPr="0035286D">
        <w:t xml:space="preserve"> tot en met </w:t>
      </w:r>
      <w:r w:rsidRPr="00762DB3">
        <w:t>5</w:t>
      </w:r>
      <w:r w:rsidRPr="0035286D">
        <w:t xml:space="preserve">, en artikel </w:t>
      </w:r>
      <w:r w:rsidRPr="00762DB3">
        <w:t>5</w:t>
      </w:r>
      <w:r w:rsidRPr="0035286D">
        <w:t xml:space="preserve">, leden </w:t>
      </w:r>
      <w:r w:rsidRPr="00762DB3">
        <w:t>8</w:t>
      </w:r>
      <w:r w:rsidRPr="0035286D">
        <w:t xml:space="preserve"> tot en met </w:t>
      </w:r>
      <w:r w:rsidRPr="00762DB3">
        <w:t>13</w:t>
      </w:r>
      <w:r w:rsidRPr="0035286D">
        <w:t xml:space="preserve">, en artikel </w:t>
      </w:r>
      <w:r w:rsidRPr="00762DB3">
        <w:t>6</w:t>
      </w:r>
      <w:r w:rsidRPr="0035286D">
        <w:t xml:space="preserve">, lid </w:t>
      </w:r>
      <w:r w:rsidRPr="00762DB3">
        <w:t>2</w:t>
      </w:r>
      <w:r w:rsidRPr="0035286D">
        <w:t>, van deze verordening, met de in die artikelen vastgestelde frequentie;</w:t>
      </w:r>
    </w:p>
    <w:p w14:paraId="695999E8" w14:textId="77777777" w:rsidR="00FE0C02" w:rsidRPr="0035286D" w:rsidRDefault="00FE0C02" w:rsidP="00FE0C02">
      <w:pPr>
        <w:pStyle w:val="Point1"/>
      </w:pPr>
      <w:r w:rsidRPr="0035286D">
        <w:lastRenderedPageBreak/>
        <w:t>b)</w:t>
      </w:r>
      <w:r w:rsidRPr="0035286D">
        <w:tab/>
        <w:t xml:space="preserve">de informatie inzake entiteiten die binnen de consolidatiekring vallen, gespecificeerd in bijlage I, template </w:t>
      </w:r>
      <w:r w:rsidRPr="00762DB3">
        <w:t>6</w:t>
      </w:r>
      <w:r w:rsidRPr="0035286D">
        <w:t xml:space="preserve">, overeenkomstig de instructies in bijlage II, deel II, punt </w:t>
      </w:r>
      <w:r w:rsidRPr="00762DB3">
        <w:t>2</w:t>
      </w:r>
      <w:r w:rsidRPr="0035286D">
        <w:t>, met een halfjaarlijkse frequentie.</w:t>
      </w:r>
    </w:p>
    <w:p w14:paraId="2D723A17"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11</w:t>
      </w:r>
      <w:r w:rsidR="007208C1">
        <w:fldChar w:fldCharType="end"/>
      </w:r>
    </w:p>
    <w:p w14:paraId="122B51E9" w14:textId="77777777" w:rsidR="00FE0C02" w:rsidRPr="0035286D" w:rsidRDefault="00FE0C02" w:rsidP="00FE0C02">
      <w:pPr>
        <w:pStyle w:val="Titrearticle"/>
        <w:spacing w:before="120"/>
        <w:rPr>
          <w:b/>
          <w:i w:val="0"/>
        </w:rPr>
      </w:pPr>
      <w:r w:rsidRPr="0035286D">
        <w:rPr>
          <w:b/>
          <w:i w:val="0"/>
        </w:rPr>
        <w:t xml:space="preserve">Geconsolideerde rapportage van financiële informatie voor instellingen die onderworpen zijn aan Verordening (EG) nr. </w:t>
      </w:r>
      <w:r w:rsidRPr="00762DB3">
        <w:rPr>
          <w:b/>
          <w:i w:val="0"/>
        </w:rPr>
        <w:t>1606</w:t>
      </w:r>
      <w:r w:rsidRPr="0035286D">
        <w:rPr>
          <w:b/>
          <w:i w:val="0"/>
        </w:rPr>
        <w:t>/</w:t>
      </w:r>
      <w:r w:rsidRPr="00762DB3">
        <w:rPr>
          <w:b/>
          <w:i w:val="0"/>
        </w:rPr>
        <w:t>2002</w:t>
      </w:r>
      <w:r w:rsidRPr="0035286D">
        <w:t xml:space="preserve"> </w:t>
      </w:r>
      <w:r w:rsidRPr="0035286D">
        <w:rPr>
          <w:b/>
          <w:i w:val="0"/>
        </w:rPr>
        <w:t>van het Europees Parlement en de Raad</w:t>
      </w:r>
      <w:r w:rsidRPr="0035286D">
        <w:rPr>
          <w:rStyle w:val="FootnoteReference"/>
          <w:b/>
          <w:i w:val="0"/>
        </w:rPr>
        <w:footnoteReference w:id="10"/>
      </w:r>
      <w:r w:rsidRPr="0035286D">
        <w:rPr>
          <w:b/>
          <w:i w:val="0"/>
        </w:rPr>
        <w:t xml:space="preserve"> </w:t>
      </w:r>
    </w:p>
    <w:p w14:paraId="22F20B0C" w14:textId="77777777" w:rsidR="00FE0C02" w:rsidRPr="0035286D" w:rsidRDefault="00FE0C02" w:rsidP="005F180D">
      <w:pPr>
        <w:pStyle w:val="NumPar1"/>
        <w:numPr>
          <w:ilvl w:val="0"/>
          <w:numId w:val="19"/>
        </w:numPr>
      </w:pPr>
      <w:r w:rsidRPr="0035286D">
        <w:t xml:space="preserve">Om financiële informatie op geconsolideerde basis te rapporteren overeenkomstig artikel </w:t>
      </w:r>
      <w:r w:rsidRPr="00762DB3">
        <w:t>430</w:t>
      </w:r>
      <w:r w:rsidRPr="0035286D">
        <w:t xml:space="preserve">, lid </w:t>
      </w:r>
      <w:r w:rsidRPr="00762DB3">
        <w:t>3</w:t>
      </w:r>
      <w:r w:rsidRPr="0035286D">
        <w:t xml:space="preserve"> of </w:t>
      </w:r>
      <w:r w:rsidRPr="00762DB3">
        <w:t>4</w:t>
      </w:r>
      <w:r w:rsidRPr="0035286D">
        <w:t xml:space="preserve">, van Verordening (EU) nr. </w:t>
      </w:r>
      <w:r w:rsidRPr="00762DB3">
        <w:t>575</w:t>
      </w:r>
      <w:r w:rsidRPr="0035286D">
        <w:t>/</w:t>
      </w:r>
      <w:r w:rsidRPr="00762DB3">
        <w:t>2013</w:t>
      </w:r>
      <w:r w:rsidRPr="0035286D">
        <w:t xml:space="preserve">, verstrekken instellingen de informatie zoals gespecificeerd in bijlage III op geconsolideerde basis, overeenkomstig de instructies in bijlage V. </w:t>
      </w:r>
    </w:p>
    <w:p w14:paraId="3A9E9610" w14:textId="77777777" w:rsidR="00FE0C02" w:rsidRPr="0035286D" w:rsidRDefault="00FE0C02" w:rsidP="00FE0C02">
      <w:pPr>
        <w:pStyle w:val="NumPar1"/>
        <w:numPr>
          <w:ilvl w:val="0"/>
          <w:numId w:val="10"/>
        </w:numPr>
      </w:pPr>
      <w:r w:rsidRPr="0035286D">
        <w:t xml:space="preserve">De in lid </w:t>
      </w:r>
      <w:r w:rsidRPr="00762DB3">
        <w:t>1</w:t>
      </w:r>
      <w:r w:rsidRPr="0035286D">
        <w:t xml:space="preserve"> bedoelde informatie wordt als volgt verstrekt:</w:t>
      </w:r>
    </w:p>
    <w:p w14:paraId="70EFC152" w14:textId="77777777" w:rsidR="00FE0C02" w:rsidRPr="0035286D" w:rsidRDefault="00FE0C02" w:rsidP="00FE0C02">
      <w:pPr>
        <w:pStyle w:val="Point1"/>
      </w:pPr>
      <w:r w:rsidRPr="0035286D">
        <w:t>a)</w:t>
      </w:r>
      <w:r w:rsidRPr="0035286D">
        <w:tab/>
        <w:t xml:space="preserve">de in bijlage III, deel </w:t>
      </w:r>
      <w:r w:rsidRPr="00762DB3">
        <w:t>1</w:t>
      </w:r>
      <w:r w:rsidRPr="0035286D">
        <w:t>, gespecificeerde informatie, met een driemaandelijkse frequentie;</w:t>
      </w:r>
    </w:p>
    <w:p w14:paraId="38D85B01" w14:textId="77777777" w:rsidR="00FE0C02" w:rsidRPr="0035286D" w:rsidRDefault="00FE0C02" w:rsidP="00FE0C02">
      <w:pPr>
        <w:pStyle w:val="Point1"/>
      </w:pPr>
      <w:r w:rsidRPr="0035286D">
        <w:t>b)</w:t>
      </w:r>
      <w:r w:rsidRPr="0035286D">
        <w:tab/>
        <w:t xml:space="preserve">de in bijlage III, deel </w:t>
      </w:r>
      <w:r w:rsidRPr="00762DB3">
        <w:t>3</w:t>
      </w:r>
      <w:r w:rsidRPr="0035286D">
        <w:t>, gespecificeerde informatie, met een halfjaarlijkse frequentie;</w:t>
      </w:r>
    </w:p>
    <w:p w14:paraId="5F2804B6" w14:textId="77777777" w:rsidR="00FE0C02" w:rsidRPr="0035286D" w:rsidRDefault="00FE0C02" w:rsidP="00FE0C02">
      <w:pPr>
        <w:pStyle w:val="Point1"/>
      </w:pPr>
      <w:r w:rsidRPr="0035286D">
        <w:t>c)</w:t>
      </w:r>
      <w:r w:rsidRPr="0035286D">
        <w:tab/>
        <w:t xml:space="preserve">de in bijlage III, deel </w:t>
      </w:r>
      <w:r w:rsidRPr="00762DB3">
        <w:t>4</w:t>
      </w:r>
      <w:r w:rsidRPr="0035286D">
        <w:t xml:space="preserve">, gespecificeerde informatie, met uitzondering van de in template </w:t>
      </w:r>
      <w:r w:rsidRPr="00762DB3">
        <w:t>47</w:t>
      </w:r>
      <w:r w:rsidRPr="0035286D">
        <w:t xml:space="preserve"> gespecificeerde informatie, met een jaarlijkse frequentie;</w:t>
      </w:r>
    </w:p>
    <w:p w14:paraId="1D49A1AC" w14:textId="77777777" w:rsidR="00FE0C02" w:rsidRPr="0035286D" w:rsidRDefault="00FE0C02" w:rsidP="00FE0C02">
      <w:pPr>
        <w:pStyle w:val="Point1"/>
      </w:pPr>
      <w:r w:rsidRPr="0035286D">
        <w:t>d)</w:t>
      </w:r>
      <w:r w:rsidRPr="0035286D">
        <w:tab/>
        <w:t xml:space="preserve">de in bijlage III, deel </w:t>
      </w:r>
      <w:r w:rsidRPr="00762DB3">
        <w:t>2</w:t>
      </w:r>
      <w:r w:rsidRPr="0035286D">
        <w:t xml:space="preserve">, template </w:t>
      </w:r>
      <w:r w:rsidRPr="00762DB3">
        <w:t>20</w:t>
      </w:r>
      <w:r w:rsidRPr="0035286D">
        <w:t xml:space="preserve">, gespecificeerde informatie, met een driemaandelijkse frequentie indien de instelling de in artikel </w:t>
      </w:r>
      <w:r w:rsidRPr="00762DB3">
        <w:t>5</w:t>
      </w:r>
      <w:r w:rsidRPr="0035286D">
        <w:t xml:space="preserve">, lid </w:t>
      </w:r>
      <w:r w:rsidRPr="00762DB3">
        <w:t>5</w:t>
      </w:r>
      <w:r w:rsidRPr="0035286D">
        <w:t>, tweede alinea, vastgestelde drempel overschrijdt;</w:t>
      </w:r>
    </w:p>
    <w:p w14:paraId="2CCBF803" w14:textId="77777777" w:rsidR="00FE0C02" w:rsidRPr="0035286D" w:rsidRDefault="00FE0C02" w:rsidP="00FE0C02">
      <w:pPr>
        <w:pStyle w:val="Point1"/>
      </w:pPr>
      <w:r w:rsidRPr="0035286D">
        <w:t>e)</w:t>
      </w:r>
      <w:r w:rsidRPr="0035286D">
        <w:tab/>
        <w:t xml:space="preserve">de in bijlage III, deel </w:t>
      </w:r>
      <w:r w:rsidRPr="00762DB3">
        <w:t>2</w:t>
      </w:r>
      <w:r w:rsidRPr="0035286D">
        <w:t xml:space="preserve">, template </w:t>
      </w:r>
      <w:r w:rsidRPr="00762DB3">
        <w:t>21</w:t>
      </w:r>
      <w:r w:rsidRPr="0035286D">
        <w:t xml:space="preserve">, gespecificeerde informatie, met een driemaandelijkse frequentie indien materiële activa die het voorwerp uitmaken van operationele leases, ten minste </w:t>
      </w:r>
      <w:r w:rsidRPr="00762DB3">
        <w:t>10</w:t>
      </w:r>
      <w:r w:rsidRPr="0035286D">
        <w:t xml:space="preserve"> % uitmaken van de totale materiële activa zoals gerapporteerd overeenkomstig bijlage III, deel </w:t>
      </w:r>
      <w:r w:rsidRPr="00762DB3">
        <w:t>1</w:t>
      </w:r>
      <w:r w:rsidRPr="0035286D">
        <w:t xml:space="preserve">, template </w:t>
      </w:r>
      <w:r w:rsidRPr="00762DB3">
        <w:t>1</w:t>
      </w:r>
      <w:r w:rsidRPr="0035286D">
        <w:t>.</w:t>
      </w:r>
      <w:r w:rsidRPr="00762DB3">
        <w:t>1</w:t>
      </w:r>
      <w:r w:rsidRPr="0035286D">
        <w:t>;</w:t>
      </w:r>
    </w:p>
    <w:p w14:paraId="27F64B3B" w14:textId="12FBD997" w:rsidR="00FE0C02" w:rsidRPr="0035286D" w:rsidRDefault="00FE0C02" w:rsidP="00FE0C02">
      <w:pPr>
        <w:pStyle w:val="Point1"/>
      </w:pPr>
      <w:r w:rsidRPr="0035286D">
        <w:t>f)</w:t>
      </w:r>
      <w:r w:rsidRPr="0035286D">
        <w:tab/>
        <w:t xml:space="preserve">de in bijlage III, deel </w:t>
      </w:r>
      <w:r w:rsidRPr="00762DB3">
        <w:t>2</w:t>
      </w:r>
      <w:r w:rsidRPr="0035286D">
        <w:t xml:space="preserve">, template </w:t>
      </w:r>
      <w:r w:rsidRPr="00762DB3">
        <w:t>2</w:t>
      </w:r>
      <w:r w:rsidRPr="0035286D">
        <w:t xml:space="preserve">, gespecificeerde informatie, met een driemaandelijkse frequentie wanneer de netto-inkomsten uit vergoedingen en provisies ten minste </w:t>
      </w:r>
      <w:r w:rsidRPr="00762DB3">
        <w:t>10</w:t>
      </w:r>
      <w:r w:rsidRPr="0035286D">
        <w:t xml:space="preserve"> % bedragen van de som van de netto-inkomsten uit vergoedingen en provisies en nettorentebaten zoals gerapporteerd overeenkomstig bijlage III, deel </w:t>
      </w:r>
      <w:r w:rsidRPr="00762DB3">
        <w:t>1</w:t>
      </w:r>
      <w:r w:rsidRPr="0035286D">
        <w:t xml:space="preserve">, template </w:t>
      </w:r>
      <w:r w:rsidRPr="00762DB3">
        <w:t>2</w:t>
      </w:r>
      <w:r w:rsidRPr="0035286D">
        <w:t>;</w:t>
      </w:r>
    </w:p>
    <w:p w14:paraId="2EB0DC7E" w14:textId="77777777" w:rsidR="00FE0C02" w:rsidRPr="0035286D" w:rsidRDefault="00FE0C02" w:rsidP="00FE0C02">
      <w:pPr>
        <w:pStyle w:val="Point1"/>
      </w:pPr>
      <w:r w:rsidRPr="0035286D">
        <w:t>g)</w:t>
      </w:r>
      <w:r w:rsidRPr="0035286D">
        <w:tab/>
        <w:t xml:space="preserve">de in bijlage III, deel </w:t>
      </w:r>
      <w:r w:rsidRPr="00762DB3">
        <w:t>2</w:t>
      </w:r>
      <w:r w:rsidRPr="0035286D">
        <w:t xml:space="preserve">, templates </w:t>
      </w:r>
      <w:r w:rsidRPr="00762DB3">
        <w:t>23</w:t>
      </w:r>
      <w:r w:rsidRPr="0035286D">
        <w:t xml:space="preserve"> tot en met </w:t>
      </w:r>
      <w:r w:rsidRPr="00762DB3">
        <w:t>26</w:t>
      </w:r>
      <w:r w:rsidRPr="0035286D">
        <w:t>, gespecificeerde informatie, met een driemaandelijkse frequentie indien aan beide volgende voorwaarden is voldaan:</w:t>
      </w:r>
    </w:p>
    <w:p w14:paraId="5207A13E" w14:textId="77777777" w:rsidR="00FE0C02" w:rsidRPr="0035286D" w:rsidRDefault="00FE0C02" w:rsidP="00FE0C02">
      <w:pPr>
        <w:pStyle w:val="Point2"/>
      </w:pPr>
      <w:r w:rsidRPr="0035286D">
        <w:t>i)</w:t>
      </w:r>
      <w:r w:rsidRPr="0035286D">
        <w:tab/>
        <w:t>de instelling is geen kleine en niet-complexe instelling;</w:t>
      </w:r>
    </w:p>
    <w:p w14:paraId="09C1AEB4" w14:textId="33C5BDBB" w:rsidR="00FE0C02" w:rsidRPr="0035286D" w:rsidRDefault="00FE0C02" w:rsidP="00FE0C02">
      <w:pPr>
        <w:pStyle w:val="Point2"/>
      </w:pPr>
      <w:r w:rsidRPr="0035286D">
        <w:t>ii)</w:t>
      </w:r>
      <w:r w:rsidRPr="0035286D">
        <w:tab/>
        <w:t xml:space="preserve">de verhouding tussen de brutoboekwaarde van leningen en voorschotten van de instelling die onder artikel </w:t>
      </w:r>
      <w:r w:rsidRPr="00762DB3">
        <w:t>47</w:t>
      </w:r>
      <w:r w:rsidRPr="0035286D">
        <w:t xml:space="preserve"> bis, lid </w:t>
      </w:r>
      <w:r w:rsidRPr="00762DB3">
        <w:t>3</w:t>
      </w:r>
      <w:r w:rsidRPr="0035286D">
        <w:t xml:space="preserve">, van Verordening (EU) nr. </w:t>
      </w:r>
      <w:r w:rsidRPr="00762DB3">
        <w:t>575</w:t>
      </w:r>
      <w:r w:rsidRPr="0035286D">
        <w:t>/</w:t>
      </w:r>
      <w:r w:rsidRPr="00762DB3">
        <w:t>2013</w:t>
      </w:r>
      <w:r w:rsidRPr="0035286D">
        <w:t xml:space="preserve"> vallen, en de totale brutoboekwaarde van leningen en voorschotten die onder artikel </w:t>
      </w:r>
      <w:r w:rsidRPr="00762DB3">
        <w:t>47</w:t>
      </w:r>
      <w:r w:rsidRPr="0035286D">
        <w:t xml:space="preserve"> bis, lid </w:t>
      </w:r>
      <w:r w:rsidRPr="00762DB3">
        <w:t>1</w:t>
      </w:r>
      <w:r w:rsidRPr="0035286D">
        <w:t xml:space="preserve">, van die verordening vallen, is gelijk aan of hoger dan </w:t>
      </w:r>
      <w:r w:rsidRPr="00762DB3">
        <w:t>5</w:t>
      </w:r>
      <w:r w:rsidRPr="0035286D">
        <w:t xml:space="preserve"> %; </w:t>
      </w:r>
    </w:p>
    <w:p w14:paraId="6657E76F" w14:textId="77777777" w:rsidR="00FE0C02" w:rsidRPr="0035286D" w:rsidRDefault="00FE0C02" w:rsidP="00FE0C02">
      <w:pPr>
        <w:pStyle w:val="Point1"/>
      </w:pPr>
      <w:r w:rsidRPr="0035286D">
        <w:lastRenderedPageBreak/>
        <w:t xml:space="preserve"> h)</w:t>
      </w:r>
      <w:r w:rsidRPr="0035286D">
        <w:tab/>
        <w:t xml:space="preserve">de in bijlage III, deel </w:t>
      </w:r>
      <w:r w:rsidRPr="00762DB3">
        <w:t>4</w:t>
      </w:r>
      <w:r w:rsidRPr="0035286D">
        <w:t xml:space="preserve">, template </w:t>
      </w:r>
      <w:r w:rsidRPr="00762DB3">
        <w:t>47</w:t>
      </w:r>
      <w:r w:rsidRPr="0035286D">
        <w:t>, gespecificeerde informatie, met een jaarlijkse frequentie indien aan beide voorwaarden van punt g) van dit lid is voldaan.</w:t>
      </w:r>
    </w:p>
    <w:p w14:paraId="5556886E" w14:textId="77777777" w:rsidR="00FE0C02" w:rsidRPr="0035286D" w:rsidRDefault="00FE0C02" w:rsidP="00FE0C02">
      <w:pPr>
        <w:pStyle w:val="Point1"/>
      </w:pPr>
      <w:r w:rsidRPr="0035286D">
        <w:t>Voor de toepassing van punt g), ii), mogen leningen en voorschotten die zijn geclassificeerd als aangehouden voor verkoop, kassaldi bij centrale banken en overige direct opvraagbare deposito’s noch in de teller noch in de noemer van de verhouding worden opgenomen.</w:t>
      </w:r>
    </w:p>
    <w:p w14:paraId="73BCCE82" w14:textId="77777777" w:rsidR="00FE0C02" w:rsidRPr="0035286D" w:rsidRDefault="00FE0C02" w:rsidP="00FE0C02">
      <w:pPr>
        <w:pStyle w:val="Point1"/>
      </w:pPr>
      <w:r w:rsidRPr="0035286D">
        <w:t xml:space="preserve">Voor de toepassing van de punten d) tot en met h) van dit lid zijn de in artikel </w:t>
      </w:r>
      <w:r w:rsidRPr="00762DB3">
        <w:t>4</w:t>
      </w:r>
      <w:r w:rsidRPr="0035286D">
        <w:t xml:space="preserve">, lid </w:t>
      </w:r>
      <w:r w:rsidRPr="00762DB3">
        <w:t>3</w:t>
      </w:r>
      <w:r w:rsidRPr="0035286D">
        <w:t xml:space="preserve">, vastgestelde instap- en uitstapcriteria van toepassing. </w:t>
      </w:r>
    </w:p>
    <w:p w14:paraId="2D4B364E"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12</w:t>
      </w:r>
      <w:r w:rsidR="007208C1">
        <w:fldChar w:fldCharType="end"/>
      </w:r>
    </w:p>
    <w:p w14:paraId="396F2986" w14:textId="77777777" w:rsidR="00FE0C02" w:rsidRPr="0035286D" w:rsidRDefault="00FE0C02" w:rsidP="00FE0C02">
      <w:pPr>
        <w:pStyle w:val="Titrearticle"/>
        <w:spacing w:before="120"/>
        <w:rPr>
          <w:b/>
          <w:i w:val="0"/>
        </w:rPr>
      </w:pPr>
      <w:r w:rsidRPr="0035286D">
        <w:rPr>
          <w:b/>
          <w:i w:val="0"/>
        </w:rPr>
        <w:t xml:space="preserve">Geconsolideerde rapportage van financiële informatie voor instellingen die nationale kaders voor financiële verslaggeving toepassen </w:t>
      </w:r>
    </w:p>
    <w:p w14:paraId="7898D5B0" w14:textId="77777777" w:rsidR="00FE0C02" w:rsidRPr="0035286D" w:rsidRDefault="00FE0C02" w:rsidP="005F180D">
      <w:pPr>
        <w:pStyle w:val="NumPar1"/>
        <w:numPr>
          <w:ilvl w:val="0"/>
          <w:numId w:val="20"/>
        </w:numPr>
      </w:pPr>
      <w:r w:rsidRPr="0035286D">
        <w:t xml:space="preserve">Wanneer een bevoegde autoriteit de vereisten inzake de rapportage van financiële informatie overeenkomstig artikel </w:t>
      </w:r>
      <w:r w:rsidRPr="00762DB3">
        <w:t>430</w:t>
      </w:r>
      <w:r w:rsidRPr="0035286D">
        <w:t xml:space="preserve">, lid </w:t>
      </w:r>
      <w:r w:rsidRPr="00762DB3">
        <w:t>9</w:t>
      </w:r>
      <w:r w:rsidRPr="0035286D">
        <w:t xml:space="preserve">, van Verordening (EU) nr. </w:t>
      </w:r>
      <w:r w:rsidRPr="00762DB3">
        <w:t>575</w:t>
      </w:r>
      <w:r w:rsidRPr="0035286D">
        <w:t>/</w:t>
      </w:r>
      <w:r w:rsidRPr="00762DB3">
        <w:t>2013</w:t>
      </w:r>
      <w:r w:rsidRPr="0035286D">
        <w:t xml:space="preserve"> heeft uitgebreid tot instellingen die in een lidstaat zijn gevestigd, verstrekken instellingen de informatie zoals gespecificeerd in bijlage IV op geconsolideerde basis, overeenkomstig de instructies in bijlage V bij deze verordening.</w:t>
      </w:r>
    </w:p>
    <w:p w14:paraId="1A4AC33E" w14:textId="77777777" w:rsidR="00FE0C02" w:rsidRPr="0035286D" w:rsidRDefault="00FE0C02" w:rsidP="00FE0C02">
      <w:pPr>
        <w:pStyle w:val="NumPar1"/>
        <w:numPr>
          <w:ilvl w:val="0"/>
          <w:numId w:val="10"/>
        </w:numPr>
      </w:pPr>
      <w:r w:rsidRPr="0035286D">
        <w:t xml:space="preserve">De in lid </w:t>
      </w:r>
      <w:r w:rsidRPr="00762DB3">
        <w:t>1</w:t>
      </w:r>
      <w:r w:rsidRPr="0035286D">
        <w:t xml:space="preserve"> bedoelde informatie wordt als volgt verstrekt:</w:t>
      </w:r>
    </w:p>
    <w:p w14:paraId="4130D034" w14:textId="77777777" w:rsidR="00FE0C02" w:rsidRPr="0035286D" w:rsidRDefault="00FE0C02" w:rsidP="00FE0C02">
      <w:pPr>
        <w:pStyle w:val="Point1"/>
      </w:pPr>
      <w:r w:rsidRPr="0035286D">
        <w:t>a)</w:t>
      </w:r>
      <w:r w:rsidRPr="0035286D">
        <w:tab/>
        <w:t xml:space="preserve">de in bijlage IV, deel </w:t>
      </w:r>
      <w:r w:rsidRPr="00762DB3">
        <w:t>1</w:t>
      </w:r>
      <w:r w:rsidRPr="0035286D">
        <w:t>, gespecificeerde informatie, met een driemaandelijkse frequentie;</w:t>
      </w:r>
    </w:p>
    <w:p w14:paraId="08B03AF4" w14:textId="77777777" w:rsidR="00FE0C02" w:rsidRPr="0035286D" w:rsidRDefault="00FE0C02" w:rsidP="00FE0C02">
      <w:pPr>
        <w:pStyle w:val="Point1"/>
      </w:pPr>
      <w:r w:rsidRPr="0035286D">
        <w:t>b)</w:t>
      </w:r>
      <w:r w:rsidRPr="0035286D">
        <w:tab/>
        <w:t xml:space="preserve">de in bijlage IV, deel </w:t>
      </w:r>
      <w:r w:rsidRPr="00762DB3">
        <w:t>3</w:t>
      </w:r>
      <w:r w:rsidRPr="0035286D">
        <w:t>, gespecificeerde informatie, met een halfjaarlijkse frequentie;</w:t>
      </w:r>
    </w:p>
    <w:p w14:paraId="6BD250DE" w14:textId="77777777" w:rsidR="00FE0C02" w:rsidRPr="0035286D" w:rsidRDefault="00FE0C02" w:rsidP="00FE0C02">
      <w:pPr>
        <w:pStyle w:val="Point1"/>
      </w:pPr>
      <w:r w:rsidRPr="0035286D">
        <w:t>c)</w:t>
      </w:r>
      <w:r w:rsidRPr="0035286D">
        <w:tab/>
        <w:t xml:space="preserve">de in bijlage IV, deel </w:t>
      </w:r>
      <w:r w:rsidRPr="00762DB3">
        <w:t>4</w:t>
      </w:r>
      <w:r w:rsidRPr="0035286D">
        <w:t xml:space="preserve">, gespecificeerde informatie, met uitzondering van de in template </w:t>
      </w:r>
      <w:r w:rsidRPr="00762DB3">
        <w:t>47</w:t>
      </w:r>
      <w:r w:rsidRPr="0035286D">
        <w:t xml:space="preserve"> gespecificeerde informatie, met een jaarlijkse frequentie;</w:t>
      </w:r>
    </w:p>
    <w:p w14:paraId="7E75579F" w14:textId="77777777" w:rsidR="00FE0C02" w:rsidRPr="0035286D" w:rsidRDefault="00FE0C02" w:rsidP="00FE0C02">
      <w:pPr>
        <w:pStyle w:val="Point1"/>
      </w:pPr>
      <w:r w:rsidRPr="0035286D">
        <w:t>d)</w:t>
      </w:r>
      <w:r w:rsidRPr="0035286D">
        <w:tab/>
        <w:t xml:space="preserve">de in bijlage IV, deel </w:t>
      </w:r>
      <w:r w:rsidRPr="00762DB3">
        <w:t>2</w:t>
      </w:r>
      <w:r w:rsidRPr="0035286D">
        <w:t xml:space="preserve">, template </w:t>
      </w:r>
      <w:r w:rsidRPr="00762DB3">
        <w:t>20</w:t>
      </w:r>
      <w:r w:rsidRPr="0035286D">
        <w:t xml:space="preserve">, gespecificeerde informatie, met een driemaandelijkse frequentie indien de instelling de in artikel </w:t>
      </w:r>
      <w:r w:rsidRPr="00762DB3">
        <w:t>5</w:t>
      </w:r>
      <w:r w:rsidRPr="0035286D">
        <w:t xml:space="preserve">, lid </w:t>
      </w:r>
      <w:r w:rsidRPr="00762DB3">
        <w:t>5</w:t>
      </w:r>
      <w:r w:rsidRPr="0035286D">
        <w:t>, tweede alinea, vastgestelde drempel overschrijdt;</w:t>
      </w:r>
    </w:p>
    <w:p w14:paraId="76AF5C14" w14:textId="77777777" w:rsidR="00FE0C02" w:rsidRPr="0035286D" w:rsidRDefault="00FE0C02" w:rsidP="00FE0C02">
      <w:pPr>
        <w:pStyle w:val="Point1"/>
      </w:pPr>
      <w:r w:rsidRPr="0035286D">
        <w:t>e)</w:t>
      </w:r>
      <w:r w:rsidRPr="0035286D">
        <w:tab/>
        <w:t xml:space="preserve">de in bijlage IV, deel </w:t>
      </w:r>
      <w:r w:rsidRPr="00762DB3">
        <w:t>2</w:t>
      </w:r>
      <w:r w:rsidRPr="0035286D">
        <w:t xml:space="preserve">, template </w:t>
      </w:r>
      <w:r w:rsidRPr="00762DB3">
        <w:t>21</w:t>
      </w:r>
      <w:r w:rsidRPr="0035286D">
        <w:t xml:space="preserve">, gespecificeerde informatie, met een driemaandelijkse frequentie indien materiële activa die het voorwerp uitmaken van operationele leases, ten minste </w:t>
      </w:r>
      <w:r w:rsidRPr="00762DB3">
        <w:t>10</w:t>
      </w:r>
      <w:r w:rsidRPr="0035286D">
        <w:t xml:space="preserve"> % uitmaken van de totale materiële activa zoals gerapporteerd overeenkomstig bijlage IV, deel </w:t>
      </w:r>
      <w:r w:rsidRPr="00762DB3">
        <w:t>1</w:t>
      </w:r>
      <w:r w:rsidRPr="0035286D">
        <w:t xml:space="preserve">, template </w:t>
      </w:r>
      <w:r w:rsidRPr="00762DB3">
        <w:t>1</w:t>
      </w:r>
      <w:r w:rsidRPr="0035286D">
        <w:t>.</w:t>
      </w:r>
      <w:r w:rsidRPr="00762DB3">
        <w:t>1</w:t>
      </w:r>
      <w:r w:rsidRPr="0035286D">
        <w:t>;</w:t>
      </w:r>
    </w:p>
    <w:p w14:paraId="406C6C11" w14:textId="77777777" w:rsidR="00FE0C02" w:rsidRPr="0035286D" w:rsidRDefault="00FE0C02" w:rsidP="00FE0C02">
      <w:pPr>
        <w:pStyle w:val="Point1"/>
      </w:pPr>
      <w:r w:rsidRPr="0035286D">
        <w:t>f)</w:t>
      </w:r>
      <w:r w:rsidRPr="0035286D">
        <w:tab/>
        <w:t xml:space="preserve">de in bijlage IV, deel </w:t>
      </w:r>
      <w:r w:rsidRPr="00762DB3">
        <w:t>2</w:t>
      </w:r>
      <w:r w:rsidRPr="0035286D">
        <w:t xml:space="preserve">, template </w:t>
      </w:r>
      <w:r w:rsidRPr="00762DB3">
        <w:t>22</w:t>
      </w:r>
      <w:r w:rsidRPr="0035286D">
        <w:t xml:space="preserve">, gespecificeerde informatie, met een driemaandelijkse frequentie wanneer de netto-inkomsten uit vergoedingen en provisies ten minste </w:t>
      </w:r>
      <w:r w:rsidRPr="00762DB3">
        <w:t>10</w:t>
      </w:r>
      <w:r w:rsidRPr="0035286D">
        <w:t xml:space="preserve"> % bedragen van de som van de netto-inkomsten uit vergoedingen en provisies en nettorentebaten zoals gerapporteerd overeenkomstig bijlage IV, deel </w:t>
      </w:r>
      <w:r w:rsidRPr="00762DB3">
        <w:t>1</w:t>
      </w:r>
      <w:r w:rsidRPr="0035286D">
        <w:t xml:space="preserve">, template </w:t>
      </w:r>
      <w:r w:rsidRPr="00762DB3">
        <w:t>2</w:t>
      </w:r>
      <w:r w:rsidRPr="0035286D">
        <w:t>;</w:t>
      </w:r>
    </w:p>
    <w:p w14:paraId="1A7AAB4F" w14:textId="77777777" w:rsidR="00FE0C02" w:rsidRPr="0035286D" w:rsidRDefault="00FE0C02" w:rsidP="00FE0C02">
      <w:pPr>
        <w:pStyle w:val="Point1"/>
      </w:pPr>
      <w:r w:rsidRPr="0035286D">
        <w:t>g)</w:t>
      </w:r>
      <w:r w:rsidRPr="0035286D">
        <w:tab/>
        <w:t xml:space="preserve">de in bijlage IV, deel </w:t>
      </w:r>
      <w:r w:rsidRPr="00762DB3">
        <w:t>2</w:t>
      </w:r>
      <w:r w:rsidRPr="0035286D">
        <w:t xml:space="preserve">, templates </w:t>
      </w:r>
      <w:r w:rsidRPr="00762DB3">
        <w:t>23</w:t>
      </w:r>
      <w:r w:rsidRPr="0035286D">
        <w:t xml:space="preserve"> tot en met </w:t>
      </w:r>
      <w:r w:rsidRPr="00762DB3">
        <w:t>26</w:t>
      </w:r>
      <w:r w:rsidRPr="0035286D">
        <w:t>, gespecificeerde informatie, met een driemaandelijkse frequentie indien aan beide volgende voorwaarden is voldaan:</w:t>
      </w:r>
    </w:p>
    <w:p w14:paraId="6F0AB516" w14:textId="77777777" w:rsidR="00FE0C02" w:rsidRPr="0035286D" w:rsidRDefault="00FE0C02" w:rsidP="00FE0C02">
      <w:pPr>
        <w:pStyle w:val="Point2"/>
      </w:pPr>
      <w:r w:rsidRPr="0035286D">
        <w:t>i)</w:t>
      </w:r>
      <w:r w:rsidRPr="0035286D">
        <w:tab/>
        <w:t>de instelling is geen kleine en niet-complexe instelling;</w:t>
      </w:r>
    </w:p>
    <w:p w14:paraId="08D20076" w14:textId="77777777" w:rsidR="00FE0C02" w:rsidRPr="0035286D" w:rsidRDefault="00FE0C02" w:rsidP="00FE0C02">
      <w:pPr>
        <w:pStyle w:val="Point1"/>
        <w:ind w:firstLine="0"/>
      </w:pPr>
      <w:r w:rsidRPr="0035286D">
        <w:t>ii)</w:t>
      </w:r>
      <w:r w:rsidRPr="0035286D">
        <w:tab/>
        <w:t xml:space="preserve">de verhouding van de instelling als gespecificeerd in artikel </w:t>
      </w:r>
      <w:r w:rsidRPr="00762DB3">
        <w:t>11</w:t>
      </w:r>
      <w:r w:rsidRPr="0035286D">
        <w:t xml:space="preserve">, lid </w:t>
      </w:r>
      <w:r w:rsidRPr="00762DB3">
        <w:t>2</w:t>
      </w:r>
      <w:r w:rsidRPr="0035286D">
        <w:t xml:space="preserve">, punt g), ii), ten minste </w:t>
      </w:r>
      <w:r w:rsidRPr="00762DB3">
        <w:t>5</w:t>
      </w:r>
      <w:r w:rsidRPr="0035286D">
        <w:t xml:space="preserve"> % is;  </w:t>
      </w:r>
    </w:p>
    <w:p w14:paraId="7B685EE5" w14:textId="77777777" w:rsidR="00FE0C02" w:rsidRPr="0035286D" w:rsidRDefault="00FE0C02" w:rsidP="00FE0C02">
      <w:pPr>
        <w:pStyle w:val="Point1"/>
      </w:pPr>
      <w:r w:rsidRPr="0035286D">
        <w:lastRenderedPageBreak/>
        <w:t>h)</w:t>
      </w:r>
      <w:r w:rsidRPr="0035286D">
        <w:tab/>
        <w:t xml:space="preserve">de in bijlage IV, deel </w:t>
      </w:r>
      <w:r w:rsidRPr="00762DB3">
        <w:t>4</w:t>
      </w:r>
      <w:r w:rsidRPr="0035286D">
        <w:t xml:space="preserve">, template </w:t>
      </w:r>
      <w:r w:rsidRPr="00762DB3">
        <w:t>47</w:t>
      </w:r>
      <w:r w:rsidRPr="0035286D">
        <w:t xml:space="preserve">, gespecificeerde informatie, met een jaarlijkse frequentie indien aan de beide voorwaarden van punt g) van dit lid is voldaan. </w:t>
      </w:r>
    </w:p>
    <w:p w14:paraId="6E0D6196" w14:textId="77777777" w:rsidR="00FE0C02" w:rsidRPr="0035286D" w:rsidRDefault="00FE0C02" w:rsidP="00FE0C02">
      <w:pPr>
        <w:pStyle w:val="Point1"/>
      </w:pPr>
      <w:r w:rsidRPr="0035286D">
        <w:t xml:space="preserve">Voor de toepassing van de punten d) tot en met h) van dit lid zijn de in artikel </w:t>
      </w:r>
      <w:r w:rsidRPr="00762DB3">
        <w:t>4</w:t>
      </w:r>
      <w:r w:rsidRPr="0035286D">
        <w:t xml:space="preserve">, lid </w:t>
      </w:r>
      <w:r w:rsidRPr="00762DB3">
        <w:t>3</w:t>
      </w:r>
      <w:r w:rsidRPr="0035286D">
        <w:t xml:space="preserve">, vastgestelde instap- en uitstapcriteria van toepassing. </w:t>
      </w:r>
    </w:p>
    <w:p w14:paraId="1265B500"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13</w:t>
      </w:r>
      <w:r w:rsidR="007208C1">
        <w:fldChar w:fldCharType="end"/>
      </w:r>
    </w:p>
    <w:p w14:paraId="62DD7E11" w14:textId="77777777" w:rsidR="00FE0C02" w:rsidRPr="0035286D" w:rsidRDefault="00FE0C02" w:rsidP="00FE0C02">
      <w:pPr>
        <w:pStyle w:val="Text1"/>
      </w:pPr>
      <w:r w:rsidRPr="0035286D">
        <w:rPr>
          <w:b/>
        </w:rPr>
        <w:t xml:space="preserve">Individuele en geconsolideerde rapportage over verliezen die voortvloeien uit leningen waarvoor onroerend goed als zekerheid is opgenomen overeenkomstig artikel </w:t>
      </w:r>
      <w:r w:rsidRPr="00762DB3">
        <w:rPr>
          <w:b/>
        </w:rPr>
        <w:t>430</w:t>
      </w:r>
      <w:r w:rsidRPr="0035286D">
        <w:rPr>
          <w:b/>
        </w:rPr>
        <w:t xml:space="preserve"> bis, lid </w:t>
      </w:r>
      <w:r w:rsidRPr="00762DB3">
        <w:rPr>
          <w:b/>
        </w:rPr>
        <w:t>1</w:t>
      </w:r>
      <w:r w:rsidRPr="0035286D">
        <w:rPr>
          <w:b/>
        </w:rPr>
        <w:t xml:space="preserve">, van Verordening (EU) nr. </w:t>
      </w:r>
      <w:r w:rsidRPr="00762DB3">
        <w:rPr>
          <w:b/>
        </w:rPr>
        <w:t>575</w:t>
      </w:r>
      <w:r w:rsidRPr="0035286D">
        <w:rPr>
          <w:b/>
        </w:rPr>
        <w:t>/</w:t>
      </w:r>
      <w:r w:rsidRPr="00762DB3">
        <w:rPr>
          <w:b/>
        </w:rPr>
        <w:t>2013</w:t>
      </w:r>
    </w:p>
    <w:p w14:paraId="663A2D70" w14:textId="77777777" w:rsidR="00FE0C02" w:rsidRPr="0035286D" w:rsidRDefault="00FE0C02" w:rsidP="005F180D">
      <w:pPr>
        <w:pStyle w:val="NumPar1"/>
        <w:numPr>
          <w:ilvl w:val="0"/>
          <w:numId w:val="21"/>
        </w:numPr>
      </w:pPr>
      <w:r w:rsidRPr="0035286D">
        <w:t>Instellingen verstrekken met een jaarlijkse frequentie de in bijlage VI gespecificeerde informatie overeenkomstig de instructies in bijlage VII op geconsolideerde basis.</w:t>
      </w:r>
    </w:p>
    <w:p w14:paraId="60EE04AB" w14:textId="77777777" w:rsidR="00FE0C02" w:rsidRPr="0035286D" w:rsidRDefault="00FE0C02" w:rsidP="00FE0C02">
      <w:pPr>
        <w:pStyle w:val="NumPar1"/>
        <w:numPr>
          <w:ilvl w:val="0"/>
          <w:numId w:val="10"/>
        </w:numPr>
      </w:pPr>
      <w:r w:rsidRPr="0035286D">
        <w:t>Instellingen verstrekken met een jaarlijkse frequentie de in bijlage VI gespecificeerde informatie overeenkomstig de instructies in bijlage VII op individuele basis.</w:t>
      </w:r>
    </w:p>
    <w:p w14:paraId="2635EBF0" w14:textId="77777777" w:rsidR="00FE0C02" w:rsidRPr="0035286D" w:rsidRDefault="00FE0C02" w:rsidP="00FE0C02">
      <w:pPr>
        <w:pStyle w:val="NumPar1"/>
        <w:numPr>
          <w:ilvl w:val="0"/>
          <w:numId w:val="10"/>
        </w:numPr>
      </w:pPr>
      <w:r w:rsidRPr="0035286D">
        <w:t>Indien een instelling een bijkantoor in een andere lidstaat heeft, verstrekt dat bijkantoor met een jaarlijkse frequentie aan de bevoegde autoriteit van de lidstaat van ontvangst de in bijlage VI gespecificeerde informatie met betrekking tot dat bijkantoor, overeenkomstig de instructies in bijlage VII.</w:t>
      </w:r>
    </w:p>
    <w:p w14:paraId="7DA92B87" w14:textId="77777777" w:rsidR="00FE0C02" w:rsidRPr="0035286D" w:rsidRDefault="00FE0C02" w:rsidP="00FE0C02">
      <w:pPr>
        <w:pStyle w:val="Titrearticle"/>
      </w:pPr>
      <w:r w:rsidRPr="0035286D">
        <w:t xml:space="preserve">Artikel </w:t>
      </w:r>
      <w:r w:rsidRPr="00762DB3">
        <w:t>14</w:t>
      </w:r>
    </w:p>
    <w:p w14:paraId="5DF7D5F9" w14:textId="77777777" w:rsidR="00FE0C02" w:rsidRPr="0035286D" w:rsidRDefault="00FE0C02" w:rsidP="00FE0C02">
      <w:pPr>
        <w:pStyle w:val="Titrearticle"/>
        <w:spacing w:before="120"/>
        <w:rPr>
          <w:b/>
          <w:i w:val="0"/>
        </w:rPr>
      </w:pPr>
      <w:r w:rsidRPr="0035286D">
        <w:rPr>
          <w:b/>
          <w:i w:val="0"/>
        </w:rPr>
        <w:t>Individuele en geconsolideerde rapportage over grote blootstellingen</w:t>
      </w:r>
    </w:p>
    <w:p w14:paraId="07D89C15" w14:textId="77777777" w:rsidR="00FE0C02" w:rsidRPr="0035286D" w:rsidRDefault="00FE0C02" w:rsidP="005F180D">
      <w:pPr>
        <w:pStyle w:val="NumPar1"/>
        <w:numPr>
          <w:ilvl w:val="0"/>
          <w:numId w:val="22"/>
        </w:numPr>
      </w:pPr>
      <w:r w:rsidRPr="0035286D">
        <w:t xml:space="preserve">Om informatie over grote blootstellingen ten aanzien van cliënten en groepen verbonden cliënten overeenkomstig artikel </w:t>
      </w:r>
      <w:r w:rsidRPr="00762DB3">
        <w:t>394</w:t>
      </w:r>
      <w:r w:rsidRPr="0035286D">
        <w:t xml:space="preserve"> van Verordening (EU) nr. </w:t>
      </w:r>
      <w:r w:rsidRPr="00762DB3">
        <w:t>575</w:t>
      </w:r>
      <w:r w:rsidRPr="0035286D">
        <w:t>/</w:t>
      </w:r>
      <w:r w:rsidRPr="00762DB3">
        <w:t>2013</w:t>
      </w:r>
      <w:r w:rsidRPr="0035286D">
        <w:t xml:space="preserve"> op individuele en op geconsolideerde basis te rapporteren, verstrekken instellingen de in bijlage VIII gespecificeerde informatie, overeenkomstig de instructies in bijlage IX, met een driemaandelijkse frequentie.</w:t>
      </w:r>
    </w:p>
    <w:p w14:paraId="1BE89751" w14:textId="77777777" w:rsidR="00FE0C02" w:rsidRPr="0035286D" w:rsidRDefault="00FE0C02" w:rsidP="00FE0C02">
      <w:pPr>
        <w:pStyle w:val="NumPar1"/>
        <w:numPr>
          <w:ilvl w:val="0"/>
          <w:numId w:val="10"/>
        </w:numPr>
      </w:pPr>
      <w:r w:rsidRPr="0035286D">
        <w:t xml:space="preserve">Om informatie over de twintig grootste blootstellingen ten aanzien van cliënten of groepen verbonden cliënten overeenkomstig artikel </w:t>
      </w:r>
      <w:r w:rsidRPr="00762DB3">
        <w:t>394</w:t>
      </w:r>
      <w:r w:rsidRPr="0035286D">
        <w:t xml:space="preserve">, lid </w:t>
      </w:r>
      <w:r w:rsidRPr="00762DB3">
        <w:t>1</w:t>
      </w:r>
      <w:r w:rsidRPr="0035286D">
        <w:t xml:space="preserve">, van Verordening (EU) nr. </w:t>
      </w:r>
      <w:r w:rsidRPr="00762DB3">
        <w:t>575</w:t>
      </w:r>
      <w:r w:rsidRPr="0035286D">
        <w:t>/</w:t>
      </w:r>
      <w:r w:rsidRPr="00762DB3">
        <w:t>2013</w:t>
      </w:r>
      <w:r w:rsidRPr="0035286D">
        <w:t xml:space="preserve"> op geconsolideerde basis te rapporteren, verstrekken instellingen die onderworpen zijn aan deel drie, titel II, hoofdstuk </w:t>
      </w:r>
      <w:r w:rsidRPr="00762DB3">
        <w:t>3</w:t>
      </w:r>
      <w:r w:rsidRPr="0035286D">
        <w:t xml:space="preserve">, van Verordening (EU) nr. </w:t>
      </w:r>
      <w:r w:rsidRPr="00762DB3">
        <w:t>575</w:t>
      </w:r>
      <w:r w:rsidRPr="0035286D">
        <w:t>/</w:t>
      </w:r>
      <w:r w:rsidRPr="00762DB3">
        <w:t>2013</w:t>
      </w:r>
      <w:r w:rsidRPr="0035286D">
        <w:t>, de in bijlage VIII gespecificeerde informatie, overeenkomstig de instructies van bijlage IX, met een driemaandelijkse frequentie.</w:t>
      </w:r>
    </w:p>
    <w:p w14:paraId="4501AF0E" w14:textId="77777777" w:rsidR="00FE0C02" w:rsidRPr="0035286D" w:rsidRDefault="00FE0C02" w:rsidP="00FE0C02">
      <w:pPr>
        <w:pStyle w:val="NumPar1"/>
        <w:numPr>
          <w:ilvl w:val="0"/>
          <w:numId w:val="10"/>
        </w:numPr>
      </w:pPr>
      <w:r w:rsidRPr="0035286D">
        <w:t xml:space="preserve">Om informatie over blootstellingen met een waarde die groter is dan of gelijk aan </w:t>
      </w:r>
      <w:r w:rsidRPr="00762DB3">
        <w:t>300</w:t>
      </w:r>
      <w:r w:rsidRPr="0035286D">
        <w:t xml:space="preserve"> miljoen EUR, maar kleiner dan </w:t>
      </w:r>
      <w:r w:rsidRPr="00762DB3">
        <w:t>10</w:t>
      </w:r>
      <w:r w:rsidRPr="0035286D">
        <w:t xml:space="preserve"> % van het tier </w:t>
      </w:r>
      <w:r w:rsidRPr="00762DB3">
        <w:t>1</w:t>
      </w:r>
      <w:r w:rsidRPr="0035286D">
        <w:t xml:space="preserve">-kapitaal van de instelling overeenkomstig artikel </w:t>
      </w:r>
      <w:r w:rsidRPr="00762DB3">
        <w:t>394</w:t>
      </w:r>
      <w:r w:rsidRPr="0035286D">
        <w:t xml:space="preserve">, lid </w:t>
      </w:r>
      <w:r w:rsidRPr="00762DB3">
        <w:t>1</w:t>
      </w:r>
      <w:r w:rsidRPr="0035286D">
        <w:t xml:space="preserve">, van Verordening (EU) nr. </w:t>
      </w:r>
      <w:r w:rsidRPr="00762DB3">
        <w:t>575</w:t>
      </w:r>
      <w:r w:rsidRPr="0035286D">
        <w:t>/</w:t>
      </w:r>
      <w:r w:rsidRPr="00762DB3">
        <w:t>2013</w:t>
      </w:r>
      <w:r w:rsidRPr="0035286D">
        <w:t xml:space="preserve"> op geconsolideerde basis te rapporteren, verstrekken instellingen de in bijlage VIII gespecificeerde informatie, overeenkomstig de instructies in bijlage IX, met een driemaandelijkse frequentie.</w:t>
      </w:r>
    </w:p>
    <w:p w14:paraId="6CA58180" w14:textId="77777777" w:rsidR="00FE0C02" w:rsidRPr="0035286D" w:rsidRDefault="00FE0C02" w:rsidP="00FE0C02">
      <w:pPr>
        <w:pStyle w:val="NumPar1"/>
        <w:numPr>
          <w:ilvl w:val="0"/>
          <w:numId w:val="10"/>
        </w:numPr>
      </w:pPr>
      <w:r w:rsidRPr="0035286D">
        <w:t xml:space="preserve">Om informatie over de tien grootste blootstellingen op geconsolideerde basis met betrekking tot instellingen en over de tien grootste blootstellingen op geconsolideerde basis met betrekking tot schaduwbankentiteiten die buiten het gereglementeerde kader bankactiviteiten verrichten, te rapporteren overeenkomstig artikel </w:t>
      </w:r>
      <w:r w:rsidRPr="00762DB3">
        <w:t>394</w:t>
      </w:r>
      <w:r w:rsidRPr="0035286D">
        <w:t xml:space="preserve">, lid </w:t>
      </w:r>
      <w:r w:rsidRPr="00762DB3">
        <w:t>2</w:t>
      </w:r>
      <w:r w:rsidRPr="0035286D">
        <w:t xml:space="preserve">, van Verordening (EU) nr. </w:t>
      </w:r>
      <w:r w:rsidRPr="00762DB3">
        <w:t>575</w:t>
      </w:r>
      <w:r w:rsidRPr="0035286D">
        <w:t>/</w:t>
      </w:r>
      <w:r w:rsidRPr="00762DB3">
        <w:t>2013</w:t>
      </w:r>
      <w:r w:rsidRPr="0035286D">
        <w:t>, verstrekken instellingen de in bijlage VIII gespecificeerde informatie, overeenkomstig de instructies in bijlage IX, met een driemaandelijkse frequentie.</w:t>
      </w:r>
    </w:p>
    <w:p w14:paraId="24660E67" w14:textId="77777777" w:rsidR="00FE0C02" w:rsidRPr="0035286D" w:rsidRDefault="00FE0C02" w:rsidP="00FE0C02">
      <w:pPr>
        <w:pStyle w:val="Titrearticle"/>
      </w:pPr>
      <w:r w:rsidRPr="0035286D">
        <w:lastRenderedPageBreak/>
        <w:t xml:space="preserve">Artikel </w:t>
      </w:r>
      <w:r w:rsidR="007208C1">
        <w:fldChar w:fldCharType="begin"/>
      </w:r>
      <w:r w:rsidR="007208C1">
        <w:instrText xml:space="preserve"> seq article </w:instrText>
      </w:r>
      <w:r w:rsidR="007208C1">
        <w:fldChar w:fldCharType="separate"/>
      </w:r>
      <w:r w:rsidRPr="00762DB3">
        <w:t>15</w:t>
      </w:r>
      <w:r w:rsidR="007208C1">
        <w:fldChar w:fldCharType="end"/>
      </w:r>
    </w:p>
    <w:p w14:paraId="7A43457A" w14:textId="77777777" w:rsidR="00FE0C02" w:rsidRPr="0035286D" w:rsidRDefault="00FE0C02" w:rsidP="00FE0C02">
      <w:pPr>
        <w:pStyle w:val="Titrearticle"/>
        <w:spacing w:before="120"/>
        <w:rPr>
          <w:b/>
          <w:i w:val="0"/>
        </w:rPr>
      </w:pPr>
      <w:r w:rsidRPr="0035286D">
        <w:rPr>
          <w:b/>
          <w:i w:val="0"/>
        </w:rPr>
        <w:t>Individuele en geconsolideerde rapportage over de hefboomratio</w:t>
      </w:r>
    </w:p>
    <w:p w14:paraId="01CD6524" w14:textId="77777777" w:rsidR="00FE0C02" w:rsidRPr="0035286D" w:rsidRDefault="00FE0C02" w:rsidP="005F180D">
      <w:pPr>
        <w:pStyle w:val="NumPar1"/>
        <w:numPr>
          <w:ilvl w:val="0"/>
          <w:numId w:val="23"/>
        </w:numPr>
      </w:pPr>
      <w:r w:rsidRPr="0035286D">
        <w:t xml:space="preserve">Om informatie over de hefboomratio overeenkomstig artikel </w:t>
      </w:r>
      <w:r w:rsidRPr="00762DB3">
        <w:t>430</w:t>
      </w:r>
      <w:r w:rsidRPr="0035286D">
        <w:t xml:space="preserve">, lid </w:t>
      </w:r>
      <w:r w:rsidRPr="00762DB3">
        <w:t>1</w:t>
      </w:r>
      <w:r w:rsidRPr="0035286D">
        <w:t xml:space="preserve">, punt a), van Verordening (EU) nr. </w:t>
      </w:r>
      <w:r w:rsidRPr="00762DB3">
        <w:t>575</w:t>
      </w:r>
      <w:r w:rsidRPr="0035286D">
        <w:t>/</w:t>
      </w:r>
      <w:r w:rsidRPr="00762DB3">
        <w:t>2013</w:t>
      </w:r>
      <w:r w:rsidRPr="0035286D">
        <w:t xml:space="preserve"> op individuele en op geconsolideerde basis te rapporteren, verstrekken instellingen de in bijlage X gespecificeerde informatie, overeenkomstig de instructies in bijlage XI, met een driemaandelijkse frequentie. Alleen grote instellingen verstrekken template </w:t>
      </w:r>
      <w:r w:rsidRPr="00762DB3">
        <w:t>48</w:t>
      </w:r>
      <w:r w:rsidRPr="0035286D">
        <w:t>.</w:t>
      </w:r>
      <w:r w:rsidRPr="00762DB3">
        <w:t>00</w:t>
      </w:r>
      <w:r w:rsidRPr="0035286D">
        <w:t xml:space="preserve"> van bijlage X.</w:t>
      </w:r>
    </w:p>
    <w:p w14:paraId="3FADC775" w14:textId="77777777" w:rsidR="00FE0C02" w:rsidRPr="0035286D" w:rsidRDefault="00FE0C02" w:rsidP="00FE0C02">
      <w:pPr>
        <w:pStyle w:val="NumPar1"/>
        <w:numPr>
          <w:ilvl w:val="0"/>
          <w:numId w:val="10"/>
        </w:numPr>
      </w:pPr>
      <w:r w:rsidRPr="0035286D">
        <w:t xml:space="preserve">De in bijlage X, template </w:t>
      </w:r>
      <w:r w:rsidRPr="00762DB3">
        <w:t>40</w:t>
      </w:r>
      <w:r w:rsidRPr="0035286D">
        <w:t>.</w:t>
      </w:r>
      <w:r w:rsidRPr="00762DB3">
        <w:t>00</w:t>
      </w:r>
      <w:r w:rsidRPr="0035286D">
        <w:t>, cel {r</w:t>
      </w:r>
      <w:r w:rsidRPr="00762DB3">
        <w:t>0410</w:t>
      </w:r>
      <w:r w:rsidRPr="0035286D">
        <w:t>;c</w:t>
      </w:r>
      <w:r w:rsidRPr="00762DB3">
        <w:t>0010</w:t>
      </w:r>
      <w:r w:rsidRPr="0035286D">
        <w:t>}, gespecificeerde informatie wordt alleen gerapporteerd door:</w:t>
      </w:r>
    </w:p>
    <w:p w14:paraId="08C9A1E3" w14:textId="77777777" w:rsidR="00FE0C02" w:rsidRPr="0035286D" w:rsidRDefault="00FE0C02" w:rsidP="00FE0C02">
      <w:pPr>
        <w:pStyle w:val="Point2"/>
      </w:pPr>
      <w:r w:rsidRPr="0035286D">
        <w:t>a)</w:t>
      </w:r>
      <w:r w:rsidRPr="0035286D">
        <w:tab/>
        <w:t xml:space="preserve">grote instellingen die MSI’s zijn of effecten hebben uitgegeven die tot de handel op een gereglementeerde markt zijn toegelaten, met een halfjaarlijkse frequentie; </w:t>
      </w:r>
    </w:p>
    <w:p w14:paraId="3A54256E" w14:textId="77777777" w:rsidR="00FE0C02" w:rsidRPr="0035286D" w:rsidRDefault="00FE0C02" w:rsidP="00FE0C02">
      <w:pPr>
        <w:pStyle w:val="Point2"/>
      </w:pPr>
      <w:r w:rsidRPr="0035286D">
        <w:t>b)</w:t>
      </w:r>
      <w:r w:rsidRPr="0035286D">
        <w:tab/>
        <w:t>andere grote instellingen dan MSI’s die geen beursgenoteerde instellingen zijn, met een jaarlijkse frequentie;</w:t>
      </w:r>
    </w:p>
    <w:p w14:paraId="492CCDFE" w14:textId="77777777" w:rsidR="00FE0C02" w:rsidRPr="0035286D" w:rsidRDefault="00FE0C02" w:rsidP="00FE0C02">
      <w:pPr>
        <w:pStyle w:val="Point2"/>
      </w:pPr>
      <w:r w:rsidRPr="0035286D">
        <w:t>c)</w:t>
      </w:r>
      <w:r w:rsidRPr="0035286D">
        <w:tab/>
        <w:t xml:space="preserve">andere instellingen dan grote instellingen en kleine en niet-complexe instellingen die effecten hebben uitgegeven die tot de handel op een gereglementeerde markt zijn toegelaten, met een jaarlijkse frequentie. </w:t>
      </w:r>
    </w:p>
    <w:p w14:paraId="56E76BBA" w14:textId="77777777" w:rsidR="00FE0C02" w:rsidRPr="0035286D" w:rsidRDefault="00FE0C02" w:rsidP="00FE0C02">
      <w:pPr>
        <w:pStyle w:val="NumPar1"/>
        <w:numPr>
          <w:ilvl w:val="0"/>
          <w:numId w:val="10"/>
        </w:numPr>
      </w:pPr>
      <w:r w:rsidRPr="0035286D">
        <w:t xml:space="preserve">Instellingen berekenen de hefboomratio op de rapportagereferentiedatum overeenkomstig artikel </w:t>
      </w:r>
      <w:r w:rsidRPr="00762DB3">
        <w:t>429</w:t>
      </w:r>
      <w:r w:rsidRPr="0035286D">
        <w:t xml:space="preserve"> van Verordening (EU) nr. </w:t>
      </w:r>
      <w:r w:rsidRPr="00762DB3">
        <w:t>575</w:t>
      </w:r>
      <w:r w:rsidRPr="0035286D">
        <w:t>/</w:t>
      </w:r>
      <w:r w:rsidRPr="00762DB3">
        <w:t>2013</w:t>
      </w:r>
      <w:r w:rsidRPr="0035286D">
        <w:t>.</w:t>
      </w:r>
    </w:p>
    <w:p w14:paraId="071CB257" w14:textId="77777777" w:rsidR="00FE0C02" w:rsidRPr="0035286D" w:rsidRDefault="00FE0C02" w:rsidP="00FE0C02">
      <w:pPr>
        <w:pStyle w:val="NumPar1"/>
        <w:numPr>
          <w:ilvl w:val="0"/>
          <w:numId w:val="10"/>
        </w:numPr>
      </w:pPr>
      <w:r w:rsidRPr="0035286D">
        <w:t xml:space="preserve">Instellingen rapporteren de in bijlage XI, deel II, punt </w:t>
      </w:r>
      <w:r w:rsidRPr="00762DB3">
        <w:t>13</w:t>
      </w:r>
      <w:r w:rsidRPr="0035286D">
        <w:t>, bedoelde informatie indien aan ten minste een van de volgende voorwaarden is voldaan:</w:t>
      </w:r>
    </w:p>
    <w:p w14:paraId="72F25911" w14:textId="77777777" w:rsidR="00FE0C02" w:rsidRPr="0035286D" w:rsidRDefault="00FE0C02" w:rsidP="00FE0C02">
      <w:pPr>
        <w:pStyle w:val="Point1"/>
      </w:pPr>
      <w:r w:rsidRPr="0035286D">
        <w:t>a)</w:t>
      </w:r>
      <w:r w:rsidRPr="0035286D">
        <w:tab/>
        <w:t xml:space="preserve">het in bijlage XI, deel II, punt </w:t>
      </w:r>
      <w:r w:rsidRPr="00762DB3">
        <w:t>5</w:t>
      </w:r>
      <w:r w:rsidRPr="0035286D">
        <w:t xml:space="preserve">, bedoelde derivatenaandeel is groter dan </w:t>
      </w:r>
      <w:r w:rsidRPr="00762DB3">
        <w:t>1</w:t>
      </w:r>
      <w:r w:rsidRPr="0035286D">
        <w:t>,</w:t>
      </w:r>
      <w:r w:rsidRPr="00762DB3">
        <w:t>5</w:t>
      </w:r>
      <w:r w:rsidRPr="0035286D">
        <w:t> %;</w:t>
      </w:r>
    </w:p>
    <w:p w14:paraId="564FDA7C" w14:textId="77777777" w:rsidR="00FE0C02" w:rsidRPr="0035286D" w:rsidRDefault="00FE0C02" w:rsidP="00FE0C02">
      <w:pPr>
        <w:pStyle w:val="Point1"/>
      </w:pPr>
      <w:r w:rsidRPr="0035286D">
        <w:t>b)</w:t>
      </w:r>
      <w:r w:rsidRPr="0035286D">
        <w:tab/>
        <w:t xml:space="preserve">het in bijlage XI, deel II, punt </w:t>
      </w:r>
      <w:r w:rsidRPr="00762DB3">
        <w:t>5</w:t>
      </w:r>
      <w:r w:rsidRPr="0035286D">
        <w:t xml:space="preserve">, bedoelde derivatenaandeel overschrijdt </w:t>
      </w:r>
      <w:r w:rsidRPr="00762DB3">
        <w:t>2</w:t>
      </w:r>
      <w:r w:rsidRPr="0035286D">
        <w:t> %.</w:t>
      </w:r>
    </w:p>
    <w:p w14:paraId="507DA3E2" w14:textId="77777777" w:rsidR="00FE0C02" w:rsidRPr="0035286D" w:rsidRDefault="00FE0C02" w:rsidP="00FE0C02">
      <w:pPr>
        <w:pStyle w:val="Text1"/>
        <w:rPr>
          <w:szCs w:val="24"/>
        </w:rPr>
      </w:pPr>
      <w:r w:rsidRPr="0035286D">
        <w:t xml:space="preserve">Indien een instelling alleen aan de voorwaarde van punt a) voldoet, zijn de instap- en uitstapcriteria van artikel </w:t>
      </w:r>
      <w:r w:rsidRPr="00762DB3">
        <w:t>4</w:t>
      </w:r>
      <w:r w:rsidRPr="0035286D">
        <w:t xml:space="preserve">, lid </w:t>
      </w:r>
      <w:r w:rsidRPr="00762DB3">
        <w:t>3</w:t>
      </w:r>
      <w:r w:rsidRPr="0035286D">
        <w:t xml:space="preserve">, van toepassing. </w:t>
      </w:r>
    </w:p>
    <w:p w14:paraId="7F04F0F6" w14:textId="77777777" w:rsidR="00FE0C02" w:rsidRPr="0035286D" w:rsidRDefault="00FE0C02" w:rsidP="00FE0C02">
      <w:pPr>
        <w:pStyle w:val="Text1"/>
      </w:pPr>
      <w:r w:rsidRPr="0035286D">
        <w:t>Indien een instelling zowel aan de voorwaarde van punt a) als aan die van punt b) voldoet, begint zij die informatie te rapporteren voor de referentiedatum na de rapportagereferentiedatum waarop zij de drempel heeft overschreden.</w:t>
      </w:r>
    </w:p>
    <w:p w14:paraId="7B9D01BA" w14:textId="77777777" w:rsidR="00FE0C02" w:rsidRPr="0035286D" w:rsidRDefault="00FE0C02" w:rsidP="00FE0C02">
      <w:pPr>
        <w:pStyle w:val="NumPar1"/>
        <w:numPr>
          <w:ilvl w:val="0"/>
          <w:numId w:val="10"/>
        </w:numPr>
      </w:pPr>
      <w:r w:rsidRPr="0035286D">
        <w:t xml:space="preserve">Instellingen waarvoor de in bijlage XI, deel II, punt </w:t>
      </w:r>
      <w:r w:rsidRPr="00762DB3">
        <w:t>8</w:t>
      </w:r>
      <w:r w:rsidRPr="0035286D">
        <w:t xml:space="preserve">, omschreven totale notionele waarde van derivaten groter is dan </w:t>
      </w:r>
      <w:r w:rsidRPr="00762DB3">
        <w:t>10</w:t>
      </w:r>
      <w:r w:rsidRPr="0035286D">
        <w:t> </w:t>
      </w:r>
      <w:r w:rsidRPr="00762DB3">
        <w:t>000</w:t>
      </w:r>
      <w:r w:rsidRPr="0035286D">
        <w:t xml:space="preserve"> miljoen EUR, rapporteren de in bijlage XI, deel II, punt </w:t>
      </w:r>
      <w:r w:rsidRPr="00762DB3">
        <w:t>13</w:t>
      </w:r>
      <w:r w:rsidRPr="0035286D">
        <w:t xml:space="preserve">, bedoelde informatie, zelfs indien hun derivatenaandeel niet aan de voorwaarden van lid </w:t>
      </w:r>
      <w:r w:rsidRPr="00762DB3">
        <w:t>4</w:t>
      </w:r>
      <w:r w:rsidRPr="0035286D">
        <w:t xml:space="preserve"> van dit artikel voldoet.</w:t>
      </w:r>
    </w:p>
    <w:p w14:paraId="51584038" w14:textId="77777777" w:rsidR="00FE0C02" w:rsidRPr="0035286D" w:rsidRDefault="00FE0C02" w:rsidP="00FE0C02">
      <w:pPr>
        <w:pStyle w:val="Text1"/>
      </w:pPr>
      <w:r w:rsidRPr="0035286D">
        <w:t xml:space="preserve">Voor de toepassing van dit lid zijn de uitstapcriteria van artikel </w:t>
      </w:r>
      <w:r w:rsidRPr="00762DB3">
        <w:t>4</w:t>
      </w:r>
      <w:r w:rsidRPr="0035286D">
        <w:t xml:space="preserve">, lid </w:t>
      </w:r>
      <w:r w:rsidRPr="00762DB3">
        <w:t>3</w:t>
      </w:r>
      <w:r w:rsidRPr="0035286D">
        <w:t>, niet van toepassing. Bij overschrijding van de drempel op een bepaalde rapportagereferentiedatum beginnen instellingen informatie te rapporteren vanaf de eerstvolgende rapportagereferentiedatum.</w:t>
      </w:r>
    </w:p>
    <w:p w14:paraId="41A483BA" w14:textId="77777777" w:rsidR="00FE0C02" w:rsidRPr="0035286D" w:rsidRDefault="00FE0C02" w:rsidP="00FE0C02">
      <w:pPr>
        <w:pStyle w:val="NumPar1"/>
        <w:numPr>
          <w:ilvl w:val="0"/>
          <w:numId w:val="10"/>
        </w:numPr>
      </w:pPr>
      <w:r w:rsidRPr="0035286D">
        <w:t xml:space="preserve">Instellingen moeten de in bijlage XI, deel II, punt </w:t>
      </w:r>
      <w:r w:rsidRPr="00762DB3">
        <w:t>14</w:t>
      </w:r>
      <w:r w:rsidRPr="0035286D">
        <w:t>, bedoelde informatie rapporteren indien aan ten minste een van de volgende voorwaarden is voldaan:</w:t>
      </w:r>
    </w:p>
    <w:p w14:paraId="5F5E592D" w14:textId="77777777" w:rsidR="00FE0C02" w:rsidRPr="0035286D" w:rsidRDefault="00FE0C02" w:rsidP="00FE0C02">
      <w:pPr>
        <w:pStyle w:val="Point1"/>
      </w:pPr>
      <w:r w:rsidRPr="0035286D">
        <w:t>a)</w:t>
      </w:r>
      <w:r w:rsidRPr="0035286D">
        <w:tab/>
        <w:t xml:space="preserve">het in bijlage XI, deel II, punt </w:t>
      </w:r>
      <w:r w:rsidRPr="00762DB3">
        <w:t>9</w:t>
      </w:r>
      <w:r w:rsidRPr="0035286D">
        <w:t xml:space="preserve">, bedoelde volume kredietderivaten is groter dan </w:t>
      </w:r>
      <w:r w:rsidRPr="00762DB3">
        <w:t>300</w:t>
      </w:r>
      <w:r w:rsidRPr="0035286D">
        <w:t xml:space="preserve"> miljoen EUR;</w:t>
      </w:r>
    </w:p>
    <w:p w14:paraId="418FEEAF" w14:textId="77777777" w:rsidR="00FE0C02" w:rsidRPr="0035286D" w:rsidRDefault="00FE0C02" w:rsidP="00FE0C02">
      <w:pPr>
        <w:pStyle w:val="Point1"/>
      </w:pPr>
      <w:r w:rsidRPr="0035286D">
        <w:t>b)</w:t>
      </w:r>
      <w:r w:rsidRPr="0035286D">
        <w:tab/>
        <w:t xml:space="preserve">het in bijlage XI, deel II, punt </w:t>
      </w:r>
      <w:r w:rsidRPr="00762DB3">
        <w:t>9</w:t>
      </w:r>
      <w:r w:rsidRPr="0035286D">
        <w:t xml:space="preserve">, bedoelde volume kredietderivaten overschrijdt </w:t>
      </w:r>
      <w:r w:rsidRPr="00762DB3">
        <w:t>500</w:t>
      </w:r>
      <w:r w:rsidRPr="0035286D">
        <w:t xml:space="preserve"> miljoen EUR.</w:t>
      </w:r>
    </w:p>
    <w:p w14:paraId="49C49986" w14:textId="77777777" w:rsidR="00FE0C02" w:rsidRPr="0035286D" w:rsidRDefault="00FE0C02" w:rsidP="00FE0C02">
      <w:pPr>
        <w:pStyle w:val="Text1"/>
      </w:pPr>
      <w:r w:rsidRPr="0035286D">
        <w:lastRenderedPageBreak/>
        <w:t xml:space="preserve">Indien een instelling alleen aan de voorwaarde van punt a) voldoet, zijn de instap- en uitstapcriteria van artikel </w:t>
      </w:r>
      <w:r w:rsidRPr="00762DB3">
        <w:t>4</w:t>
      </w:r>
      <w:r w:rsidRPr="0035286D">
        <w:t xml:space="preserve">, lid </w:t>
      </w:r>
      <w:r w:rsidRPr="00762DB3">
        <w:t>3</w:t>
      </w:r>
      <w:r w:rsidRPr="0035286D">
        <w:t>, van toepassing. Indien een instelling zowel aan de voorwaarde van punt a) als aan die van punt b) voldoet, begint zij die informatie te rapporteren voor de referentiedatum na de rapportagereferentiedatum waarop zij de drempel heeft overschreden.</w:t>
      </w:r>
    </w:p>
    <w:p w14:paraId="16427D61"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16</w:t>
      </w:r>
      <w:r w:rsidR="007208C1">
        <w:fldChar w:fldCharType="end"/>
      </w:r>
    </w:p>
    <w:p w14:paraId="0FD0A199" w14:textId="77777777" w:rsidR="00FE0C02" w:rsidRPr="0035286D" w:rsidRDefault="00FE0C02" w:rsidP="00FE0C02">
      <w:pPr>
        <w:pStyle w:val="Titrearticle"/>
        <w:spacing w:before="120"/>
        <w:rPr>
          <w:b/>
          <w:i w:val="0"/>
        </w:rPr>
      </w:pPr>
      <w:r w:rsidRPr="0035286D">
        <w:rPr>
          <w:b/>
          <w:i w:val="0"/>
        </w:rPr>
        <w:t>Individuele en geconsolideerde rapportage over het liquiditeitsdekkingsvereiste</w:t>
      </w:r>
    </w:p>
    <w:p w14:paraId="51D41644" w14:textId="77777777" w:rsidR="00FE0C02" w:rsidRPr="0035286D" w:rsidRDefault="00FE0C02" w:rsidP="005F180D">
      <w:pPr>
        <w:pStyle w:val="NumPar1"/>
        <w:numPr>
          <w:ilvl w:val="0"/>
          <w:numId w:val="24"/>
        </w:numPr>
      </w:pPr>
      <w:r w:rsidRPr="0035286D">
        <w:t xml:space="preserve">Om informatie over het liquiditeitsdekkingsvereiste overeenkomstig artikel </w:t>
      </w:r>
      <w:r w:rsidRPr="00762DB3">
        <w:t>430</w:t>
      </w:r>
      <w:r w:rsidRPr="0035286D">
        <w:t xml:space="preserve">, lid </w:t>
      </w:r>
      <w:r w:rsidRPr="00762DB3">
        <w:t>1</w:t>
      </w:r>
      <w:r w:rsidRPr="0035286D">
        <w:t xml:space="preserve">, punt d), van Verordening (EU) nr. </w:t>
      </w:r>
      <w:r w:rsidRPr="00762DB3">
        <w:t>575</w:t>
      </w:r>
      <w:r w:rsidRPr="0035286D">
        <w:t>/</w:t>
      </w:r>
      <w:r w:rsidRPr="00762DB3">
        <w:t>2013</w:t>
      </w:r>
      <w:r w:rsidRPr="0035286D">
        <w:t xml:space="preserve"> op individuele en op geconsolideerde basis te rapporteren, verstrekken instellingen de in bijlage XXIV bij deze verordening gespecificeerde informatie, overeenkomstig de instructies in bijlage XXV bij deze verordening, met een driemaandelijkse frequentie.</w:t>
      </w:r>
    </w:p>
    <w:p w14:paraId="50670492" w14:textId="77777777" w:rsidR="00FE0C02" w:rsidRPr="0035286D" w:rsidRDefault="00FE0C02" w:rsidP="00FE0C02">
      <w:pPr>
        <w:pStyle w:val="NumPar1"/>
        <w:numPr>
          <w:ilvl w:val="0"/>
          <w:numId w:val="10"/>
        </w:numPr>
      </w:pPr>
      <w:r w:rsidRPr="0035286D">
        <w:t>Bij de in bijlage XXIV vermelde informatie wordt rekening gehouden met de voor de referentiedatum ingediende informatie en de informatie over de kasstromen van de instelling gedurende de volgende dertig kalenderdagen.</w:t>
      </w:r>
    </w:p>
    <w:p w14:paraId="1B273506"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17</w:t>
      </w:r>
      <w:r w:rsidR="007208C1">
        <w:fldChar w:fldCharType="end"/>
      </w:r>
    </w:p>
    <w:p w14:paraId="4A29F4CE" w14:textId="77777777" w:rsidR="00FE0C02" w:rsidRPr="0035286D" w:rsidRDefault="00FE0C02" w:rsidP="00FE0C02">
      <w:pPr>
        <w:pStyle w:val="Titrearticle"/>
        <w:spacing w:before="120"/>
        <w:rPr>
          <w:b/>
          <w:i w:val="0"/>
        </w:rPr>
      </w:pPr>
      <w:r w:rsidRPr="0035286D">
        <w:rPr>
          <w:b/>
          <w:i w:val="0"/>
        </w:rPr>
        <w:t>Individuele en geconsolideerde rapportage over stabiele financiering</w:t>
      </w:r>
    </w:p>
    <w:p w14:paraId="46A16391" w14:textId="77777777" w:rsidR="00FE0C02" w:rsidRPr="0035286D" w:rsidRDefault="00FE0C02" w:rsidP="00FE0C02">
      <w:r w:rsidRPr="0035286D">
        <w:t xml:space="preserve">Om informatie over stabiele financiering overeenkomstig artikel </w:t>
      </w:r>
      <w:r w:rsidRPr="00762DB3">
        <w:t>430</w:t>
      </w:r>
      <w:r w:rsidRPr="0035286D">
        <w:t xml:space="preserve">, lid </w:t>
      </w:r>
      <w:r w:rsidRPr="00762DB3">
        <w:t>1</w:t>
      </w:r>
      <w:r w:rsidRPr="0035286D">
        <w:t xml:space="preserve">, punt d), van Verordening (EU) nr. </w:t>
      </w:r>
      <w:r w:rsidRPr="00762DB3">
        <w:t>575</w:t>
      </w:r>
      <w:r w:rsidRPr="0035286D">
        <w:t>/</w:t>
      </w:r>
      <w:r w:rsidRPr="00762DB3">
        <w:t>2013</w:t>
      </w:r>
      <w:r w:rsidRPr="0035286D">
        <w:t xml:space="preserve"> op individuele en op geconsolideerde basis te rapporteren, verstrekken instellingen de in bijlage XII gespecificeerde informatie, overeenkomstig de instructies in bijlage XIII, met een driemaandelijkse frequentie, als volgt:</w:t>
      </w:r>
    </w:p>
    <w:p w14:paraId="38759E9F" w14:textId="77777777" w:rsidR="00FE0C02" w:rsidRPr="0035286D" w:rsidRDefault="00FE0C02" w:rsidP="00FE0C02">
      <w:pPr>
        <w:pStyle w:val="Point1"/>
      </w:pPr>
      <w:r w:rsidRPr="0035286D">
        <w:t>a)</w:t>
      </w:r>
      <w:r w:rsidRPr="0035286D">
        <w:tab/>
        <w:t xml:space="preserve">kleine en niet-complexe instellingen die ervoor hebben gekozen hun nettostabielefinancieringsratio (NSFR) te berekenen aan de hand van de in deel zes, titel IV, hoofdstukken </w:t>
      </w:r>
      <w:r w:rsidRPr="00762DB3">
        <w:t>6</w:t>
      </w:r>
      <w:r w:rsidRPr="0035286D">
        <w:t xml:space="preserve"> en </w:t>
      </w:r>
      <w:r w:rsidRPr="00762DB3">
        <w:t>7</w:t>
      </w:r>
      <w:r w:rsidRPr="0035286D">
        <w:t xml:space="preserve">, van Verordening (EU) nr. </w:t>
      </w:r>
      <w:r w:rsidRPr="00762DB3">
        <w:t>575</w:t>
      </w:r>
      <w:r w:rsidRPr="0035286D">
        <w:t>/</w:t>
      </w:r>
      <w:r w:rsidRPr="00762DB3">
        <w:t>2013</w:t>
      </w:r>
      <w:r w:rsidRPr="0035286D">
        <w:t xml:space="preserve"> beschreven methodiek, met voorafgaande toestemming van hun bevoegde autoriteit overeenkomstig artikel </w:t>
      </w:r>
      <w:r w:rsidRPr="00762DB3">
        <w:t>428</w:t>
      </w:r>
      <w:r w:rsidRPr="0035286D">
        <w:t xml:space="preserve"> sextricies van die verordening, verstrekken de templates </w:t>
      </w:r>
      <w:r w:rsidRPr="00762DB3">
        <w:t>82</w:t>
      </w:r>
      <w:r w:rsidRPr="0035286D">
        <w:t xml:space="preserve"> en </w:t>
      </w:r>
      <w:r w:rsidRPr="00762DB3">
        <w:t>83</w:t>
      </w:r>
      <w:r w:rsidRPr="0035286D">
        <w:t xml:space="preserve"> van bijlage XII bij deze verordening, overeenkomstig de instructies in bijlage XIII bij deze verordening;</w:t>
      </w:r>
    </w:p>
    <w:p w14:paraId="135317A6" w14:textId="77777777" w:rsidR="00FE0C02" w:rsidRPr="0035286D" w:rsidRDefault="00FE0C02" w:rsidP="00FE0C02">
      <w:pPr>
        <w:pStyle w:val="Point1"/>
      </w:pPr>
      <w:r w:rsidRPr="0035286D">
        <w:t>b)</w:t>
      </w:r>
      <w:r w:rsidRPr="0035286D">
        <w:tab/>
        <w:t xml:space="preserve">andere instellingen dan de in punt a) bedoelde instellingen verstrekken de templates </w:t>
      </w:r>
      <w:r w:rsidRPr="00762DB3">
        <w:t>80</w:t>
      </w:r>
      <w:r w:rsidRPr="0035286D">
        <w:t xml:space="preserve"> en </w:t>
      </w:r>
      <w:r w:rsidRPr="00762DB3">
        <w:t>81</w:t>
      </w:r>
      <w:r w:rsidRPr="0035286D">
        <w:t xml:space="preserve"> van bijlage XII, overeenkomstig de instructies in bijlage XIII; </w:t>
      </w:r>
    </w:p>
    <w:p w14:paraId="75BF05A1" w14:textId="77777777" w:rsidR="00FE0C02" w:rsidRPr="0035286D" w:rsidRDefault="00FE0C02" w:rsidP="00FE0C02">
      <w:pPr>
        <w:pStyle w:val="Point1"/>
      </w:pPr>
      <w:r w:rsidRPr="0035286D">
        <w:t>c)</w:t>
      </w:r>
      <w:r w:rsidRPr="0035286D">
        <w:tab/>
        <w:t xml:space="preserve">alle instellingen verstrekken template </w:t>
      </w:r>
      <w:r w:rsidRPr="00762DB3">
        <w:t>84</w:t>
      </w:r>
      <w:r w:rsidRPr="0035286D">
        <w:t xml:space="preserve"> van bijlage XII in overeenkomstig de instructies in bijlage XIII.</w:t>
      </w:r>
    </w:p>
    <w:p w14:paraId="3C47F8E2" w14:textId="77777777" w:rsidR="00FE0C02" w:rsidRPr="0035286D" w:rsidRDefault="00FE0C02" w:rsidP="00FE0C02">
      <w:pPr>
        <w:pStyle w:val="Titrearticle"/>
      </w:pPr>
      <w:r w:rsidRPr="0035286D">
        <w:t xml:space="preserve">Artikel </w:t>
      </w:r>
      <w:r w:rsidR="007208C1">
        <w:fldChar w:fldCharType="begin"/>
      </w:r>
      <w:r w:rsidR="007208C1">
        <w:instrText xml:space="preserve"> seq article </w:instrText>
      </w:r>
      <w:r w:rsidR="007208C1">
        <w:fldChar w:fldCharType="separate"/>
      </w:r>
      <w:r w:rsidRPr="00762DB3">
        <w:t>18</w:t>
      </w:r>
      <w:r w:rsidR="007208C1">
        <w:fldChar w:fldCharType="end"/>
      </w:r>
    </w:p>
    <w:p w14:paraId="3023D8A2" w14:textId="77777777" w:rsidR="00FE0C02" w:rsidRPr="0035286D" w:rsidRDefault="00FE0C02" w:rsidP="00FE0C02">
      <w:pPr>
        <w:pStyle w:val="Titrearticle"/>
        <w:spacing w:before="120"/>
        <w:rPr>
          <w:b/>
          <w:i w:val="0"/>
        </w:rPr>
      </w:pPr>
      <w:r w:rsidRPr="0035286D">
        <w:rPr>
          <w:b/>
          <w:i w:val="0"/>
        </w:rPr>
        <w:t>Individuele en geconsolideerde rapportage over de extra maatstaven voor het monitoren van de liquiditeit</w:t>
      </w:r>
    </w:p>
    <w:p w14:paraId="6A3A9338" w14:textId="77777777" w:rsidR="00FE0C02" w:rsidRPr="0035286D" w:rsidRDefault="00FE0C02" w:rsidP="005F180D">
      <w:pPr>
        <w:pStyle w:val="NumPar1"/>
        <w:numPr>
          <w:ilvl w:val="0"/>
          <w:numId w:val="25"/>
        </w:numPr>
      </w:pPr>
      <w:r w:rsidRPr="0035286D">
        <w:t xml:space="preserve">Om informatie over de extra maatstaven voor het monitoren van de liquiditeit overeenkomstig artikel </w:t>
      </w:r>
      <w:r w:rsidRPr="00762DB3">
        <w:t>430</w:t>
      </w:r>
      <w:r w:rsidRPr="0035286D">
        <w:t xml:space="preserve">, lid </w:t>
      </w:r>
      <w:r w:rsidRPr="00762DB3">
        <w:t>1</w:t>
      </w:r>
      <w:r w:rsidRPr="0035286D">
        <w:t xml:space="preserve">, punt d), Verordening (EU) nr. </w:t>
      </w:r>
      <w:r w:rsidRPr="00762DB3">
        <w:t>575</w:t>
      </w:r>
      <w:r w:rsidRPr="0035286D">
        <w:t>/</w:t>
      </w:r>
      <w:r w:rsidRPr="00762DB3">
        <w:t>2013</w:t>
      </w:r>
      <w:r w:rsidRPr="0035286D">
        <w:t xml:space="preserve"> op individuele en op geconsolideerde basis te rapporteren, verstrekken instellingen alle volgende informatie met een maandelijkse frequentie: </w:t>
      </w:r>
    </w:p>
    <w:p w14:paraId="642EB969" w14:textId="77777777" w:rsidR="00FE0C02" w:rsidRPr="0035286D" w:rsidRDefault="00FE0C02" w:rsidP="00FE0C02">
      <w:pPr>
        <w:pStyle w:val="Point1"/>
      </w:pPr>
      <w:r w:rsidRPr="0035286D">
        <w:t>a)</w:t>
      </w:r>
      <w:r w:rsidRPr="0035286D">
        <w:tab/>
        <w:t xml:space="preserve">de in bijlage XVIII gespecificeerde informatie, overeenkomstig de instructies in bijlage XIX; </w:t>
      </w:r>
    </w:p>
    <w:p w14:paraId="6F8BEAD3" w14:textId="77777777" w:rsidR="00FE0C02" w:rsidRPr="0035286D" w:rsidRDefault="00FE0C02" w:rsidP="00FE0C02">
      <w:pPr>
        <w:pStyle w:val="Point1"/>
      </w:pPr>
      <w:r w:rsidRPr="0035286D">
        <w:lastRenderedPageBreak/>
        <w:t>b)</w:t>
      </w:r>
      <w:r w:rsidRPr="0035286D">
        <w:tab/>
        <w:t xml:space="preserve">de in bijlage XX gespecificeerde informatie, overeenkomstig de instructies in bijlage XXI; </w:t>
      </w:r>
    </w:p>
    <w:p w14:paraId="65BCA041" w14:textId="77777777" w:rsidR="00FE0C02" w:rsidRPr="0035286D" w:rsidRDefault="00FE0C02" w:rsidP="00FE0C02">
      <w:pPr>
        <w:pStyle w:val="Point1"/>
      </w:pPr>
      <w:r w:rsidRPr="0035286D">
        <w:t>c)</w:t>
      </w:r>
      <w:r w:rsidRPr="0035286D">
        <w:tab/>
        <w:t xml:space="preserve">de in bijlage XXII gespecificeerde informatie, overeenkomstig de instructies in bijlage XXIII. </w:t>
      </w:r>
    </w:p>
    <w:p w14:paraId="105CC458" w14:textId="77777777" w:rsidR="00FE0C02" w:rsidRPr="0035286D" w:rsidRDefault="00FE0C02" w:rsidP="00FE0C02">
      <w:pPr>
        <w:pStyle w:val="NumPar1"/>
        <w:rPr>
          <w:szCs w:val="32"/>
        </w:rPr>
      </w:pPr>
      <w:r w:rsidRPr="0035286D">
        <w:t xml:space="preserve">In afwijking van lid </w:t>
      </w:r>
      <w:r w:rsidRPr="00762DB3">
        <w:t>1</w:t>
      </w:r>
      <w:r w:rsidRPr="0035286D">
        <w:t xml:space="preserve"> mag een instelling die aan alle voorwaarden van artikel </w:t>
      </w:r>
      <w:r w:rsidRPr="00762DB3">
        <w:t>4</w:t>
      </w:r>
      <w:r w:rsidRPr="0035286D">
        <w:t xml:space="preserve">, lid </w:t>
      </w:r>
      <w:r w:rsidRPr="00762DB3">
        <w:t>1</w:t>
      </w:r>
      <w:r w:rsidRPr="0035286D">
        <w:t xml:space="preserve">, punt </w:t>
      </w:r>
      <w:r w:rsidRPr="00762DB3">
        <w:t>145</w:t>
      </w:r>
      <w:r w:rsidRPr="0035286D">
        <w:t xml:space="preserve">, van Verordening (EU) nr. </w:t>
      </w:r>
      <w:r w:rsidRPr="00762DB3">
        <w:t>575</w:t>
      </w:r>
      <w:r w:rsidRPr="0035286D">
        <w:t>/</w:t>
      </w:r>
      <w:r w:rsidRPr="00762DB3">
        <w:t>2013</w:t>
      </w:r>
      <w:r w:rsidRPr="0035286D">
        <w:t xml:space="preserve"> voldoet, de informatie over de extra maatstaven voor het monitoren van de liquiditeit met een driemaandelijkse frequentie rapporteren.</w:t>
      </w:r>
    </w:p>
    <w:p w14:paraId="51E51891" w14:textId="77777777" w:rsidR="00FE0C02" w:rsidRPr="0035286D" w:rsidRDefault="00FE0C02" w:rsidP="00FE0C02">
      <w:pPr>
        <w:pStyle w:val="Titrearticle"/>
      </w:pPr>
      <w:r w:rsidRPr="0035286D">
        <w:t xml:space="preserve">Artikel </w:t>
      </w:r>
      <w:r w:rsidRPr="00762DB3">
        <w:t>19</w:t>
      </w:r>
    </w:p>
    <w:p w14:paraId="5CEC6025" w14:textId="77777777" w:rsidR="00FE0C02" w:rsidRPr="0035286D" w:rsidRDefault="00FE0C02" w:rsidP="00FE0C02">
      <w:pPr>
        <w:pStyle w:val="Text1"/>
      </w:pPr>
      <w:r w:rsidRPr="0035286D">
        <w:rPr>
          <w:b/>
        </w:rPr>
        <w:t>Individuele en geconsolideerde rapportage over activabezwaring</w:t>
      </w:r>
    </w:p>
    <w:p w14:paraId="733153BD" w14:textId="77777777" w:rsidR="00FE0C02" w:rsidRPr="0035286D" w:rsidRDefault="00FE0C02" w:rsidP="005F180D">
      <w:pPr>
        <w:pStyle w:val="NumPar1"/>
        <w:numPr>
          <w:ilvl w:val="0"/>
          <w:numId w:val="26"/>
        </w:numPr>
      </w:pPr>
      <w:r w:rsidRPr="0035286D">
        <w:t xml:space="preserve">Om informatie over activabezwaring overeenkomstig artikel </w:t>
      </w:r>
      <w:r w:rsidRPr="00762DB3">
        <w:t>430</w:t>
      </w:r>
      <w:r w:rsidRPr="0035286D">
        <w:t xml:space="preserve">, lid </w:t>
      </w:r>
      <w:r w:rsidRPr="00762DB3">
        <w:t>1</w:t>
      </w:r>
      <w:r w:rsidRPr="0035286D">
        <w:t xml:space="preserve">, punt g), van Verordening (EU) nr. </w:t>
      </w:r>
      <w:r w:rsidRPr="00762DB3">
        <w:t>575</w:t>
      </w:r>
      <w:r w:rsidRPr="0035286D">
        <w:t>/</w:t>
      </w:r>
      <w:r w:rsidRPr="00762DB3">
        <w:t>2013</w:t>
      </w:r>
      <w:r w:rsidRPr="0035286D">
        <w:t xml:space="preserve"> op individuele en op geconsolideerde basis te rapporteren, verstrekken instellingen de in bijlage XVI bij deze verordening gespecificeerde informatie, overeenkomstig de instructies in bijlage XVII bij deze verordening. </w:t>
      </w:r>
    </w:p>
    <w:p w14:paraId="466673DE" w14:textId="77777777" w:rsidR="00FE0C02" w:rsidRPr="0035286D" w:rsidRDefault="00FE0C02" w:rsidP="00FE0C02">
      <w:pPr>
        <w:pStyle w:val="NumPar1"/>
        <w:numPr>
          <w:ilvl w:val="0"/>
          <w:numId w:val="10"/>
        </w:numPr>
      </w:pPr>
      <w:r w:rsidRPr="0035286D">
        <w:t xml:space="preserve">De in lid </w:t>
      </w:r>
      <w:r w:rsidRPr="00762DB3">
        <w:t>1</w:t>
      </w:r>
      <w:r w:rsidRPr="0035286D">
        <w:t xml:space="preserve"> bedoelde informatie wordt als volgt verstrekt: </w:t>
      </w:r>
    </w:p>
    <w:p w14:paraId="6377EF60" w14:textId="77777777" w:rsidR="00FE0C02" w:rsidRPr="0035286D" w:rsidRDefault="00FE0C02" w:rsidP="00FE0C02">
      <w:pPr>
        <w:pStyle w:val="Point1"/>
      </w:pPr>
      <w:r w:rsidRPr="0035286D">
        <w:t>a)</w:t>
      </w:r>
      <w:r w:rsidRPr="0035286D">
        <w:tab/>
        <w:t xml:space="preserve">de in bijlage XVI, delen A, B en D, gespecificeerde informatie, met een driemaandelijkse frequentie; </w:t>
      </w:r>
    </w:p>
    <w:p w14:paraId="0B272D04" w14:textId="77777777" w:rsidR="00FE0C02" w:rsidRPr="0035286D" w:rsidRDefault="00FE0C02" w:rsidP="00FE0C02">
      <w:pPr>
        <w:pStyle w:val="Point1"/>
      </w:pPr>
      <w:r w:rsidRPr="0035286D">
        <w:t>b)</w:t>
      </w:r>
      <w:r w:rsidRPr="0035286D">
        <w:tab/>
        <w:t xml:space="preserve">de in bijlage XVI, deel C, gespecificeerde informatie, met een halfjaarlijkse frequentie; </w:t>
      </w:r>
    </w:p>
    <w:p w14:paraId="78F69E95" w14:textId="77777777" w:rsidR="00FE0C02" w:rsidRPr="0035286D" w:rsidRDefault="00FE0C02" w:rsidP="00FE0C02">
      <w:pPr>
        <w:pStyle w:val="Point1"/>
      </w:pPr>
      <w:r w:rsidRPr="0035286D">
        <w:t>c)</w:t>
      </w:r>
      <w:r w:rsidRPr="0035286D">
        <w:tab/>
        <w:t xml:space="preserve">de in bijlage XVI, deel E, gespecificeerde informatie, met een halfjaarlijkse frequentie. </w:t>
      </w:r>
    </w:p>
    <w:p w14:paraId="282EB9CF" w14:textId="77777777" w:rsidR="00FE0C02" w:rsidRPr="0035286D" w:rsidRDefault="00FE0C02" w:rsidP="00FE0C02">
      <w:pPr>
        <w:pStyle w:val="NumPar1"/>
        <w:numPr>
          <w:ilvl w:val="0"/>
          <w:numId w:val="10"/>
        </w:numPr>
      </w:pPr>
      <w:r w:rsidRPr="0035286D">
        <w:t xml:space="preserve">Instellingen hoeven de in bijlage XVI, delen B, C en E, gespecificeerde informatie niet te rapporteren indien aan beide volgende voorwaarden is voldaan: </w:t>
      </w:r>
    </w:p>
    <w:p w14:paraId="239B0175" w14:textId="77777777" w:rsidR="00FE0C02" w:rsidRPr="0035286D" w:rsidRDefault="00FE0C02" w:rsidP="00FE0C02">
      <w:pPr>
        <w:pStyle w:val="Point1"/>
      </w:pPr>
      <w:r w:rsidRPr="0035286D">
        <w:t>a)</w:t>
      </w:r>
      <w:r w:rsidRPr="0035286D">
        <w:tab/>
        <w:t>de instelling wordt niet als een grote instelling beschouwd;</w:t>
      </w:r>
    </w:p>
    <w:p w14:paraId="0C93B562" w14:textId="77777777" w:rsidR="00FE0C02" w:rsidRPr="0035286D" w:rsidRDefault="00FE0C02" w:rsidP="00FE0C02">
      <w:pPr>
        <w:pStyle w:val="Point1"/>
      </w:pPr>
      <w:r w:rsidRPr="0035286D">
        <w:t>b)</w:t>
      </w:r>
      <w:r w:rsidRPr="0035286D">
        <w:tab/>
        <w:t xml:space="preserve">de mate van activabezwaring van de instelling, zoals berekend overeenkomstig bijlage XVII, punt </w:t>
      </w:r>
      <w:r w:rsidRPr="00762DB3">
        <w:t>1</w:t>
      </w:r>
      <w:r w:rsidRPr="0035286D">
        <w:t>.</w:t>
      </w:r>
      <w:r w:rsidRPr="00762DB3">
        <w:t>6</w:t>
      </w:r>
      <w:r w:rsidRPr="0035286D">
        <w:t xml:space="preserve">, subpunt </w:t>
      </w:r>
      <w:r w:rsidRPr="00762DB3">
        <w:t>9</w:t>
      </w:r>
      <w:r w:rsidRPr="0035286D">
        <w:t xml:space="preserve">, bedraagt minder dan </w:t>
      </w:r>
      <w:r w:rsidRPr="00762DB3">
        <w:t>15</w:t>
      </w:r>
      <w:r w:rsidRPr="0035286D">
        <w:t> %.</w:t>
      </w:r>
    </w:p>
    <w:p w14:paraId="19A215D8" w14:textId="77777777" w:rsidR="00FE0C02" w:rsidRPr="0035286D" w:rsidRDefault="00FE0C02" w:rsidP="00FE0C02">
      <w:pPr>
        <w:pStyle w:val="Text1"/>
      </w:pPr>
      <w:r w:rsidRPr="0035286D">
        <w:t xml:space="preserve">De instap- en uitstapcriteria van artikel </w:t>
      </w:r>
      <w:r w:rsidRPr="00762DB3">
        <w:t>4</w:t>
      </w:r>
      <w:r w:rsidRPr="0035286D">
        <w:t xml:space="preserve">, lid </w:t>
      </w:r>
      <w:r w:rsidRPr="00762DB3">
        <w:t>3</w:t>
      </w:r>
      <w:r w:rsidRPr="0035286D">
        <w:t xml:space="preserve">, zijn van toepassing. </w:t>
      </w:r>
    </w:p>
    <w:p w14:paraId="7A2CBD82" w14:textId="77777777" w:rsidR="00FE0C02" w:rsidRPr="0035286D" w:rsidRDefault="00FE0C02" w:rsidP="00FE0C02">
      <w:pPr>
        <w:pStyle w:val="NumPar1"/>
        <w:numPr>
          <w:ilvl w:val="0"/>
          <w:numId w:val="10"/>
        </w:numPr>
      </w:pPr>
      <w:r w:rsidRPr="0035286D">
        <w:t xml:space="preserve">Instellingen rapporteren de in bijlage XVI, deel D, gespecificeerde informatie alleen indien zij obligaties als bedoeld in artikel </w:t>
      </w:r>
      <w:r w:rsidRPr="00762DB3">
        <w:t>52</w:t>
      </w:r>
      <w:r w:rsidRPr="0035286D">
        <w:t xml:space="preserve">, lid </w:t>
      </w:r>
      <w:r w:rsidRPr="00762DB3">
        <w:t>4</w:t>
      </w:r>
      <w:r w:rsidRPr="0035286D">
        <w:t xml:space="preserve">, eerste alinea, van Richtlijn </w:t>
      </w:r>
      <w:r w:rsidRPr="00762DB3">
        <w:t>2009</w:t>
      </w:r>
      <w:r w:rsidRPr="0035286D">
        <w:t>/</w:t>
      </w:r>
      <w:r w:rsidRPr="00762DB3">
        <w:t>65</w:t>
      </w:r>
      <w:r w:rsidRPr="0035286D">
        <w:t>/EG van het Europees Parlement en de Raad</w:t>
      </w:r>
      <w:r w:rsidRPr="0035286D">
        <w:rPr>
          <w:rStyle w:val="FootnoteReference"/>
        </w:rPr>
        <w:footnoteReference w:id="11"/>
      </w:r>
      <w:r w:rsidRPr="0035286D">
        <w:t xml:space="preserve"> uitgeven. </w:t>
      </w:r>
    </w:p>
    <w:p w14:paraId="216F0D5A" w14:textId="77777777" w:rsidR="00FE0C02" w:rsidRPr="0035286D" w:rsidRDefault="00FE0C02" w:rsidP="00FE0C02">
      <w:pPr>
        <w:pStyle w:val="Text1"/>
      </w:pPr>
      <w:r w:rsidRPr="0035286D">
        <w:t xml:space="preserve">De instap- en uitstapcriteria van artikel </w:t>
      </w:r>
      <w:r w:rsidRPr="00762DB3">
        <w:t>4</w:t>
      </w:r>
      <w:r w:rsidRPr="0035286D">
        <w:t xml:space="preserve">, lid </w:t>
      </w:r>
      <w:r w:rsidRPr="00762DB3">
        <w:t>3</w:t>
      </w:r>
      <w:r w:rsidRPr="0035286D">
        <w:t>, zijn van toepassing.</w:t>
      </w:r>
    </w:p>
    <w:p w14:paraId="3C60098A" w14:textId="77777777" w:rsidR="00FE0C02" w:rsidRPr="0035286D" w:rsidRDefault="00FE0C02" w:rsidP="00FE0C02">
      <w:pPr>
        <w:pStyle w:val="Titrearticle"/>
      </w:pPr>
      <w:r w:rsidRPr="0035286D">
        <w:t xml:space="preserve">Artikel </w:t>
      </w:r>
      <w:r w:rsidRPr="00762DB3">
        <w:t>20</w:t>
      </w:r>
    </w:p>
    <w:p w14:paraId="4B5AD6C9" w14:textId="77777777" w:rsidR="00FE0C02" w:rsidRPr="0035286D" w:rsidRDefault="00FE0C02" w:rsidP="00FE0C02">
      <w:pPr>
        <w:pStyle w:val="Text1"/>
      </w:pPr>
      <w:r w:rsidRPr="0035286D">
        <w:rPr>
          <w:b/>
        </w:rPr>
        <w:t>Aanvullende geconsolideerde rapportage om MSI’s te identificeren en MSI-bufferpercentages toe te kennen</w:t>
      </w:r>
    </w:p>
    <w:p w14:paraId="76EECD2F" w14:textId="54CEB2D8" w:rsidR="00FE0C02" w:rsidRPr="0035286D" w:rsidRDefault="00FE0C02" w:rsidP="005F180D">
      <w:pPr>
        <w:pStyle w:val="NumPar1"/>
        <w:numPr>
          <w:ilvl w:val="0"/>
          <w:numId w:val="27"/>
        </w:numPr>
      </w:pPr>
      <w:r w:rsidRPr="0035286D">
        <w:t xml:space="preserve">Om aanvullende informatie te rapporteren om MSI’s te identificeren en MSI-bufferpercentages toe te kennen overeenkomstig artikel </w:t>
      </w:r>
      <w:r w:rsidRPr="00762DB3">
        <w:t>131</w:t>
      </w:r>
      <w:r w:rsidRPr="0035286D">
        <w:t xml:space="preserve"> van Richtlijn </w:t>
      </w:r>
      <w:r w:rsidRPr="00762DB3">
        <w:lastRenderedPageBreak/>
        <w:t>2013</w:t>
      </w:r>
      <w:r w:rsidRPr="0035286D">
        <w:t>/</w:t>
      </w:r>
      <w:r w:rsidRPr="00762DB3">
        <w:t>36</w:t>
      </w:r>
      <w:r w:rsidRPr="0035286D">
        <w:t>/EU, verstrekken EU-moederinstellingen, financiële EU-moederholdings of gemengde financiële EU-moederholdings op geconsolideerde basis de in bijlage XXVI gespecificeerde informatie, overeenkomstig de instructies in bijlage XXVII, met een driemaandelijkse frequentie.</w:t>
      </w:r>
    </w:p>
    <w:p w14:paraId="4242810E" w14:textId="5FDC7845" w:rsidR="00FE0C02" w:rsidRPr="0035286D" w:rsidRDefault="00FE0C02" w:rsidP="00FE0C02">
      <w:pPr>
        <w:pStyle w:val="NumPar1"/>
        <w:numPr>
          <w:ilvl w:val="0"/>
          <w:numId w:val="10"/>
        </w:numPr>
      </w:pPr>
      <w:r w:rsidRPr="0035286D">
        <w:t xml:space="preserve">EU-moederinstellingen, financiële EU-moederholdings en gemengde financiële EU-moederholdings verstrekken alleen de in lid </w:t>
      </w:r>
      <w:r w:rsidRPr="00762DB3">
        <w:t>1</w:t>
      </w:r>
      <w:r w:rsidRPr="0035286D">
        <w:t xml:space="preserve"> bedoelde informatie indien aan beide volgende voorwaarden is voldaan:</w:t>
      </w:r>
    </w:p>
    <w:p w14:paraId="0C5DCF08" w14:textId="77777777" w:rsidR="00FE0C02" w:rsidRPr="0035286D" w:rsidRDefault="00FE0C02" w:rsidP="00FE0C02">
      <w:pPr>
        <w:pStyle w:val="Point1"/>
      </w:pPr>
      <w:r w:rsidRPr="0035286D">
        <w:t>a)</w:t>
      </w:r>
      <w:r w:rsidRPr="0035286D">
        <w:tab/>
        <w:t xml:space="preserve">de maatstaf van totale blootstelling van de groep, met inbegrip van verzekeringsdochterondernemingen, ten minste </w:t>
      </w:r>
      <w:r w:rsidRPr="00762DB3">
        <w:t>125</w:t>
      </w:r>
      <w:r w:rsidRPr="0035286D">
        <w:t xml:space="preserve"> </w:t>
      </w:r>
      <w:r w:rsidRPr="00762DB3">
        <w:t>000</w:t>
      </w:r>
      <w:r w:rsidRPr="0035286D">
        <w:t xml:space="preserve"> miljoen EUR is;</w:t>
      </w:r>
    </w:p>
    <w:p w14:paraId="05DC0A53" w14:textId="77777777" w:rsidR="00FE0C02" w:rsidRPr="0035286D" w:rsidRDefault="00FE0C02" w:rsidP="00FE0C02">
      <w:pPr>
        <w:pStyle w:val="Point1"/>
      </w:pPr>
      <w:r w:rsidRPr="0035286D">
        <w:t>b)</w:t>
      </w:r>
      <w:r w:rsidRPr="0035286D">
        <w:tab/>
        <w:t xml:space="preserve">de EU-moederinstelling of een van haar dochterondernemingen of een door de moederinstelling of een dochteronderneming geëxploiteerd bijkantoor is gevestigd in een deelnemende lidstaat als bedoeld in artikel </w:t>
      </w:r>
      <w:r w:rsidRPr="00762DB3">
        <w:t>4</w:t>
      </w:r>
      <w:r w:rsidRPr="0035286D">
        <w:t xml:space="preserve"> van Verordening (EU) nr. </w:t>
      </w:r>
      <w:r w:rsidRPr="00762DB3">
        <w:t>806</w:t>
      </w:r>
      <w:r w:rsidRPr="0035286D">
        <w:t>/</w:t>
      </w:r>
      <w:r w:rsidRPr="00762DB3">
        <w:t>2014</w:t>
      </w:r>
      <w:r w:rsidRPr="0035286D">
        <w:t xml:space="preserve"> van het Europees Parlement en de Raad</w:t>
      </w:r>
      <w:r w:rsidRPr="0035286D">
        <w:rPr>
          <w:rStyle w:val="FootnoteReference"/>
        </w:rPr>
        <w:footnoteReference w:id="12"/>
      </w:r>
      <w:r w:rsidRPr="0035286D">
        <w:t>.</w:t>
      </w:r>
    </w:p>
    <w:p w14:paraId="6584D044" w14:textId="77777777" w:rsidR="00FE0C02" w:rsidRPr="0035286D" w:rsidRDefault="00FE0C02" w:rsidP="00FE0C02">
      <w:pPr>
        <w:pStyle w:val="NumPar1"/>
        <w:numPr>
          <w:ilvl w:val="0"/>
          <w:numId w:val="10"/>
        </w:numPr>
      </w:pPr>
      <w:r w:rsidRPr="0035286D">
        <w:t xml:space="preserve">In afwijking van artikel </w:t>
      </w:r>
      <w:r w:rsidRPr="00762DB3">
        <w:t>3</w:t>
      </w:r>
      <w:r w:rsidRPr="0035286D">
        <w:t xml:space="preserve">, lid </w:t>
      </w:r>
      <w:r w:rsidRPr="00762DB3">
        <w:t>1</w:t>
      </w:r>
      <w:r w:rsidRPr="0035286D">
        <w:t xml:space="preserve">, punt b), wordt de in lid </w:t>
      </w:r>
      <w:r w:rsidRPr="00762DB3">
        <w:t>1</w:t>
      </w:r>
      <w:r w:rsidRPr="0035286D">
        <w:t xml:space="preserve"> van dit artikel bedoelde informatie aan het eind van de werkdag verstrekt op de volgende inzenddata: </w:t>
      </w:r>
      <w:r w:rsidRPr="00762DB3">
        <w:t>1</w:t>
      </w:r>
      <w:r w:rsidRPr="0035286D">
        <w:t xml:space="preserve"> juli, </w:t>
      </w:r>
      <w:r w:rsidRPr="00762DB3">
        <w:t>1</w:t>
      </w:r>
      <w:r w:rsidRPr="0035286D">
        <w:t xml:space="preserve"> oktober, </w:t>
      </w:r>
      <w:r w:rsidRPr="00762DB3">
        <w:t>2</w:t>
      </w:r>
      <w:r w:rsidRPr="0035286D">
        <w:t xml:space="preserve"> januari en </w:t>
      </w:r>
      <w:r w:rsidRPr="00762DB3">
        <w:t>1</w:t>
      </w:r>
      <w:r w:rsidRPr="0035286D">
        <w:t xml:space="preserve"> april.</w:t>
      </w:r>
    </w:p>
    <w:p w14:paraId="3336B0CC" w14:textId="77777777" w:rsidR="00FE0C02" w:rsidRPr="0035286D" w:rsidRDefault="00FE0C02" w:rsidP="00FE0C02">
      <w:pPr>
        <w:pStyle w:val="NumPar1"/>
        <w:numPr>
          <w:ilvl w:val="0"/>
          <w:numId w:val="10"/>
        </w:numPr>
      </w:pPr>
      <w:r w:rsidRPr="0035286D">
        <w:t xml:space="preserve">In afwijking van artikel </w:t>
      </w:r>
      <w:r w:rsidRPr="00762DB3">
        <w:t>4</w:t>
      </w:r>
      <w:r w:rsidRPr="0035286D">
        <w:t xml:space="preserve"> is met betrekking tot de in lid </w:t>
      </w:r>
      <w:r w:rsidRPr="00762DB3">
        <w:t>2</w:t>
      </w:r>
      <w:r w:rsidRPr="0035286D">
        <w:t>, punt a), van dit artikel bepaalde drempel het volgende van toepassing:</w:t>
      </w:r>
    </w:p>
    <w:p w14:paraId="542951C2" w14:textId="0D06C811" w:rsidR="00FE0C02" w:rsidRPr="0035286D" w:rsidRDefault="00FE0C02" w:rsidP="00FE0C02">
      <w:pPr>
        <w:pStyle w:val="Point1"/>
      </w:pPr>
      <w:r w:rsidRPr="0035286D">
        <w:t>a)</w:t>
      </w:r>
      <w:r w:rsidRPr="0035286D">
        <w:tab/>
        <w:t>de EU-moederinstelling, de financiële EU-moederholding of de gemengde financiële EU-holding begint onmiddellijk de informatie overeenkomstig dit artikel te rapporteren indien haar blootstellingsmaatstaf voor de berekening van de hefboomratio aan het einde van het boekjaar de vastgestelde drempel overschrijdt, en rapporteert deze informatie ten minste voor het einde van dat boekjaar en de daaropvolgende drie driemaandelijkse referentiedata;</w:t>
      </w:r>
    </w:p>
    <w:p w14:paraId="50325C89" w14:textId="0290171D" w:rsidR="00FE0C02" w:rsidRPr="0035286D" w:rsidRDefault="00FE0C02" w:rsidP="00FE0C02">
      <w:pPr>
        <w:pStyle w:val="Point1"/>
      </w:pPr>
      <w:r w:rsidRPr="0035286D">
        <w:t>b)</w:t>
      </w:r>
      <w:r w:rsidRPr="0035286D">
        <w:tab/>
        <w:t>de EU-moederinstelling, de financiële EU-moederholding of de gemengde financiële EU-moederholding stopt onmiddellijk met overeenkomstig dit artikel te rapporteren indien haar blootstellingsmaatstaf voor de berekening van de hefboomratio aan het einde van haar boekjaar onder de vastgestelde drempel daalt.</w:t>
      </w:r>
    </w:p>
    <w:p w14:paraId="3714E48A" w14:textId="77777777" w:rsidR="00FE0C02" w:rsidRPr="0035286D" w:rsidRDefault="00FE0C02" w:rsidP="00FE0C02">
      <w:pPr>
        <w:pStyle w:val="Titrearticle"/>
      </w:pPr>
      <w:r w:rsidRPr="0035286D">
        <w:t xml:space="preserve">Artikel </w:t>
      </w:r>
      <w:r w:rsidRPr="00762DB3">
        <w:t>21</w:t>
      </w:r>
    </w:p>
    <w:p w14:paraId="379043C5" w14:textId="77777777" w:rsidR="00FE0C02" w:rsidRPr="0035286D" w:rsidRDefault="00FE0C02" w:rsidP="00FE0C02">
      <w:pPr>
        <w:pStyle w:val="Titrearticle"/>
        <w:spacing w:before="120"/>
      </w:pPr>
      <w:r w:rsidRPr="0035286D">
        <w:rPr>
          <w:b/>
          <w:i w:val="0"/>
        </w:rPr>
        <w:t>Formats voor gegevensuitwisseling en bij de indieningen te voegen informatie</w:t>
      </w:r>
    </w:p>
    <w:p w14:paraId="3484BAE7" w14:textId="77777777" w:rsidR="00FE0C02" w:rsidRPr="0035286D" w:rsidRDefault="00FE0C02" w:rsidP="005F180D">
      <w:pPr>
        <w:pStyle w:val="NumPar1"/>
        <w:numPr>
          <w:ilvl w:val="0"/>
          <w:numId w:val="28"/>
        </w:numPr>
      </w:pPr>
      <w:r w:rsidRPr="0035286D">
        <w:t>Instellingen verstrekken de informatie in de door de bevoegde autoriteiten gespecificeerde formats voor gegevensuitwisseling en -presentatie, en met inachtneming van de definities van gegevenspunten in het in bijlage XIV bedoelde gegevenspuntenmodel en de in bijlage XV bedoelde validatieformules, alsmede de volgende specificaties:</w:t>
      </w:r>
    </w:p>
    <w:p w14:paraId="6302FDB1" w14:textId="77777777" w:rsidR="00FE0C02" w:rsidRPr="0035286D" w:rsidRDefault="00FE0C02" w:rsidP="00FE0C02">
      <w:pPr>
        <w:pStyle w:val="Point1"/>
      </w:pPr>
      <w:r w:rsidRPr="0035286D">
        <w:t>a)</w:t>
      </w:r>
      <w:r w:rsidRPr="0035286D">
        <w:tab/>
        <w:t>bij het indienen van gegevens wordt niet-gevraagde of niet-toepasselijke informatie achterwege gelaten;</w:t>
      </w:r>
    </w:p>
    <w:p w14:paraId="04CB5DF9" w14:textId="77777777" w:rsidR="00FE0C02" w:rsidRPr="0035286D" w:rsidRDefault="00FE0C02" w:rsidP="00FE0C02">
      <w:pPr>
        <w:pStyle w:val="Point1"/>
      </w:pPr>
      <w:r w:rsidRPr="0035286D">
        <w:t>b)</w:t>
      </w:r>
      <w:r w:rsidRPr="0035286D">
        <w:tab/>
        <w:t>numerieke waarden worden als volgt ingediend:</w:t>
      </w:r>
    </w:p>
    <w:p w14:paraId="08E0D7CD" w14:textId="77777777" w:rsidR="00FE0C02" w:rsidRPr="0035286D" w:rsidRDefault="00FE0C02" w:rsidP="00FE0C02">
      <w:pPr>
        <w:pStyle w:val="Point2"/>
      </w:pPr>
      <w:r w:rsidRPr="0035286D">
        <w:lastRenderedPageBreak/>
        <w:t>i)</w:t>
      </w:r>
      <w:r w:rsidRPr="0035286D">
        <w:tab/>
        <w:t>gegevenspunten van het gegevenstype “Monetair” worden met een nauwkeurigheid van minimaal drie cijfers achter de komma gerapporteerd;</w:t>
      </w:r>
    </w:p>
    <w:p w14:paraId="34C38BBF" w14:textId="77777777" w:rsidR="00FE0C02" w:rsidRPr="0035286D" w:rsidRDefault="00FE0C02" w:rsidP="00FE0C02">
      <w:pPr>
        <w:pStyle w:val="Point2"/>
      </w:pPr>
      <w:r w:rsidRPr="0035286D">
        <w:t>ii)</w:t>
      </w:r>
      <w:r w:rsidRPr="0035286D">
        <w:tab/>
        <w:t>gegevenspunten van het gegevenstype “Percentage” worden met een nauwkeurigheid van minimaal vier cijfers achter de komma uitgedrukt;</w:t>
      </w:r>
    </w:p>
    <w:p w14:paraId="4CD4E1AC" w14:textId="77777777" w:rsidR="00FE0C02" w:rsidRPr="0035286D" w:rsidRDefault="00FE0C02" w:rsidP="00FE0C02">
      <w:pPr>
        <w:pStyle w:val="Point2"/>
      </w:pPr>
      <w:r w:rsidRPr="0035286D">
        <w:t>iii)</w:t>
      </w:r>
      <w:r w:rsidRPr="0035286D">
        <w:tab/>
        <w:t>gegevenspunten van het gegevenstype “Geheel getal” worden zonder cijfers achter de komma als gehele getallen gerapporteerd;</w:t>
      </w:r>
    </w:p>
    <w:p w14:paraId="1DE261AC" w14:textId="77777777" w:rsidR="00FE0C02" w:rsidRPr="0035286D" w:rsidRDefault="00FE0C02" w:rsidP="00FE0C02">
      <w:pPr>
        <w:pStyle w:val="Point1"/>
        <w:rPr>
          <w:szCs w:val="24"/>
        </w:rPr>
      </w:pPr>
      <w:r w:rsidRPr="0035286D">
        <w:t>c)</w:t>
      </w:r>
      <w:r w:rsidRPr="0035286D">
        <w:tab/>
        <w:t>instellingen en verzekeringsondernemingen worden uitsluitend geïdentificeerd aan de hand van hun identificatiecode voor juridische entiteiten (LEI);</w:t>
      </w:r>
    </w:p>
    <w:p w14:paraId="10C9C354" w14:textId="77777777" w:rsidR="00FE0C02" w:rsidRPr="0035286D" w:rsidRDefault="00FE0C02" w:rsidP="00FE0C02">
      <w:pPr>
        <w:pStyle w:val="Point1"/>
      </w:pPr>
      <w:r w:rsidRPr="0035286D">
        <w:t>d) andere juridische entiteiten en tegenpartijen dan instellingen en verzekeringsondernemingen worden geïdentificeerd aan de hand van hun LEI, indien beschikbaar.</w:t>
      </w:r>
    </w:p>
    <w:p w14:paraId="275717B4" w14:textId="77777777" w:rsidR="00FE0C02" w:rsidRPr="0035286D" w:rsidRDefault="00FE0C02" w:rsidP="00FE0C02">
      <w:pPr>
        <w:pStyle w:val="NumPar1"/>
        <w:widowControl w:val="0"/>
        <w:numPr>
          <w:ilvl w:val="0"/>
          <w:numId w:val="10"/>
        </w:numPr>
        <w:autoSpaceDE w:val="0"/>
        <w:autoSpaceDN w:val="0"/>
        <w:spacing w:line="228" w:lineRule="auto"/>
        <w:rPr>
          <w:szCs w:val="24"/>
        </w:rPr>
      </w:pPr>
      <w:r w:rsidRPr="0035286D">
        <w:t>De instellingen voegen bij de ingediende gegevens de volgende informatie:</w:t>
      </w:r>
    </w:p>
    <w:p w14:paraId="533511FB" w14:textId="77777777" w:rsidR="00FE0C02" w:rsidRPr="0035286D" w:rsidRDefault="00FE0C02" w:rsidP="00FE0C02">
      <w:pPr>
        <w:pStyle w:val="Point1"/>
      </w:pPr>
      <w:r w:rsidRPr="0035286D">
        <w:t>a)</w:t>
      </w:r>
      <w:r w:rsidRPr="0035286D">
        <w:tab/>
        <w:t>rapportagereferentiedatum en referentieperiode;</w:t>
      </w:r>
    </w:p>
    <w:p w14:paraId="35FFAFDD" w14:textId="77777777" w:rsidR="00FE0C02" w:rsidRPr="0035286D" w:rsidRDefault="00FE0C02" w:rsidP="00FE0C02">
      <w:pPr>
        <w:pStyle w:val="Point1"/>
      </w:pPr>
      <w:r w:rsidRPr="0035286D">
        <w:t>b)</w:t>
      </w:r>
      <w:r w:rsidRPr="0035286D">
        <w:tab/>
        <w:t>rapportagevaluta;</w:t>
      </w:r>
    </w:p>
    <w:p w14:paraId="2D0A776B" w14:textId="77777777" w:rsidR="00FE0C02" w:rsidRPr="0035286D" w:rsidRDefault="00FE0C02" w:rsidP="00FE0C02">
      <w:pPr>
        <w:pStyle w:val="Point1"/>
      </w:pPr>
      <w:r w:rsidRPr="0035286D">
        <w:t>c)</w:t>
      </w:r>
      <w:r w:rsidRPr="0035286D">
        <w:tab/>
        <w:t>standaard voor financiële verslaglegging;</w:t>
      </w:r>
    </w:p>
    <w:p w14:paraId="05941E50" w14:textId="77777777" w:rsidR="00FE0C02" w:rsidRPr="0035286D" w:rsidRDefault="00FE0C02" w:rsidP="00FE0C02">
      <w:pPr>
        <w:pStyle w:val="Point1"/>
      </w:pPr>
      <w:r w:rsidRPr="0035286D">
        <w:t>d)</w:t>
      </w:r>
      <w:r w:rsidRPr="0035286D">
        <w:tab/>
        <w:t>identificatiecode voor juridische entiteiten (LEI) van de rapporterende instelling;</w:t>
      </w:r>
    </w:p>
    <w:p w14:paraId="1E5B9FC2" w14:textId="77777777" w:rsidR="00FE0C02" w:rsidRPr="0035286D" w:rsidRDefault="00FE0C02" w:rsidP="00FE0C02">
      <w:pPr>
        <w:pStyle w:val="Point1"/>
      </w:pPr>
      <w:r w:rsidRPr="0035286D">
        <w:t>e)</w:t>
      </w:r>
      <w:r w:rsidRPr="0035286D">
        <w:tab/>
        <w:t>consolidatiebereik.</w:t>
      </w:r>
    </w:p>
    <w:p w14:paraId="3C0C8DE6" w14:textId="77777777" w:rsidR="00FE0C02" w:rsidRPr="0035286D" w:rsidRDefault="00FE0C02" w:rsidP="00FE0C02">
      <w:pPr>
        <w:pStyle w:val="Titrearticle"/>
        <w:spacing w:before="120"/>
      </w:pPr>
      <w:r w:rsidRPr="0035286D">
        <w:t xml:space="preserve">Artikel </w:t>
      </w:r>
      <w:r w:rsidRPr="00762DB3">
        <w:t>22</w:t>
      </w:r>
    </w:p>
    <w:p w14:paraId="48AC81C7" w14:textId="77777777" w:rsidR="00FE0C02" w:rsidRPr="0035286D" w:rsidRDefault="00FE0C02" w:rsidP="006B3AF7">
      <w:pPr>
        <w:pStyle w:val="Titrearticle"/>
      </w:pPr>
      <w:r w:rsidRPr="0035286D">
        <w:t xml:space="preserve">Intrekking van Uitvoeringsverordening (EU) nr. </w:t>
      </w:r>
      <w:r w:rsidRPr="00762DB3">
        <w:t>680</w:t>
      </w:r>
      <w:r w:rsidRPr="0035286D">
        <w:t>/</w:t>
      </w:r>
      <w:r w:rsidRPr="00762DB3">
        <w:t>2014</w:t>
      </w:r>
    </w:p>
    <w:p w14:paraId="1CFB853D" w14:textId="72EA0D3E" w:rsidR="00FE0C02" w:rsidRPr="0035286D" w:rsidRDefault="00FE0C02" w:rsidP="006B3AF7">
      <w:r w:rsidRPr="0035286D">
        <w:t xml:space="preserve">Uitvoeringsverordening (EU) nr. </w:t>
      </w:r>
      <w:r w:rsidRPr="00762DB3">
        <w:t>680</w:t>
      </w:r>
      <w:r w:rsidRPr="0035286D">
        <w:t>/</w:t>
      </w:r>
      <w:r w:rsidRPr="00762DB3">
        <w:t>2014</w:t>
      </w:r>
      <w:r w:rsidRPr="0035286D">
        <w:t xml:space="preserve"> wordt ingetrokken. </w:t>
      </w:r>
    </w:p>
    <w:p w14:paraId="783335BF" w14:textId="7744E337" w:rsidR="00FE0C02" w:rsidRPr="0035286D" w:rsidRDefault="00FE0C02" w:rsidP="006B3AF7">
      <w:r w:rsidRPr="0035286D">
        <w:t>Verwijzingen naar de ingetrokken verordening worden opgevat als verwijzingen naar deze verordening.</w:t>
      </w:r>
    </w:p>
    <w:p w14:paraId="5FA1D041" w14:textId="77777777" w:rsidR="00FE0C02" w:rsidRPr="0035286D" w:rsidRDefault="00FE0C02" w:rsidP="00FE0C02">
      <w:pPr>
        <w:pStyle w:val="Titrearticle"/>
      </w:pPr>
      <w:r w:rsidRPr="0035286D">
        <w:t xml:space="preserve">Artikel </w:t>
      </w:r>
      <w:r w:rsidRPr="00762DB3">
        <w:t>23</w:t>
      </w:r>
    </w:p>
    <w:p w14:paraId="5DBF2ECB" w14:textId="77777777" w:rsidR="00FE0C02" w:rsidRPr="0035286D" w:rsidRDefault="00FE0C02" w:rsidP="00FE0C02">
      <w:pPr>
        <w:pStyle w:val="Titrearticle"/>
        <w:rPr>
          <w:b/>
          <w:i w:val="0"/>
        </w:rPr>
      </w:pPr>
      <w:r w:rsidRPr="0035286D">
        <w:rPr>
          <w:b/>
          <w:i w:val="0"/>
        </w:rPr>
        <w:t>Inwerkingtreding en toepassing</w:t>
      </w:r>
    </w:p>
    <w:p w14:paraId="0A731224" w14:textId="77777777" w:rsidR="00FE0C02" w:rsidRPr="0035286D" w:rsidRDefault="00FE0C02" w:rsidP="00FE0C02">
      <w:r w:rsidRPr="0035286D">
        <w:t xml:space="preserve">Deze verordening treedt in werking op de dag na die van de bekendmaking ervan in het </w:t>
      </w:r>
      <w:r w:rsidRPr="0035286D">
        <w:rPr>
          <w:i/>
        </w:rPr>
        <w:t>Publicatieblad van de Europese Unie</w:t>
      </w:r>
      <w:r w:rsidRPr="0035286D">
        <w:t>.</w:t>
      </w:r>
    </w:p>
    <w:p w14:paraId="7B8BB43C" w14:textId="77777777" w:rsidR="00FE0C02" w:rsidRPr="0035286D" w:rsidRDefault="00FE0C02" w:rsidP="00FE0C02">
      <w:r w:rsidRPr="0035286D">
        <w:t xml:space="preserve">Zij is van toepassing met ingang van </w:t>
      </w:r>
      <w:r w:rsidRPr="00762DB3">
        <w:t>28</w:t>
      </w:r>
      <w:r w:rsidRPr="0035286D">
        <w:t xml:space="preserve"> juni </w:t>
      </w:r>
      <w:r w:rsidRPr="00762DB3">
        <w:t>2021</w:t>
      </w:r>
      <w:r w:rsidRPr="0035286D">
        <w:t>.</w:t>
      </w:r>
    </w:p>
    <w:p w14:paraId="398E54BD" w14:textId="77777777" w:rsidR="00FE0C02" w:rsidRPr="0035286D" w:rsidRDefault="00FE0C02" w:rsidP="00FE0C02">
      <w:r w:rsidRPr="0035286D">
        <w:t xml:space="preserve">Niettegenstaande de tweede alinea van dit artikel is de rapportage over het hefboomratiobuffervereiste voor als MSI’s aangemerkte instellingen aan de hand van template </w:t>
      </w:r>
      <w:r w:rsidRPr="00762DB3">
        <w:t>47</w:t>
      </w:r>
      <w:r w:rsidRPr="0035286D">
        <w:t xml:space="preserve"> van bijlage X van toepassing met ingang van </w:t>
      </w:r>
      <w:r w:rsidRPr="00762DB3">
        <w:t>1</w:t>
      </w:r>
      <w:r w:rsidRPr="0035286D">
        <w:t xml:space="preserve"> januari </w:t>
      </w:r>
      <w:r w:rsidRPr="00762DB3">
        <w:t>2023</w:t>
      </w:r>
      <w:r w:rsidRPr="0035286D">
        <w:t>.</w:t>
      </w:r>
    </w:p>
    <w:p w14:paraId="077B995C" w14:textId="2455A2B7" w:rsidR="00FF364B" w:rsidRPr="0035286D" w:rsidRDefault="00FE0C02" w:rsidP="00FE0C02">
      <w:r w:rsidRPr="0035286D">
        <w:t xml:space="preserve">De artikelen </w:t>
      </w:r>
      <w:r w:rsidRPr="00762DB3">
        <w:t>9</w:t>
      </w:r>
      <w:r w:rsidRPr="0035286D">
        <w:t xml:space="preserve"> en </w:t>
      </w:r>
      <w:r w:rsidRPr="00762DB3">
        <w:t>10</w:t>
      </w:r>
      <w:r w:rsidRPr="0035286D">
        <w:t xml:space="preserve"> houden op van toepassing te zijn op </w:t>
      </w:r>
      <w:r w:rsidRPr="00762DB3">
        <w:t>26</w:t>
      </w:r>
      <w:r w:rsidRPr="0035286D">
        <w:t xml:space="preserve"> juni </w:t>
      </w:r>
      <w:r w:rsidRPr="00762DB3">
        <w:t>2026</w:t>
      </w:r>
      <w:r w:rsidRPr="0035286D">
        <w:t>.</w:t>
      </w:r>
    </w:p>
    <w:p w14:paraId="2BB71259" w14:textId="77777777" w:rsidR="0004170D" w:rsidRPr="0035286D" w:rsidRDefault="0004170D" w:rsidP="009675DD">
      <w:pPr>
        <w:pStyle w:val="Applicationdirecte"/>
      </w:pPr>
      <w:r w:rsidRPr="0035286D">
        <w:t>Deze verordening is verbindend in al haar onderdelen en is rechtstreeks toepasselijk in elke lidstaat.</w:t>
      </w:r>
    </w:p>
    <w:p w14:paraId="2947B574" w14:textId="668AA2AE" w:rsidR="0004170D" w:rsidRPr="0035286D" w:rsidRDefault="0035286D" w:rsidP="0035286D">
      <w:pPr>
        <w:pStyle w:val="Fait"/>
      </w:pPr>
      <w:r w:rsidRPr="0035286D">
        <w:lastRenderedPageBreak/>
        <w:t>Gedaan te Brussel,</w:t>
      </w:r>
    </w:p>
    <w:p w14:paraId="3F08E3CE" w14:textId="77777777" w:rsidR="0004170D" w:rsidRPr="0035286D" w:rsidRDefault="0004170D" w:rsidP="0004170D">
      <w:pPr>
        <w:pStyle w:val="Institutionquisigne"/>
      </w:pPr>
      <w:r w:rsidRPr="0035286D">
        <w:tab/>
        <w:t>Voor de Commissie</w:t>
      </w:r>
    </w:p>
    <w:p w14:paraId="2100579F" w14:textId="77777777" w:rsidR="00A211D2" w:rsidRPr="0035286D" w:rsidRDefault="0004170D" w:rsidP="0004170D">
      <w:pPr>
        <w:pStyle w:val="Personnequisigne"/>
      </w:pPr>
      <w:r w:rsidRPr="0035286D">
        <w:tab/>
        <w:t>De voorzitter</w:t>
      </w:r>
    </w:p>
    <w:p w14:paraId="5318264F" w14:textId="632B2009" w:rsidR="0004170D" w:rsidRPr="0035286D" w:rsidRDefault="00A211D2" w:rsidP="0004170D">
      <w:pPr>
        <w:pStyle w:val="Personnequisigne"/>
      </w:pPr>
      <w:r w:rsidRPr="0035286D">
        <w:tab/>
        <w:t xml:space="preserve">Ursula von der Leyen </w:t>
      </w:r>
      <w:r w:rsidRPr="0035286D">
        <w:br/>
      </w:r>
      <w:r w:rsidRPr="0035286D">
        <w:tab/>
        <w:t xml:space="preserve"> </w:t>
      </w:r>
      <w:r w:rsidRPr="0035286D">
        <w:br/>
      </w:r>
      <w:r w:rsidRPr="0035286D">
        <w:tab/>
        <w:t xml:space="preserve"> </w:t>
      </w:r>
      <w:r w:rsidRPr="0035286D">
        <w:br/>
      </w:r>
    </w:p>
    <w:sectPr w:rsidR="0004170D" w:rsidRPr="0035286D" w:rsidSect="00276921">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62DB3" w:rsidRDefault="00762DB3" w:rsidP="0004170D">
      <w:pPr>
        <w:spacing w:before="0" w:after="0"/>
      </w:pPr>
      <w:r>
        <w:separator/>
      </w:r>
    </w:p>
  </w:endnote>
  <w:endnote w:type="continuationSeparator" w:id="0">
    <w:p w14:paraId="5326C0A8" w14:textId="77777777" w:rsidR="00762DB3" w:rsidRDefault="00762DB3"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69DD2" w14:textId="4EEAEB29" w:rsidR="00762DB3" w:rsidRPr="00276921" w:rsidRDefault="00276921" w:rsidP="00276921">
    <w:pPr>
      <w:pStyle w:val="Footer"/>
      <w:rPr>
        <w:rFonts w:ascii="Arial" w:hAnsi="Arial" w:cs="Arial"/>
        <w:b/>
        <w:sz w:val="48"/>
      </w:rPr>
    </w:pPr>
    <w:r w:rsidRPr="00276921">
      <w:rPr>
        <w:rFonts w:ascii="Arial" w:hAnsi="Arial" w:cs="Arial"/>
        <w:b/>
        <w:sz w:val="48"/>
      </w:rPr>
      <w:t>NL</w:t>
    </w:r>
    <w:r w:rsidRPr="00276921">
      <w:rPr>
        <w:rFonts w:ascii="Arial" w:hAnsi="Arial" w:cs="Arial"/>
        <w:b/>
        <w:sz w:val="48"/>
      </w:rPr>
      <w:tab/>
    </w:r>
    <w:r w:rsidRPr="00276921">
      <w:rPr>
        <w:rFonts w:ascii="Arial" w:hAnsi="Arial" w:cs="Arial"/>
        <w:b/>
        <w:sz w:val="48"/>
      </w:rPr>
      <w:tab/>
    </w:r>
    <w:r w:rsidRPr="00276921">
      <w:tab/>
    </w:r>
    <w:r w:rsidRPr="00276921">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58544" w14:textId="56D8A7DC" w:rsidR="00276921" w:rsidRPr="00276921" w:rsidRDefault="00276921" w:rsidP="00276921">
    <w:pPr>
      <w:pStyle w:val="Footer"/>
      <w:rPr>
        <w:rFonts w:ascii="Arial" w:hAnsi="Arial" w:cs="Arial"/>
        <w:b/>
        <w:sz w:val="48"/>
      </w:rPr>
    </w:pPr>
    <w:r w:rsidRPr="00276921">
      <w:rPr>
        <w:rFonts w:ascii="Arial" w:hAnsi="Arial" w:cs="Arial"/>
        <w:b/>
        <w:sz w:val="48"/>
      </w:rPr>
      <w:t>NL</w:t>
    </w:r>
    <w:r w:rsidRPr="00276921">
      <w:rPr>
        <w:rFonts w:ascii="Arial" w:hAnsi="Arial" w:cs="Arial"/>
        <w:b/>
        <w:sz w:val="48"/>
      </w:rPr>
      <w:tab/>
    </w:r>
    <w:r>
      <w:fldChar w:fldCharType="begin"/>
    </w:r>
    <w:r>
      <w:instrText xml:space="preserve"> PAGE  \* MERGEFORMAT </w:instrText>
    </w:r>
    <w:r>
      <w:fldChar w:fldCharType="separate"/>
    </w:r>
    <w:r w:rsidR="001814C5">
      <w:rPr>
        <w:noProof/>
      </w:rPr>
      <w:t>20</w:t>
    </w:r>
    <w:r>
      <w:fldChar w:fldCharType="end"/>
    </w:r>
    <w:r>
      <w:tab/>
    </w:r>
    <w:r w:rsidRPr="00276921">
      <w:tab/>
    </w:r>
    <w:r w:rsidRPr="00276921">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3EBA2" w14:textId="77777777" w:rsidR="00276921" w:rsidRPr="00276921" w:rsidRDefault="00276921" w:rsidP="0027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62DB3" w:rsidRDefault="00762DB3" w:rsidP="0004170D">
      <w:pPr>
        <w:spacing w:before="0" w:after="0"/>
      </w:pPr>
      <w:r>
        <w:separator/>
      </w:r>
    </w:p>
  </w:footnote>
  <w:footnote w:type="continuationSeparator" w:id="0">
    <w:p w14:paraId="2DCC1F88" w14:textId="77777777" w:rsidR="00762DB3" w:rsidRDefault="00762DB3" w:rsidP="0004170D">
      <w:pPr>
        <w:spacing w:before="0" w:after="0"/>
      </w:pPr>
      <w:r>
        <w:continuationSeparator/>
      </w:r>
    </w:p>
  </w:footnote>
  <w:footnote w:id="1">
    <w:p w14:paraId="5E809637" w14:textId="77777777" w:rsidR="00762DB3" w:rsidRPr="0035286D" w:rsidRDefault="00762DB3" w:rsidP="00AD21AA">
      <w:pPr>
        <w:pStyle w:val="FootnoteText"/>
      </w:pPr>
      <w:r>
        <w:rPr>
          <w:rStyle w:val="FootnoteReference"/>
        </w:rPr>
        <w:footnoteRef/>
      </w:r>
      <w:r w:rsidRPr="0035286D">
        <w:tab/>
        <w:t xml:space="preserve">PB L </w:t>
      </w:r>
      <w:r w:rsidRPr="00762DB3">
        <w:t>176</w:t>
      </w:r>
      <w:r w:rsidRPr="0035286D">
        <w:t xml:space="preserve"> van </w:t>
      </w:r>
      <w:r w:rsidRPr="00762DB3">
        <w:t>27</w:t>
      </w:r>
      <w:r w:rsidRPr="0035286D">
        <w:t>.</w:t>
      </w:r>
      <w:r w:rsidRPr="00762DB3">
        <w:t>6</w:t>
      </w:r>
      <w:r w:rsidRPr="0035286D">
        <w:t>.</w:t>
      </w:r>
      <w:r w:rsidRPr="00762DB3">
        <w:t>2013</w:t>
      </w:r>
      <w:r w:rsidRPr="0035286D">
        <w:t xml:space="preserve">, blz. </w:t>
      </w:r>
      <w:r w:rsidRPr="00762DB3">
        <w:t>1</w:t>
      </w:r>
      <w:r w:rsidRPr="0035286D">
        <w:t>.</w:t>
      </w:r>
    </w:p>
  </w:footnote>
  <w:footnote w:id="2">
    <w:p w14:paraId="433B5035" w14:textId="77777777" w:rsidR="00762DB3" w:rsidRPr="0035286D" w:rsidRDefault="00762DB3" w:rsidP="00AD21AA">
      <w:pPr>
        <w:pStyle w:val="FootnoteText"/>
      </w:pPr>
      <w:r>
        <w:rPr>
          <w:rStyle w:val="FootnoteReference"/>
        </w:rPr>
        <w:footnoteRef/>
      </w:r>
      <w:r w:rsidRPr="0035286D">
        <w:tab/>
        <w:t xml:space="preserve">Richtlijn </w:t>
      </w:r>
      <w:r w:rsidRPr="00762DB3">
        <w:t>2013</w:t>
      </w:r>
      <w:r w:rsidRPr="0035286D">
        <w:t>/</w:t>
      </w:r>
      <w:r w:rsidRPr="00762DB3">
        <w:t>36</w:t>
      </w:r>
      <w:r w:rsidRPr="0035286D">
        <w:t xml:space="preserve">/EU van het Europees Parlement en de Raad van </w:t>
      </w:r>
      <w:r w:rsidRPr="00762DB3">
        <w:t>26</w:t>
      </w:r>
      <w:r w:rsidRPr="0035286D">
        <w:t xml:space="preserve"> juni </w:t>
      </w:r>
      <w:r w:rsidRPr="00762DB3">
        <w:t>2013</w:t>
      </w:r>
      <w:r w:rsidRPr="0035286D">
        <w:t xml:space="preserve"> betreffende toegang tot het bedrijf van kredietinstellingen en het prudentieel toezicht op kredietinstellingen en beleggingsondernemingen, tot wijziging van Richtlijn </w:t>
      </w:r>
      <w:r w:rsidRPr="00762DB3">
        <w:t>2002</w:t>
      </w:r>
      <w:r w:rsidRPr="0035286D">
        <w:t>/</w:t>
      </w:r>
      <w:r w:rsidRPr="00762DB3">
        <w:t>87</w:t>
      </w:r>
      <w:r w:rsidRPr="0035286D">
        <w:t xml:space="preserve">/EG en tot intrekking van de Richtlijnen </w:t>
      </w:r>
      <w:r w:rsidRPr="00762DB3">
        <w:t>2006</w:t>
      </w:r>
      <w:r w:rsidRPr="0035286D">
        <w:t>/</w:t>
      </w:r>
      <w:r w:rsidRPr="00762DB3">
        <w:t>48</w:t>
      </w:r>
      <w:r w:rsidRPr="0035286D">
        <w:t xml:space="preserve">/EG en </w:t>
      </w:r>
      <w:r w:rsidRPr="00762DB3">
        <w:t>2006</w:t>
      </w:r>
      <w:r w:rsidRPr="0035286D">
        <w:t>/</w:t>
      </w:r>
      <w:r w:rsidRPr="00762DB3">
        <w:t>49</w:t>
      </w:r>
      <w:r w:rsidRPr="0035286D">
        <w:t xml:space="preserve">/EG (PB L </w:t>
      </w:r>
      <w:r w:rsidRPr="00762DB3">
        <w:t>176</w:t>
      </w:r>
      <w:r w:rsidRPr="0035286D">
        <w:t xml:space="preserve"> van </w:t>
      </w:r>
      <w:r w:rsidRPr="00762DB3">
        <w:t>27</w:t>
      </w:r>
      <w:r w:rsidRPr="0035286D">
        <w:t>.</w:t>
      </w:r>
      <w:r w:rsidRPr="00762DB3">
        <w:t>6</w:t>
      </w:r>
      <w:r w:rsidRPr="0035286D">
        <w:t>.</w:t>
      </w:r>
      <w:r w:rsidRPr="00762DB3">
        <w:t>2013</w:t>
      </w:r>
      <w:r w:rsidRPr="0035286D">
        <w:t xml:space="preserve">, blz. </w:t>
      </w:r>
      <w:r w:rsidRPr="00762DB3">
        <w:t>338</w:t>
      </w:r>
      <w:r w:rsidRPr="0035286D">
        <w:t>).</w:t>
      </w:r>
    </w:p>
  </w:footnote>
  <w:footnote w:id="3">
    <w:p w14:paraId="5580D4CD" w14:textId="77777777" w:rsidR="00762DB3" w:rsidRPr="0035286D" w:rsidRDefault="00762DB3" w:rsidP="00AD21AA">
      <w:pPr>
        <w:pStyle w:val="FootnoteText"/>
      </w:pPr>
      <w:r>
        <w:rPr>
          <w:rStyle w:val="FootnoteReference"/>
        </w:rPr>
        <w:footnoteRef/>
      </w:r>
      <w:r w:rsidRPr="0035286D">
        <w:tab/>
        <w:t xml:space="preserve">Uitvoeringsverordening (EU) nr. </w:t>
      </w:r>
      <w:r w:rsidRPr="00762DB3">
        <w:t>680</w:t>
      </w:r>
      <w:r w:rsidRPr="0035286D">
        <w:t>/</w:t>
      </w:r>
      <w:r w:rsidRPr="00762DB3">
        <w:t>2014</w:t>
      </w:r>
      <w:r w:rsidRPr="0035286D">
        <w:t xml:space="preserve"> van de Commissie van </w:t>
      </w:r>
      <w:r w:rsidRPr="00762DB3">
        <w:t>16</w:t>
      </w:r>
      <w:r w:rsidRPr="0035286D">
        <w:t xml:space="preserve"> april </w:t>
      </w:r>
      <w:r w:rsidRPr="00762DB3">
        <w:t>2014</w:t>
      </w:r>
      <w:r w:rsidRPr="0035286D">
        <w:t xml:space="preserve"> tot vaststelling van technische uitvoeringsnormen voor wat betreft de rapportage aan de toezichthoudende autoriteit door instellingen overeenkomstig Verordening (EU) nr. </w:t>
      </w:r>
      <w:r w:rsidRPr="00762DB3">
        <w:t>575</w:t>
      </w:r>
      <w:r w:rsidRPr="0035286D">
        <w:t>/</w:t>
      </w:r>
      <w:r w:rsidRPr="00762DB3">
        <w:t>2013</w:t>
      </w:r>
      <w:r w:rsidRPr="0035286D">
        <w:t xml:space="preserve"> van het Europees Parlement en de Raad (PB L </w:t>
      </w:r>
      <w:r w:rsidRPr="00762DB3">
        <w:t>191</w:t>
      </w:r>
      <w:r w:rsidRPr="0035286D">
        <w:t xml:space="preserve"> van </w:t>
      </w:r>
      <w:r w:rsidRPr="00762DB3">
        <w:t>28</w:t>
      </w:r>
      <w:r w:rsidRPr="0035286D">
        <w:t>.</w:t>
      </w:r>
      <w:r w:rsidRPr="00762DB3">
        <w:t>6</w:t>
      </w:r>
      <w:r w:rsidRPr="0035286D">
        <w:t>.</w:t>
      </w:r>
      <w:r w:rsidRPr="00762DB3">
        <w:t>2014</w:t>
      </w:r>
      <w:r w:rsidRPr="0035286D">
        <w:t xml:space="preserve">, blz. </w:t>
      </w:r>
      <w:r w:rsidRPr="00762DB3">
        <w:t>1</w:t>
      </w:r>
      <w:r w:rsidRPr="0035286D">
        <w:t>).</w:t>
      </w:r>
    </w:p>
  </w:footnote>
  <w:footnote w:id="4">
    <w:p w14:paraId="4A709B42" w14:textId="77777777" w:rsidR="00762DB3" w:rsidRPr="0035286D" w:rsidRDefault="00762DB3" w:rsidP="00AD21AA">
      <w:pPr>
        <w:pStyle w:val="FootnoteText"/>
      </w:pPr>
      <w:r>
        <w:rPr>
          <w:rStyle w:val="FootnoteReference"/>
        </w:rPr>
        <w:footnoteRef/>
      </w:r>
      <w:r w:rsidRPr="0035286D">
        <w:tab/>
        <w:t xml:space="preserve">Verordening (EU) </w:t>
      </w:r>
      <w:r w:rsidRPr="00762DB3">
        <w:t>2019</w:t>
      </w:r>
      <w:r w:rsidRPr="0035286D">
        <w:t>/</w:t>
      </w:r>
      <w:r w:rsidRPr="00762DB3">
        <w:t>876</w:t>
      </w:r>
      <w:r w:rsidRPr="0035286D">
        <w:t xml:space="preserve"> van het Europees Parlement en de Raad van </w:t>
      </w:r>
      <w:r w:rsidRPr="00762DB3">
        <w:t>20</w:t>
      </w:r>
      <w:r w:rsidRPr="0035286D">
        <w:t xml:space="preserve"> mei </w:t>
      </w:r>
      <w:r w:rsidRPr="00762DB3">
        <w:t>2019</w:t>
      </w:r>
      <w:r w:rsidRPr="0035286D">
        <w:t xml:space="preserve"> tot wijziging van Verordening (EU) nr. </w:t>
      </w:r>
      <w:r w:rsidRPr="00762DB3">
        <w:t>575</w:t>
      </w:r>
      <w:r w:rsidRPr="0035286D">
        <w:t>/</w:t>
      </w:r>
      <w:r w:rsidRPr="00762DB3">
        <w:t>2013</w:t>
      </w:r>
      <w:r w:rsidRPr="0035286D">
        <w:t xml:space="preserve"> wat betreft de hefboomratio, de vereisten inzake eigen vermogen en in aanmerking komende passiva, tegenpartijkredietrisico, marktrisico, blootstellingen aan centrale tegenpartijen, blootstellingen aan instellingen voor collectieve belegging, grote blootstellingen, rapportage- en openbaarmakingsvereisten, en van Verordening (EU) nr. </w:t>
      </w:r>
      <w:r w:rsidRPr="00762DB3">
        <w:t>648</w:t>
      </w:r>
      <w:r w:rsidRPr="0035286D">
        <w:t>/</w:t>
      </w:r>
      <w:r w:rsidRPr="00762DB3">
        <w:t>2012</w:t>
      </w:r>
      <w:r w:rsidRPr="0035286D">
        <w:t xml:space="preserve"> (PB L </w:t>
      </w:r>
      <w:r w:rsidRPr="00762DB3">
        <w:t>150</w:t>
      </w:r>
      <w:r w:rsidRPr="0035286D">
        <w:t xml:space="preserve"> van </w:t>
      </w:r>
      <w:r w:rsidRPr="00762DB3">
        <w:t>7</w:t>
      </w:r>
      <w:r w:rsidRPr="0035286D">
        <w:t>.</w:t>
      </w:r>
      <w:r w:rsidRPr="00762DB3">
        <w:t>6</w:t>
      </w:r>
      <w:r w:rsidRPr="0035286D">
        <w:t>.</w:t>
      </w:r>
      <w:r w:rsidRPr="00762DB3">
        <w:t>2019</w:t>
      </w:r>
      <w:r w:rsidRPr="0035286D">
        <w:t xml:space="preserve">, blz. </w:t>
      </w:r>
      <w:r w:rsidRPr="00762DB3">
        <w:t>1</w:t>
      </w:r>
      <w:r w:rsidRPr="0035286D">
        <w:t>).</w:t>
      </w:r>
    </w:p>
  </w:footnote>
  <w:footnote w:id="5">
    <w:p w14:paraId="5D010433" w14:textId="77777777" w:rsidR="00762DB3" w:rsidRPr="0035286D" w:rsidRDefault="00762DB3" w:rsidP="00AD21AA">
      <w:pPr>
        <w:pStyle w:val="FootnoteText"/>
      </w:pPr>
      <w:r>
        <w:rPr>
          <w:rStyle w:val="FootnoteReference"/>
        </w:rPr>
        <w:footnoteRef/>
      </w:r>
      <w:r w:rsidRPr="0035286D">
        <w:tab/>
        <w:t xml:space="preserve">Verordening (EU) </w:t>
      </w:r>
      <w:r w:rsidRPr="00762DB3">
        <w:t>2019</w:t>
      </w:r>
      <w:r w:rsidRPr="0035286D">
        <w:t>/</w:t>
      </w:r>
      <w:r w:rsidRPr="00762DB3">
        <w:t>630</w:t>
      </w:r>
      <w:r w:rsidRPr="0035286D">
        <w:t xml:space="preserve"> van het Europees Parlement en de Raad van </w:t>
      </w:r>
      <w:r w:rsidRPr="00762DB3">
        <w:t>17</w:t>
      </w:r>
      <w:r w:rsidRPr="0035286D">
        <w:t xml:space="preserve"> april </w:t>
      </w:r>
      <w:r w:rsidRPr="00762DB3">
        <w:t>2019</w:t>
      </w:r>
      <w:r w:rsidRPr="0035286D">
        <w:t xml:space="preserve"> tot wijziging van Verordening (EU.) nr. </w:t>
      </w:r>
      <w:r w:rsidRPr="00762DB3">
        <w:t>575</w:t>
      </w:r>
      <w:r w:rsidRPr="0035286D">
        <w:t>/</w:t>
      </w:r>
      <w:r w:rsidRPr="00762DB3">
        <w:t>2013</w:t>
      </w:r>
      <w:r w:rsidRPr="0035286D">
        <w:t xml:space="preserve"> wat betreft minimale verliesdekking voor niet-renderende blootstellingen (PB L </w:t>
      </w:r>
      <w:r w:rsidRPr="00762DB3">
        <w:t>111</w:t>
      </w:r>
      <w:r w:rsidRPr="0035286D">
        <w:t xml:space="preserve"> van </w:t>
      </w:r>
      <w:r w:rsidRPr="00762DB3">
        <w:t>25</w:t>
      </w:r>
      <w:r w:rsidRPr="0035286D">
        <w:t>.</w:t>
      </w:r>
      <w:r w:rsidRPr="00762DB3">
        <w:t>4</w:t>
      </w:r>
      <w:r w:rsidRPr="0035286D">
        <w:t>.</w:t>
      </w:r>
      <w:r w:rsidRPr="00762DB3">
        <w:t>2019</w:t>
      </w:r>
      <w:r w:rsidRPr="0035286D">
        <w:t xml:space="preserve">, blz. </w:t>
      </w:r>
      <w:r w:rsidRPr="00762DB3">
        <w:t>4</w:t>
      </w:r>
      <w:r w:rsidRPr="0035286D">
        <w:t xml:space="preserve">). </w:t>
      </w:r>
    </w:p>
  </w:footnote>
  <w:footnote w:id="6">
    <w:p w14:paraId="0B0AEE79" w14:textId="77777777" w:rsidR="00762DB3" w:rsidRPr="0035286D" w:rsidRDefault="00762DB3" w:rsidP="00AD21AA">
      <w:pPr>
        <w:pStyle w:val="FootnoteText"/>
      </w:pPr>
      <w:r>
        <w:rPr>
          <w:rStyle w:val="FootnoteReference"/>
        </w:rPr>
        <w:footnoteRef/>
      </w:r>
      <w:r w:rsidRPr="0035286D">
        <w:tab/>
        <w:t xml:space="preserve">Verordening (EU) </w:t>
      </w:r>
      <w:r w:rsidRPr="00762DB3">
        <w:t>2019</w:t>
      </w:r>
      <w:r w:rsidRPr="0035286D">
        <w:t>/</w:t>
      </w:r>
      <w:r w:rsidRPr="00762DB3">
        <w:t>2033</w:t>
      </w:r>
      <w:r w:rsidRPr="0035286D">
        <w:t xml:space="preserve"> van het Europees Parlement en de Raad van </w:t>
      </w:r>
      <w:r w:rsidRPr="00762DB3">
        <w:t>27</w:t>
      </w:r>
      <w:r w:rsidRPr="0035286D">
        <w:t xml:space="preserve"> november </w:t>
      </w:r>
      <w:r w:rsidRPr="00762DB3">
        <w:t>2019</w:t>
      </w:r>
      <w:r w:rsidRPr="0035286D">
        <w:t xml:space="preserve"> betreffende prudentiële vereisten voor beleggingsondernemingen en tot wijziging van Verordeningen (EU) nr. </w:t>
      </w:r>
      <w:r w:rsidRPr="00762DB3">
        <w:t>1093</w:t>
      </w:r>
      <w:r w:rsidRPr="0035286D">
        <w:t>/</w:t>
      </w:r>
      <w:r w:rsidRPr="00762DB3">
        <w:t>2010</w:t>
      </w:r>
      <w:r w:rsidRPr="0035286D">
        <w:t xml:space="preserve">, (EU) nr. </w:t>
      </w:r>
      <w:r w:rsidRPr="00762DB3">
        <w:t>575</w:t>
      </w:r>
      <w:r w:rsidRPr="0035286D">
        <w:t>/</w:t>
      </w:r>
      <w:r w:rsidRPr="00762DB3">
        <w:t>2013</w:t>
      </w:r>
      <w:r w:rsidRPr="0035286D">
        <w:t xml:space="preserve">, (EU) nr. </w:t>
      </w:r>
      <w:r w:rsidRPr="00762DB3">
        <w:t>600</w:t>
      </w:r>
      <w:r w:rsidRPr="0035286D">
        <w:t>/</w:t>
      </w:r>
      <w:r w:rsidRPr="00762DB3">
        <w:t>2014</w:t>
      </w:r>
      <w:r w:rsidRPr="0035286D">
        <w:t xml:space="preserve"> en (EU) nr. </w:t>
      </w:r>
      <w:r w:rsidRPr="00762DB3">
        <w:t>806</w:t>
      </w:r>
      <w:r w:rsidRPr="0035286D">
        <w:t>/</w:t>
      </w:r>
      <w:r w:rsidRPr="00762DB3">
        <w:t>2014</w:t>
      </w:r>
      <w:r w:rsidRPr="0035286D">
        <w:t xml:space="preserve"> (PB L </w:t>
      </w:r>
      <w:r w:rsidRPr="00762DB3">
        <w:t>314</w:t>
      </w:r>
      <w:r w:rsidRPr="0035286D">
        <w:t xml:space="preserve"> van </w:t>
      </w:r>
      <w:r w:rsidRPr="00762DB3">
        <w:t>5</w:t>
      </w:r>
      <w:r w:rsidRPr="0035286D">
        <w:t>.</w:t>
      </w:r>
      <w:r w:rsidRPr="00762DB3">
        <w:t>12</w:t>
      </w:r>
      <w:r w:rsidRPr="0035286D">
        <w:t>.</w:t>
      </w:r>
      <w:r w:rsidRPr="00762DB3">
        <w:t>2019</w:t>
      </w:r>
      <w:r w:rsidRPr="0035286D">
        <w:t xml:space="preserve">, blz. </w:t>
      </w:r>
      <w:r w:rsidRPr="00762DB3">
        <w:t>1</w:t>
      </w:r>
      <w:r w:rsidRPr="0035286D">
        <w:t>).</w:t>
      </w:r>
    </w:p>
  </w:footnote>
  <w:footnote w:id="7">
    <w:p w14:paraId="3D6B588C" w14:textId="1C69D305" w:rsidR="00762DB3" w:rsidRPr="0035286D" w:rsidRDefault="00762DB3" w:rsidP="00AD21AA">
      <w:pPr>
        <w:pStyle w:val="FootnoteText"/>
      </w:pPr>
      <w:r>
        <w:rPr>
          <w:rStyle w:val="FootnoteReference"/>
        </w:rPr>
        <w:footnoteRef/>
      </w:r>
      <w:r w:rsidRPr="0035286D">
        <w:tab/>
        <w:t xml:space="preserve">Verordening (EU) </w:t>
      </w:r>
      <w:r w:rsidRPr="00762DB3">
        <w:t>2020</w:t>
      </w:r>
      <w:r w:rsidRPr="0035286D">
        <w:t>/</w:t>
      </w:r>
      <w:r w:rsidRPr="00762DB3">
        <w:t>873</w:t>
      </w:r>
      <w:r w:rsidRPr="0035286D">
        <w:t xml:space="preserve"> van het Europees Parlement en de Raad van </w:t>
      </w:r>
      <w:r w:rsidRPr="00762DB3">
        <w:t>24</w:t>
      </w:r>
      <w:r w:rsidRPr="0035286D">
        <w:t xml:space="preserve"> juni </w:t>
      </w:r>
      <w:r w:rsidRPr="00762DB3">
        <w:t>2020</w:t>
      </w:r>
      <w:r w:rsidRPr="0035286D">
        <w:t xml:space="preserve"> tot wijziging van de Verordeningen (EU) nr. </w:t>
      </w:r>
      <w:r w:rsidRPr="00762DB3">
        <w:t>575</w:t>
      </w:r>
      <w:r w:rsidRPr="0035286D">
        <w:t>/</w:t>
      </w:r>
      <w:r w:rsidRPr="00762DB3">
        <w:t>2013</w:t>
      </w:r>
      <w:r w:rsidRPr="0035286D">
        <w:t xml:space="preserve"> en (EU) </w:t>
      </w:r>
      <w:r w:rsidRPr="00762DB3">
        <w:t>2019</w:t>
      </w:r>
      <w:r w:rsidRPr="0035286D">
        <w:t>/</w:t>
      </w:r>
      <w:r w:rsidRPr="00762DB3">
        <w:t>876</w:t>
      </w:r>
      <w:r w:rsidRPr="0035286D">
        <w:t xml:space="preserve"> wat betreft bepaalde aanpassingen in respons op de COVID-</w:t>
      </w:r>
      <w:r w:rsidRPr="00762DB3">
        <w:t>19</w:t>
      </w:r>
      <w:r w:rsidRPr="0035286D">
        <w:t xml:space="preserve">-pandemie (PB L </w:t>
      </w:r>
      <w:r w:rsidRPr="00762DB3">
        <w:t>204</w:t>
      </w:r>
      <w:r w:rsidRPr="0035286D">
        <w:t xml:space="preserve"> van </w:t>
      </w:r>
      <w:r w:rsidRPr="00762DB3">
        <w:t>26</w:t>
      </w:r>
      <w:r w:rsidRPr="0035286D">
        <w:t>.</w:t>
      </w:r>
      <w:r w:rsidRPr="00762DB3">
        <w:t>6</w:t>
      </w:r>
      <w:r w:rsidRPr="0035286D">
        <w:t>.</w:t>
      </w:r>
      <w:r w:rsidRPr="00762DB3">
        <w:t>2020</w:t>
      </w:r>
      <w:r w:rsidRPr="0035286D">
        <w:t xml:space="preserve">, blz. </w:t>
      </w:r>
      <w:r w:rsidRPr="00762DB3">
        <w:t>4</w:t>
      </w:r>
      <w:r w:rsidRPr="0035286D">
        <w:t>).</w:t>
      </w:r>
    </w:p>
  </w:footnote>
  <w:footnote w:id="8">
    <w:p w14:paraId="5A30BC5D" w14:textId="77777777" w:rsidR="00762DB3" w:rsidRPr="0035286D" w:rsidRDefault="00762DB3" w:rsidP="00AD21AA">
      <w:pPr>
        <w:pStyle w:val="FootnoteText"/>
      </w:pPr>
      <w:r>
        <w:rPr>
          <w:rStyle w:val="FootnoteReference"/>
        </w:rPr>
        <w:footnoteRef/>
      </w:r>
      <w:r w:rsidRPr="0035286D">
        <w:tab/>
        <w:t xml:space="preserve">Verordening (EU) nr. </w:t>
      </w:r>
      <w:r w:rsidRPr="00762DB3">
        <w:t>1093</w:t>
      </w:r>
      <w:r w:rsidRPr="0035286D">
        <w:t>/</w:t>
      </w:r>
      <w:r w:rsidRPr="00762DB3">
        <w:t>2010</w:t>
      </w:r>
      <w:r w:rsidRPr="0035286D">
        <w:t xml:space="preserve"> van het Europees Parlement en de Raad van </w:t>
      </w:r>
      <w:r w:rsidRPr="00762DB3">
        <w:t>24</w:t>
      </w:r>
      <w:r w:rsidRPr="0035286D">
        <w:t xml:space="preserve"> november </w:t>
      </w:r>
      <w:r w:rsidRPr="00762DB3">
        <w:t>2010</w:t>
      </w:r>
      <w:r w:rsidRPr="0035286D">
        <w:t xml:space="preserve"> tot oprichting van een Europese toezichthoudende autoriteit (Europese Bankautoriteit), tot wijziging van Besluit nr. </w:t>
      </w:r>
      <w:r w:rsidRPr="00762DB3">
        <w:t>716</w:t>
      </w:r>
      <w:r w:rsidRPr="0035286D">
        <w:t>/</w:t>
      </w:r>
      <w:r w:rsidRPr="00762DB3">
        <w:t>2009</w:t>
      </w:r>
      <w:r w:rsidRPr="0035286D">
        <w:t xml:space="preserve">/EG en tot intrekking van Besluit </w:t>
      </w:r>
      <w:r w:rsidRPr="00762DB3">
        <w:t>2009</w:t>
      </w:r>
      <w:r w:rsidRPr="0035286D">
        <w:t>/</w:t>
      </w:r>
      <w:r w:rsidRPr="00762DB3">
        <w:t>78</w:t>
      </w:r>
      <w:r w:rsidRPr="0035286D">
        <w:t xml:space="preserve">/EG van de Commissie (PB L </w:t>
      </w:r>
      <w:r w:rsidRPr="00762DB3">
        <w:t>331</w:t>
      </w:r>
      <w:r w:rsidRPr="0035286D">
        <w:t xml:space="preserve"> van </w:t>
      </w:r>
      <w:r w:rsidRPr="00762DB3">
        <w:t>15</w:t>
      </w:r>
      <w:r w:rsidRPr="0035286D">
        <w:t>.</w:t>
      </w:r>
      <w:r w:rsidRPr="00762DB3">
        <w:t>12</w:t>
      </w:r>
      <w:r w:rsidRPr="0035286D">
        <w:t>.</w:t>
      </w:r>
      <w:r w:rsidRPr="00762DB3">
        <w:t>2010</w:t>
      </w:r>
      <w:r w:rsidRPr="0035286D">
        <w:t xml:space="preserve">, blz. </w:t>
      </w:r>
      <w:r w:rsidRPr="00762DB3">
        <w:t>12</w:t>
      </w:r>
      <w:r w:rsidRPr="0035286D">
        <w:t>).</w:t>
      </w:r>
    </w:p>
  </w:footnote>
  <w:footnote w:id="9">
    <w:p w14:paraId="2F6DC588" w14:textId="77777777" w:rsidR="00762DB3" w:rsidRPr="0035286D" w:rsidRDefault="00762DB3" w:rsidP="0014552F">
      <w:pPr>
        <w:pStyle w:val="FootnoteText"/>
      </w:pPr>
      <w:r>
        <w:rPr>
          <w:rStyle w:val="FootnoteReference"/>
        </w:rPr>
        <w:footnoteRef/>
      </w:r>
      <w:r w:rsidRPr="0035286D">
        <w:tab/>
        <w:t xml:space="preserve">Gedelegeerde Verordening (EU) </w:t>
      </w:r>
      <w:r w:rsidRPr="00762DB3">
        <w:t>2016</w:t>
      </w:r>
      <w:r w:rsidRPr="0035286D">
        <w:t>/</w:t>
      </w:r>
      <w:r w:rsidRPr="00762DB3">
        <w:t>101</w:t>
      </w:r>
      <w:r w:rsidRPr="0035286D">
        <w:t xml:space="preserve"> van de Commissie van </w:t>
      </w:r>
      <w:r w:rsidRPr="00762DB3">
        <w:t>26</w:t>
      </w:r>
      <w:r w:rsidRPr="0035286D">
        <w:t xml:space="preserve"> oktober </w:t>
      </w:r>
      <w:r w:rsidRPr="00762DB3">
        <w:t>2015</w:t>
      </w:r>
      <w:r w:rsidRPr="0035286D">
        <w:t xml:space="preserve"> tot aanvulling van Verordening (EU) nr. </w:t>
      </w:r>
      <w:r w:rsidRPr="00762DB3">
        <w:t>575</w:t>
      </w:r>
      <w:r w:rsidRPr="0035286D">
        <w:t>/</w:t>
      </w:r>
      <w:r w:rsidRPr="00762DB3">
        <w:t>2013</w:t>
      </w:r>
      <w:r w:rsidRPr="0035286D">
        <w:t xml:space="preserve"> van het Europees Parlement en de Raad met technische reguleringsnormen betreffende prudente waardering op grond van artikel </w:t>
      </w:r>
      <w:r w:rsidRPr="00762DB3">
        <w:t>105</w:t>
      </w:r>
      <w:r w:rsidRPr="0035286D">
        <w:t xml:space="preserve">, lid </w:t>
      </w:r>
      <w:r w:rsidRPr="00762DB3">
        <w:t>14</w:t>
      </w:r>
      <w:r w:rsidRPr="0035286D">
        <w:t xml:space="preserve"> (PB L </w:t>
      </w:r>
      <w:r w:rsidRPr="00762DB3">
        <w:t>21</w:t>
      </w:r>
      <w:r w:rsidRPr="0035286D">
        <w:t xml:space="preserve"> van </w:t>
      </w:r>
      <w:r w:rsidRPr="00762DB3">
        <w:t>28</w:t>
      </w:r>
      <w:r w:rsidRPr="0035286D">
        <w:t>.</w:t>
      </w:r>
      <w:r w:rsidRPr="00762DB3">
        <w:t>1</w:t>
      </w:r>
      <w:r w:rsidRPr="0035286D">
        <w:t>.</w:t>
      </w:r>
      <w:r w:rsidRPr="00762DB3">
        <w:t>2016</w:t>
      </w:r>
      <w:r w:rsidRPr="0035286D">
        <w:t xml:space="preserve">, blz. </w:t>
      </w:r>
      <w:r w:rsidRPr="00762DB3">
        <w:t>54</w:t>
      </w:r>
      <w:r w:rsidRPr="0035286D">
        <w:t>).</w:t>
      </w:r>
    </w:p>
  </w:footnote>
  <w:footnote w:id="10">
    <w:p w14:paraId="0D4E857F" w14:textId="659ADEF0" w:rsidR="00762DB3" w:rsidRPr="0035286D" w:rsidRDefault="00762DB3" w:rsidP="00FE0C02">
      <w:pPr>
        <w:pStyle w:val="FootnoteText"/>
      </w:pPr>
      <w:r>
        <w:rPr>
          <w:rStyle w:val="FootnoteReference"/>
        </w:rPr>
        <w:footnoteRef/>
      </w:r>
      <w:r w:rsidRPr="0035286D">
        <w:tab/>
        <w:t xml:space="preserve">Verordening (EG) nr. </w:t>
      </w:r>
      <w:r w:rsidRPr="00762DB3">
        <w:t>1606</w:t>
      </w:r>
      <w:r w:rsidRPr="0035286D">
        <w:t>/</w:t>
      </w:r>
      <w:r w:rsidRPr="00762DB3">
        <w:t>2002</w:t>
      </w:r>
      <w:r w:rsidRPr="0035286D">
        <w:t xml:space="preserve"> van het Europees Parlement en de Raad van </w:t>
      </w:r>
      <w:r w:rsidRPr="00762DB3">
        <w:t>19</w:t>
      </w:r>
      <w:r w:rsidRPr="0035286D">
        <w:t xml:space="preserve"> juli </w:t>
      </w:r>
      <w:r w:rsidRPr="00762DB3">
        <w:t>2002</w:t>
      </w:r>
      <w:r w:rsidRPr="0035286D">
        <w:t xml:space="preserve"> betreffende de toepassing van internationale standaarden voor jaarrekeningen (PB L </w:t>
      </w:r>
      <w:r w:rsidRPr="00762DB3">
        <w:t>243</w:t>
      </w:r>
      <w:r w:rsidRPr="0035286D">
        <w:t xml:space="preserve"> van </w:t>
      </w:r>
      <w:r w:rsidRPr="00762DB3">
        <w:t>11</w:t>
      </w:r>
      <w:r w:rsidRPr="0035286D">
        <w:t>.</w:t>
      </w:r>
      <w:r w:rsidRPr="00762DB3">
        <w:t>9</w:t>
      </w:r>
      <w:r w:rsidRPr="0035286D">
        <w:t>.</w:t>
      </w:r>
      <w:r w:rsidRPr="00762DB3">
        <w:t>2002</w:t>
      </w:r>
      <w:r w:rsidRPr="0035286D">
        <w:t xml:space="preserve">, blz. </w:t>
      </w:r>
      <w:r w:rsidRPr="00762DB3">
        <w:t>1</w:t>
      </w:r>
      <w:r w:rsidRPr="0035286D">
        <w:t>).</w:t>
      </w:r>
    </w:p>
  </w:footnote>
  <w:footnote w:id="11">
    <w:p w14:paraId="186408CB" w14:textId="77777777" w:rsidR="00762DB3" w:rsidRPr="0035286D" w:rsidRDefault="00762DB3" w:rsidP="00FE0C02">
      <w:pPr>
        <w:pStyle w:val="FootnoteText"/>
      </w:pPr>
      <w:r>
        <w:rPr>
          <w:rStyle w:val="FootnoteReference"/>
        </w:rPr>
        <w:footnoteRef/>
      </w:r>
      <w:r w:rsidRPr="0035286D">
        <w:tab/>
        <w:t xml:space="preserve">Richtlijn </w:t>
      </w:r>
      <w:r w:rsidRPr="00762DB3">
        <w:t>2009</w:t>
      </w:r>
      <w:r w:rsidRPr="0035286D">
        <w:t>/</w:t>
      </w:r>
      <w:r w:rsidRPr="00762DB3">
        <w:t>65</w:t>
      </w:r>
      <w:r w:rsidRPr="0035286D">
        <w:t xml:space="preserve">/EG van het Europees Parlement en de Raad van </w:t>
      </w:r>
      <w:r w:rsidRPr="00762DB3">
        <w:t>13</w:t>
      </w:r>
      <w:r w:rsidRPr="0035286D">
        <w:t xml:space="preserve"> juli </w:t>
      </w:r>
      <w:r w:rsidRPr="00762DB3">
        <w:t>2009</w:t>
      </w:r>
      <w:r w:rsidRPr="0035286D">
        <w:t xml:space="preserve"> tot coördinatie van de wettelijke en bestuursrechtelijke bepalingen betreffende bepaalde instellingen voor collectieve belegging in effecten (icbe’s) (PB L </w:t>
      </w:r>
      <w:r w:rsidRPr="00762DB3">
        <w:t>302</w:t>
      </w:r>
      <w:r w:rsidRPr="0035286D">
        <w:t xml:space="preserve"> van </w:t>
      </w:r>
      <w:r w:rsidRPr="00762DB3">
        <w:t>17</w:t>
      </w:r>
      <w:r w:rsidRPr="0035286D">
        <w:t>.</w:t>
      </w:r>
      <w:r w:rsidRPr="00762DB3">
        <w:t>11</w:t>
      </w:r>
      <w:r w:rsidRPr="0035286D">
        <w:t>.</w:t>
      </w:r>
      <w:r w:rsidRPr="00762DB3">
        <w:t>2009</w:t>
      </w:r>
      <w:r w:rsidRPr="0035286D">
        <w:t xml:space="preserve">, blz. </w:t>
      </w:r>
      <w:r w:rsidRPr="00762DB3">
        <w:t>32</w:t>
      </w:r>
      <w:r w:rsidRPr="0035286D">
        <w:t>).</w:t>
      </w:r>
    </w:p>
  </w:footnote>
  <w:footnote w:id="12">
    <w:p w14:paraId="50B21B4D" w14:textId="77777777" w:rsidR="00762DB3" w:rsidRPr="0035286D" w:rsidRDefault="00762DB3" w:rsidP="00FE0C02">
      <w:pPr>
        <w:pStyle w:val="FootnoteText"/>
      </w:pPr>
      <w:r>
        <w:rPr>
          <w:rStyle w:val="FootnoteReference"/>
        </w:rPr>
        <w:footnoteRef/>
      </w:r>
      <w:r w:rsidRPr="0035286D">
        <w:tab/>
        <w:t xml:space="preserve">Verordening (EU) nr. </w:t>
      </w:r>
      <w:r w:rsidRPr="00762DB3">
        <w:t>806</w:t>
      </w:r>
      <w:r w:rsidRPr="0035286D">
        <w:t>/</w:t>
      </w:r>
      <w:r w:rsidRPr="00762DB3">
        <w:t>2014</w:t>
      </w:r>
      <w:r w:rsidRPr="0035286D">
        <w:t xml:space="preserve"> van het Europees Parlement en de Raad van </w:t>
      </w:r>
      <w:r w:rsidRPr="00762DB3">
        <w:t>15</w:t>
      </w:r>
      <w:r w:rsidRPr="0035286D">
        <w:t xml:space="preserve"> juli </w:t>
      </w:r>
      <w:r w:rsidRPr="00762DB3">
        <w:t>2014</w:t>
      </w:r>
      <w:r w:rsidRPr="0035286D">
        <w:t xml:space="preserve"> tot vaststelling van eenvormige regels en een eenvormige procedure voor de afwikkeling van kredietinstellingen en bepaalde beleggingsondernemingen in het kader van een gemeenschappelijk afwikkelingsmechanisme en een gemeenschappelijk afwikkelingsfonds en tot wijziging van Verordening (EU) nr. </w:t>
      </w:r>
      <w:r w:rsidRPr="00762DB3">
        <w:t>1093</w:t>
      </w:r>
      <w:r w:rsidRPr="0035286D">
        <w:t>/</w:t>
      </w:r>
      <w:r w:rsidRPr="00762DB3">
        <w:t>2010</w:t>
      </w:r>
      <w:r w:rsidRPr="0035286D">
        <w:t xml:space="preserve"> (PB L </w:t>
      </w:r>
      <w:r w:rsidRPr="00762DB3">
        <w:t>225</w:t>
      </w:r>
      <w:r w:rsidRPr="0035286D">
        <w:t xml:space="preserve"> van </w:t>
      </w:r>
      <w:r w:rsidRPr="00762DB3">
        <w:t>30</w:t>
      </w:r>
      <w:r w:rsidRPr="0035286D">
        <w:t>.</w:t>
      </w:r>
      <w:r w:rsidRPr="00762DB3">
        <w:t>7</w:t>
      </w:r>
      <w:r w:rsidRPr="0035286D">
        <w:t>.</w:t>
      </w:r>
      <w:r w:rsidRPr="00762DB3">
        <w:t>2014</w:t>
      </w:r>
      <w:r w:rsidRPr="0035286D">
        <w:t xml:space="preserve">, blz. </w:t>
      </w:r>
      <w:r w:rsidRPr="00762DB3">
        <w:t>1</w:t>
      </w:r>
      <w:r w:rsidRPr="0035286D">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08 11:32:26"/>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71CDE62A-3518-4854-8C75-48389E1EE6C5"/>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lt;EMPTY&gt;"/>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vaststelling van technische uitvoeringsnormen voor de toepassing van Verordening (EU) nr. 575/2013 van het Europees Parlement en de Raad wat betreft de rapportage aan de toezichthoudende autoriteit door instellingen en tot intrekking van Uitvoeringsverordening (EU) nr. 680/2014 _x000b_"/>
    <w:docVar w:name="LW_TYPE.DOC.CP" w:val="UITVOERINGSVERORDENING (EU) \u8230?/... VAN DE COMMISSIE"/>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814C5"/>
    <w:rsid w:val="00194CD4"/>
    <w:rsid w:val="001957E2"/>
    <w:rsid w:val="001A14C2"/>
    <w:rsid w:val="001E7F77"/>
    <w:rsid w:val="00221852"/>
    <w:rsid w:val="002360F2"/>
    <w:rsid w:val="002759C1"/>
    <w:rsid w:val="00276921"/>
    <w:rsid w:val="00285E17"/>
    <w:rsid w:val="002B6FA8"/>
    <w:rsid w:val="002C0C3E"/>
    <w:rsid w:val="002C1097"/>
    <w:rsid w:val="002C1CA0"/>
    <w:rsid w:val="002D22E3"/>
    <w:rsid w:val="002E476B"/>
    <w:rsid w:val="003252D5"/>
    <w:rsid w:val="00332B33"/>
    <w:rsid w:val="00334AD0"/>
    <w:rsid w:val="00352527"/>
    <w:rsid w:val="0035286D"/>
    <w:rsid w:val="0036351A"/>
    <w:rsid w:val="003A1165"/>
    <w:rsid w:val="003A6A98"/>
    <w:rsid w:val="003B14E5"/>
    <w:rsid w:val="003B2A70"/>
    <w:rsid w:val="003D6311"/>
    <w:rsid w:val="003E7FD2"/>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08C1"/>
    <w:rsid w:val="007241CC"/>
    <w:rsid w:val="00725875"/>
    <w:rsid w:val="00762DB3"/>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180B"/>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nl-NL"/>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nl-NL"/>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nl-NL"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A7B425-7299-4825-8BE5-958E877E7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7124</Words>
  <Characters>44244</Characters>
  <Application>Microsoft Office Word</Application>
  <DocSecurity>0</DocSecurity>
  <Lines>776</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2020-12-21T08:11:00Z</dcterms:created>
  <dcterms:modified xsi:type="dcterms:W3CDTF">2020-12-21T08:11:00Z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