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4B188" w14:textId="77777777" w:rsidR="001F0676" w:rsidRPr="00864866" w:rsidRDefault="001F0676" w:rsidP="000B66BC">
      <w:pPr>
        <w:spacing w:after="240"/>
        <w:jc w:val="center"/>
        <w:rPr>
          <w:rFonts w:ascii="Times New Roman" w:hAnsi="Times New Roman"/>
          <w:sz w:val="24"/>
          <w:szCs w:val="24"/>
        </w:rPr>
      </w:pPr>
    </w:p>
    <w:p w14:paraId="6E4B8B64" w14:textId="77777777" w:rsidR="00BB7DB0" w:rsidRPr="00864866" w:rsidRDefault="00BB7DB0" w:rsidP="000B66BC">
      <w:pPr>
        <w:spacing w:after="240"/>
        <w:jc w:val="center"/>
        <w:rPr>
          <w:rFonts w:ascii="Times New Roman" w:hAnsi="Times New Roman"/>
          <w:sz w:val="24"/>
          <w:szCs w:val="24"/>
        </w:rPr>
      </w:pPr>
    </w:p>
    <w:p w14:paraId="632F6520" w14:textId="77777777" w:rsidR="001807E9" w:rsidRPr="00864866" w:rsidRDefault="001807E9" w:rsidP="000B66BC">
      <w:pPr>
        <w:spacing w:after="240"/>
        <w:jc w:val="center"/>
        <w:rPr>
          <w:rFonts w:ascii="Times New Roman" w:hAnsi="Times New Roman"/>
          <w:sz w:val="24"/>
          <w:szCs w:val="24"/>
        </w:rPr>
      </w:pPr>
    </w:p>
    <w:p w14:paraId="2C4768C0" w14:textId="77777777" w:rsidR="00A15D28" w:rsidRPr="000B66BC" w:rsidRDefault="00A15D28" w:rsidP="000B66BC">
      <w:pPr>
        <w:spacing w:after="240"/>
        <w:jc w:val="center"/>
        <w:rPr>
          <w:rFonts w:ascii="Times New Roman" w:hAnsi="Times New Roman"/>
          <w:sz w:val="24"/>
          <w:szCs w:val="24"/>
        </w:rPr>
      </w:pPr>
      <w:r>
        <w:rPr>
          <w:rFonts w:ascii="Times New Roman" w:hAnsi="Times New Roman"/>
          <w:sz w:val="24"/>
          <w:szCs w:val="24"/>
        </w:rPr>
        <w:t>ПРИЛОЖЕНИЕ XI</w:t>
      </w:r>
    </w:p>
    <w:p w14:paraId="4A8A4559" w14:textId="0A064FD8" w:rsidR="00A15D28" w:rsidRPr="000B66BC" w:rsidRDefault="00A84D67" w:rsidP="000B66BC">
      <w:pPr>
        <w:spacing w:after="240"/>
        <w:jc w:val="center"/>
        <w:rPr>
          <w:rFonts w:ascii="Times New Roman" w:hAnsi="Times New Roman"/>
          <w:sz w:val="24"/>
          <w:szCs w:val="24"/>
        </w:rPr>
      </w:pPr>
      <w:r>
        <w:rPr>
          <w:rFonts w:ascii="Times New Roman" w:hAnsi="Times New Roman"/>
          <w:b/>
          <w:sz w:val="24"/>
          <w:szCs w:val="24"/>
        </w:rPr>
        <w:t>УКАЗАНИЯ ЗА ДОКЛАДВАНЕ НА ЛИВЪРИДЖ</w:t>
      </w:r>
    </w:p>
    <w:p w14:paraId="359338A1" w14:textId="77777777" w:rsidR="00F4754B" w:rsidRPr="000B66BC" w:rsidRDefault="00F4754B" w:rsidP="000B66BC">
      <w:pPr>
        <w:pStyle w:val="BodyText1"/>
        <w:spacing w:after="240"/>
        <w:rPr>
          <w:rFonts w:ascii="Times New Roman" w:hAnsi="Times New Roman"/>
          <w:sz w:val="24"/>
          <w:szCs w:val="24"/>
        </w:rPr>
      </w:pPr>
    </w:p>
    <w:p w14:paraId="6BF05566" w14:textId="77777777" w:rsidR="00A15D28" w:rsidRPr="000B66BC" w:rsidRDefault="00A15D28" w:rsidP="000B66BC">
      <w:pPr>
        <w:pStyle w:val="BodyText1"/>
        <w:spacing w:after="240"/>
        <w:rPr>
          <w:rFonts w:ascii="Times New Roman" w:hAnsi="Times New Roman"/>
          <w:sz w:val="24"/>
          <w:szCs w:val="24"/>
        </w:rPr>
      </w:pPr>
    </w:p>
    <w:p w14:paraId="7E090CE2" w14:textId="77777777" w:rsidR="00F4754B" w:rsidRPr="000B66BC" w:rsidRDefault="00F4754B" w:rsidP="000B66BC">
      <w:pPr>
        <w:pStyle w:val="BodyText1"/>
        <w:spacing w:after="240"/>
        <w:rPr>
          <w:rFonts w:ascii="Times New Roman" w:hAnsi="Times New Roman"/>
          <w:sz w:val="24"/>
          <w:szCs w:val="24"/>
        </w:rPr>
      </w:pPr>
    </w:p>
    <w:p w14:paraId="3C402A6B" w14:textId="77777777" w:rsidR="009112BB" w:rsidRPr="000B66BC" w:rsidRDefault="009112BB" w:rsidP="000B66BC">
      <w:pPr>
        <w:pStyle w:val="BodyText1"/>
        <w:spacing w:after="240"/>
        <w:ind w:left="720"/>
        <w:rPr>
          <w:rFonts w:ascii="Times New Roman" w:hAnsi="Times New Roman"/>
          <w:sz w:val="24"/>
          <w:szCs w:val="24"/>
        </w:rPr>
      </w:pPr>
    </w:p>
    <w:p w14:paraId="25506580" w14:textId="2A876544" w:rsidR="00634238" w:rsidRDefault="00391EF9">
      <w:pPr>
        <w:pStyle w:val="TOC1"/>
        <w:rPr>
          <w:rFonts w:asciiTheme="minorHAnsi" w:eastAsiaTheme="minorEastAsia" w:hAnsiTheme="minorHAnsi" w:cstheme="minorBidi"/>
          <w:color w:val="auto"/>
          <w:sz w:val="22"/>
          <w:szCs w:val="22"/>
          <w:lang w:val="en-US"/>
        </w:rPr>
      </w:pPr>
      <w:r>
        <w:rPr>
          <w:rFonts w:ascii="Times New Roman" w:hAnsi="Times New Roman"/>
          <w:b/>
          <w:sz w:val="24"/>
          <w:szCs w:val="24"/>
        </w:rPr>
        <w:fldChar w:fldCharType="begin"/>
      </w:r>
      <w:r>
        <w:rPr>
          <w:rFonts w:ascii="Times New Roman" w:hAnsi="Times New Roman"/>
          <w:b/>
          <w:sz w:val="24"/>
          <w:szCs w:val="24"/>
        </w:rPr>
        <w:instrText xml:space="preserve"> TOC \o "1-3" \h \z \u </w:instrText>
      </w:r>
      <w:r>
        <w:rPr>
          <w:rFonts w:ascii="Times New Roman" w:hAnsi="Times New Roman"/>
          <w:b/>
          <w:sz w:val="24"/>
          <w:szCs w:val="24"/>
        </w:rPr>
        <w:fldChar w:fldCharType="separate"/>
      </w:r>
      <w:hyperlink w:anchor="_Toc58840514" w:history="1">
        <w:r w:rsidR="00634238" w:rsidRPr="001A669E">
          <w:rPr>
            <w:rStyle w:val="Hyperlink"/>
            <w:rFonts w:ascii="Times New Roman" w:hAnsi="Times New Roman"/>
            <w:b/>
          </w:rPr>
          <w:t>ЧАСТ I: ОБЩИ УКАЗАНИЯ</w:t>
        </w:r>
        <w:r w:rsidR="00634238">
          <w:rPr>
            <w:webHidden/>
          </w:rPr>
          <w:tab/>
        </w:r>
        <w:r w:rsidR="00634238">
          <w:rPr>
            <w:webHidden/>
          </w:rPr>
          <w:fldChar w:fldCharType="begin"/>
        </w:r>
        <w:r w:rsidR="00634238">
          <w:rPr>
            <w:webHidden/>
          </w:rPr>
          <w:instrText xml:space="preserve"> PAGEREF _Toc58840514 \h </w:instrText>
        </w:r>
        <w:r w:rsidR="00634238">
          <w:rPr>
            <w:webHidden/>
          </w:rPr>
        </w:r>
        <w:r w:rsidR="00634238">
          <w:rPr>
            <w:webHidden/>
          </w:rPr>
          <w:fldChar w:fldCharType="separate"/>
        </w:r>
        <w:r w:rsidR="00692F00">
          <w:rPr>
            <w:webHidden/>
          </w:rPr>
          <w:t>2</w:t>
        </w:r>
        <w:r w:rsidR="00634238">
          <w:rPr>
            <w:webHidden/>
          </w:rPr>
          <w:fldChar w:fldCharType="end"/>
        </w:r>
      </w:hyperlink>
    </w:p>
    <w:p w14:paraId="18529A79" w14:textId="407A847D" w:rsidR="00634238" w:rsidRDefault="00692F00">
      <w:pPr>
        <w:pStyle w:val="TOC2"/>
        <w:rPr>
          <w:rFonts w:asciiTheme="minorHAnsi" w:eastAsiaTheme="minorEastAsia" w:hAnsiTheme="minorHAnsi" w:cstheme="minorBidi"/>
          <w:b w:val="0"/>
          <w:smallCaps w:val="0"/>
          <w:sz w:val="22"/>
          <w:lang w:val="en-US"/>
        </w:rPr>
      </w:pPr>
      <w:hyperlink w:anchor="_Toc58840515" w:history="1">
        <w:r w:rsidR="00634238" w:rsidRPr="001A669E">
          <w:rPr>
            <w:rStyle w:val="Hyperlink"/>
            <w:rFonts w:ascii="Times New Roman" w:hAnsi="Times New Roman"/>
          </w:rPr>
          <w:t>1.</w:t>
        </w:r>
        <w:r w:rsidR="00634238">
          <w:rPr>
            <w:rFonts w:asciiTheme="minorHAnsi" w:eastAsiaTheme="minorEastAsia" w:hAnsiTheme="minorHAnsi" w:cstheme="minorBidi"/>
            <w:b w:val="0"/>
            <w:smallCaps w:val="0"/>
            <w:sz w:val="22"/>
            <w:lang w:val="en-US"/>
          </w:rPr>
          <w:tab/>
        </w:r>
        <w:r w:rsidR="00634238" w:rsidRPr="001A669E">
          <w:rPr>
            <w:rStyle w:val="Hyperlink"/>
            <w:rFonts w:ascii="Times New Roman" w:hAnsi="Times New Roman"/>
          </w:rPr>
          <w:t>Структура и възприети практики</w:t>
        </w:r>
        <w:r w:rsidR="00634238">
          <w:rPr>
            <w:webHidden/>
          </w:rPr>
          <w:tab/>
        </w:r>
        <w:r w:rsidR="00634238">
          <w:rPr>
            <w:webHidden/>
          </w:rPr>
          <w:fldChar w:fldCharType="begin"/>
        </w:r>
        <w:r w:rsidR="00634238">
          <w:rPr>
            <w:webHidden/>
          </w:rPr>
          <w:instrText xml:space="preserve"> PAGEREF _Toc58840515 \h </w:instrText>
        </w:r>
        <w:r w:rsidR="00634238">
          <w:rPr>
            <w:webHidden/>
          </w:rPr>
        </w:r>
        <w:r w:rsidR="00634238">
          <w:rPr>
            <w:webHidden/>
          </w:rPr>
          <w:fldChar w:fldCharType="separate"/>
        </w:r>
        <w:r>
          <w:rPr>
            <w:webHidden/>
          </w:rPr>
          <w:t>2</w:t>
        </w:r>
        <w:r w:rsidR="00634238">
          <w:rPr>
            <w:webHidden/>
          </w:rPr>
          <w:fldChar w:fldCharType="end"/>
        </w:r>
      </w:hyperlink>
    </w:p>
    <w:p w14:paraId="33FCC590" w14:textId="29AF7D80" w:rsidR="00634238" w:rsidRDefault="00692F00">
      <w:pPr>
        <w:pStyle w:val="TOC3"/>
        <w:rPr>
          <w:rFonts w:asciiTheme="minorHAnsi" w:eastAsiaTheme="minorEastAsia" w:hAnsiTheme="minorHAnsi" w:cstheme="minorBidi"/>
          <w:smallCaps w:val="0"/>
          <w:sz w:val="22"/>
          <w:szCs w:val="22"/>
          <w:lang w:val="en-US"/>
        </w:rPr>
      </w:pPr>
      <w:hyperlink w:anchor="_Toc58840516" w:history="1">
        <w:r w:rsidR="00634238" w:rsidRPr="001A669E">
          <w:rPr>
            <w:rStyle w:val="Hyperlink"/>
            <w:rFonts w:ascii="Times New Roman" w:hAnsi="Times New Roman"/>
            <w:b/>
          </w:rPr>
          <w:t>1.1.</w:t>
        </w:r>
        <w:r w:rsidR="00634238">
          <w:rPr>
            <w:rFonts w:asciiTheme="minorHAnsi" w:eastAsiaTheme="minorEastAsia" w:hAnsiTheme="minorHAnsi" w:cstheme="minorBidi"/>
            <w:smallCaps w:val="0"/>
            <w:sz w:val="22"/>
            <w:szCs w:val="22"/>
            <w:lang w:val="en-US"/>
          </w:rPr>
          <w:tab/>
        </w:r>
        <w:r w:rsidR="00634238" w:rsidRPr="001A669E">
          <w:rPr>
            <w:rStyle w:val="Hyperlink"/>
            <w:rFonts w:ascii="Times New Roman" w:hAnsi="Times New Roman"/>
            <w:b/>
          </w:rPr>
          <w:t>Структура</w:t>
        </w:r>
        <w:r w:rsidR="00634238">
          <w:rPr>
            <w:webHidden/>
          </w:rPr>
          <w:tab/>
        </w:r>
        <w:r w:rsidR="00634238">
          <w:rPr>
            <w:webHidden/>
          </w:rPr>
          <w:fldChar w:fldCharType="begin"/>
        </w:r>
        <w:r w:rsidR="00634238">
          <w:rPr>
            <w:webHidden/>
          </w:rPr>
          <w:instrText xml:space="preserve"> PAGEREF _Toc58840516 \h </w:instrText>
        </w:r>
        <w:r w:rsidR="00634238">
          <w:rPr>
            <w:webHidden/>
          </w:rPr>
        </w:r>
        <w:r w:rsidR="00634238">
          <w:rPr>
            <w:webHidden/>
          </w:rPr>
          <w:fldChar w:fldCharType="separate"/>
        </w:r>
        <w:r>
          <w:rPr>
            <w:webHidden/>
          </w:rPr>
          <w:t>2</w:t>
        </w:r>
        <w:r w:rsidR="00634238">
          <w:rPr>
            <w:webHidden/>
          </w:rPr>
          <w:fldChar w:fldCharType="end"/>
        </w:r>
      </w:hyperlink>
    </w:p>
    <w:p w14:paraId="0333E23C" w14:textId="11814B03" w:rsidR="00634238" w:rsidRDefault="00692F00">
      <w:pPr>
        <w:pStyle w:val="TOC3"/>
        <w:rPr>
          <w:rFonts w:asciiTheme="minorHAnsi" w:eastAsiaTheme="minorEastAsia" w:hAnsiTheme="minorHAnsi" w:cstheme="minorBidi"/>
          <w:smallCaps w:val="0"/>
          <w:sz w:val="22"/>
          <w:szCs w:val="22"/>
          <w:lang w:val="en-US"/>
        </w:rPr>
      </w:pPr>
      <w:hyperlink w:anchor="_Toc58840517" w:history="1">
        <w:r w:rsidR="00634238" w:rsidRPr="001A669E">
          <w:rPr>
            <w:rStyle w:val="Hyperlink"/>
            <w:rFonts w:ascii="Times New Roman" w:hAnsi="Times New Roman"/>
            <w:b/>
          </w:rPr>
          <w:t>1.2.</w:t>
        </w:r>
        <w:r w:rsidR="00634238">
          <w:rPr>
            <w:rFonts w:asciiTheme="minorHAnsi" w:eastAsiaTheme="minorEastAsia" w:hAnsiTheme="minorHAnsi" w:cstheme="minorBidi"/>
            <w:smallCaps w:val="0"/>
            <w:sz w:val="22"/>
            <w:szCs w:val="22"/>
            <w:lang w:val="en-US"/>
          </w:rPr>
          <w:tab/>
        </w:r>
        <w:r w:rsidR="00634238" w:rsidRPr="001A669E">
          <w:rPr>
            <w:rStyle w:val="Hyperlink"/>
            <w:rFonts w:ascii="Times New Roman" w:hAnsi="Times New Roman"/>
            <w:b/>
          </w:rPr>
          <w:t>Номериране</w:t>
        </w:r>
        <w:r w:rsidR="00634238">
          <w:rPr>
            <w:webHidden/>
          </w:rPr>
          <w:tab/>
        </w:r>
        <w:r w:rsidR="00634238">
          <w:rPr>
            <w:webHidden/>
          </w:rPr>
          <w:fldChar w:fldCharType="begin"/>
        </w:r>
        <w:r w:rsidR="00634238">
          <w:rPr>
            <w:webHidden/>
          </w:rPr>
          <w:instrText xml:space="preserve"> PAGEREF _Toc58840517 \h </w:instrText>
        </w:r>
        <w:r w:rsidR="00634238">
          <w:rPr>
            <w:webHidden/>
          </w:rPr>
        </w:r>
        <w:r w:rsidR="00634238">
          <w:rPr>
            <w:webHidden/>
          </w:rPr>
          <w:fldChar w:fldCharType="separate"/>
        </w:r>
        <w:r>
          <w:rPr>
            <w:webHidden/>
          </w:rPr>
          <w:t>2</w:t>
        </w:r>
        <w:r w:rsidR="00634238">
          <w:rPr>
            <w:webHidden/>
          </w:rPr>
          <w:fldChar w:fldCharType="end"/>
        </w:r>
      </w:hyperlink>
    </w:p>
    <w:p w14:paraId="787ABEC2" w14:textId="74FDA0D2" w:rsidR="00634238" w:rsidRDefault="00692F00">
      <w:pPr>
        <w:pStyle w:val="TOC3"/>
        <w:rPr>
          <w:rFonts w:asciiTheme="minorHAnsi" w:eastAsiaTheme="minorEastAsia" w:hAnsiTheme="minorHAnsi" w:cstheme="minorBidi"/>
          <w:smallCaps w:val="0"/>
          <w:sz w:val="22"/>
          <w:szCs w:val="22"/>
          <w:lang w:val="en-US"/>
        </w:rPr>
      </w:pPr>
      <w:hyperlink w:anchor="_Toc58840518" w:history="1">
        <w:r w:rsidR="00634238" w:rsidRPr="001A669E">
          <w:rPr>
            <w:rStyle w:val="Hyperlink"/>
            <w:rFonts w:ascii="Times New Roman" w:hAnsi="Times New Roman"/>
            <w:b/>
          </w:rPr>
          <w:t>1.3.</w:t>
        </w:r>
        <w:r w:rsidR="00634238">
          <w:rPr>
            <w:rFonts w:asciiTheme="minorHAnsi" w:eastAsiaTheme="minorEastAsia" w:hAnsiTheme="minorHAnsi" w:cstheme="minorBidi"/>
            <w:smallCaps w:val="0"/>
            <w:sz w:val="22"/>
            <w:szCs w:val="22"/>
            <w:lang w:val="en-US"/>
          </w:rPr>
          <w:tab/>
        </w:r>
        <w:r w:rsidR="00634238" w:rsidRPr="001A669E">
          <w:rPr>
            <w:rStyle w:val="Hyperlink"/>
            <w:rFonts w:ascii="Times New Roman" w:hAnsi="Times New Roman"/>
            <w:b/>
          </w:rPr>
          <w:t>Съкращения</w:t>
        </w:r>
        <w:bookmarkStart w:id="0" w:name="_GoBack"/>
        <w:bookmarkEnd w:id="0"/>
        <w:r w:rsidR="00634238">
          <w:rPr>
            <w:webHidden/>
          </w:rPr>
          <w:tab/>
        </w:r>
        <w:r w:rsidR="00634238">
          <w:rPr>
            <w:webHidden/>
          </w:rPr>
          <w:fldChar w:fldCharType="begin"/>
        </w:r>
        <w:r w:rsidR="00634238">
          <w:rPr>
            <w:webHidden/>
          </w:rPr>
          <w:instrText xml:space="preserve"> PAGEREF _Toc58840518 \h </w:instrText>
        </w:r>
        <w:r w:rsidR="00634238">
          <w:rPr>
            <w:webHidden/>
          </w:rPr>
        </w:r>
        <w:r w:rsidR="00634238">
          <w:rPr>
            <w:webHidden/>
          </w:rPr>
          <w:fldChar w:fldCharType="separate"/>
        </w:r>
        <w:r>
          <w:rPr>
            <w:webHidden/>
          </w:rPr>
          <w:t>3</w:t>
        </w:r>
        <w:r w:rsidR="00634238">
          <w:rPr>
            <w:webHidden/>
          </w:rPr>
          <w:fldChar w:fldCharType="end"/>
        </w:r>
      </w:hyperlink>
    </w:p>
    <w:p w14:paraId="17F503B4" w14:textId="4AB2C8F5" w:rsidR="00634238" w:rsidRDefault="00692F00">
      <w:pPr>
        <w:pStyle w:val="TOC3"/>
        <w:rPr>
          <w:rFonts w:asciiTheme="minorHAnsi" w:eastAsiaTheme="minorEastAsia" w:hAnsiTheme="minorHAnsi" w:cstheme="minorBidi"/>
          <w:smallCaps w:val="0"/>
          <w:sz w:val="22"/>
          <w:szCs w:val="22"/>
          <w:lang w:val="en-US"/>
        </w:rPr>
      </w:pPr>
      <w:hyperlink w:anchor="_Toc58840519" w:history="1">
        <w:r w:rsidR="00634238" w:rsidRPr="001A669E">
          <w:rPr>
            <w:rStyle w:val="Hyperlink"/>
            <w:rFonts w:ascii="Times New Roman" w:hAnsi="Times New Roman"/>
            <w:b/>
          </w:rPr>
          <w:t>1.4.</w:t>
        </w:r>
        <w:r w:rsidR="00634238">
          <w:rPr>
            <w:rFonts w:asciiTheme="minorHAnsi" w:eastAsiaTheme="minorEastAsia" w:hAnsiTheme="minorHAnsi" w:cstheme="minorBidi"/>
            <w:smallCaps w:val="0"/>
            <w:sz w:val="22"/>
            <w:szCs w:val="22"/>
            <w:lang w:val="en-US"/>
          </w:rPr>
          <w:tab/>
        </w:r>
        <w:r w:rsidR="00634238" w:rsidRPr="001A669E">
          <w:rPr>
            <w:rStyle w:val="Hyperlink"/>
            <w:rFonts w:ascii="Times New Roman" w:hAnsi="Times New Roman"/>
            <w:b/>
          </w:rPr>
          <w:t>Установени практики при използването на знаци</w:t>
        </w:r>
        <w:r w:rsidR="00634238">
          <w:rPr>
            <w:webHidden/>
          </w:rPr>
          <w:tab/>
        </w:r>
        <w:r w:rsidR="00634238">
          <w:rPr>
            <w:webHidden/>
          </w:rPr>
          <w:fldChar w:fldCharType="begin"/>
        </w:r>
        <w:r w:rsidR="00634238">
          <w:rPr>
            <w:webHidden/>
          </w:rPr>
          <w:instrText xml:space="preserve"> PAGEREF _Toc58840519 \h </w:instrText>
        </w:r>
        <w:r w:rsidR="00634238">
          <w:rPr>
            <w:webHidden/>
          </w:rPr>
        </w:r>
        <w:r w:rsidR="00634238">
          <w:rPr>
            <w:webHidden/>
          </w:rPr>
          <w:fldChar w:fldCharType="separate"/>
        </w:r>
        <w:r>
          <w:rPr>
            <w:webHidden/>
          </w:rPr>
          <w:t>3</w:t>
        </w:r>
        <w:r w:rsidR="00634238">
          <w:rPr>
            <w:webHidden/>
          </w:rPr>
          <w:fldChar w:fldCharType="end"/>
        </w:r>
      </w:hyperlink>
    </w:p>
    <w:p w14:paraId="2D9BD819" w14:textId="2A3A0A8F" w:rsidR="00634238" w:rsidRDefault="00692F00">
      <w:pPr>
        <w:pStyle w:val="TOC1"/>
        <w:rPr>
          <w:rFonts w:asciiTheme="minorHAnsi" w:eastAsiaTheme="minorEastAsia" w:hAnsiTheme="minorHAnsi" w:cstheme="minorBidi"/>
          <w:color w:val="auto"/>
          <w:sz w:val="22"/>
          <w:szCs w:val="22"/>
          <w:lang w:val="en-US"/>
        </w:rPr>
      </w:pPr>
      <w:hyperlink w:anchor="_Toc58840520" w:history="1">
        <w:r w:rsidR="00634238" w:rsidRPr="001A669E">
          <w:rPr>
            <w:rStyle w:val="Hyperlink"/>
            <w:rFonts w:ascii="Times New Roman" w:hAnsi="Times New Roman"/>
            <w:b/>
          </w:rPr>
          <w:t>ЧАСТ II: УКАЗАНИЯ ОТНОСНО ОБРАЗЦИТЕ</w:t>
        </w:r>
        <w:r w:rsidR="00634238">
          <w:rPr>
            <w:webHidden/>
          </w:rPr>
          <w:tab/>
        </w:r>
        <w:r w:rsidR="00634238">
          <w:rPr>
            <w:webHidden/>
          </w:rPr>
          <w:fldChar w:fldCharType="begin"/>
        </w:r>
        <w:r w:rsidR="00634238">
          <w:rPr>
            <w:webHidden/>
          </w:rPr>
          <w:instrText xml:space="preserve"> PAGEREF _Toc58840520 \h </w:instrText>
        </w:r>
        <w:r w:rsidR="00634238">
          <w:rPr>
            <w:webHidden/>
          </w:rPr>
        </w:r>
        <w:r w:rsidR="00634238">
          <w:rPr>
            <w:webHidden/>
          </w:rPr>
          <w:fldChar w:fldCharType="separate"/>
        </w:r>
        <w:r>
          <w:rPr>
            <w:webHidden/>
          </w:rPr>
          <w:t>4</w:t>
        </w:r>
        <w:r w:rsidR="00634238">
          <w:rPr>
            <w:webHidden/>
          </w:rPr>
          <w:fldChar w:fldCharType="end"/>
        </w:r>
      </w:hyperlink>
    </w:p>
    <w:p w14:paraId="4EBE0A67" w14:textId="43D3DDE6" w:rsidR="00634238" w:rsidRDefault="00692F00">
      <w:pPr>
        <w:pStyle w:val="TOC2"/>
        <w:rPr>
          <w:rFonts w:asciiTheme="minorHAnsi" w:eastAsiaTheme="minorEastAsia" w:hAnsiTheme="minorHAnsi" w:cstheme="minorBidi"/>
          <w:b w:val="0"/>
          <w:smallCaps w:val="0"/>
          <w:sz w:val="22"/>
          <w:lang w:val="en-US"/>
        </w:rPr>
      </w:pPr>
      <w:hyperlink w:anchor="_Toc58840521" w:history="1">
        <w:r w:rsidR="00634238" w:rsidRPr="001A669E">
          <w:rPr>
            <w:rStyle w:val="Hyperlink"/>
            <w:rFonts w:ascii="Times New Roman" w:hAnsi="Times New Roman"/>
          </w:rPr>
          <w:t>1.</w:t>
        </w:r>
        <w:r w:rsidR="00634238">
          <w:rPr>
            <w:rFonts w:asciiTheme="minorHAnsi" w:eastAsiaTheme="minorEastAsia" w:hAnsiTheme="minorHAnsi" w:cstheme="minorBidi"/>
            <w:b w:val="0"/>
            <w:smallCaps w:val="0"/>
            <w:sz w:val="22"/>
            <w:lang w:val="en-US"/>
          </w:rPr>
          <w:tab/>
        </w:r>
        <w:r w:rsidR="00634238" w:rsidRPr="001A669E">
          <w:rPr>
            <w:rStyle w:val="Hyperlink"/>
            <w:rFonts w:ascii="Times New Roman" w:hAnsi="Times New Roman"/>
          </w:rPr>
          <w:t>Формули за изчисляване на отношението на ливъридж</w:t>
        </w:r>
        <w:r w:rsidR="00634238">
          <w:rPr>
            <w:webHidden/>
          </w:rPr>
          <w:tab/>
        </w:r>
        <w:r w:rsidR="00634238">
          <w:rPr>
            <w:webHidden/>
          </w:rPr>
          <w:fldChar w:fldCharType="begin"/>
        </w:r>
        <w:r w:rsidR="00634238">
          <w:rPr>
            <w:webHidden/>
          </w:rPr>
          <w:instrText xml:space="preserve"> PAGEREF _Toc58840521 \h </w:instrText>
        </w:r>
        <w:r w:rsidR="00634238">
          <w:rPr>
            <w:webHidden/>
          </w:rPr>
        </w:r>
        <w:r w:rsidR="00634238">
          <w:rPr>
            <w:webHidden/>
          </w:rPr>
          <w:fldChar w:fldCharType="separate"/>
        </w:r>
        <w:r>
          <w:rPr>
            <w:webHidden/>
          </w:rPr>
          <w:t>4</w:t>
        </w:r>
        <w:r w:rsidR="00634238">
          <w:rPr>
            <w:webHidden/>
          </w:rPr>
          <w:fldChar w:fldCharType="end"/>
        </w:r>
      </w:hyperlink>
    </w:p>
    <w:p w14:paraId="6BA1EAA8" w14:textId="0AB6573B" w:rsidR="00634238" w:rsidRDefault="00692F00">
      <w:pPr>
        <w:pStyle w:val="TOC2"/>
        <w:rPr>
          <w:rFonts w:asciiTheme="minorHAnsi" w:eastAsiaTheme="minorEastAsia" w:hAnsiTheme="minorHAnsi" w:cstheme="minorBidi"/>
          <w:b w:val="0"/>
          <w:smallCaps w:val="0"/>
          <w:sz w:val="22"/>
          <w:lang w:val="en-US"/>
        </w:rPr>
      </w:pPr>
      <w:hyperlink w:anchor="_Toc58840522" w:history="1">
        <w:r w:rsidR="00634238" w:rsidRPr="001A669E">
          <w:rPr>
            <w:rStyle w:val="Hyperlink"/>
            <w:rFonts w:ascii="Times New Roman" w:hAnsi="Times New Roman"/>
          </w:rPr>
          <w:t>2.</w:t>
        </w:r>
        <w:r w:rsidR="00634238">
          <w:rPr>
            <w:rFonts w:asciiTheme="minorHAnsi" w:eastAsiaTheme="minorEastAsia" w:hAnsiTheme="minorHAnsi" w:cstheme="minorBidi"/>
            <w:b w:val="0"/>
            <w:smallCaps w:val="0"/>
            <w:sz w:val="22"/>
            <w:lang w:val="en-US"/>
          </w:rPr>
          <w:tab/>
        </w:r>
        <w:r w:rsidR="00634238" w:rsidRPr="001A669E">
          <w:rPr>
            <w:rStyle w:val="Hyperlink"/>
            <w:rFonts w:ascii="Times New Roman" w:hAnsi="Times New Roman"/>
          </w:rPr>
          <w:t>Прагове на същественост за дериватите</w:t>
        </w:r>
        <w:r w:rsidR="00634238">
          <w:rPr>
            <w:webHidden/>
          </w:rPr>
          <w:tab/>
        </w:r>
        <w:r w:rsidR="00634238">
          <w:rPr>
            <w:webHidden/>
          </w:rPr>
          <w:fldChar w:fldCharType="begin"/>
        </w:r>
        <w:r w:rsidR="00634238">
          <w:rPr>
            <w:webHidden/>
          </w:rPr>
          <w:instrText xml:space="preserve"> PAGEREF _Toc58840522 \h </w:instrText>
        </w:r>
        <w:r w:rsidR="00634238">
          <w:rPr>
            <w:webHidden/>
          </w:rPr>
        </w:r>
        <w:r w:rsidR="00634238">
          <w:rPr>
            <w:webHidden/>
          </w:rPr>
          <w:fldChar w:fldCharType="separate"/>
        </w:r>
        <w:r>
          <w:rPr>
            <w:webHidden/>
          </w:rPr>
          <w:t>4</w:t>
        </w:r>
        <w:r w:rsidR="00634238">
          <w:rPr>
            <w:webHidden/>
          </w:rPr>
          <w:fldChar w:fldCharType="end"/>
        </w:r>
      </w:hyperlink>
    </w:p>
    <w:p w14:paraId="3DB415AF" w14:textId="1BF59118" w:rsidR="00634238" w:rsidRDefault="00692F00">
      <w:pPr>
        <w:pStyle w:val="TOC2"/>
        <w:rPr>
          <w:rFonts w:asciiTheme="minorHAnsi" w:eastAsiaTheme="minorEastAsia" w:hAnsiTheme="minorHAnsi" w:cstheme="minorBidi"/>
          <w:b w:val="0"/>
          <w:smallCaps w:val="0"/>
          <w:sz w:val="22"/>
          <w:lang w:val="en-US"/>
        </w:rPr>
      </w:pPr>
      <w:hyperlink w:anchor="_Toc58840523" w:history="1">
        <w:r w:rsidR="00634238" w:rsidRPr="001A669E">
          <w:rPr>
            <w:rStyle w:val="Hyperlink"/>
            <w:rFonts w:ascii="Times New Roman" w:hAnsi="Times New Roman"/>
          </w:rPr>
          <w:t>3.</w:t>
        </w:r>
        <w:r w:rsidR="00634238">
          <w:rPr>
            <w:rFonts w:asciiTheme="minorHAnsi" w:eastAsiaTheme="minorEastAsia" w:hAnsiTheme="minorHAnsi" w:cstheme="minorBidi"/>
            <w:b w:val="0"/>
            <w:smallCaps w:val="0"/>
            <w:sz w:val="22"/>
            <w:lang w:val="en-US"/>
          </w:rPr>
          <w:tab/>
        </w:r>
        <w:r w:rsidR="00634238" w:rsidRPr="001A669E">
          <w:rPr>
            <w:rStyle w:val="Hyperlink"/>
            <w:rFonts w:ascii="Times New Roman" w:hAnsi="Times New Roman"/>
          </w:rPr>
          <w:t>C 47.00 – Изчисляване на отношението на ливъридж (LRCalc)</w:t>
        </w:r>
        <w:r w:rsidR="00634238">
          <w:rPr>
            <w:webHidden/>
          </w:rPr>
          <w:tab/>
        </w:r>
        <w:r w:rsidR="00634238">
          <w:rPr>
            <w:webHidden/>
          </w:rPr>
          <w:fldChar w:fldCharType="begin"/>
        </w:r>
        <w:r w:rsidR="00634238">
          <w:rPr>
            <w:webHidden/>
          </w:rPr>
          <w:instrText xml:space="preserve"> PAGEREF _Toc58840523 \h </w:instrText>
        </w:r>
        <w:r w:rsidR="00634238">
          <w:rPr>
            <w:webHidden/>
          </w:rPr>
        </w:r>
        <w:r w:rsidR="00634238">
          <w:rPr>
            <w:webHidden/>
          </w:rPr>
          <w:fldChar w:fldCharType="separate"/>
        </w:r>
        <w:r>
          <w:rPr>
            <w:webHidden/>
          </w:rPr>
          <w:t>5</w:t>
        </w:r>
        <w:r w:rsidR="00634238">
          <w:rPr>
            <w:webHidden/>
          </w:rPr>
          <w:fldChar w:fldCharType="end"/>
        </w:r>
      </w:hyperlink>
    </w:p>
    <w:p w14:paraId="40B0AEB8" w14:textId="336C9A6C" w:rsidR="00634238" w:rsidRDefault="00692F00">
      <w:pPr>
        <w:pStyle w:val="TOC2"/>
        <w:rPr>
          <w:rFonts w:asciiTheme="minorHAnsi" w:eastAsiaTheme="minorEastAsia" w:hAnsiTheme="minorHAnsi" w:cstheme="minorBidi"/>
          <w:b w:val="0"/>
          <w:smallCaps w:val="0"/>
          <w:sz w:val="22"/>
          <w:lang w:val="en-US"/>
        </w:rPr>
      </w:pPr>
      <w:hyperlink w:anchor="_Toc58840524" w:history="1">
        <w:r w:rsidR="00634238" w:rsidRPr="001A669E">
          <w:rPr>
            <w:rStyle w:val="Hyperlink"/>
            <w:rFonts w:ascii="Times New Roman" w:hAnsi="Times New Roman"/>
          </w:rPr>
          <w:t>4.</w:t>
        </w:r>
        <w:r w:rsidR="00634238">
          <w:rPr>
            <w:rFonts w:asciiTheme="minorHAnsi" w:eastAsiaTheme="minorEastAsia" w:hAnsiTheme="minorHAnsi" w:cstheme="minorBidi"/>
            <w:b w:val="0"/>
            <w:smallCaps w:val="0"/>
            <w:sz w:val="22"/>
            <w:lang w:val="en-US"/>
          </w:rPr>
          <w:tab/>
        </w:r>
        <w:r w:rsidR="00634238" w:rsidRPr="001A669E">
          <w:rPr>
            <w:rStyle w:val="Hyperlink"/>
            <w:rFonts w:ascii="Times New Roman" w:hAnsi="Times New Roman"/>
          </w:rPr>
          <w:t>C 40.00 – Алтернативно третиране на мярката за експозиция (LR1)</w:t>
        </w:r>
        <w:r w:rsidR="00634238">
          <w:rPr>
            <w:webHidden/>
          </w:rPr>
          <w:tab/>
        </w:r>
        <w:r w:rsidR="00634238">
          <w:rPr>
            <w:webHidden/>
          </w:rPr>
          <w:fldChar w:fldCharType="begin"/>
        </w:r>
        <w:r w:rsidR="00634238">
          <w:rPr>
            <w:webHidden/>
          </w:rPr>
          <w:instrText xml:space="preserve"> PAGEREF _Toc58840524 \h </w:instrText>
        </w:r>
        <w:r w:rsidR="00634238">
          <w:rPr>
            <w:webHidden/>
          </w:rPr>
        </w:r>
        <w:r w:rsidR="00634238">
          <w:rPr>
            <w:webHidden/>
          </w:rPr>
          <w:fldChar w:fldCharType="separate"/>
        </w:r>
        <w:r>
          <w:rPr>
            <w:webHidden/>
          </w:rPr>
          <w:t>32</w:t>
        </w:r>
        <w:r w:rsidR="00634238">
          <w:rPr>
            <w:webHidden/>
          </w:rPr>
          <w:fldChar w:fldCharType="end"/>
        </w:r>
      </w:hyperlink>
    </w:p>
    <w:p w14:paraId="552BA202" w14:textId="5F757126" w:rsidR="00634238" w:rsidRDefault="00692F00">
      <w:pPr>
        <w:pStyle w:val="TOC2"/>
        <w:rPr>
          <w:rFonts w:asciiTheme="minorHAnsi" w:eastAsiaTheme="minorEastAsia" w:hAnsiTheme="minorHAnsi" w:cstheme="minorBidi"/>
          <w:b w:val="0"/>
          <w:smallCaps w:val="0"/>
          <w:sz w:val="22"/>
          <w:lang w:val="en-US"/>
        </w:rPr>
      </w:pPr>
      <w:hyperlink w:anchor="_Toc58840525" w:history="1">
        <w:r w:rsidR="00634238" w:rsidRPr="001A669E">
          <w:rPr>
            <w:rStyle w:val="Hyperlink"/>
            <w:rFonts w:ascii="Times New Roman" w:hAnsi="Times New Roman"/>
          </w:rPr>
          <w:t>5.</w:t>
        </w:r>
        <w:r w:rsidR="00634238">
          <w:rPr>
            <w:rFonts w:asciiTheme="minorHAnsi" w:eastAsiaTheme="minorEastAsia" w:hAnsiTheme="minorHAnsi" w:cstheme="minorBidi"/>
            <w:b w:val="0"/>
            <w:smallCaps w:val="0"/>
            <w:sz w:val="22"/>
            <w:lang w:val="en-US"/>
          </w:rPr>
          <w:tab/>
        </w:r>
        <w:r w:rsidR="00634238" w:rsidRPr="001A669E">
          <w:rPr>
            <w:rStyle w:val="Hyperlink"/>
            <w:rFonts w:ascii="Times New Roman" w:hAnsi="Times New Roman"/>
          </w:rPr>
          <w:t>C 43.00 – Алтернативна разбивка на компонентите на мярката за експозицията с оглед на отношението на ливъридж (LR4)</w:t>
        </w:r>
        <w:r w:rsidR="00634238">
          <w:rPr>
            <w:webHidden/>
          </w:rPr>
          <w:tab/>
        </w:r>
        <w:r w:rsidR="00634238">
          <w:rPr>
            <w:webHidden/>
          </w:rPr>
          <w:fldChar w:fldCharType="begin"/>
        </w:r>
        <w:r w:rsidR="00634238">
          <w:rPr>
            <w:webHidden/>
          </w:rPr>
          <w:instrText xml:space="preserve"> PAGEREF _Toc58840525 \h </w:instrText>
        </w:r>
        <w:r w:rsidR="00634238">
          <w:rPr>
            <w:webHidden/>
          </w:rPr>
        </w:r>
        <w:r w:rsidR="00634238">
          <w:rPr>
            <w:webHidden/>
          </w:rPr>
          <w:fldChar w:fldCharType="separate"/>
        </w:r>
        <w:r>
          <w:rPr>
            <w:webHidden/>
          </w:rPr>
          <w:t>44</w:t>
        </w:r>
        <w:r w:rsidR="00634238">
          <w:rPr>
            <w:webHidden/>
          </w:rPr>
          <w:fldChar w:fldCharType="end"/>
        </w:r>
      </w:hyperlink>
    </w:p>
    <w:p w14:paraId="05F3066A" w14:textId="30F98B2E" w:rsidR="00634238" w:rsidRDefault="00692F00">
      <w:pPr>
        <w:pStyle w:val="TOC2"/>
        <w:rPr>
          <w:rFonts w:asciiTheme="minorHAnsi" w:eastAsiaTheme="minorEastAsia" w:hAnsiTheme="minorHAnsi" w:cstheme="minorBidi"/>
          <w:b w:val="0"/>
          <w:smallCaps w:val="0"/>
          <w:sz w:val="22"/>
          <w:lang w:val="en-US"/>
        </w:rPr>
      </w:pPr>
      <w:hyperlink w:anchor="_Toc58840526" w:history="1">
        <w:r w:rsidR="00634238" w:rsidRPr="001A669E">
          <w:rPr>
            <w:rStyle w:val="Hyperlink"/>
            <w:rFonts w:ascii="Times New Roman" w:hAnsi="Times New Roman"/>
          </w:rPr>
          <w:t>6.</w:t>
        </w:r>
        <w:r w:rsidR="00634238">
          <w:rPr>
            <w:rFonts w:asciiTheme="minorHAnsi" w:eastAsiaTheme="minorEastAsia" w:hAnsiTheme="minorHAnsi" w:cstheme="minorBidi"/>
            <w:b w:val="0"/>
            <w:smallCaps w:val="0"/>
            <w:sz w:val="22"/>
            <w:lang w:val="en-US"/>
          </w:rPr>
          <w:tab/>
        </w:r>
        <w:r w:rsidR="00634238" w:rsidRPr="001A669E">
          <w:rPr>
            <w:rStyle w:val="Hyperlink"/>
            <w:rFonts w:ascii="Times New Roman" w:hAnsi="Times New Roman"/>
          </w:rPr>
          <w:t>C 44.00 – Обща информация (LR5)</w:t>
        </w:r>
        <w:r w:rsidR="00634238">
          <w:rPr>
            <w:webHidden/>
          </w:rPr>
          <w:tab/>
        </w:r>
        <w:r w:rsidR="00634238">
          <w:rPr>
            <w:webHidden/>
          </w:rPr>
          <w:fldChar w:fldCharType="begin"/>
        </w:r>
        <w:r w:rsidR="00634238">
          <w:rPr>
            <w:webHidden/>
          </w:rPr>
          <w:instrText xml:space="preserve"> PAGEREF _Toc58840526 \h </w:instrText>
        </w:r>
        <w:r w:rsidR="00634238">
          <w:rPr>
            <w:webHidden/>
          </w:rPr>
        </w:r>
        <w:r w:rsidR="00634238">
          <w:rPr>
            <w:webHidden/>
          </w:rPr>
          <w:fldChar w:fldCharType="separate"/>
        </w:r>
        <w:r>
          <w:rPr>
            <w:webHidden/>
          </w:rPr>
          <w:t>74</w:t>
        </w:r>
        <w:r w:rsidR="00634238">
          <w:rPr>
            <w:webHidden/>
          </w:rPr>
          <w:fldChar w:fldCharType="end"/>
        </w:r>
      </w:hyperlink>
    </w:p>
    <w:p w14:paraId="5749C242" w14:textId="7B3FB75A" w:rsidR="00634238" w:rsidRDefault="00692F00">
      <w:pPr>
        <w:pStyle w:val="TOC2"/>
        <w:rPr>
          <w:rFonts w:asciiTheme="minorHAnsi" w:eastAsiaTheme="minorEastAsia" w:hAnsiTheme="minorHAnsi" w:cstheme="minorBidi"/>
          <w:b w:val="0"/>
          <w:smallCaps w:val="0"/>
          <w:sz w:val="22"/>
          <w:lang w:val="en-US"/>
        </w:rPr>
      </w:pPr>
      <w:hyperlink w:anchor="_Toc58840527" w:history="1">
        <w:r w:rsidR="00634238" w:rsidRPr="001A669E">
          <w:rPr>
            <w:rStyle w:val="Hyperlink"/>
            <w:rFonts w:ascii="Times New Roman" w:hAnsi="Times New Roman"/>
          </w:rPr>
          <w:t>7.</w:t>
        </w:r>
        <w:r w:rsidR="00634238">
          <w:rPr>
            <w:rFonts w:asciiTheme="minorHAnsi" w:eastAsiaTheme="minorEastAsia" w:hAnsiTheme="minorHAnsi" w:cstheme="minorBidi"/>
            <w:b w:val="0"/>
            <w:smallCaps w:val="0"/>
            <w:sz w:val="22"/>
            <w:lang w:val="en-US"/>
          </w:rPr>
          <w:tab/>
        </w:r>
        <w:r w:rsidR="00634238" w:rsidRPr="001A669E">
          <w:rPr>
            <w:rStyle w:val="Hyperlink"/>
            <w:rFonts w:ascii="Times New Roman" w:hAnsi="Times New Roman"/>
          </w:rPr>
          <w:t>C 48.00 Променливост на отношението на ливъридж (LR6)</w:t>
        </w:r>
        <w:r w:rsidR="00634238">
          <w:rPr>
            <w:webHidden/>
          </w:rPr>
          <w:tab/>
        </w:r>
        <w:r w:rsidR="00634238">
          <w:rPr>
            <w:webHidden/>
          </w:rPr>
          <w:fldChar w:fldCharType="begin"/>
        </w:r>
        <w:r w:rsidR="00634238">
          <w:rPr>
            <w:webHidden/>
          </w:rPr>
          <w:instrText xml:space="preserve"> PAGEREF _Toc58840527 \h </w:instrText>
        </w:r>
        <w:r w:rsidR="00634238">
          <w:rPr>
            <w:webHidden/>
          </w:rPr>
        </w:r>
        <w:r w:rsidR="00634238">
          <w:rPr>
            <w:webHidden/>
          </w:rPr>
          <w:fldChar w:fldCharType="separate"/>
        </w:r>
        <w:r>
          <w:rPr>
            <w:webHidden/>
          </w:rPr>
          <w:t>76</w:t>
        </w:r>
        <w:r w:rsidR="00634238">
          <w:rPr>
            <w:webHidden/>
          </w:rPr>
          <w:fldChar w:fldCharType="end"/>
        </w:r>
      </w:hyperlink>
    </w:p>
    <w:p w14:paraId="43AE4F31" w14:textId="404B957F" w:rsidR="00634238" w:rsidRDefault="00692F00">
      <w:pPr>
        <w:pStyle w:val="TOC2"/>
        <w:rPr>
          <w:rFonts w:asciiTheme="minorHAnsi" w:eastAsiaTheme="minorEastAsia" w:hAnsiTheme="minorHAnsi" w:cstheme="minorBidi"/>
          <w:b w:val="0"/>
          <w:smallCaps w:val="0"/>
          <w:sz w:val="22"/>
          <w:lang w:val="en-US"/>
        </w:rPr>
      </w:pPr>
      <w:hyperlink w:anchor="_Toc58840528" w:history="1">
        <w:r w:rsidR="00634238" w:rsidRPr="001A669E">
          <w:rPr>
            <w:rStyle w:val="Hyperlink"/>
            <w:rFonts w:ascii="Times New Roman" w:hAnsi="Times New Roman"/>
          </w:rPr>
          <w:t>8.</w:t>
        </w:r>
        <w:r w:rsidR="00634238">
          <w:rPr>
            <w:rFonts w:asciiTheme="minorHAnsi" w:eastAsiaTheme="minorEastAsia" w:hAnsiTheme="minorHAnsi" w:cstheme="minorBidi"/>
            <w:b w:val="0"/>
            <w:smallCaps w:val="0"/>
            <w:sz w:val="22"/>
            <w:lang w:val="en-US"/>
          </w:rPr>
          <w:tab/>
        </w:r>
        <w:r w:rsidR="00634238" w:rsidRPr="001A669E">
          <w:rPr>
            <w:rStyle w:val="Hyperlink"/>
            <w:rFonts w:ascii="Times New Roman" w:hAnsi="Times New Roman"/>
          </w:rPr>
          <w:t>C 48.01 Променливост на отношението на ливъридж: Средна стойност за периода на докладване</w:t>
        </w:r>
        <w:r w:rsidR="00634238">
          <w:rPr>
            <w:webHidden/>
          </w:rPr>
          <w:tab/>
        </w:r>
        <w:r w:rsidR="00634238">
          <w:rPr>
            <w:webHidden/>
          </w:rPr>
          <w:fldChar w:fldCharType="begin"/>
        </w:r>
        <w:r w:rsidR="00634238">
          <w:rPr>
            <w:webHidden/>
          </w:rPr>
          <w:instrText xml:space="preserve"> PAGEREF _Toc58840528 \h </w:instrText>
        </w:r>
        <w:r w:rsidR="00634238">
          <w:rPr>
            <w:webHidden/>
          </w:rPr>
        </w:r>
        <w:r w:rsidR="00634238">
          <w:rPr>
            <w:webHidden/>
          </w:rPr>
          <w:fldChar w:fldCharType="separate"/>
        </w:r>
        <w:r>
          <w:rPr>
            <w:webHidden/>
          </w:rPr>
          <w:t>76</w:t>
        </w:r>
        <w:r w:rsidR="00634238">
          <w:rPr>
            <w:webHidden/>
          </w:rPr>
          <w:fldChar w:fldCharType="end"/>
        </w:r>
      </w:hyperlink>
    </w:p>
    <w:p w14:paraId="1120F640" w14:textId="1724D4A1" w:rsidR="00634238" w:rsidRDefault="00692F00">
      <w:pPr>
        <w:pStyle w:val="TOC2"/>
        <w:rPr>
          <w:rFonts w:asciiTheme="minorHAnsi" w:eastAsiaTheme="minorEastAsia" w:hAnsiTheme="minorHAnsi" w:cstheme="minorBidi"/>
          <w:b w:val="0"/>
          <w:smallCaps w:val="0"/>
          <w:sz w:val="22"/>
          <w:lang w:val="en-US"/>
        </w:rPr>
      </w:pPr>
      <w:hyperlink w:anchor="_Toc58840529" w:history="1">
        <w:r w:rsidR="00634238" w:rsidRPr="001A669E">
          <w:rPr>
            <w:rStyle w:val="Hyperlink"/>
            <w:rFonts w:ascii="Times New Roman" w:hAnsi="Times New Roman"/>
          </w:rPr>
          <w:t>9.</w:t>
        </w:r>
        <w:r w:rsidR="00634238">
          <w:rPr>
            <w:rFonts w:asciiTheme="minorHAnsi" w:eastAsiaTheme="minorEastAsia" w:hAnsiTheme="minorHAnsi" w:cstheme="minorBidi"/>
            <w:b w:val="0"/>
            <w:smallCaps w:val="0"/>
            <w:sz w:val="22"/>
            <w:lang w:val="en-US"/>
          </w:rPr>
          <w:tab/>
        </w:r>
        <w:r w:rsidR="00634238" w:rsidRPr="001A669E">
          <w:rPr>
            <w:rStyle w:val="Hyperlink"/>
            <w:rFonts w:ascii="Times New Roman" w:hAnsi="Times New Roman"/>
          </w:rPr>
          <w:t>C 48.02 Променливост на отношението на ливъридж: Дневни стойности за периода на докладване</w:t>
        </w:r>
        <w:r w:rsidR="00634238">
          <w:rPr>
            <w:webHidden/>
          </w:rPr>
          <w:tab/>
        </w:r>
        <w:r w:rsidR="00634238">
          <w:rPr>
            <w:webHidden/>
          </w:rPr>
          <w:fldChar w:fldCharType="begin"/>
        </w:r>
        <w:r w:rsidR="00634238">
          <w:rPr>
            <w:webHidden/>
          </w:rPr>
          <w:instrText xml:space="preserve"> PAGEREF _Toc58840529 \h </w:instrText>
        </w:r>
        <w:r w:rsidR="00634238">
          <w:rPr>
            <w:webHidden/>
          </w:rPr>
        </w:r>
        <w:r w:rsidR="00634238">
          <w:rPr>
            <w:webHidden/>
          </w:rPr>
          <w:fldChar w:fldCharType="separate"/>
        </w:r>
        <w:r>
          <w:rPr>
            <w:webHidden/>
          </w:rPr>
          <w:t>76</w:t>
        </w:r>
        <w:r w:rsidR="00634238">
          <w:rPr>
            <w:webHidden/>
          </w:rPr>
          <w:fldChar w:fldCharType="end"/>
        </w:r>
      </w:hyperlink>
    </w:p>
    <w:p w14:paraId="43D747E1" w14:textId="0E1A62E3" w:rsidR="00AC3257" w:rsidRPr="000B66BC" w:rsidRDefault="00391EF9" w:rsidP="000B66BC">
      <w:pPr>
        <w:pStyle w:val="BodyText1"/>
        <w:rPr>
          <w:rFonts w:ascii="Times New Roman" w:hAnsi="Times New Roman"/>
          <w:sz w:val="24"/>
          <w:szCs w:val="24"/>
        </w:rPr>
        <w:sectPr w:rsidR="00AC3257" w:rsidRPr="000B66BC" w:rsidSect="00DC2C28">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code="9"/>
          <w:pgMar w:top="1417" w:right="1417" w:bottom="1134" w:left="1417" w:header="720" w:footer="720" w:gutter="0"/>
          <w:cols w:space="720"/>
          <w:titlePg/>
          <w:docGrid w:linePitch="360"/>
        </w:sectPr>
      </w:pPr>
      <w:r>
        <w:rPr>
          <w:rFonts w:ascii="Times New Roman" w:hAnsi="Times New Roman"/>
          <w:sz w:val="24"/>
          <w:szCs w:val="24"/>
        </w:rPr>
        <w:fldChar w:fldCharType="end"/>
      </w:r>
    </w:p>
    <w:p w14:paraId="34ED68DE" w14:textId="77777777" w:rsidR="00F4754B" w:rsidRPr="000B66BC" w:rsidRDefault="00F4754B" w:rsidP="000B66BC">
      <w:pPr>
        <w:pStyle w:val="BodyText1"/>
        <w:spacing w:after="240"/>
        <w:rPr>
          <w:rFonts w:ascii="Times New Roman" w:hAnsi="Times New Roman"/>
          <w:sz w:val="24"/>
          <w:szCs w:val="24"/>
        </w:rPr>
      </w:pPr>
    </w:p>
    <w:p w14:paraId="12DCD63B" w14:textId="77777777" w:rsidR="00217D1F" w:rsidRPr="00864866" w:rsidRDefault="00F4754B" w:rsidP="000B66BC">
      <w:pPr>
        <w:pStyle w:val="BodyText1"/>
        <w:spacing w:after="240"/>
        <w:outlineLvl w:val="0"/>
        <w:rPr>
          <w:rFonts w:ascii="Times New Roman" w:hAnsi="Times New Roman"/>
          <w:b/>
          <w:sz w:val="24"/>
          <w:szCs w:val="24"/>
        </w:rPr>
      </w:pPr>
      <w:bookmarkStart w:id="1" w:name="_Toc264038394"/>
      <w:bookmarkStart w:id="2" w:name="_Toc322687864"/>
      <w:bookmarkStart w:id="3" w:name="_Toc351048499"/>
      <w:bookmarkStart w:id="4" w:name="_Toc359414273"/>
      <w:bookmarkStart w:id="5" w:name="_Toc423089060"/>
      <w:bookmarkStart w:id="6" w:name="_Toc58840514"/>
      <w:r>
        <w:rPr>
          <w:rFonts w:ascii="Times New Roman" w:hAnsi="Times New Roman"/>
          <w:b/>
          <w:sz w:val="24"/>
          <w:szCs w:val="24"/>
        </w:rPr>
        <w:t>ЧАСТ I:</w:t>
      </w:r>
      <w:bookmarkEnd w:id="1"/>
      <w:r>
        <w:rPr>
          <w:rFonts w:ascii="Times New Roman" w:hAnsi="Times New Roman"/>
          <w:b/>
          <w:sz w:val="24"/>
          <w:szCs w:val="24"/>
        </w:rPr>
        <w:t xml:space="preserve"> ОБЩИ УКАЗАНИЯ</w:t>
      </w:r>
      <w:bookmarkEnd w:id="2"/>
      <w:bookmarkEnd w:id="3"/>
      <w:bookmarkEnd w:id="4"/>
      <w:bookmarkEnd w:id="5"/>
      <w:bookmarkEnd w:id="6"/>
    </w:p>
    <w:p w14:paraId="2A030BBF" w14:textId="593C59C8" w:rsidR="00217D1F" w:rsidRPr="000B66BC" w:rsidRDefault="00500508" w:rsidP="000B66BC">
      <w:pPr>
        <w:pStyle w:val="BodyText1"/>
        <w:spacing w:after="240"/>
        <w:ind w:left="357" w:hanging="357"/>
        <w:outlineLvl w:val="1"/>
        <w:rPr>
          <w:rFonts w:ascii="Times New Roman" w:hAnsi="Times New Roman"/>
          <w:b/>
          <w:sz w:val="24"/>
          <w:szCs w:val="24"/>
        </w:rPr>
      </w:pPr>
      <w:bookmarkStart w:id="7" w:name="_Toc351048500"/>
      <w:bookmarkStart w:id="8" w:name="_Toc322687865"/>
      <w:bookmarkStart w:id="9" w:name="_Toc359414274"/>
      <w:bookmarkStart w:id="10" w:name="_Toc423089061"/>
      <w:bookmarkStart w:id="11" w:name="_Toc58840515"/>
      <w:r>
        <w:rPr>
          <w:rFonts w:ascii="Times New Roman" w:hAnsi="Times New Roman"/>
          <w:b/>
          <w:sz w:val="24"/>
          <w:szCs w:val="24"/>
        </w:rPr>
        <w:t>1.</w:t>
      </w:r>
      <w:r>
        <w:tab/>
      </w:r>
      <w:r>
        <w:rPr>
          <w:rFonts w:ascii="Times New Roman" w:hAnsi="Times New Roman"/>
          <w:b/>
          <w:sz w:val="24"/>
          <w:szCs w:val="24"/>
        </w:rPr>
        <w:t>Структура и възприети практики</w:t>
      </w:r>
      <w:bookmarkEnd w:id="7"/>
      <w:bookmarkEnd w:id="8"/>
      <w:bookmarkEnd w:id="9"/>
      <w:bookmarkEnd w:id="10"/>
      <w:bookmarkEnd w:id="11"/>
    </w:p>
    <w:p w14:paraId="0F3236AE" w14:textId="6FB096EE" w:rsidR="00217D1F" w:rsidRPr="000B66BC" w:rsidRDefault="00500508" w:rsidP="000B66BC">
      <w:pPr>
        <w:pStyle w:val="BodyText1"/>
        <w:spacing w:after="240"/>
        <w:ind w:left="357" w:hanging="357"/>
        <w:outlineLvl w:val="2"/>
        <w:rPr>
          <w:rFonts w:ascii="Times New Roman" w:hAnsi="Times New Roman"/>
          <w:b/>
          <w:sz w:val="24"/>
          <w:szCs w:val="24"/>
        </w:rPr>
      </w:pPr>
      <w:bookmarkStart w:id="12" w:name="_Toc322687866"/>
      <w:bookmarkStart w:id="13" w:name="_Toc359414275"/>
      <w:bookmarkStart w:id="14" w:name="_Toc423089062"/>
      <w:bookmarkStart w:id="15" w:name="_Toc58840516"/>
      <w:bookmarkStart w:id="16" w:name="_Toc264038399"/>
      <w:bookmarkStart w:id="17" w:name="_Toc294018834"/>
      <w:r>
        <w:rPr>
          <w:rFonts w:ascii="Times New Roman" w:hAnsi="Times New Roman"/>
          <w:b/>
          <w:sz w:val="24"/>
          <w:szCs w:val="24"/>
        </w:rPr>
        <w:t>1.1.</w:t>
      </w:r>
      <w:r>
        <w:tab/>
      </w:r>
      <w:bookmarkEnd w:id="12"/>
      <w:bookmarkEnd w:id="13"/>
      <w:bookmarkEnd w:id="14"/>
      <w:r>
        <w:rPr>
          <w:rFonts w:ascii="Times New Roman" w:hAnsi="Times New Roman"/>
          <w:b/>
          <w:sz w:val="24"/>
          <w:szCs w:val="24"/>
        </w:rPr>
        <w:t>Структура</w:t>
      </w:r>
      <w:bookmarkEnd w:id="15"/>
    </w:p>
    <w:p w14:paraId="050538F0" w14:textId="50037B39" w:rsidR="00E22856"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szCs w:val="24"/>
        </w:rPr>
        <w:t>1.</w:t>
      </w:r>
      <w:r>
        <w:tab/>
      </w:r>
      <w:r>
        <w:rPr>
          <w:rFonts w:ascii="Times New Roman" w:hAnsi="Times New Roman"/>
          <w:sz w:val="24"/>
          <w:szCs w:val="24"/>
        </w:rPr>
        <w:t xml:space="preserve">В настоящото приложение са представени допълнителни указания за образците относно отношението на ливъридж (наричани по-долу за краткост „LR“), включени в приложение Х към настоящия регламент. </w:t>
      </w:r>
    </w:p>
    <w:p w14:paraId="4B2766E9" w14:textId="78B19E69" w:rsidR="00F4754B" w:rsidRPr="000B66BC" w:rsidRDefault="00500508" w:rsidP="009339D1">
      <w:pPr>
        <w:pStyle w:val="InstructionsText2"/>
        <w:numPr>
          <w:ilvl w:val="0"/>
          <w:numId w:val="0"/>
        </w:numPr>
        <w:ind w:left="720" w:hanging="360"/>
        <w:rPr>
          <w:rFonts w:eastAsia="Times New Roman"/>
          <w:bCs/>
          <w:sz w:val="24"/>
        </w:rPr>
      </w:pPr>
      <w:r>
        <w:rPr>
          <w:bCs/>
          <w:sz w:val="24"/>
        </w:rPr>
        <w:t>2.</w:t>
      </w:r>
      <w:r>
        <w:tab/>
      </w:r>
      <w:r>
        <w:rPr>
          <w:bCs/>
          <w:sz w:val="24"/>
        </w:rPr>
        <w:t>Като цяло рамката съдържа пет образеца:</w:t>
      </w:r>
    </w:p>
    <w:p w14:paraId="41A3C48C"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C47.00: Изчисляване на отношението на ливъридж (LRCalc): Изчисляване на отношението на ливъридж;</w:t>
      </w:r>
    </w:p>
    <w:p w14:paraId="42B808C6" w14:textId="77777777"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C40.00: Образец 1 относно отношението на ливъридж (LR1): Алтернативно третиране на мярката за експозиция;</w:t>
      </w:r>
    </w:p>
    <w:p w14:paraId="29356C92" w14:textId="650F5016"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C43.00: Образец 4 относно отношението на ливъридж (LR4): Алтернативна разбивка на компонентите на мярката за експозицията с оглед на отношението на ливъридж;</w:t>
      </w:r>
    </w:p>
    <w:p w14:paraId="0192F250" w14:textId="1780456B" w:rsidR="00675587" w:rsidRPr="000B66BC" w:rsidRDefault="00500508" w:rsidP="009339D1">
      <w:pPr>
        <w:pStyle w:val="InstructionsText2"/>
        <w:numPr>
          <w:ilvl w:val="0"/>
          <w:numId w:val="0"/>
        </w:numPr>
        <w:ind w:left="1080" w:hanging="360"/>
        <w:rPr>
          <w:rFonts w:eastAsia="Times New Roman"/>
          <w:bCs/>
          <w:sz w:val="24"/>
        </w:rPr>
      </w:pPr>
      <w:r>
        <w:rPr>
          <w:rFonts w:ascii="Symbol" w:hAnsi="Symbol"/>
          <w:bCs/>
          <w:sz w:val="24"/>
        </w:rPr>
        <w:t></w:t>
      </w:r>
      <w:r>
        <w:tab/>
      </w:r>
      <w:r>
        <w:rPr>
          <w:bCs/>
          <w:sz w:val="24"/>
        </w:rPr>
        <w:t>C44.00: Образец 5 относно отношението на ливъридж (LR5): Обща информация;</w:t>
      </w:r>
    </w:p>
    <w:p w14:paraId="7D668F4C" w14:textId="2EF3E327" w:rsidR="00BE473C" w:rsidRPr="000B66BC" w:rsidRDefault="00BE473C" w:rsidP="009339D1">
      <w:pPr>
        <w:pStyle w:val="InstructionsText2"/>
        <w:numPr>
          <w:ilvl w:val="0"/>
          <w:numId w:val="35"/>
        </w:numPr>
        <w:rPr>
          <w:rFonts w:eastAsia="Times New Roman"/>
          <w:bCs/>
          <w:sz w:val="24"/>
        </w:rPr>
      </w:pPr>
      <w:r>
        <w:rPr>
          <w:bCs/>
          <w:sz w:val="24"/>
        </w:rPr>
        <w:t>C48.00: Променливост на отношението на ливъридж (LR6).</w:t>
      </w:r>
    </w:p>
    <w:p w14:paraId="6D2FC52A" w14:textId="5D5E1B5E" w:rsidR="00FC2664" w:rsidRPr="000B66BC" w:rsidRDefault="00500508" w:rsidP="000B66BC">
      <w:pPr>
        <w:pStyle w:val="InstructionsText2"/>
        <w:numPr>
          <w:ilvl w:val="0"/>
          <w:numId w:val="0"/>
        </w:numPr>
        <w:ind w:left="720" w:hanging="360"/>
        <w:rPr>
          <w:sz w:val="24"/>
        </w:rPr>
      </w:pPr>
      <w:r>
        <w:rPr>
          <w:bCs/>
          <w:sz w:val="24"/>
        </w:rPr>
        <w:t>3.</w:t>
      </w:r>
      <w:r>
        <w:tab/>
      </w:r>
      <w:r>
        <w:rPr>
          <w:bCs/>
          <w:sz w:val="24"/>
        </w:rPr>
        <w:t>За всеки образец са представени препратки към нормативни актове, както и допълнителна подробна информация относно по-общите аспекти на докладването.</w:t>
      </w:r>
    </w:p>
    <w:p w14:paraId="5CABBDF6"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18" w:name="_Toc359414277"/>
      <w:bookmarkStart w:id="19" w:name="_Toc322687867"/>
      <w:bookmarkStart w:id="20" w:name="_Toc351048502"/>
      <w:bookmarkStart w:id="21" w:name="_Toc359414278"/>
      <w:bookmarkStart w:id="22" w:name="_Toc423089063"/>
      <w:bookmarkStart w:id="23" w:name="_Toc58840517"/>
      <w:bookmarkEnd w:id="18"/>
      <w:r>
        <w:rPr>
          <w:rFonts w:ascii="Times New Roman" w:hAnsi="Times New Roman"/>
          <w:b/>
          <w:sz w:val="24"/>
          <w:szCs w:val="24"/>
        </w:rPr>
        <w:t>1.2.</w:t>
      </w:r>
      <w:r>
        <w:tab/>
      </w:r>
      <w:r>
        <w:rPr>
          <w:rFonts w:ascii="Times New Roman" w:hAnsi="Times New Roman"/>
          <w:b/>
          <w:sz w:val="24"/>
          <w:szCs w:val="24"/>
        </w:rPr>
        <w:t>Номериране</w:t>
      </w:r>
      <w:bookmarkEnd w:id="19"/>
      <w:bookmarkEnd w:id="20"/>
      <w:bookmarkEnd w:id="21"/>
      <w:bookmarkEnd w:id="22"/>
      <w:bookmarkEnd w:id="23"/>
    </w:p>
    <w:p w14:paraId="729F6A05"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4.</w:t>
      </w:r>
      <w:r>
        <w:tab/>
      </w:r>
      <w:r>
        <w:rPr>
          <w:bCs/>
          <w:sz w:val="24"/>
        </w:rPr>
        <w:t>В документа се спазват практиките за обозначаване, установени в параграфите по-долу, при позоваване на колоните, редовете и полетата в образците. Тези цифрови кодове се използват широко в правилата за утвърждаване.</w:t>
      </w:r>
    </w:p>
    <w:p w14:paraId="68B33760"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5.</w:t>
      </w:r>
      <w:r>
        <w:tab/>
      </w:r>
      <w:r>
        <w:rPr>
          <w:bCs/>
          <w:sz w:val="24"/>
        </w:rPr>
        <w:t>В указанията се съблюдават следните общи означения: {Образец;Ред;Колона}. Когато указанието се отнася за целия ред или колона, се използва звездичка.</w:t>
      </w:r>
    </w:p>
    <w:p w14:paraId="3E605DEE"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6.</w:t>
      </w:r>
      <w:r>
        <w:tab/>
      </w:r>
      <w:r>
        <w:rPr>
          <w:bCs/>
          <w:sz w:val="24"/>
        </w:rPr>
        <w:t>При утвърждаванията в рамките на образеца, когато се използват само елементи от модела за описание на данните от този образец, в записа не се включва позоваване на образеца: {Ред; Колона}.</w:t>
      </w:r>
    </w:p>
    <w:p w14:paraId="12003733" w14:textId="77777777" w:rsidR="00F4754B" w:rsidRPr="000B66BC" w:rsidRDefault="00500508" w:rsidP="009339D1">
      <w:pPr>
        <w:pStyle w:val="InstructionsText2"/>
        <w:numPr>
          <w:ilvl w:val="0"/>
          <w:numId w:val="0"/>
        </w:numPr>
        <w:ind w:left="720" w:hanging="360"/>
        <w:rPr>
          <w:rFonts w:eastAsia="Times New Roman"/>
          <w:bCs/>
          <w:sz w:val="24"/>
        </w:rPr>
      </w:pPr>
      <w:r>
        <w:rPr>
          <w:bCs/>
          <w:sz w:val="24"/>
        </w:rPr>
        <w:t>7.</w:t>
      </w:r>
      <w:r>
        <w:tab/>
      </w:r>
      <w:r>
        <w:rPr>
          <w:bCs/>
          <w:sz w:val="24"/>
        </w:rPr>
        <w:t xml:space="preserve">За целите на докладването на ливъриджа, „в т.ч.“ се отнася до позиция, която е подраздел на категория от експозиции от по-високо ниво, а „поясняваща позиция“ се отнася до отделна позиция, която не е подраздел на клас от експозиции. Освен ако не е указано друго, докладването на двата вида полета е задължително. </w:t>
      </w:r>
    </w:p>
    <w:p w14:paraId="2D525ACC" w14:textId="77777777" w:rsidR="001D6F2F" w:rsidRPr="000B66BC" w:rsidRDefault="00500508" w:rsidP="000B66BC">
      <w:pPr>
        <w:pStyle w:val="BodyText1"/>
        <w:spacing w:after="240"/>
        <w:ind w:left="357" w:hanging="357"/>
        <w:outlineLvl w:val="2"/>
        <w:rPr>
          <w:rFonts w:ascii="Times New Roman" w:hAnsi="Times New Roman"/>
          <w:b/>
          <w:sz w:val="24"/>
          <w:szCs w:val="24"/>
        </w:rPr>
      </w:pPr>
      <w:bookmarkStart w:id="24" w:name="_Toc423089064"/>
      <w:bookmarkStart w:id="25" w:name="_Toc58840518"/>
      <w:r>
        <w:rPr>
          <w:rFonts w:ascii="Times New Roman" w:hAnsi="Times New Roman"/>
          <w:b/>
          <w:sz w:val="24"/>
          <w:szCs w:val="24"/>
        </w:rPr>
        <w:lastRenderedPageBreak/>
        <w:t>1.3.</w:t>
      </w:r>
      <w:r>
        <w:tab/>
      </w:r>
      <w:r>
        <w:rPr>
          <w:rFonts w:ascii="Times New Roman" w:hAnsi="Times New Roman"/>
          <w:b/>
          <w:sz w:val="24"/>
          <w:szCs w:val="24"/>
        </w:rPr>
        <w:t>Съкращения</w:t>
      </w:r>
      <w:bookmarkEnd w:id="24"/>
      <w:bookmarkEnd w:id="25"/>
    </w:p>
    <w:p w14:paraId="72197A49" w14:textId="77777777" w:rsidR="00627E07" w:rsidRPr="000B66BC" w:rsidRDefault="00500508" w:rsidP="009339D1">
      <w:pPr>
        <w:pStyle w:val="InstructionsText2"/>
        <w:numPr>
          <w:ilvl w:val="0"/>
          <w:numId w:val="0"/>
        </w:numPr>
        <w:ind w:left="720" w:hanging="360"/>
        <w:rPr>
          <w:rFonts w:eastAsia="Times New Roman"/>
          <w:bCs/>
          <w:sz w:val="24"/>
        </w:rPr>
      </w:pPr>
      <w:bookmarkStart w:id="26" w:name="_Toc359414279"/>
      <w:bookmarkStart w:id="27" w:name="_Toc322687868"/>
      <w:bookmarkStart w:id="28" w:name="_Toc351048503"/>
      <w:bookmarkStart w:id="29" w:name="_Toc359414280"/>
      <w:bookmarkEnd w:id="26"/>
      <w:r>
        <w:rPr>
          <w:bCs/>
          <w:sz w:val="24"/>
        </w:rPr>
        <w:t>8.</w:t>
      </w:r>
      <w:r>
        <w:tab/>
      </w:r>
      <w:r>
        <w:rPr>
          <w:bCs/>
          <w:sz w:val="24"/>
        </w:rPr>
        <w:t>За целите на настоящото приложение и свързаните с него образци са използвани следните съкращения:</w:t>
      </w:r>
    </w:p>
    <w:p w14:paraId="567537B5" w14:textId="77777777" w:rsidR="00627E07" w:rsidRPr="000B66BC" w:rsidRDefault="00500508" w:rsidP="009339D1">
      <w:pPr>
        <w:pStyle w:val="InstructionsText2"/>
        <w:numPr>
          <w:ilvl w:val="0"/>
          <w:numId w:val="0"/>
        </w:numPr>
        <w:ind w:left="1440" w:hanging="360"/>
        <w:rPr>
          <w:rFonts w:eastAsia="Times New Roman"/>
          <w:bCs/>
          <w:sz w:val="24"/>
        </w:rPr>
      </w:pPr>
      <w:r>
        <w:rPr>
          <w:bCs/>
          <w:sz w:val="24"/>
        </w:rPr>
        <w:t>а.</w:t>
      </w:r>
      <w:r>
        <w:tab/>
      </w:r>
      <w:r>
        <w:rPr>
          <w:bCs/>
          <w:sz w:val="24"/>
        </w:rPr>
        <w:t>РКИ — Регламент за капиталовите изисквания, т.е. Регламент (ЕС) № 575/2013;</w:t>
      </w:r>
    </w:p>
    <w:p w14:paraId="69E6F7E3" w14:textId="77777777"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б. </w:t>
      </w:r>
      <w:r>
        <w:tab/>
      </w:r>
      <w:r>
        <w:rPr>
          <w:bCs/>
          <w:sz w:val="24"/>
        </w:rPr>
        <w:t>ДКИ — Директива за капиталовите изисквания, т.е. Директива 2013/36/ЕС;</w:t>
      </w:r>
    </w:p>
    <w:p w14:paraId="5CC0B733" w14:textId="3EE7532F" w:rsidR="00627E07" w:rsidRPr="000B66BC" w:rsidRDefault="007E2989" w:rsidP="009339D1">
      <w:pPr>
        <w:pStyle w:val="InstructionsText2"/>
        <w:numPr>
          <w:ilvl w:val="0"/>
          <w:numId w:val="0"/>
        </w:numPr>
        <w:ind w:left="1440" w:hanging="360"/>
        <w:rPr>
          <w:rFonts w:eastAsia="Times New Roman"/>
          <w:bCs/>
          <w:sz w:val="24"/>
        </w:rPr>
      </w:pPr>
      <w:r>
        <w:rPr>
          <w:bCs/>
          <w:sz w:val="24"/>
        </w:rPr>
        <w:t>в.</w:t>
      </w:r>
      <w:r>
        <w:tab/>
      </w:r>
      <w:r>
        <w:rPr>
          <w:bCs/>
          <w:sz w:val="24"/>
        </w:rPr>
        <w:t>СФЦК — сделка за финансиране с ценни книжа, което означава „репо сделка, сделка за предоставяне/получаване в заем на ценни книжа или стоки или маржин заемна сделка“ съгласно посоченото в член 4, параграф 1, точка 139 от Регламент (ЕС) № 575/2013;</w:t>
      </w:r>
    </w:p>
    <w:p w14:paraId="68410368" w14:textId="7E4CDAEF" w:rsidR="008E7068" w:rsidRPr="000B66BC" w:rsidRDefault="007E2989" w:rsidP="009339D1">
      <w:pPr>
        <w:pStyle w:val="InstructionsText2"/>
        <w:numPr>
          <w:ilvl w:val="0"/>
          <w:numId w:val="0"/>
        </w:numPr>
        <w:ind w:left="1440" w:hanging="360"/>
        <w:rPr>
          <w:rFonts w:eastAsia="Times New Roman"/>
          <w:bCs/>
          <w:sz w:val="24"/>
        </w:rPr>
      </w:pPr>
      <w:r>
        <w:rPr>
          <w:bCs/>
          <w:sz w:val="24"/>
        </w:rPr>
        <w:t>г.</w:t>
      </w:r>
      <w:r>
        <w:tab/>
      </w:r>
      <w:r>
        <w:rPr>
          <w:bCs/>
          <w:sz w:val="24"/>
        </w:rPr>
        <w:t>РКР — редуциране на кредитния риск;</w:t>
      </w:r>
    </w:p>
    <w:p w14:paraId="212C8B7E" w14:textId="6577F157" w:rsidR="007E2989" w:rsidRPr="000B66BC" w:rsidRDefault="007E2989" w:rsidP="009339D1">
      <w:pPr>
        <w:pStyle w:val="InstructionsText2"/>
        <w:numPr>
          <w:ilvl w:val="0"/>
          <w:numId w:val="0"/>
        </w:numPr>
        <w:ind w:left="1440" w:hanging="360"/>
        <w:rPr>
          <w:rFonts w:eastAsia="Times New Roman"/>
          <w:bCs/>
          <w:sz w:val="24"/>
        </w:rPr>
      </w:pPr>
      <w:r>
        <w:rPr>
          <w:bCs/>
          <w:sz w:val="24"/>
        </w:rPr>
        <w:t>д.</w:t>
      </w:r>
      <w:r>
        <w:tab/>
      </w:r>
      <w:r>
        <w:rPr>
          <w:bCs/>
          <w:sz w:val="24"/>
        </w:rPr>
        <w:t>ЦДЦК — централен депозитар на ценни книжа;</w:t>
      </w:r>
    </w:p>
    <w:p w14:paraId="44F02B07" w14:textId="457293D0"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е. </w:t>
      </w:r>
      <w:r>
        <w:tab/>
      </w:r>
      <w:r>
        <w:rPr>
          <w:bCs/>
          <w:sz w:val="24"/>
        </w:rPr>
        <w:t>КЦК — квалифициран централен контрагент;</w:t>
      </w:r>
    </w:p>
    <w:p w14:paraId="4CAF859B" w14:textId="77777777" w:rsidR="007E2989" w:rsidRPr="000B66BC" w:rsidRDefault="007E2989" w:rsidP="009339D1">
      <w:pPr>
        <w:pStyle w:val="InstructionsText2"/>
        <w:numPr>
          <w:ilvl w:val="0"/>
          <w:numId w:val="0"/>
        </w:numPr>
        <w:ind w:left="1440" w:hanging="360"/>
        <w:rPr>
          <w:rFonts w:eastAsia="Times New Roman"/>
          <w:bCs/>
          <w:sz w:val="24"/>
        </w:rPr>
      </w:pPr>
      <w:r>
        <w:rPr>
          <w:bCs/>
          <w:sz w:val="24"/>
        </w:rPr>
        <w:t xml:space="preserve">ж. </w:t>
      </w:r>
      <w:r>
        <w:tab/>
      </w:r>
      <w:r>
        <w:rPr>
          <w:bCs/>
          <w:sz w:val="24"/>
        </w:rPr>
        <w:t>ПБЕ — потенциална бъдеща експозиция.</w:t>
      </w:r>
    </w:p>
    <w:p w14:paraId="04A571E4" w14:textId="77777777" w:rsidR="00217D1F" w:rsidRPr="000B66BC" w:rsidRDefault="00500508" w:rsidP="000B66BC">
      <w:pPr>
        <w:pStyle w:val="BodyText1"/>
        <w:spacing w:after="240"/>
        <w:ind w:left="357" w:hanging="357"/>
        <w:outlineLvl w:val="2"/>
        <w:rPr>
          <w:rFonts w:ascii="Times New Roman" w:hAnsi="Times New Roman"/>
          <w:b/>
          <w:sz w:val="24"/>
          <w:szCs w:val="24"/>
        </w:rPr>
      </w:pPr>
      <w:bookmarkStart w:id="30" w:name="_Toc423089065"/>
      <w:bookmarkStart w:id="31" w:name="_Toc58840519"/>
      <w:r>
        <w:rPr>
          <w:rFonts w:ascii="Times New Roman" w:hAnsi="Times New Roman"/>
          <w:b/>
          <w:sz w:val="24"/>
          <w:szCs w:val="24"/>
        </w:rPr>
        <w:t>1.4.</w:t>
      </w:r>
      <w:r>
        <w:tab/>
      </w:r>
      <w:r>
        <w:rPr>
          <w:rFonts w:ascii="Times New Roman" w:hAnsi="Times New Roman"/>
          <w:b/>
          <w:sz w:val="24"/>
          <w:szCs w:val="24"/>
        </w:rPr>
        <w:t>Установени практики при използването на знаци</w:t>
      </w:r>
      <w:bookmarkEnd w:id="16"/>
      <w:bookmarkEnd w:id="17"/>
      <w:bookmarkEnd w:id="27"/>
      <w:bookmarkEnd w:id="28"/>
      <w:bookmarkEnd w:id="29"/>
      <w:bookmarkEnd w:id="30"/>
      <w:bookmarkEnd w:id="31"/>
    </w:p>
    <w:p w14:paraId="077A5720" w14:textId="08AE4F7D" w:rsidR="0058289F" w:rsidRPr="000B66BC" w:rsidRDefault="00500508" w:rsidP="009339D1">
      <w:pPr>
        <w:pStyle w:val="InstructionsText2"/>
        <w:numPr>
          <w:ilvl w:val="0"/>
          <w:numId w:val="0"/>
        </w:numPr>
        <w:ind w:left="720" w:hanging="360"/>
        <w:rPr>
          <w:rFonts w:eastAsia="Times New Roman"/>
          <w:bCs/>
          <w:sz w:val="24"/>
        </w:rPr>
      </w:pPr>
      <w:bookmarkStart w:id="32" w:name="_Toc322687869"/>
      <w:r>
        <w:rPr>
          <w:bCs/>
          <w:sz w:val="24"/>
        </w:rPr>
        <w:t>9.</w:t>
      </w:r>
      <w:r>
        <w:tab/>
      </w:r>
      <w:r>
        <w:rPr>
          <w:bCs/>
          <w:sz w:val="24"/>
        </w:rPr>
        <w:t>Всички стойности се докладват като положителни числа.</w:t>
      </w:r>
      <w:bookmarkStart w:id="33" w:name="_Toc264033192"/>
      <w:bookmarkEnd w:id="33"/>
      <w:r>
        <w:rPr>
          <w:bCs/>
          <w:sz w:val="24"/>
        </w:rPr>
        <w:t xml:space="preserve"> С изключение на:</w:t>
      </w:r>
    </w:p>
    <w:p w14:paraId="7B6D27CF" w14:textId="222C2E2D" w:rsidR="0058289F" w:rsidRPr="000B66BC" w:rsidRDefault="00A5392D" w:rsidP="009339D1">
      <w:pPr>
        <w:pStyle w:val="InstructionsText2"/>
        <w:numPr>
          <w:ilvl w:val="0"/>
          <w:numId w:val="25"/>
        </w:numPr>
        <w:rPr>
          <w:rFonts w:eastAsia="Times New Roman"/>
          <w:bCs/>
          <w:sz w:val="24"/>
        </w:rPr>
      </w:pPr>
      <w:r>
        <w:rPr>
          <w:bCs/>
          <w:sz w:val="24"/>
        </w:rPr>
        <w:t>позициите, пред чието обозначение има отрицателен знак (−), когато не се очаква докладване на положително число по тази позиция.</w:t>
      </w:r>
    </w:p>
    <w:p w14:paraId="259D3174" w14:textId="186210E9" w:rsidR="00E40D66" w:rsidRPr="000B66BC" w:rsidRDefault="00E40D66" w:rsidP="009339D1">
      <w:pPr>
        <w:pStyle w:val="InstructionsText2"/>
        <w:numPr>
          <w:ilvl w:val="0"/>
          <w:numId w:val="25"/>
        </w:numPr>
        <w:rPr>
          <w:rFonts w:eastAsia="Times New Roman"/>
          <w:bCs/>
          <w:sz w:val="24"/>
        </w:rPr>
      </w:pPr>
      <w:r>
        <w:rPr>
          <w:bCs/>
          <w:sz w:val="24"/>
        </w:rPr>
        <w:t>{LRCalc;0310;0010}, {LRCalc;0320;0010}, {LRCalc;0330;0010}, {LRCalc;0340;0010}, които при изключителни обстоятелства биха могли да приемат отрицателни стойности, но иначе са с положителни стойности.</w:t>
      </w:r>
    </w:p>
    <w:p w14:paraId="1A7EEF5B" w14:textId="10579662" w:rsidR="0060741B" w:rsidRPr="000B66BC" w:rsidRDefault="0060741B" w:rsidP="009339D1">
      <w:pPr>
        <w:pStyle w:val="InstructionsText2"/>
        <w:numPr>
          <w:ilvl w:val="0"/>
          <w:numId w:val="25"/>
        </w:numPr>
        <w:rPr>
          <w:rFonts w:eastAsia="Times New Roman"/>
          <w:bCs/>
          <w:sz w:val="24"/>
        </w:rPr>
      </w:pPr>
      <w:r>
        <w:rPr>
          <w:bCs/>
          <w:sz w:val="24"/>
        </w:rPr>
        <w:t>{LRCalc;0280;0010} може да приеме положителни стойности вследствие на член 473а, параграф 7 от РКИ, но иначе е с отрицателни стойности.</w:t>
      </w:r>
    </w:p>
    <w:p w14:paraId="12B14317" w14:textId="77777777" w:rsidR="001F28C3" w:rsidRPr="000B66BC" w:rsidRDefault="00360A3D" w:rsidP="009339D1">
      <w:pPr>
        <w:pStyle w:val="InstructionsText2"/>
        <w:numPr>
          <w:ilvl w:val="0"/>
          <w:numId w:val="0"/>
        </w:numPr>
        <w:ind w:left="720"/>
        <w:rPr>
          <w:rFonts w:eastAsia="Times New Roman"/>
          <w:bCs/>
          <w:sz w:val="24"/>
        </w:rPr>
      </w:pPr>
      <w:r>
        <w:rPr>
          <w:bCs/>
          <w:sz w:val="24"/>
        </w:rPr>
        <w:t xml:space="preserve"> </w:t>
      </w:r>
    </w:p>
    <w:p w14:paraId="35677258" w14:textId="77777777" w:rsidR="00217D1F" w:rsidRPr="00864866" w:rsidRDefault="00F4754B" w:rsidP="000B66BC">
      <w:pPr>
        <w:pStyle w:val="BodyText1"/>
        <w:spacing w:after="240"/>
        <w:outlineLvl w:val="0"/>
        <w:rPr>
          <w:rFonts w:ascii="Times New Roman" w:hAnsi="Times New Roman"/>
          <w:b/>
          <w:sz w:val="24"/>
          <w:szCs w:val="24"/>
        </w:rPr>
      </w:pPr>
      <w:r>
        <w:br w:type="page"/>
      </w:r>
      <w:bookmarkStart w:id="34" w:name="_Toc351048504"/>
      <w:bookmarkStart w:id="35" w:name="_Toc359414281"/>
      <w:bookmarkStart w:id="36" w:name="_Toc423089066"/>
      <w:bookmarkStart w:id="37" w:name="_Toc58840520"/>
      <w:r>
        <w:rPr>
          <w:rFonts w:ascii="Times New Roman" w:hAnsi="Times New Roman"/>
          <w:b/>
          <w:sz w:val="24"/>
          <w:szCs w:val="24"/>
        </w:rPr>
        <w:lastRenderedPageBreak/>
        <w:t>ЧАСТ II: УКАЗАНИЯ ОТНОСНО ОБРАЗЦИТЕ</w:t>
      </w:r>
      <w:bookmarkEnd w:id="32"/>
      <w:bookmarkEnd w:id="34"/>
      <w:bookmarkEnd w:id="35"/>
      <w:bookmarkEnd w:id="36"/>
      <w:bookmarkEnd w:id="37"/>
    </w:p>
    <w:p w14:paraId="4C8C375F" w14:textId="77777777" w:rsidR="00505096" w:rsidRPr="000B66BC" w:rsidRDefault="006F588E" w:rsidP="000B66BC">
      <w:pPr>
        <w:pStyle w:val="BodyText1"/>
        <w:spacing w:after="240"/>
        <w:ind w:left="357" w:hanging="357"/>
        <w:outlineLvl w:val="1"/>
        <w:rPr>
          <w:rFonts w:ascii="Times New Roman" w:hAnsi="Times New Roman"/>
          <w:b/>
          <w:sz w:val="24"/>
          <w:szCs w:val="24"/>
        </w:rPr>
      </w:pPr>
      <w:bookmarkStart w:id="38" w:name="_Toc423089068"/>
      <w:bookmarkStart w:id="39" w:name="_Toc359414283"/>
      <w:bookmarkStart w:id="40" w:name="_Toc58840521"/>
      <w:bookmarkStart w:id="41" w:name="_Toc322533849"/>
      <w:r>
        <w:rPr>
          <w:rFonts w:ascii="Times New Roman" w:hAnsi="Times New Roman"/>
          <w:b/>
          <w:sz w:val="24"/>
          <w:szCs w:val="24"/>
        </w:rPr>
        <w:t>1.</w:t>
      </w:r>
      <w:r>
        <w:tab/>
      </w:r>
      <w:r>
        <w:rPr>
          <w:rFonts w:ascii="Times New Roman" w:hAnsi="Times New Roman"/>
          <w:b/>
          <w:sz w:val="24"/>
          <w:szCs w:val="24"/>
        </w:rPr>
        <w:t>Формули за изчисляване на отношението на ливъридж</w:t>
      </w:r>
      <w:bookmarkEnd w:id="38"/>
      <w:bookmarkEnd w:id="39"/>
      <w:bookmarkEnd w:id="40"/>
    </w:p>
    <w:p w14:paraId="23B05B4C" w14:textId="08E66F21" w:rsidR="00505096"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w:t>
      </w:r>
      <w:r>
        <w:tab/>
      </w:r>
      <w:r>
        <w:rPr>
          <w:rFonts w:ascii="Times New Roman" w:hAnsi="Times New Roman"/>
          <w:sz w:val="24"/>
          <w:szCs w:val="24"/>
        </w:rPr>
        <w:t xml:space="preserve">Отношението на ливъридж се основава на мярката за капитала и мярката за общата експозиция, които могат да бъдат изчислени с полетата от LRCalc. </w:t>
      </w:r>
    </w:p>
    <w:p w14:paraId="25E094A5" w14:textId="09CDBDB2"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w:t>
      </w:r>
      <w:r>
        <w:tab/>
      </w:r>
      <w:r>
        <w:rPr>
          <w:rFonts w:ascii="Times New Roman" w:hAnsi="Times New Roman"/>
          <w:sz w:val="24"/>
          <w:szCs w:val="24"/>
        </w:rPr>
        <w:t>Отношението на ливъридж — „окончателно“ определение = {LRCalc;0310;0010} / {LRCalc;0290;0010}.</w:t>
      </w:r>
    </w:p>
    <w:p w14:paraId="0177EE20" w14:textId="51F58570" w:rsidR="00B8400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3.</w:t>
      </w:r>
      <w:r>
        <w:tab/>
      </w:r>
      <w:r>
        <w:rPr>
          <w:rFonts w:ascii="Times New Roman" w:hAnsi="Times New Roman"/>
          <w:sz w:val="24"/>
          <w:szCs w:val="24"/>
        </w:rPr>
        <w:t>Отношението на ливъридж — „преходно“ определение = {LRCalc;0320;0010} / {LRCalc;0300;0010}.</w:t>
      </w:r>
    </w:p>
    <w:p w14:paraId="5857476D" w14:textId="11118B79" w:rsidR="00505096" w:rsidRPr="000B66BC" w:rsidRDefault="005F4574" w:rsidP="000B66BC">
      <w:pPr>
        <w:pStyle w:val="BodyText1"/>
        <w:spacing w:after="240"/>
        <w:ind w:left="357" w:hanging="357"/>
        <w:outlineLvl w:val="1"/>
        <w:rPr>
          <w:rFonts w:ascii="Times New Roman" w:hAnsi="Times New Roman"/>
          <w:b/>
          <w:sz w:val="24"/>
          <w:szCs w:val="24"/>
        </w:rPr>
      </w:pPr>
      <w:bookmarkStart w:id="42" w:name="_Toc359414284"/>
      <w:bookmarkStart w:id="43" w:name="_Toc423089069"/>
      <w:bookmarkStart w:id="44" w:name="_Toc58840522"/>
      <w:bookmarkStart w:id="45" w:name="_Toc322533852"/>
      <w:bookmarkEnd w:id="41"/>
      <w:r>
        <w:rPr>
          <w:rFonts w:ascii="Times New Roman" w:hAnsi="Times New Roman"/>
          <w:b/>
          <w:sz w:val="24"/>
          <w:szCs w:val="24"/>
        </w:rPr>
        <w:t>2.</w:t>
      </w:r>
      <w:r>
        <w:tab/>
      </w:r>
      <w:r>
        <w:rPr>
          <w:rFonts w:ascii="Times New Roman" w:hAnsi="Times New Roman"/>
          <w:b/>
          <w:sz w:val="24"/>
          <w:szCs w:val="24"/>
        </w:rPr>
        <w:t>Прагове на същественост за дериватите</w:t>
      </w:r>
      <w:bookmarkEnd w:id="42"/>
      <w:bookmarkEnd w:id="43"/>
      <w:bookmarkEnd w:id="44"/>
    </w:p>
    <w:p w14:paraId="677B6944" w14:textId="3E22E31F"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4.</w:t>
      </w:r>
      <w:r>
        <w:tab/>
      </w:r>
      <w:r>
        <w:rPr>
          <w:rFonts w:ascii="Times New Roman" w:hAnsi="Times New Roman"/>
          <w:sz w:val="24"/>
          <w:szCs w:val="24"/>
        </w:rPr>
        <w:t>С цел намаляване на свързаната с докладването тежест за институциите с ограничени експозиции в деривати, за измерване на относителната значимост на експозициите в деривати спрямо общата експозиция с оглед на отношението на ливъридж се използват следните мерки. Институциите изчисляват тези мерки по следния начин</w:t>
      </w:r>
      <w:bookmarkStart w:id="46" w:name="_Toc322533853"/>
      <w:bookmarkEnd w:id="45"/>
      <w:r>
        <w:rPr>
          <w:rFonts w:ascii="Times New Roman" w:hAnsi="Times New Roman"/>
          <w:sz w:val="24"/>
          <w:szCs w:val="24"/>
        </w:rPr>
        <w:t>:</w:t>
      </w:r>
    </w:p>
    <w:p w14:paraId="1388E099" w14:textId="083BDE43" w:rsidR="00354188" w:rsidRPr="000B66BC" w:rsidRDefault="006F588E" w:rsidP="000B66BC">
      <w:pPr>
        <w:pStyle w:val="BodyText1"/>
        <w:spacing w:after="240" w:line="240" w:lineRule="auto"/>
        <w:ind w:left="720" w:hanging="360"/>
        <w:rPr>
          <w:rFonts w:ascii="Times New Roman" w:hAnsi="Times New Roman"/>
          <w:sz w:val="24"/>
          <w:szCs w:val="24"/>
        </w:rPr>
      </w:pPr>
      <w:bookmarkStart w:id="47" w:name="_Toc322533854"/>
      <w:bookmarkEnd w:id="46"/>
      <w:r>
        <w:rPr>
          <w:rFonts w:ascii="Times New Roman" w:hAnsi="Times New Roman"/>
          <w:sz w:val="24"/>
          <w:szCs w:val="24"/>
        </w:rPr>
        <w:t>5.</w:t>
      </w:r>
      <w:r>
        <w:tab/>
      </w:r>
      <w:r>
        <w:rPr>
          <w:rFonts w:ascii="Times New Roman" w:hAnsi="Times New Roman"/>
          <w:sz w:val="24"/>
          <w:szCs w:val="24"/>
        </w:rPr>
        <w:t xml:space="preserve">Дял на дериватите = </w:t>
      </w:r>
      <m:oMath>
        <m:f>
          <m:fPr>
            <m:ctrlPr>
              <w:rPr>
                <w:rFonts w:ascii="Cambria Math" w:hAnsi="Times New Roman"/>
                <w:sz w:val="24"/>
                <w:szCs w:val="24"/>
              </w:rPr>
            </m:ctrlPr>
          </m:fPr>
          <m:num>
            <m:r>
              <m:rPr>
                <m:sty m:val="p"/>
              </m:rPr>
              <w:rPr>
                <w:rFonts w:ascii="Cambria Math" w:hAnsi="Times New Roman"/>
                <w:sz w:val="24"/>
                <w:szCs w:val="24"/>
              </w:rPr>
              <m:t>Мярка</m:t>
            </m:r>
            <m:r>
              <m:rPr>
                <m:sty m:val="p"/>
              </m:rPr>
              <w:rPr>
                <w:rFonts w:ascii="Cambria Math" w:hAnsi="Times New Roman"/>
                <w:sz w:val="24"/>
                <w:szCs w:val="24"/>
              </w:rPr>
              <m:t xml:space="preserve"> </m:t>
            </m:r>
            <m:r>
              <m:rPr>
                <m:sty m:val="p"/>
              </m:rPr>
              <w:rPr>
                <w:rFonts w:ascii="Cambria Math" w:hAnsi="Times New Roman"/>
                <w:sz w:val="24"/>
                <w:szCs w:val="24"/>
              </w:rPr>
              <m:t>за</m:t>
            </m:r>
            <m:r>
              <m:rPr>
                <m:sty m:val="p"/>
              </m:rPr>
              <w:rPr>
                <w:rFonts w:ascii="Cambria Math" w:hAnsi="Times New Roman"/>
                <w:sz w:val="24"/>
                <w:szCs w:val="24"/>
              </w:rPr>
              <m:t xml:space="preserve"> </m:t>
            </m:r>
            <m:r>
              <m:rPr>
                <m:sty m:val="p"/>
              </m:rPr>
              <w:rPr>
                <w:rFonts w:ascii="Cambria Math" w:hAnsi="Times New Roman"/>
                <w:sz w:val="24"/>
                <w:szCs w:val="24"/>
              </w:rPr>
              <m:t>дериватната</m:t>
            </m:r>
            <m:r>
              <m:rPr>
                <m:sty m:val="p"/>
              </m:rPr>
              <w:rPr>
                <w:rFonts w:ascii="Cambria Math" w:hAnsi="Times New Roman"/>
                <w:sz w:val="24"/>
                <w:szCs w:val="24"/>
              </w:rPr>
              <m:t xml:space="preserve"> </m:t>
            </m:r>
            <m:r>
              <m:rPr>
                <m:sty m:val="p"/>
              </m:rPr>
              <w:rPr>
                <w:rFonts w:ascii="Cambria Math" w:hAnsi="Times New Roman"/>
                <w:sz w:val="24"/>
                <w:szCs w:val="24"/>
              </w:rPr>
              <m:t>експозиция</m:t>
            </m:r>
          </m:num>
          <m:den>
            <m:r>
              <m:rPr>
                <m:sty m:val="p"/>
              </m:rPr>
              <w:rPr>
                <w:rFonts w:ascii="Cambria Math" w:hAnsi="Times New Roman"/>
                <w:sz w:val="24"/>
                <w:szCs w:val="24"/>
              </w:rPr>
              <m:t>Мярка</m:t>
            </m:r>
            <m:r>
              <m:rPr>
                <m:sty m:val="p"/>
              </m:rPr>
              <w:rPr>
                <w:rFonts w:ascii="Cambria Math" w:hAnsi="Times New Roman"/>
                <w:sz w:val="24"/>
                <w:szCs w:val="24"/>
              </w:rPr>
              <m:t xml:space="preserve"> </m:t>
            </m:r>
            <m:r>
              <m:rPr>
                <m:sty m:val="p"/>
              </m:rPr>
              <w:rPr>
                <w:rFonts w:ascii="Cambria Math" w:hAnsi="Times New Roman"/>
                <w:sz w:val="24"/>
                <w:szCs w:val="24"/>
              </w:rPr>
              <m:t>за</m:t>
            </m:r>
            <m:r>
              <m:rPr>
                <m:sty m:val="p"/>
              </m:rPr>
              <w:rPr>
                <w:rFonts w:ascii="Cambria Math" w:hAnsi="Times New Roman"/>
                <w:sz w:val="24"/>
                <w:szCs w:val="24"/>
              </w:rPr>
              <m:t xml:space="preserve"> </m:t>
            </m:r>
            <m:r>
              <m:rPr>
                <m:sty m:val="p"/>
              </m:rPr>
              <w:rPr>
                <w:rFonts w:ascii="Cambria Math" w:hAnsi="Times New Roman"/>
                <w:sz w:val="24"/>
                <w:szCs w:val="24"/>
              </w:rPr>
              <m:t>общата</m:t>
            </m:r>
            <m:r>
              <m:rPr>
                <m:sty m:val="p"/>
              </m:rPr>
              <w:rPr>
                <w:rFonts w:ascii="Cambria Math" w:hAnsi="Times New Roman"/>
                <w:sz w:val="24"/>
                <w:szCs w:val="24"/>
              </w:rPr>
              <m:t xml:space="preserve"> </m:t>
            </m:r>
            <m:r>
              <m:rPr>
                <m:sty m:val="p"/>
              </m:rPr>
              <w:rPr>
                <w:rFonts w:ascii="Cambria Math" w:hAnsi="Times New Roman"/>
                <w:sz w:val="24"/>
                <w:szCs w:val="24"/>
              </w:rPr>
              <m:t>експозиция</m:t>
            </m:r>
          </m:den>
        </m:f>
      </m:oMath>
      <w:r>
        <w:rPr>
          <w:rFonts w:ascii="Times New Roman" w:hAnsi="Times New Roman"/>
          <w:sz w:val="24"/>
          <w:szCs w:val="24"/>
        </w:rPr>
        <w:t>.</w:t>
      </w:r>
    </w:p>
    <w:p w14:paraId="59FDE449" w14:textId="7D30F780" w:rsidR="00FC26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6.</w:t>
      </w:r>
      <w:r>
        <w:tab/>
      </w:r>
      <w:r>
        <w:rPr>
          <w:rFonts w:ascii="Times New Roman" w:hAnsi="Times New Roman"/>
          <w:sz w:val="24"/>
          <w:szCs w:val="24"/>
        </w:rPr>
        <w:t>Където мярката за деривативната експозиция е равна на: {LRCalc;0061;0010}+{LRCalc;0065;0010}+{LRCalc;0071;0010}+{LRCalc;0081;0010}+{LRCalc;0091;0010}+{LRCalc;0092;0010}+{LRCalc;0093;0010}+{LRCalc;0101;0010}+{LRCalc;0102;0010}+{LRCalc;0103;0010}+{LRCalc;0104;0010}+{LRCalc;0110;0010}+{LRCalc;0120;0010}+{LRCalc;0130;0010}+{LRCalc;0140;0010}</w:t>
      </w:r>
    </w:p>
    <w:p w14:paraId="7C2BB4E9" w14:textId="1E407FFF" w:rsidR="00EB7F64"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7.</w:t>
      </w:r>
      <w:r>
        <w:tab/>
      </w:r>
      <w:r>
        <w:rPr>
          <w:rFonts w:ascii="Times New Roman" w:hAnsi="Times New Roman"/>
          <w:sz w:val="24"/>
          <w:szCs w:val="24"/>
        </w:rPr>
        <w:t>Където мярката за общата експозиция е равна на: {LRCalc;0290;0010}.</w:t>
      </w:r>
    </w:p>
    <w:p w14:paraId="236C5046" w14:textId="3D6A3933"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8.</w:t>
      </w:r>
      <w:r>
        <w:tab/>
      </w:r>
      <w:r>
        <w:rPr>
          <w:rFonts w:ascii="Times New Roman" w:hAnsi="Times New Roman"/>
          <w:sz w:val="24"/>
          <w:szCs w:val="24"/>
        </w:rPr>
        <w:t>Обща условна стойност по деривати = {LR1; 0010;0070}. Институциите винаги докладват това поле.</w:t>
      </w:r>
    </w:p>
    <w:p w14:paraId="5F8B3FC4" w14:textId="32C9016A"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9.</w:t>
      </w:r>
      <w:r>
        <w:tab/>
      </w:r>
      <w:r>
        <w:rPr>
          <w:rFonts w:ascii="Times New Roman" w:hAnsi="Times New Roman"/>
          <w:sz w:val="24"/>
          <w:szCs w:val="24"/>
        </w:rPr>
        <w:t>Обем на кредитните деривати = {LR1;0020;0070} + {LR1;0050;0070}. Институциите винаги докладват това поле.</w:t>
      </w:r>
    </w:p>
    <w:p w14:paraId="10930518" w14:textId="07ED25AD" w:rsidR="00F4754B" w:rsidRPr="000B66BC" w:rsidRDefault="006F588E"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10.</w:t>
      </w:r>
      <w:r>
        <w:tab/>
      </w:r>
      <w:r>
        <w:rPr>
          <w:rFonts w:ascii="Times New Roman" w:hAnsi="Times New Roman"/>
          <w:sz w:val="24"/>
          <w:szCs w:val="24"/>
        </w:rPr>
        <w:t>Институциите докладват полетата, посочени в параграф 13, ако е изпълнено едно от следните условия:</w:t>
      </w:r>
    </w:p>
    <w:p w14:paraId="2564CD75" w14:textId="1B9B37E1" w:rsidR="00F4754B" w:rsidRPr="000B66BC" w:rsidRDefault="007A001B" w:rsidP="009339D1">
      <w:pPr>
        <w:pStyle w:val="InstructionsText2"/>
        <w:numPr>
          <w:ilvl w:val="0"/>
          <w:numId w:val="39"/>
        </w:numPr>
        <w:rPr>
          <w:rFonts w:eastAsia="Times New Roman"/>
          <w:bCs/>
          <w:sz w:val="24"/>
        </w:rPr>
      </w:pPr>
      <w:r>
        <w:rPr>
          <w:bCs/>
          <w:sz w:val="24"/>
        </w:rPr>
        <w:t>делът на дериватите, посочен в параграф 5, е повече от 1,5 %.</w:t>
      </w:r>
    </w:p>
    <w:p w14:paraId="272AC9A9" w14:textId="6954E060" w:rsidR="00675587" w:rsidRPr="000B66BC" w:rsidRDefault="007A001B" w:rsidP="009339D1">
      <w:pPr>
        <w:pStyle w:val="InstructionsText2"/>
        <w:numPr>
          <w:ilvl w:val="0"/>
          <w:numId w:val="39"/>
        </w:numPr>
        <w:rPr>
          <w:rFonts w:eastAsia="Times New Roman"/>
          <w:bCs/>
          <w:sz w:val="24"/>
        </w:rPr>
      </w:pPr>
      <w:r>
        <w:rPr>
          <w:bCs/>
          <w:sz w:val="24"/>
        </w:rPr>
        <w:t>делът на дериватите, посочен в параграф 5, надвишава 2,0 %.</w:t>
      </w:r>
    </w:p>
    <w:p w14:paraId="2F872F2A" w14:textId="7830BBF5" w:rsidR="00242493" w:rsidRPr="000B66BC" w:rsidRDefault="00242493" w:rsidP="009339D1">
      <w:pPr>
        <w:pStyle w:val="InstructionsText2"/>
        <w:numPr>
          <w:ilvl w:val="0"/>
          <w:numId w:val="0"/>
        </w:numPr>
        <w:ind w:left="709" w:firstLine="11"/>
        <w:rPr>
          <w:rFonts w:eastAsia="Times New Roman"/>
          <w:bCs/>
          <w:sz w:val="24"/>
        </w:rPr>
      </w:pPr>
      <w:r>
        <w:rPr>
          <w:bCs/>
          <w:sz w:val="24"/>
        </w:rPr>
        <w:t>Прилагат се входните и изходните критерии по член 4 от настоящия регламент с изключение на буква б), когато институциите започват да докладват информация от референтната дата на докладване, следваща тази, на която е бил превишен прагът.</w:t>
      </w:r>
    </w:p>
    <w:p w14:paraId="70291EC5" w14:textId="77777777" w:rsidR="00F4754B" w:rsidRPr="000B66BC" w:rsidRDefault="00F4754B" w:rsidP="000B66BC">
      <w:pPr>
        <w:pStyle w:val="BodyText1"/>
        <w:spacing w:after="240" w:line="240" w:lineRule="auto"/>
        <w:rPr>
          <w:rFonts w:ascii="Times New Roman" w:hAnsi="Times New Roman"/>
          <w:sz w:val="24"/>
          <w:szCs w:val="24"/>
        </w:rPr>
      </w:pPr>
    </w:p>
    <w:p w14:paraId="748E5477" w14:textId="35CC7961"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lastRenderedPageBreak/>
        <w:t>11.</w:t>
      </w:r>
      <w:r>
        <w:tab/>
      </w:r>
      <w:r>
        <w:rPr>
          <w:rFonts w:ascii="Times New Roman" w:hAnsi="Times New Roman"/>
          <w:sz w:val="24"/>
          <w:szCs w:val="24"/>
        </w:rPr>
        <w:t>Институциите, за които общата условна стойност по деривати, определена в параграф 8, надвишава 10 милиарда евро, докладват полетата, посочени в параграф 13, дори когато делът на дериватите не отговаря на условията по параграф 10.</w:t>
      </w:r>
    </w:p>
    <w:p w14:paraId="48A7F7A1" w14:textId="00594413" w:rsidR="00242493" w:rsidRPr="000B66BC" w:rsidRDefault="00242493" w:rsidP="000B66BC">
      <w:pPr>
        <w:pStyle w:val="BodyText1"/>
        <w:spacing w:after="240" w:line="240" w:lineRule="auto"/>
        <w:ind w:left="720" w:hanging="360"/>
        <w:rPr>
          <w:rFonts w:ascii="Times New Roman" w:hAnsi="Times New Roman"/>
          <w:sz w:val="24"/>
          <w:szCs w:val="24"/>
        </w:rPr>
      </w:pPr>
      <w:r>
        <w:tab/>
      </w:r>
      <w:r>
        <w:rPr>
          <w:rFonts w:ascii="Times New Roman" w:hAnsi="Times New Roman"/>
          <w:sz w:val="24"/>
          <w:szCs w:val="24"/>
        </w:rPr>
        <w:t>Входните критерии по член 4 от настоящия регламент на не се прилагат за параграф 4. Институциите започват да докладват информацията за референтната дата на докладване, следваща референтната дата на докладване, на която са превишили прага.</w:t>
      </w:r>
    </w:p>
    <w:p w14:paraId="49F753AA" w14:textId="0D7F1C4D"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12.</w:t>
      </w:r>
      <w:r>
        <w:tab/>
      </w:r>
      <w:r>
        <w:rPr>
          <w:rFonts w:ascii="Times New Roman" w:hAnsi="Times New Roman"/>
          <w:sz w:val="24"/>
          <w:szCs w:val="24"/>
        </w:rPr>
        <w:t>Институциите докладват полетата, посочени в параграф 14, ако е изпълнено едно от следните условия:</w:t>
      </w:r>
    </w:p>
    <w:p w14:paraId="3F12E5B0" w14:textId="61844629" w:rsidR="00F4754B" w:rsidRPr="000B66BC" w:rsidRDefault="007A001B" w:rsidP="009339D1">
      <w:pPr>
        <w:pStyle w:val="InstructionsText2"/>
        <w:numPr>
          <w:ilvl w:val="0"/>
          <w:numId w:val="40"/>
        </w:numPr>
        <w:rPr>
          <w:rFonts w:eastAsia="Times New Roman"/>
          <w:bCs/>
          <w:sz w:val="24"/>
        </w:rPr>
      </w:pPr>
      <w:r>
        <w:rPr>
          <w:bCs/>
          <w:sz w:val="24"/>
        </w:rPr>
        <w:t>обемът на кредитните деривати, посочени в параграф 9, е повече от 300 милиона евро</w:t>
      </w:r>
      <w:r>
        <w:rPr>
          <w:sz w:val="24"/>
        </w:rPr>
        <w:t>;</w:t>
      </w:r>
    </w:p>
    <w:p w14:paraId="53026947" w14:textId="5B38C368" w:rsidR="00675587" w:rsidRPr="000B66BC" w:rsidRDefault="007A001B" w:rsidP="009339D1">
      <w:pPr>
        <w:pStyle w:val="InstructionsText2"/>
        <w:numPr>
          <w:ilvl w:val="0"/>
          <w:numId w:val="40"/>
        </w:numPr>
        <w:rPr>
          <w:rFonts w:eastAsia="Times New Roman"/>
          <w:bCs/>
          <w:sz w:val="24"/>
        </w:rPr>
      </w:pPr>
      <w:r>
        <w:rPr>
          <w:bCs/>
          <w:sz w:val="24"/>
        </w:rPr>
        <w:t>обемът на кредитните деривати, посочени в параграф 9, надвишава 500 милиона евро.</w:t>
      </w:r>
    </w:p>
    <w:p w14:paraId="3B88084F" w14:textId="34241752" w:rsidR="00F4754B" w:rsidRPr="000B66BC" w:rsidRDefault="00242493" w:rsidP="000B66BC">
      <w:pPr>
        <w:pStyle w:val="InstructionsText2"/>
        <w:numPr>
          <w:ilvl w:val="0"/>
          <w:numId w:val="0"/>
        </w:numPr>
        <w:ind w:left="709" w:firstLine="11"/>
        <w:rPr>
          <w:sz w:val="24"/>
        </w:rPr>
      </w:pPr>
      <w:r>
        <w:rPr>
          <w:bCs/>
          <w:sz w:val="24"/>
        </w:rPr>
        <w:t>Прилагат се входните и изходните критерии по член 4 от настоящия регламент с изключение на буква б), когато институциите започват да докладват от референтната дата на докладване, следваща тази, на която е бил превишен прагът.</w:t>
      </w:r>
    </w:p>
    <w:p w14:paraId="6CB3856E" w14:textId="36C7913E"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13.</w:t>
      </w:r>
      <w:r>
        <w:tab/>
      </w:r>
      <w:r>
        <w:rPr>
          <w:rFonts w:ascii="Times New Roman" w:hAnsi="Times New Roman"/>
          <w:sz w:val="24"/>
          <w:szCs w:val="24"/>
        </w:rPr>
        <w:t>Полетата, които институциите трябва да докладват в съответствие с параграфи 10 и 11, са следните: {LR1;0010;0010}, {LR1;0010;0020}, {LR1;0020;0010}, {LR1;0020;0020}, {LR1;0030;0070}, {LR1;0040;0070}, {LR1;0050;0010}, {LR1;0050;0020}, {LR1;0060;0010}, {LR1;0060;0020} и {LR1;0060;0070}.</w:t>
      </w:r>
    </w:p>
    <w:p w14:paraId="6F47B92E" w14:textId="36B5B5EF"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14.</w:t>
      </w:r>
      <w:r>
        <w:tab/>
      </w:r>
      <w:r>
        <w:rPr>
          <w:rFonts w:ascii="Times New Roman" w:hAnsi="Times New Roman"/>
          <w:sz w:val="24"/>
          <w:szCs w:val="24"/>
        </w:rPr>
        <w:t>Полетата, които институциите трябва да докладват в съответствие с параграф 12, са следните: {LR1;0020;0075}, {LR1;0050;0075} и {LR1;0050;0085}.</w:t>
      </w:r>
    </w:p>
    <w:p w14:paraId="00E6EF91" w14:textId="4226172D" w:rsidR="00217D1F" w:rsidRPr="000B66BC" w:rsidRDefault="005F4574" w:rsidP="000B66BC">
      <w:pPr>
        <w:pStyle w:val="BodyText1"/>
        <w:spacing w:after="240"/>
        <w:ind w:left="357" w:hanging="357"/>
        <w:outlineLvl w:val="1"/>
        <w:rPr>
          <w:rFonts w:ascii="Times New Roman" w:hAnsi="Times New Roman"/>
          <w:b/>
          <w:sz w:val="24"/>
          <w:szCs w:val="24"/>
        </w:rPr>
      </w:pPr>
      <w:bookmarkStart w:id="48" w:name="_Toc359414285"/>
      <w:bookmarkStart w:id="49" w:name="_Toc423089070"/>
      <w:bookmarkStart w:id="50" w:name="_Toc58840523"/>
      <w:bookmarkStart w:id="51" w:name="_Toc322687879"/>
      <w:bookmarkStart w:id="52" w:name="_Toc315961853"/>
      <w:bookmarkEnd w:id="47"/>
      <w:r>
        <w:rPr>
          <w:rFonts w:ascii="Times New Roman" w:hAnsi="Times New Roman"/>
          <w:b/>
          <w:sz w:val="24"/>
          <w:szCs w:val="24"/>
        </w:rPr>
        <w:t>3.</w:t>
      </w:r>
      <w:r>
        <w:tab/>
      </w:r>
      <w:bookmarkStart w:id="53" w:name="_Toc351048506"/>
      <w:r>
        <w:rPr>
          <w:rFonts w:ascii="Times New Roman" w:hAnsi="Times New Roman"/>
          <w:b/>
          <w:sz w:val="24"/>
          <w:szCs w:val="24"/>
        </w:rPr>
        <w:t>C 47.00 – Изчисляване на отношението на ливъридж</w:t>
      </w:r>
      <w:bookmarkEnd w:id="53"/>
      <w:bookmarkEnd w:id="48"/>
      <w:r>
        <w:rPr>
          <w:rFonts w:ascii="Times New Roman" w:hAnsi="Times New Roman"/>
          <w:b/>
          <w:sz w:val="24"/>
          <w:szCs w:val="24"/>
        </w:rPr>
        <w:t xml:space="preserve"> (LRCalc)</w:t>
      </w:r>
      <w:bookmarkEnd w:id="49"/>
      <w:bookmarkEnd w:id="50"/>
    </w:p>
    <w:p w14:paraId="5579B71F" w14:textId="0BB469A9"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15.</w:t>
      </w:r>
      <w:r>
        <w:tab/>
      </w:r>
      <w:r>
        <w:rPr>
          <w:rFonts w:ascii="Times New Roman" w:hAnsi="Times New Roman"/>
          <w:sz w:val="24"/>
          <w:szCs w:val="24"/>
        </w:rPr>
        <w:t xml:space="preserve">В този образеца се събират данни, необходими за изчисляването на отношението на ливъридж по смисъла на част 7 от РКИ. </w:t>
      </w:r>
    </w:p>
    <w:p w14:paraId="0E7DE041" w14:textId="23463C95" w:rsidR="00AE2798"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16.</w:t>
      </w:r>
      <w:r>
        <w:tab/>
      </w:r>
      <w:r>
        <w:rPr>
          <w:rFonts w:ascii="Times New Roman" w:hAnsi="Times New Roman"/>
          <w:sz w:val="24"/>
          <w:szCs w:val="24"/>
        </w:rPr>
        <w:t>Институциите докладват на тримесечие отношението на ливъридж. На всяко тримесечие стойността „към референтната дата на докладване“ представлява стойността към последния календарен ден на третия месец от съответното тримесечие.</w:t>
      </w:r>
    </w:p>
    <w:p w14:paraId="36716E2F" w14:textId="501E6CBB" w:rsidR="00941862" w:rsidRPr="000B66BC" w:rsidRDefault="008B4710"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17.</w:t>
      </w:r>
      <w:r>
        <w:tab/>
      </w:r>
      <w:r>
        <w:rPr>
          <w:rFonts w:ascii="Times New Roman" w:hAnsi="Times New Roman"/>
          <w:sz w:val="24"/>
          <w:szCs w:val="24"/>
        </w:rPr>
        <w:t>Институциите докладват позициите в раздела за стойностите на експозицията с положителен знак в съответствие с установените практики при използването на знаци в част I, параграф 9 от настоящото приложение (с изключение на {LRCalc;0270;0010} и {LRCalc;0280;0010}), все едно че не се прилагат позициите с отрицателен знак (например освобождавания/приспадания) в съответствие с установените практики при използването на знаци в част I, параграф 9 от настоящото приложение.</w:t>
      </w:r>
    </w:p>
    <w:p w14:paraId="725F2D82" w14:textId="2BEB62D8" w:rsidR="00720503" w:rsidRPr="000B66BC" w:rsidRDefault="006F588E" w:rsidP="009339D1">
      <w:pPr>
        <w:pStyle w:val="InstructionsText2"/>
        <w:numPr>
          <w:ilvl w:val="0"/>
          <w:numId w:val="0"/>
        </w:numPr>
        <w:ind w:left="720" w:hanging="360"/>
        <w:rPr>
          <w:sz w:val="24"/>
        </w:rPr>
      </w:pPr>
      <w:r>
        <w:rPr>
          <w:sz w:val="24"/>
        </w:rPr>
        <w:t>18.</w:t>
      </w:r>
      <w:r>
        <w:tab/>
      </w:r>
      <w:r>
        <w:rPr>
          <w:sz w:val="24"/>
        </w:rPr>
        <w:t xml:space="preserve">Всяка стойност, с която се увеличават собствените средства или експозицията с оглед на отношението на ливъридж, се докладва като положително число. И </w:t>
      </w:r>
      <w:r>
        <w:rPr>
          <w:sz w:val="24"/>
        </w:rPr>
        <w:lastRenderedPageBreak/>
        <w:t>обратно, всяка стойност, с която се намаляват общият размер на собствените средства или експозицията с оглед на отношението на ливъридж, се докладва като отрицателно число. При наличие на отрицателен знак (–) пред обозначението на дадена позиция не се очаква докладване на положително число по нея.</w:t>
      </w:r>
    </w:p>
    <w:p w14:paraId="69E62B50" w14:textId="029D4159" w:rsidR="00EC3422" w:rsidRPr="000B66BC" w:rsidRDefault="006A4991" w:rsidP="009339D1">
      <w:pPr>
        <w:pStyle w:val="InstructionsText2"/>
        <w:numPr>
          <w:ilvl w:val="0"/>
          <w:numId w:val="0"/>
        </w:numPr>
        <w:ind w:left="720" w:hanging="360"/>
        <w:rPr>
          <w:sz w:val="24"/>
        </w:rPr>
      </w:pPr>
      <w:r>
        <w:rPr>
          <w:sz w:val="24"/>
        </w:rPr>
        <w:t>19.  Когато дадена сума отговаря на условията за приспадане на множество основания, сумата се намалява от експозицията само в един от редовете на образец C47.00.</w:t>
      </w:r>
    </w:p>
    <w:tbl>
      <w:tblPr>
        <w:tblW w:w="912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1"/>
        <w:gridCol w:w="28"/>
        <w:gridCol w:w="7513"/>
        <w:gridCol w:w="49"/>
      </w:tblGrid>
      <w:tr w:rsidR="00AE2798" w:rsidRPr="00E75BB8" w14:paraId="5579CB50" w14:textId="77777777" w:rsidTr="00C7202A">
        <w:trPr>
          <w:trHeight w:val="304"/>
        </w:trPr>
        <w:tc>
          <w:tcPr>
            <w:tcW w:w="1531" w:type="dxa"/>
            <w:shd w:val="clear" w:color="auto" w:fill="D9D9D9"/>
          </w:tcPr>
          <w:p w14:paraId="0C50BBA6" w14:textId="77777777" w:rsidR="00AE2798" w:rsidRPr="000B66BC" w:rsidRDefault="00AE2798" w:rsidP="000B66BC">
            <w:pPr>
              <w:pStyle w:val="BodyText1"/>
              <w:spacing w:after="240"/>
              <w:rPr>
                <w:rFonts w:ascii="Times New Roman" w:hAnsi="Times New Roman"/>
                <w:sz w:val="24"/>
                <w:szCs w:val="24"/>
              </w:rPr>
            </w:pPr>
          </w:p>
        </w:tc>
        <w:tc>
          <w:tcPr>
            <w:tcW w:w="7590" w:type="dxa"/>
            <w:gridSpan w:val="3"/>
            <w:shd w:val="clear" w:color="auto" w:fill="D9D9D9"/>
          </w:tcPr>
          <w:p w14:paraId="103B7EBD" w14:textId="77777777" w:rsidR="00AE2798" w:rsidRPr="000B66BC" w:rsidRDefault="00AE2798" w:rsidP="000B66BC">
            <w:pPr>
              <w:pStyle w:val="BodyText1"/>
              <w:spacing w:after="240"/>
              <w:rPr>
                <w:rFonts w:ascii="Times New Roman" w:hAnsi="Times New Roman"/>
                <w:bCs/>
                <w:sz w:val="24"/>
                <w:szCs w:val="24"/>
                <w:u w:val="single"/>
              </w:rPr>
            </w:pPr>
            <w:r>
              <w:rPr>
                <w:rFonts w:ascii="Times New Roman" w:hAnsi="Times New Roman"/>
                <w:sz w:val="24"/>
                <w:szCs w:val="24"/>
              </w:rPr>
              <w:t>Препратки към правни норми и указания</w:t>
            </w:r>
          </w:p>
        </w:tc>
      </w:tr>
      <w:tr w:rsidR="00AE2798" w:rsidRPr="00E75BB8" w14:paraId="699B1E0D" w14:textId="77777777" w:rsidTr="00C7202A">
        <w:trPr>
          <w:trHeight w:val="304"/>
        </w:trPr>
        <w:tc>
          <w:tcPr>
            <w:tcW w:w="1531" w:type="dxa"/>
            <w:shd w:val="clear" w:color="auto" w:fill="D9D9D9" w:themeFill="background1" w:themeFillShade="D9"/>
          </w:tcPr>
          <w:p w14:paraId="3C798DCF" w14:textId="77777777" w:rsidR="00AE2798" w:rsidRPr="000B66BC" w:rsidRDefault="00AE2798" w:rsidP="000B66BC">
            <w:pPr>
              <w:pStyle w:val="BodyText1"/>
              <w:spacing w:after="240"/>
              <w:rPr>
                <w:rFonts w:ascii="Times New Roman" w:hAnsi="Times New Roman"/>
                <w:b/>
                <w:sz w:val="24"/>
                <w:szCs w:val="24"/>
              </w:rPr>
            </w:pPr>
            <w:r>
              <w:rPr>
                <w:rFonts w:ascii="Times New Roman" w:hAnsi="Times New Roman"/>
                <w:b/>
                <w:sz w:val="24"/>
                <w:szCs w:val="24"/>
              </w:rPr>
              <w:t>Ред и колона</w:t>
            </w:r>
          </w:p>
        </w:tc>
        <w:tc>
          <w:tcPr>
            <w:tcW w:w="7590" w:type="dxa"/>
            <w:gridSpan w:val="3"/>
            <w:shd w:val="clear" w:color="auto" w:fill="D9D9D9" w:themeFill="background1" w:themeFillShade="D9"/>
          </w:tcPr>
          <w:p w14:paraId="1E421E8F" w14:textId="77777777" w:rsidR="00AE2798" w:rsidRPr="000B66BC" w:rsidRDefault="00AE2798" w:rsidP="000B66BC">
            <w:pPr>
              <w:pStyle w:val="BodyText1"/>
              <w:spacing w:after="240"/>
              <w:rPr>
                <w:rFonts w:ascii="Times New Roman" w:hAnsi="Times New Roman"/>
                <w:b/>
                <w:bCs/>
                <w:sz w:val="24"/>
                <w:szCs w:val="24"/>
              </w:rPr>
            </w:pPr>
            <w:r>
              <w:rPr>
                <w:rFonts w:ascii="Times New Roman" w:hAnsi="Times New Roman"/>
                <w:b/>
                <w:bCs/>
                <w:sz w:val="24"/>
                <w:szCs w:val="24"/>
              </w:rPr>
              <w:t>Стойности на експозицията</w:t>
            </w:r>
          </w:p>
        </w:tc>
      </w:tr>
      <w:tr w:rsidR="00AE2798" w:rsidRPr="00E75BB8" w14:paraId="2DE0B580" w14:textId="77777777" w:rsidTr="004F0BFB">
        <w:trPr>
          <w:trHeight w:val="304"/>
        </w:trPr>
        <w:tc>
          <w:tcPr>
            <w:tcW w:w="1531" w:type="dxa"/>
            <w:shd w:val="clear" w:color="auto" w:fill="auto"/>
          </w:tcPr>
          <w:p w14:paraId="7EDCCB36" w14:textId="20E5281F"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590" w:type="dxa"/>
            <w:gridSpan w:val="3"/>
            <w:shd w:val="clear" w:color="auto" w:fill="auto"/>
          </w:tcPr>
          <w:p w14:paraId="776CC56F" w14:textId="3D6EA3A4" w:rsidR="00AE2798" w:rsidRPr="000B66BC" w:rsidRDefault="00AE2798" w:rsidP="000B66BC">
            <w:pPr>
              <w:pStyle w:val="BodyText1"/>
              <w:spacing w:after="240" w:line="240" w:lineRule="auto"/>
              <w:rPr>
                <w:rFonts w:ascii="Times New Roman" w:hAnsi="Times New Roman"/>
                <w:b/>
                <w:bCs/>
                <w:sz w:val="24"/>
                <w:szCs w:val="24"/>
                <w:u w:val="single"/>
              </w:rPr>
            </w:pPr>
            <w:r>
              <w:rPr>
                <w:rFonts w:ascii="Times New Roman" w:hAnsi="Times New Roman"/>
                <w:b/>
                <w:bCs/>
                <w:sz w:val="24"/>
                <w:szCs w:val="24"/>
              </w:rPr>
              <w:t xml:space="preserve">СФЦК: Стойност на експозицията </w:t>
            </w:r>
          </w:p>
          <w:p w14:paraId="24BF7807" w14:textId="5888AF5B" w:rsidR="00962812" w:rsidRPr="000B66BC" w:rsidRDefault="00962812" w:rsidP="000B66BC">
            <w:pPr>
              <w:pStyle w:val="BodyText1"/>
              <w:spacing w:after="240" w:line="240" w:lineRule="auto"/>
              <w:rPr>
                <w:rFonts w:ascii="Times New Roman" w:hAnsi="Times New Roman"/>
                <w:sz w:val="24"/>
                <w:szCs w:val="24"/>
              </w:rPr>
            </w:pPr>
            <w:r>
              <w:rPr>
                <w:rFonts w:ascii="Times New Roman" w:hAnsi="Times New Roman"/>
                <w:bCs/>
                <w:sz w:val="24"/>
                <w:szCs w:val="24"/>
              </w:rPr>
              <w:t>Член 429б, параграф 1, буква б) и параграфи 4 и 5 от РКИ</w:t>
            </w:r>
          </w:p>
          <w:p w14:paraId="4DADBAA1" w14:textId="2D8CC708"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Експозицията за СФЦК, изчислена в съответствие с член  429б, параграф 1, буква б) и параграфи 4 и 5 от РКИ </w:t>
            </w:r>
          </w:p>
          <w:p w14:paraId="7B519931" w14:textId="3059ADB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В това поле институциите включват сделките в съответствие с член 429д, параграф 7, буква в) от РКИ.</w:t>
            </w:r>
          </w:p>
          <w:p w14:paraId="2DB53AA1" w14:textId="46DA276A"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Институциите не включват в това поле получените парични суми или обезпеченията, предоставени на контрагент посредством горепосочените сделки и запазени в баланса (т.е. не са изпълнени счетоводните критерии за отписване). Вместо това институциите включват тези сделки в {0190;0010}.</w:t>
            </w:r>
          </w:p>
          <w:p w14:paraId="3B9A69FC" w14:textId="679F744A" w:rsidR="00AE2798" w:rsidRPr="000B66BC" w:rsidRDefault="00AE2798"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По силата на член 429д, параграф 7, буква а) от РКИ институциите не включват в това поле СФЦК, по които действат като посредник и предоставят на клиент или контрагент обезщетение или гаранция в размер до евентуалната разлика между стойността на ценните книжа или паричните средства, които клиентът е дал в заем, и стойността на обезпечението, предоставено от кредитополучателя.</w:t>
            </w:r>
          </w:p>
        </w:tc>
      </w:tr>
      <w:tr w:rsidR="00AE2798" w:rsidRPr="00E75BB8" w14:paraId="76B5A234" w14:textId="77777777" w:rsidTr="004F0BFB">
        <w:trPr>
          <w:trHeight w:val="304"/>
        </w:trPr>
        <w:tc>
          <w:tcPr>
            <w:tcW w:w="1531" w:type="dxa"/>
          </w:tcPr>
          <w:p w14:paraId="209FB7E2" w14:textId="457D2517"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590" w:type="dxa"/>
            <w:gridSpan w:val="3"/>
          </w:tcPr>
          <w:p w14:paraId="2A5E1E69" w14:textId="77777777"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СФЦК: Добавка за кредитен риск от контрагента</w:t>
            </w:r>
          </w:p>
          <w:p w14:paraId="54D8230E" w14:textId="6A119660"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429д, параграф 1 от РКИ</w:t>
            </w:r>
          </w:p>
          <w:p w14:paraId="74373937" w14:textId="31F6D14D"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Добавката за кредитен риск от контрагента при СФЦК (в т.ч. и задбалансовите), определена в съответствие с член 429д, параграф 2, 3 или 4 от РКИ — както е приложимо.</w:t>
            </w:r>
          </w:p>
          <w:p w14:paraId="22B58EAB" w14:textId="00A0E24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В това поле институциите включват сделките в съответствие с член 429д, параграф 7, буква в) от РКИ.</w:t>
            </w:r>
          </w:p>
          <w:p w14:paraId="68CF607E" w14:textId="6B3D2102"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По силата на член 429д, параграф 7, буква а) от РКИ институциите не включват в това поле СФЦК, по които действат като посредник и </w:t>
            </w:r>
            <w:r>
              <w:rPr>
                <w:rFonts w:ascii="Times New Roman" w:hAnsi="Times New Roman"/>
                <w:bCs/>
                <w:sz w:val="24"/>
                <w:szCs w:val="24"/>
              </w:rPr>
              <w:lastRenderedPageBreak/>
              <w:t>предоставят на клиент или контрагент обезщетение или гаранция в размер до евентуалната разлика между стойността на ценните книжа или паричните средства, които клиентът е дал в заем, и стойността на обезпечението, предоставено от кредитополучателя. Вместо това институциите включват тези сделки в {0040;0010}.</w:t>
            </w:r>
          </w:p>
        </w:tc>
      </w:tr>
      <w:tr w:rsidR="00AE2798" w:rsidRPr="00E75BB8" w14:paraId="0276DE00" w14:textId="77777777" w:rsidTr="004F0BFB">
        <w:trPr>
          <w:trHeight w:val="304"/>
        </w:trPr>
        <w:tc>
          <w:tcPr>
            <w:tcW w:w="1531" w:type="dxa"/>
          </w:tcPr>
          <w:p w14:paraId="311C9C54" w14:textId="6BFA55DF"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lastRenderedPageBreak/>
              <w:t>{0030;0010}</w:t>
            </w:r>
          </w:p>
          <w:p w14:paraId="31A60AAC" w14:textId="77777777" w:rsidR="00AE2798" w:rsidRPr="000B66BC" w:rsidRDefault="00AE2798" w:rsidP="000B66BC">
            <w:pPr>
              <w:pStyle w:val="BodyText1"/>
              <w:spacing w:after="240"/>
              <w:rPr>
                <w:rFonts w:ascii="Times New Roman" w:hAnsi="Times New Roman"/>
                <w:bCs/>
                <w:sz w:val="24"/>
                <w:szCs w:val="24"/>
              </w:rPr>
            </w:pPr>
          </w:p>
        </w:tc>
        <w:tc>
          <w:tcPr>
            <w:tcW w:w="7590" w:type="dxa"/>
            <w:gridSpan w:val="3"/>
          </w:tcPr>
          <w:p w14:paraId="49F43F40" w14:textId="5DF45BD6" w:rsidR="00AE2798" w:rsidRPr="000B66BC" w:rsidRDefault="00AE279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Дерогация за СФЦК: Добавка в съответствие с член 429д, параграф 5 и член 222 от РКИ</w:t>
            </w:r>
          </w:p>
          <w:p w14:paraId="2D39F187" w14:textId="262182B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429д, параграф 5 и член 222 от РКИ</w:t>
            </w:r>
          </w:p>
          <w:p w14:paraId="738B5B54" w14:textId="6EA11F04"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Стойността на експозицията към СФЦК (в т.ч. и задбалансовите), изчислена в съответствие с член 222 от РКИ, при спазване на долна граница от 20 % за приложимото рисково тегло. </w:t>
            </w:r>
          </w:p>
          <w:p w14:paraId="3D5D2C18" w14:textId="6253EBAE"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В това поле институциите включват сделките в съответствие с член 429д, параграф 7, буква в) от РКИ.</w:t>
            </w:r>
          </w:p>
          <w:p w14:paraId="29AD8FEA" w14:textId="232839AC"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В това поле институциите не включват сделките, за които добавката към стойността на експозицията с оглед на отношението на ливъридж се определя по метода, посочен в член 429д, параграф 1 от РКИ.</w:t>
            </w:r>
          </w:p>
        </w:tc>
      </w:tr>
      <w:tr w:rsidR="00AE2798" w:rsidRPr="00E75BB8" w14:paraId="5E04553E" w14:textId="77777777" w:rsidTr="004F0BFB">
        <w:trPr>
          <w:trHeight w:val="304"/>
        </w:trPr>
        <w:tc>
          <w:tcPr>
            <w:tcW w:w="1531" w:type="dxa"/>
          </w:tcPr>
          <w:p w14:paraId="252F5F3F" w14:textId="40B73EF4"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{0040;0010}</w:t>
            </w:r>
          </w:p>
        </w:tc>
        <w:tc>
          <w:tcPr>
            <w:tcW w:w="7590" w:type="dxa"/>
            <w:gridSpan w:val="3"/>
          </w:tcPr>
          <w:p w14:paraId="2565C50A" w14:textId="2E53ED69"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Кредитен риск от контрагента за СФЦК, при които институциите действат като посредник </w:t>
            </w:r>
          </w:p>
          <w:p w14:paraId="475F166E" w14:textId="51D7BAEF" w:rsidR="00E1045E"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429д, параграф 7, буква а) и параграфи 2 и 3 от РКИ</w:t>
            </w:r>
          </w:p>
          <w:p w14:paraId="1619B100" w14:textId="644E7F36"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Стойността на експозицията към СФЦК, по които институциите действат като посредник и предоставят на клиент или контрагент обезщетение или гаранция в размер до евентуалната разлика между стойността на ценните книжа или паричните средства, които клиентът е дал в заем, и стойността на обезпечението, предоставено от кредитополучателя — в съответствие с член 429д, параграф 7, буква а) от РКИ, която стойност се състои единствено от добавката, определена в съответствие с член 429бд параграф 2 или 3 от РКИ — както е приложимо.</w:t>
            </w:r>
          </w:p>
          <w:p w14:paraId="138E8801" w14:textId="61A2D011"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В това поле институциите не включват сделките в съответствие с член 429д, параграф 7, буква в). Вместо това институциите включват тези позиции в {0010;0010} и {0020;0010} или {0010;0010} и {0030;0010}, както е приложимо.</w:t>
            </w:r>
          </w:p>
        </w:tc>
      </w:tr>
      <w:tr w:rsidR="00AE2798" w:rsidRPr="00E75BB8" w14:paraId="730C9B47" w14:textId="77777777" w:rsidTr="004F0BFB">
        <w:trPr>
          <w:trHeight w:val="304"/>
        </w:trPr>
        <w:tc>
          <w:tcPr>
            <w:tcW w:w="1531" w:type="dxa"/>
          </w:tcPr>
          <w:p w14:paraId="67472548" w14:textId="3E8951DA" w:rsidR="00AE2798" w:rsidRPr="000B66BC" w:rsidRDefault="00AE2798" w:rsidP="000B66BC">
            <w:pPr>
              <w:pStyle w:val="BodyText1"/>
              <w:spacing w:after="240"/>
              <w:rPr>
                <w:rFonts w:ascii="Times New Roman" w:hAnsi="Times New Roman"/>
                <w:bCs/>
                <w:sz w:val="24"/>
                <w:szCs w:val="24"/>
              </w:rPr>
            </w:pPr>
            <w:r>
              <w:rPr>
                <w:rFonts w:ascii="Times New Roman" w:hAnsi="Times New Roman"/>
                <w:bCs/>
                <w:sz w:val="24"/>
                <w:szCs w:val="24"/>
              </w:rPr>
              <w:t>{0050;0010}</w:t>
            </w:r>
          </w:p>
        </w:tc>
        <w:tc>
          <w:tcPr>
            <w:tcW w:w="7590" w:type="dxa"/>
            <w:gridSpan w:val="3"/>
          </w:tcPr>
          <w:p w14:paraId="2F6E1B5E" w14:textId="77777777" w:rsidR="00AE2798" w:rsidRPr="000B66BC" w:rsidRDefault="005556D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Изключена част от експозициите към ЦК по СФЦК, обект на клиринг за клиенти</w:t>
            </w:r>
          </w:p>
          <w:p w14:paraId="1B6574CC" w14:textId="59F0F3F4" w:rsidR="00AE2798" w:rsidRPr="000B66BC" w:rsidRDefault="00E1045E"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429а, параграф 1, буква ж) и член 306, параграф 1, буква в) от РКИ</w:t>
            </w:r>
          </w:p>
          <w:p w14:paraId="5E6D8E3F" w14:textId="0BCBCF9B" w:rsidR="00AE2798" w:rsidRPr="000B66BC" w:rsidRDefault="00AE2798" w:rsidP="000B66BC">
            <w:pPr>
              <w:pStyle w:val="BodyText1"/>
              <w:spacing w:after="240" w:line="240" w:lineRule="auto"/>
              <w:rPr>
                <w:rFonts w:ascii="Times New Roman" w:hAnsi="Times New Roman"/>
                <w:bCs/>
                <w:sz w:val="24"/>
                <w:szCs w:val="24"/>
              </w:rPr>
            </w:pPr>
            <w:r>
              <w:rPr>
                <w:rFonts w:ascii="Times New Roman" w:hAnsi="Times New Roman"/>
                <w:bCs/>
                <w:sz w:val="24"/>
                <w:szCs w:val="24"/>
              </w:rPr>
              <w:t>Изключената част от експозициите към ЦК, произтичащи от СФЦК, обект на клиринг за клиенти, стига тези позиции да удовлетворяват условията по член 306, параграф 1 от РКИ.</w:t>
            </w:r>
          </w:p>
          <w:p w14:paraId="39011247" w14:textId="24E8195E" w:rsidR="004052F0" w:rsidRPr="000B66BC" w:rsidRDefault="004052F0"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Когато изключената част от експозицията към ЦК е ценна книга, тя не се докладва в това поле, освен когато е заложена повторно и съгласно приложимата счетоводна уредба (т.е. в съответствие с член 111, параграф 1, първо изречение от РКИ) е включена с пълната си стойност.</w:t>
            </w:r>
          </w:p>
          <w:p w14:paraId="0885E19A" w14:textId="61C30BC1" w:rsidR="00AF6C6D" w:rsidRPr="000B66BC" w:rsidRDefault="005A1D6D" w:rsidP="000B66BC">
            <w:pPr>
              <w:pStyle w:val="BodyText1"/>
              <w:spacing w:after="240" w:line="240" w:lineRule="auto"/>
              <w:rPr>
                <w:rFonts w:ascii="Times New Roman" w:hAnsi="Times New Roman"/>
                <w:bCs/>
                <w:sz w:val="24"/>
                <w:szCs w:val="24"/>
              </w:rPr>
            </w:pPr>
            <w:r>
              <w:rPr>
                <w:rFonts w:ascii="Times New Roman" w:hAnsi="Times New Roman"/>
                <w:bCs/>
                <w:sz w:val="24"/>
                <w:szCs w:val="24"/>
              </w:rPr>
              <w:t>Институциите посочват докладваната в това поле стойност, все едно че не е имало изключване, и в {0010;0010}, {0020;0010} и {0030;0010}, а ако е заложена повторно ценна книга, която съгласно приложимата счетоводна уредба е включена с пълната си стойност — и в {0190;0010}.</w:t>
            </w:r>
          </w:p>
          <w:p w14:paraId="2D82192D" w14:textId="03F34C36" w:rsidR="00AE2798" w:rsidRPr="000B66BC" w:rsidRDefault="00AF6C6D" w:rsidP="000B66BC">
            <w:pPr>
              <w:pStyle w:val="BodyText1"/>
              <w:spacing w:after="240" w:line="240" w:lineRule="auto"/>
              <w:rPr>
                <w:rFonts w:ascii="Times New Roman" w:hAnsi="Times New Roman"/>
                <w:bCs/>
                <w:sz w:val="24"/>
                <w:szCs w:val="24"/>
              </w:rPr>
            </w:pPr>
            <w:r>
              <w:rPr>
                <w:rFonts w:ascii="Times New Roman" w:hAnsi="Times New Roman"/>
                <w:bCs/>
                <w:sz w:val="24"/>
                <w:szCs w:val="24"/>
              </w:rPr>
              <w:t>Когато институцията предоставя първоначален маржин за изключената част от СФЦК, докладвана в {0190;0010}, а не в {0020;0010} или {0030;0010}, тогава тя може да го докладва в това поле.</w:t>
            </w:r>
          </w:p>
        </w:tc>
      </w:tr>
      <w:tr w:rsidR="00AA0445" w:rsidRPr="00E75BB8" w14:paraId="22358CE2" w14:textId="77777777" w:rsidTr="004F0BFB">
        <w:trPr>
          <w:trHeight w:val="304"/>
        </w:trPr>
        <w:tc>
          <w:tcPr>
            <w:tcW w:w="1531" w:type="dxa"/>
            <w:tcBorders>
              <w:bottom w:val="single" w:sz="4" w:space="0" w:color="auto"/>
            </w:tcBorders>
          </w:tcPr>
          <w:p w14:paraId="45ADDB05" w14:textId="0401F47D" w:rsidR="00AE3377" w:rsidRPr="000B66BC" w:rsidRDefault="00AE337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{0061;0010}</w:t>
            </w:r>
          </w:p>
          <w:p w14:paraId="39B81BC5" w14:textId="77777777" w:rsidR="00AE3377" w:rsidRPr="000B66BC" w:rsidRDefault="00AE3377" w:rsidP="000B66BC">
            <w:pPr>
              <w:pStyle w:val="BodyText1"/>
              <w:spacing w:after="240"/>
              <w:rPr>
                <w:rFonts w:ascii="Times New Roman" w:hAnsi="Times New Roman"/>
                <w:bCs/>
                <w:sz w:val="24"/>
                <w:szCs w:val="24"/>
              </w:rPr>
            </w:pPr>
          </w:p>
          <w:p w14:paraId="670E1CF2"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23795B97" w14:textId="0058906A" w:rsidR="00AE3377" w:rsidRPr="000B66BC" w:rsidRDefault="00AE3377"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Деривати: </w:t>
            </w:r>
            <w:r w:rsidR="005D0085">
              <w:rPr>
                <w:rFonts w:ascii="Times New Roman" w:hAnsi="Times New Roman"/>
                <w:b/>
                <w:bCs/>
                <w:sz w:val="24"/>
                <w:szCs w:val="24"/>
              </w:rPr>
              <w:t>вноска</w:t>
            </w:r>
            <w:r>
              <w:rPr>
                <w:rFonts w:ascii="Times New Roman" w:hAnsi="Times New Roman"/>
                <w:b/>
                <w:bCs/>
                <w:sz w:val="24"/>
                <w:szCs w:val="24"/>
              </w:rPr>
              <w:t xml:space="preserve"> за разменната стойност по СПКРК (без ефекта на обезпечението в NICA) </w:t>
            </w:r>
          </w:p>
          <w:p w14:paraId="303004A2" w14:textId="27BF7508"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429в, параграф 1 от РКИ</w:t>
            </w:r>
          </w:p>
          <w:p w14:paraId="3B8148BD" w14:textId="541319E8" w:rsidR="000864F6" w:rsidRPr="000B66BC" w:rsidRDefault="004E204E" w:rsidP="000B66BC">
            <w:pPr>
              <w:pStyle w:val="BodyText1"/>
              <w:spacing w:after="240" w:line="240" w:lineRule="auto"/>
              <w:rPr>
                <w:rFonts w:ascii="Times New Roman" w:hAnsi="Times New Roman"/>
                <w:bCs/>
                <w:sz w:val="24"/>
                <w:szCs w:val="24"/>
              </w:rPr>
            </w:pPr>
            <w:r>
              <w:rPr>
                <w:rFonts w:ascii="Times New Roman" w:hAnsi="Times New Roman"/>
                <w:bCs/>
                <w:sz w:val="24"/>
                <w:szCs w:val="24"/>
              </w:rPr>
              <w:t>Разменната стойност съгласно член 275 от РКИ без ефекта на обезпечението в NICA и без ефекта на вариационния маржин. С оглед на докладването в това поле институциите не прилагат дерогациите по член 429в, параграфи 3 и 4 и член 429а, параграф 1, буква ж) от РКИ. Стойността се докладва, като се приложи коефициент α от 1,4 съгласно член 274, параграф 2 от РКИ.</w:t>
            </w:r>
          </w:p>
          <w:p w14:paraId="69D03BFF" w14:textId="6D701FF0" w:rsidR="000864F6" w:rsidRDefault="000864F6" w:rsidP="000B66BC">
            <w:pPr>
              <w:pStyle w:val="BodyText1"/>
              <w:spacing w:after="240" w:line="240" w:lineRule="auto"/>
              <w:rPr>
                <w:rFonts w:ascii="Times New Roman" w:hAnsi="Times New Roman"/>
                <w:bCs/>
                <w:sz w:val="24"/>
                <w:szCs w:val="24"/>
              </w:rPr>
            </w:pPr>
            <w:r>
              <w:rPr>
                <w:rFonts w:ascii="Times New Roman" w:hAnsi="Times New Roman"/>
                <w:bCs/>
                <w:sz w:val="24"/>
                <w:szCs w:val="24"/>
              </w:rPr>
              <w:t>Както е определено с член 429в, параграф 1 от РКИ, институциите могат да вземат предвид ефекта на договорите за новация и другите споразумения за нетиране в съответствие с член 295 от РКИ. Не се прилага кръстосано нетиране на продукти. Независимо от това институциите могат да нетират в продуктовата категория, посочена в член 272, точка 25, буква в) от РКИ, и кредитните деривати, когато те са предмет на договорно споразумение за кръстосано нетиране на продукти, посочено в член 295, буква в) от РКИ.</w:t>
            </w:r>
          </w:p>
          <w:p w14:paraId="68582320" w14:textId="76F97D55" w:rsidR="00AA0445" w:rsidRPr="000B66BC" w:rsidRDefault="000864F6" w:rsidP="000B66BC">
            <w:pPr>
              <w:pStyle w:val="BodyText1"/>
              <w:spacing w:after="240" w:line="240" w:lineRule="auto"/>
              <w:rPr>
                <w:rFonts w:ascii="Times New Roman" w:hAnsi="Times New Roman"/>
                <w:bCs/>
                <w:sz w:val="24"/>
                <w:szCs w:val="24"/>
              </w:rPr>
            </w:pPr>
            <w:r>
              <w:rPr>
                <w:rFonts w:ascii="Times New Roman" w:hAnsi="Times New Roman"/>
                <w:bCs/>
                <w:sz w:val="24"/>
                <w:szCs w:val="24"/>
              </w:rPr>
              <w:t>Институциите включват всички кредитни деривати, а не само тези в търговския портфейл.</w:t>
            </w:r>
          </w:p>
          <w:p w14:paraId="2DFB7147" w14:textId="5C4A2661" w:rsidR="00AA0445" w:rsidRPr="000B66BC" w:rsidRDefault="008C451E" w:rsidP="000B66BC">
            <w:pPr>
              <w:pStyle w:val="BodyText1"/>
              <w:spacing w:after="240" w:line="240" w:lineRule="auto"/>
              <w:rPr>
                <w:rFonts w:ascii="Times New Roman" w:hAnsi="Times New Roman"/>
                <w:b/>
                <w:sz w:val="24"/>
                <w:szCs w:val="24"/>
              </w:rPr>
            </w:pPr>
            <w:r>
              <w:rPr>
                <w:rFonts w:ascii="Times New Roman" w:hAnsi="Times New Roman"/>
                <w:bCs/>
                <w:sz w:val="24"/>
                <w:szCs w:val="24"/>
              </w:rPr>
              <w:t>В това поле институциите не включват договорите, измерени чрез прилагане на опростения стандартизиран подход или метода на първоначалната експозиция.</w:t>
            </w:r>
          </w:p>
        </w:tc>
      </w:tr>
      <w:tr w:rsidR="00AA0445" w:rsidRPr="00E75BB8" w14:paraId="6839640F" w14:textId="77777777" w:rsidTr="004F0BFB">
        <w:trPr>
          <w:trHeight w:val="304"/>
        </w:trPr>
        <w:tc>
          <w:tcPr>
            <w:tcW w:w="1531" w:type="dxa"/>
            <w:tcBorders>
              <w:bottom w:val="single" w:sz="4" w:space="0" w:color="auto"/>
            </w:tcBorders>
          </w:tcPr>
          <w:p w14:paraId="7B6A76A4" w14:textId="48C3F797" w:rsidR="00AE3377" w:rsidRPr="000B66BC" w:rsidRDefault="00AE3377" w:rsidP="000B66BC">
            <w:pPr>
              <w:pStyle w:val="BodyText1"/>
              <w:spacing w:after="240"/>
              <w:rPr>
                <w:rFonts w:ascii="Times New Roman" w:hAnsi="Times New Roman"/>
                <w:bCs/>
                <w:sz w:val="24"/>
                <w:szCs w:val="24"/>
              </w:rPr>
            </w:pPr>
            <w:r>
              <w:rPr>
                <w:rFonts w:ascii="Times New Roman" w:hAnsi="Times New Roman"/>
                <w:bCs/>
                <w:sz w:val="24"/>
                <w:szCs w:val="24"/>
              </w:rPr>
              <w:t>{0065;0010}</w:t>
            </w:r>
          </w:p>
          <w:p w14:paraId="3E5668CA" w14:textId="77777777" w:rsidR="00AE3377" w:rsidRPr="000B66BC" w:rsidRDefault="00AE3377" w:rsidP="000B66BC">
            <w:pPr>
              <w:pStyle w:val="BodyText1"/>
              <w:spacing w:after="240"/>
              <w:rPr>
                <w:rFonts w:ascii="Times New Roman" w:hAnsi="Times New Roman"/>
                <w:bCs/>
                <w:sz w:val="24"/>
                <w:szCs w:val="24"/>
              </w:rPr>
            </w:pPr>
          </w:p>
          <w:p w14:paraId="13FEE6ED" w14:textId="77777777" w:rsidR="00AA0445" w:rsidRPr="000B66BC" w:rsidRDefault="00AA0445"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4EDC7E6" w14:textId="3E0D75A1" w:rsidR="00AE3377" w:rsidRPr="000B66BC" w:rsidRDefault="00AE337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Ефект на признаването на обезпечение в NICA върху сделките с КЦК, обект на клиринг за клиенти (СПКРК — разменна стойност)</w:t>
            </w:r>
          </w:p>
          <w:p w14:paraId="4393A5C2" w14:textId="23AF44DC" w:rsidR="00AA0445" w:rsidRPr="000B66BC" w:rsidRDefault="00AA0445"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429в, параграф 4 от РКИ</w:t>
            </w:r>
          </w:p>
          <w:p w14:paraId="5BDFEC31" w14:textId="38299D03" w:rsidR="00AA0445" w:rsidRPr="000B66BC" w:rsidRDefault="00143A3F"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Прилагане на дерогацията по член 429в, параграф 4 от РКИ по отношение на изчисляването на разменната стойност за договори за деривати с клиенти, по които клирингът е извършен от КЦК. Стойността </w:t>
            </w:r>
            <w:r>
              <w:rPr>
                <w:rFonts w:ascii="Times New Roman" w:hAnsi="Times New Roman"/>
                <w:bCs/>
                <w:sz w:val="24"/>
                <w:szCs w:val="24"/>
              </w:rPr>
              <w:lastRenderedPageBreak/>
              <w:t>се докладва, като се приложи коефициент α от 1,4 съгласно член 274, параграф 2 от РКИ.</w:t>
            </w:r>
          </w:p>
          <w:p w14:paraId="71B5D857" w14:textId="15F17BCC" w:rsidR="00860608" w:rsidRPr="000B66BC" w:rsidRDefault="00C622B3" w:rsidP="000B66BC">
            <w:pPr>
              <w:pStyle w:val="BodyText1"/>
              <w:spacing w:after="240" w:line="240" w:lineRule="auto"/>
              <w:rPr>
                <w:rFonts w:ascii="Times New Roman" w:hAnsi="Times New Roman"/>
                <w:bCs/>
                <w:sz w:val="24"/>
                <w:szCs w:val="24"/>
              </w:rPr>
            </w:pPr>
            <w:r>
              <w:rPr>
                <w:rFonts w:ascii="Times New Roman" w:hAnsi="Times New Roman"/>
                <w:bCs/>
                <w:sz w:val="24"/>
                <w:szCs w:val="24"/>
              </w:rPr>
              <w:t>Институциите включват докладваната в това поле стойност и в {0061;0010}, все едно че не се прилага дерогация.</w:t>
            </w:r>
          </w:p>
        </w:tc>
      </w:tr>
      <w:tr w:rsidR="00B451A5" w:rsidRPr="00E75BB8" w14:paraId="708471F4"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4BC05902" w14:textId="77777777" w:rsidR="00B451A5" w:rsidRPr="000B66BC" w:rsidRDefault="00B451A5" w:rsidP="000B66BC">
            <w:pPr>
              <w:pStyle w:val="BodyText1"/>
              <w:spacing w:after="240"/>
              <w:rPr>
                <w:rFonts w:ascii="Times New Roman" w:hAnsi="Times New Roman"/>
                <w:bCs/>
                <w:sz w:val="24"/>
                <w:szCs w:val="24"/>
              </w:rPr>
            </w:pPr>
            <w:r>
              <w:rPr>
                <w:rFonts w:ascii="Times New Roman" w:hAnsi="Times New Roman"/>
                <w:bCs/>
                <w:sz w:val="24"/>
                <w:szCs w:val="24"/>
              </w:rPr>
              <w:lastRenderedPageBreak/>
              <w:t>{0071;0010}</w:t>
            </w:r>
          </w:p>
        </w:tc>
        <w:tc>
          <w:tcPr>
            <w:tcW w:w="7513" w:type="dxa"/>
            <w:tcBorders>
              <w:top w:val="single" w:sz="4" w:space="0" w:color="auto"/>
              <w:left w:val="single" w:sz="4" w:space="0" w:color="auto"/>
              <w:bottom w:val="single" w:sz="4" w:space="0" w:color="auto"/>
              <w:right w:val="single" w:sz="4" w:space="0" w:color="auto"/>
            </w:tcBorders>
          </w:tcPr>
          <w:p w14:paraId="2D238DD9"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Ефект на допустимия получен вариационен маржин в парични средства, приспаднат от пазарната стойност на дериватите (СПКРК — разменна стойност)</w:t>
            </w:r>
          </w:p>
          <w:p w14:paraId="1A368C0C"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429в, параграф 3 от РКИ</w:t>
            </w:r>
          </w:p>
          <w:p w14:paraId="04F99B6B" w14:textId="6C270CB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Вариационният маржин, получен в парични средства от контрагента и който по силата на член 429в, параграф 3 от РКИ може да бъде приспаднат от частта от стойността на експозицията, представляваща разменна стойност. Стойността се докладва, като се приложи коефициент α от 1,4 съгласно член 274, параграф 2 от РКИ.</w:t>
            </w:r>
          </w:p>
          <w:p w14:paraId="0D6BE08A" w14:textId="311F8686"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Не се докладват вариационните маржини, получени в парични средства по изключената по силата на член 429а, параграф 1, буква ж) от РКИ част от експозициите към ЦК.</w:t>
            </w:r>
          </w:p>
          <w:p w14:paraId="3C49A67A" w14:textId="21788571"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Институциите включват докладваната в това поле стойност и в {0061;0010}, все едно че не имало приспадане на вариационния маржин, получен в парични средства.</w:t>
            </w:r>
          </w:p>
        </w:tc>
      </w:tr>
      <w:tr w:rsidR="00B451A5" w:rsidRPr="00E75BB8" w14:paraId="2A6BC469" w14:textId="77777777" w:rsidTr="004F0BFB">
        <w:trPr>
          <w:gridAfter w:val="1"/>
          <w:wAfter w:w="49" w:type="dxa"/>
          <w:trHeight w:val="304"/>
        </w:trPr>
        <w:tc>
          <w:tcPr>
            <w:tcW w:w="1559" w:type="dxa"/>
            <w:gridSpan w:val="2"/>
            <w:tcBorders>
              <w:top w:val="single" w:sz="4" w:space="0" w:color="auto"/>
              <w:left w:val="single" w:sz="4" w:space="0" w:color="auto"/>
              <w:bottom w:val="single" w:sz="4" w:space="0" w:color="auto"/>
              <w:right w:val="single" w:sz="4" w:space="0" w:color="auto"/>
            </w:tcBorders>
          </w:tcPr>
          <w:p w14:paraId="30AAB0D5" w14:textId="77777777" w:rsidR="00B451A5" w:rsidRPr="000B66BC" w:rsidDel="002D1CE8" w:rsidRDefault="00B451A5" w:rsidP="000B66BC">
            <w:pPr>
              <w:pStyle w:val="BodyText1"/>
              <w:spacing w:after="240"/>
              <w:rPr>
                <w:rFonts w:ascii="Times New Roman" w:hAnsi="Times New Roman"/>
                <w:bCs/>
                <w:sz w:val="24"/>
                <w:szCs w:val="24"/>
              </w:rPr>
            </w:pPr>
            <w:r>
              <w:rPr>
                <w:rFonts w:ascii="Times New Roman" w:hAnsi="Times New Roman"/>
                <w:bCs/>
                <w:sz w:val="24"/>
                <w:szCs w:val="24"/>
              </w:rPr>
              <w:t>{0081;0010}</w:t>
            </w:r>
          </w:p>
        </w:tc>
        <w:tc>
          <w:tcPr>
            <w:tcW w:w="7513" w:type="dxa"/>
            <w:tcBorders>
              <w:top w:val="single" w:sz="4" w:space="0" w:color="auto"/>
              <w:left w:val="single" w:sz="4" w:space="0" w:color="auto"/>
              <w:bottom w:val="single" w:sz="4" w:space="0" w:color="auto"/>
              <w:right w:val="single" w:sz="4" w:space="0" w:color="auto"/>
            </w:tcBorders>
          </w:tcPr>
          <w:p w14:paraId="1F4EB90B" w14:textId="77777777" w:rsidR="00B451A5" w:rsidRPr="000B66BC" w:rsidRDefault="00B451A5"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Ефект на изключената част от експозициите към ЦК по сделки, обект на клиринг за клиенти (СПКРК — разменна стойност)</w:t>
            </w:r>
          </w:p>
          <w:p w14:paraId="4B3A4644"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429а, параграф 1, буква ж) от РКИ</w:t>
            </w:r>
          </w:p>
          <w:p w14:paraId="2F8AB13D" w14:textId="77777777" w:rsidR="00B451A5" w:rsidRPr="000B66BC" w:rsidRDefault="00B451A5"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Частта от разменната стойност на изключените експозиции към КЦК по сделки с деривати, обект на клиринг за клиенти, при условие че тези позиции удовлетворяват условията по член 306, параграф 1, буква в) от РКИ. Тази стойност се докладва, без да се приспада вариационният маржин, получен в парични средства по тази част. Стойността се докладва, като се приложи коефициент α от 1,4 съгласно член 274, параграф 2 от РКИ.</w:t>
            </w:r>
          </w:p>
          <w:p w14:paraId="3D70C614" w14:textId="27A413D3" w:rsidR="00B451A5" w:rsidRPr="000B66BC" w:rsidDel="002D1CE8" w:rsidRDefault="00B451A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Институциите включват докладваната в това поле стойност и в {0061;0010}, все едно че не е имало изключване.</w:t>
            </w:r>
          </w:p>
        </w:tc>
      </w:tr>
      <w:tr w:rsidR="00BE4B9E" w:rsidRPr="00E75BB8" w14:paraId="21C5C5EE" w14:textId="77777777" w:rsidTr="004F0BFB">
        <w:trPr>
          <w:trHeight w:val="304"/>
        </w:trPr>
        <w:tc>
          <w:tcPr>
            <w:tcW w:w="1531" w:type="dxa"/>
          </w:tcPr>
          <w:p w14:paraId="12F2B1DD" w14:textId="54C860E8" w:rsidR="00BE4B9E" w:rsidRPr="000B66BC" w:rsidRDefault="00BE4B9E" w:rsidP="000B66BC">
            <w:pPr>
              <w:pStyle w:val="BodyText1"/>
              <w:spacing w:after="240"/>
              <w:rPr>
                <w:rFonts w:ascii="Times New Roman" w:hAnsi="Times New Roman"/>
                <w:bCs/>
                <w:sz w:val="24"/>
                <w:szCs w:val="24"/>
              </w:rPr>
            </w:pPr>
            <w:r>
              <w:rPr>
                <w:rFonts w:ascii="Times New Roman" w:hAnsi="Times New Roman"/>
                <w:bCs/>
                <w:sz w:val="24"/>
                <w:szCs w:val="24"/>
              </w:rPr>
              <w:t>{0091;0010}</w:t>
            </w:r>
          </w:p>
        </w:tc>
        <w:tc>
          <w:tcPr>
            <w:tcW w:w="7590" w:type="dxa"/>
            <w:gridSpan w:val="3"/>
          </w:tcPr>
          <w:p w14:paraId="039E3624" w14:textId="3FEB28C3"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Деривати: </w:t>
            </w:r>
            <w:r w:rsidR="005D0085">
              <w:rPr>
                <w:rFonts w:ascii="Times New Roman" w:hAnsi="Times New Roman"/>
                <w:b/>
                <w:bCs/>
                <w:sz w:val="24"/>
                <w:szCs w:val="24"/>
              </w:rPr>
              <w:t xml:space="preserve">Вноска </w:t>
            </w:r>
            <w:r>
              <w:rPr>
                <w:rFonts w:ascii="Times New Roman" w:hAnsi="Times New Roman"/>
                <w:b/>
                <w:bCs/>
                <w:sz w:val="24"/>
                <w:szCs w:val="24"/>
              </w:rPr>
              <w:t xml:space="preserve">за потенциалната бъдеща експозиция по СПКРК (множител 1) </w:t>
            </w:r>
          </w:p>
          <w:p w14:paraId="11FEB8DF" w14:textId="5E3F076A"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429в, параграф 5 от РКИ</w:t>
            </w:r>
          </w:p>
          <w:p w14:paraId="77480A73" w14:textId="5C993BF9"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Потенциална бъдеща експозиция съгласно член 278 от РКИ, като се приема множител 1, т.е. без прилагане на дерогацията по член 429в, параграф 5 от РКИ по отношение на договори за деривати с клиенти, по </w:t>
            </w:r>
            <w:r>
              <w:rPr>
                <w:rFonts w:ascii="Times New Roman" w:hAnsi="Times New Roman"/>
                <w:bCs/>
                <w:sz w:val="24"/>
                <w:szCs w:val="24"/>
              </w:rPr>
              <w:lastRenderedPageBreak/>
              <w:t>които клирингът е извършен от КЦК. Стойността се докладва, като се приложи коефициент α от 1,4 съгласно член 274, параграф 2 от РКИ.</w:t>
            </w:r>
          </w:p>
        </w:tc>
      </w:tr>
      <w:tr w:rsidR="00BE4B9E" w:rsidRPr="00E75BB8" w14:paraId="1F0CF2B9" w14:textId="77777777" w:rsidTr="004F0BFB">
        <w:trPr>
          <w:trHeight w:val="304"/>
        </w:trPr>
        <w:tc>
          <w:tcPr>
            <w:tcW w:w="1531" w:type="dxa"/>
          </w:tcPr>
          <w:p w14:paraId="3B470185" w14:textId="419934C4" w:rsidR="00BE4B9E" w:rsidRPr="000B66BC" w:rsidRDefault="00BE4B9E" w:rsidP="000B66BC">
            <w:pPr>
              <w:pStyle w:val="BodyText1"/>
              <w:spacing w:after="240"/>
              <w:rPr>
                <w:rFonts w:ascii="Times New Roman" w:hAnsi="Times New Roman"/>
                <w:bCs/>
                <w:sz w:val="24"/>
                <w:szCs w:val="24"/>
              </w:rPr>
            </w:pPr>
            <w:r>
              <w:rPr>
                <w:rFonts w:ascii="Times New Roman" w:hAnsi="Times New Roman"/>
                <w:bCs/>
                <w:sz w:val="24"/>
                <w:szCs w:val="24"/>
              </w:rPr>
              <w:lastRenderedPageBreak/>
              <w:t>{0092;0010}</w:t>
            </w:r>
          </w:p>
        </w:tc>
        <w:tc>
          <w:tcPr>
            <w:tcW w:w="7590" w:type="dxa"/>
            <w:gridSpan w:val="3"/>
          </w:tcPr>
          <w:p w14:paraId="2E121ECA" w14:textId="77777777" w:rsidR="00BE4B9E" w:rsidRPr="000B66BC" w:rsidRDefault="00BE4B9E"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Ефект на по-нисък множител за сделките с КЦК, обект на клиринг за клиенти, върху добавката за ПБЕ (СПКРК — потенциална бъдеща експозиция)</w:t>
            </w:r>
          </w:p>
          <w:p w14:paraId="51309425" w14:textId="7D9EB3BE" w:rsidR="00BE4B9E" w:rsidRPr="000B66BC" w:rsidRDefault="00BE4B9E"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429в, параграф 5 от РКИ</w:t>
            </w:r>
          </w:p>
          <w:p w14:paraId="36AD83FD" w14:textId="6042A3D2" w:rsidR="00BE4B9E" w:rsidRPr="000B66BC" w:rsidRDefault="00334535" w:rsidP="000B66BC">
            <w:pPr>
              <w:pStyle w:val="BodyText1"/>
              <w:spacing w:after="240" w:line="240" w:lineRule="auto"/>
              <w:rPr>
                <w:rFonts w:ascii="Times New Roman" w:hAnsi="Times New Roman"/>
                <w:bCs/>
                <w:sz w:val="24"/>
                <w:szCs w:val="24"/>
              </w:rPr>
            </w:pPr>
            <w:r>
              <w:rPr>
                <w:rFonts w:ascii="Times New Roman" w:hAnsi="Times New Roman"/>
                <w:bCs/>
                <w:sz w:val="24"/>
                <w:szCs w:val="24"/>
              </w:rPr>
              <w:t>Прилагане на дерогацията по член 429в, параграф 5 от РКИ по отношение на изчисляването на ПБЕ за договори за деривати с клиенти, по които клирингът е извършен от КЦК. Стойността се докладва, като се приложи коефициент α от 1,4 съгласно член 274, параграф 2 от РКИ.</w:t>
            </w:r>
          </w:p>
          <w:p w14:paraId="69C754CC" w14:textId="4C627CA1" w:rsidR="00334535" w:rsidRPr="000B66BC" w:rsidRDefault="00C622B3"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Институциите включват докладваната в това поле стойност и в {0091;0010}, все едно че не се прилага дерогация.</w:t>
            </w:r>
          </w:p>
        </w:tc>
      </w:tr>
      <w:tr w:rsidR="00721D6C" w:rsidRPr="00E75BB8" w14:paraId="337DFBE3" w14:textId="77777777" w:rsidTr="004F0BFB">
        <w:trPr>
          <w:trHeight w:val="304"/>
        </w:trPr>
        <w:tc>
          <w:tcPr>
            <w:tcW w:w="1531" w:type="dxa"/>
          </w:tcPr>
          <w:p w14:paraId="4EC86A2A" w14:textId="23F426EB" w:rsidR="00721D6C" w:rsidRPr="000B66BC" w:rsidRDefault="00721D6C" w:rsidP="000B66BC">
            <w:pPr>
              <w:pStyle w:val="BodyText1"/>
              <w:spacing w:after="240"/>
              <w:rPr>
                <w:rFonts w:ascii="Times New Roman" w:hAnsi="Times New Roman"/>
                <w:bCs/>
                <w:sz w:val="24"/>
                <w:szCs w:val="24"/>
              </w:rPr>
            </w:pPr>
            <w:r>
              <w:rPr>
                <w:rFonts w:ascii="Times New Roman" w:hAnsi="Times New Roman"/>
                <w:bCs/>
                <w:sz w:val="24"/>
                <w:szCs w:val="24"/>
              </w:rPr>
              <w:t>{0093;0010}</w:t>
            </w:r>
          </w:p>
        </w:tc>
        <w:tc>
          <w:tcPr>
            <w:tcW w:w="7590" w:type="dxa"/>
            <w:gridSpan w:val="3"/>
          </w:tcPr>
          <w:p w14:paraId="799DA79E" w14:textId="77777777"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Ефект на изключената част от експозициите към ЦК по сделки, обект на клиринг за клиенти (СПКРК — потенциална бъдеща експозиция)</w:t>
            </w:r>
          </w:p>
          <w:p w14:paraId="638E19CF" w14:textId="71B8ABE4" w:rsidR="00721D6C" w:rsidRPr="000B66BC" w:rsidRDefault="002F3BA4"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429а, параграф 1, буква ж) от РКИ</w:t>
            </w:r>
          </w:p>
          <w:p w14:paraId="3C911695" w14:textId="3127CB2D" w:rsidR="00721D6C" w:rsidRPr="000B66BC" w:rsidRDefault="00721D6C" w:rsidP="000B66BC">
            <w:pPr>
              <w:pStyle w:val="BodyText1"/>
              <w:spacing w:after="240" w:line="240" w:lineRule="auto"/>
              <w:rPr>
                <w:rFonts w:ascii="Times New Roman" w:hAnsi="Times New Roman"/>
                <w:bCs/>
                <w:sz w:val="24"/>
                <w:szCs w:val="24"/>
              </w:rPr>
            </w:pPr>
            <w:r>
              <w:rPr>
                <w:rFonts w:ascii="Times New Roman" w:hAnsi="Times New Roman"/>
                <w:bCs/>
                <w:sz w:val="24"/>
                <w:szCs w:val="24"/>
              </w:rPr>
              <w:t>Потенциалната бъдеща експозиция на изключените експозиции към КЦК по сделки с деривати, обект на клиринг за клиенти, при условие че тези позиции удовлетворяват условията по член 306, параграф 1, буква в) от РКИ. Стойността се докладва, като се приложи коефициент α от 1,4 съгласно член 274, параграф 2 от РКИ.</w:t>
            </w:r>
          </w:p>
          <w:p w14:paraId="5DC396D3" w14:textId="79540906" w:rsidR="00721D6C" w:rsidRPr="000B66BC" w:rsidRDefault="00721D6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Институциите включват докладваната в това поле стойност и в {0091;0010}, все едно че не е имало изключване.</w:t>
            </w:r>
          </w:p>
        </w:tc>
      </w:tr>
      <w:tr w:rsidR="001D7778" w:rsidRPr="00E75BB8" w14:paraId="7D779BBC" w14:textId="77777777" w:rsidTr="001D7778">
        <w:trPr>
          <w:trHeight w:val="304"/>
        </w:trPr>
        <w:tc>
          <w:tcPr>
            <w:tcW w:w="1531" w:type="dxa"/>
            <w:tcBorders>
              <w:top w:val="single" w:sz="4" w:space="0" w:color="auto"/>
              <w:left w:val="single" w:sz="4" w:space="0" w:color="auto"/>
              <w:bottom w:val="single" w:sz="4" w:space="0" w:color="auto"/>
              <w:right w:val="single" w:sz="4" w:space="0" w:color="auto"/>
            </w:tcBorders>
          </w:tcPr>
          <w:p w14:paraId="70492254" w14:textId="77777777" w:rsidR="001D7778" w:rsidRPr="000B66BC" w:rsidRDefault="001D7778" w:rsidP="000B66BC">
            <w:pPr>
              <w:pStyle w:val="BodyText1"/>
              <w:spacing w:after="240"/>
              <w:rPr>
                <w:rFonts w:ascii="Times New Roman" w:hAnsi="Times New Roman"/>
                <w:bCs/>
                <w:sz w:val="24"/>
                <w:szCs w:val="24"/>
              </w:rPr>
            </w:pPr>
            <w:r>
              <w:rPr>
                <w:rFonts w:ascii="Times New Roman" w:hAnsi="Times New Roman"/>
                <w:bCs/>
                <w:sz w:val="24"/>
                <w:szCs w:val="24"/>
              </w:rPr>
              <w:t>{0101;0010}</w:t>
            </w:r>
          </w:p>
        </w:tc>
        <w:tc>
          <w:tcPr>
            <w:tcW w:w="7590" w:type="dxa"/>
            <w:gridSpan w:val="3"/>
            <w:tcBorders>
              <w:top w:val="single" w:sz="4" w:space="0" w:color="auto"/>
              <w:left w:val="single" w:sz="4" w:space="0" w:color="auto"/>
              <w:bottom w:val="single" w:sz="4" w:space="0" w:color="auto"/>
              <w:right w:val="single" w:sz="4" w:space="0" w:color="auto"/>
            </w:tcBorders>
          </w:tcPr>
          <w:p w14:paraId="40B6E3AE" w14:textId="3FE21417"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Дерогация за деривати: </w:t>
            </w:r>
            <w:r w:rsidR="005D0085">
              <w:rPr>
                <w:rFonts w:ascii="Times New Roman" w:hAnsi="Times New Roman"/>
                <w:b/>
                <w:bCs/>
                <w:sz w:val="24"/>
                <w:szCs w:val="24"/>
              </w:rPr>
              <w:t>вноска</w:t>
            </w:r>
            <w:r>
              <w:rPr>
                <w:rFonts w:ascii="Times New Roman" w:hAnsi="Times New Roman"/>
                <w:b/>
                <w:bCs/>
                <w:sz w:val="24"/>
                <w:szCs w:val="24"/>
              </w:rPr>
              <w:t xml:space="preserve"> за разменната стойност по опростения стандартизиран подход </w:t>
            </w:r>
          </w:p>
          <w:p w14:paraId="729E4C3C" w14:textId="77777777"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429в, параграф 6 и член 281 от РКИ</w:t>
            </w:r>
          </w:p>
          <w:p w14:paraId="4582CAFD" w14:textId="145A1646"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В това поле се посочва мярката за експозицията по договорите, изброени в точки 1 и 2 от приложение II към РКИ, изчислена по опростения стандартизиран подход, посочен в член 281 от РКИ. Стойността се докладва, като се приложи коефициент α от 1,4 съгласно член 274, параграф 2 от РКИ.</w:t>
            </w:r>
          </w:p>
          <w:p w14:paraId="6AF43C3C" w14:textId="27EB1189" w:rsidR="001D7778" w:rsidRPr="000B66BC" w:rsidRDefault="001D7778" w:rsidP="000B66BC">
            <w:pPr>
              <w:pStyle w:val="BodyText1"/>
              <w:spacing w:after="240" w:line="240" w:lineRule="auto"/>
              <w:rPr>
                <w:rFonts w:ascii="Times New Roman" w:hAnsi="Times New Roman"/>
                <w:bCs/>
                <w:sz w:val="24"/>
                <w:szCs w:val="24"/>
              </w:rPr>
            </w:pPr>
            <w:r>
              <w:rPr>
                <w:rFonts w:ascii="Times New Roman" w:hAnsi="Times New Roman"/>
                <w:bCs/>
                <w:sz w:val="24"/>
                <w:szCs w:val="24"/>
              </w:rPr>
              <w:t>Институциите, които прилагат опростения стандартизиран подход, не намаляват мярката за общата експозиция с размера на маржина, получен в съответствие с член 429в, параграф 6 от РКИ. Следователно изключението по член 429в, параграф 4 от РКИ за договори за деривати с клиенти, по които клирингът е извършен от КЦК, не се прилага.</w:t>
            </w:r>
          </w:p>
          <w:p w14:paraId="41A54C94" w14:textId="000C6D0B" w:rsidR="001D7778" w:rsidRPr="000B66BC" w:rsidRDefault="001D7778" w:rsidP="000B66BC">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В това поле институциите не включват договорите, измерени чрез прилагане на СПКРК или на метода на първоначалната експозиция.</w:t>
            </w:r>
          </w:p>
        </w:tc>
      </w:tr>
      <w:tr w:rsidR="00CB48CC" w:rsidRPr="00E75BB8" w14:paraId="177E0E57" w14:textId="77777777" w:rsidTr="004F0BFB">
        <w:trPr>
          <w:trHeight w:val="304"/>
        </w:trPr>
        <w:tc>
          <w:tcPr>
            <w:tcW w:w="1531" w:type="dxa"/>
          </w:tcPr>
          <w:p w14:paraId="1A21B8B9" w14:textId="3A3A59D4" w:rsidR="00CB48CC" w:rsidRPr="000B66BC" w:rsidRDefault="001F3E84" w:rsidP="000B66BC">
            <w:pPr>
              <w:pStyle w:val="BodyText1"/>
              <w:spacing w:after="240"/>
              <w:rPr>
                <w:rFonts w:ascii="Times New Roman" w:hAnsi="Times New Roman"/>
                <w:bCs/>
                <w:sz w:val="24"/>
                <w:szCs w:val="24"/>
              </w:rPr>
            </w:pPr>
            <w:r>
              <w:rPr>
                <w:rFonts w:ascii="Times New Roman" w:hAnsi="Times New Roman"/>
                <w:bCs/>
                <w:sz w:val="24"/>
                <w:szCs w:val="24"/>
              </w:rPr>
              <w:lastRenderedPageBreak/>
              <w:t>{0102;0010}</w:t>
            </w:r>
          </w:p>
        </w:tc>
        <w:tc>
          <w:tcPr>
            <w:tcW w:w="7590" w:type="dxa"/>
            <w:gridSpan w:val="3"/>
          </w:tcPr>
          <w:p w14:paraId="1AB84BA7"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Ефект на изключената част от експозициите към ЦК по сделки, обект на клиринг за клиенти (опростен стандартизиран подход — разменна стойност)</w:t>
            </w:r>
          </w:p>
          <w:p w14:paraId="145D251C" w14:textId="0940A089"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429а, параграф 1, буква ж) от РКИ</w:t>
            </w:r>
          </w:p>
          <w:p w14:paraId="577C5D50" w14:textId="77C0024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Частта от разменната стойност на изключените експозиции към КЦК по сделки с деривати, обект на клиринг за клиенти, при условие че тези позиции удовлетворяват условията по член 306, параграф 1, буква в) от РКИ. Тази стойност се докладва, без да се приспада вариационният маржин, получен в парични средства по тази част. Стойността се докладва, като се приложи коефициент α от 1,4 съгласно член 274, параграф 2 от РКИ. </w:t>
            </w:r>
          </w:p>
          <w:p w14:paraId="217819AF" w14:textId="1C246258"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Институциите включват докладваната в това поле стойност и в {0101;0010}, все едно че не е имало изключване.</w:t>
            </w:r>
          </w:p>
        </w:tc>
      </w:tr>
      <w:tr w:rsidR="00CB48CC" w:rsidRPr="00E75BB8" w14:paraId="77B81E13" w14:textId="77777777" w:rsidTr="004F0BFB">
        <w:trPr>
          <w:trHeight w:val="304"/>
        </w:trPr>
        <w:tc>
          <w:tcPr>
            <w:tcW w:w="1531" w:type="dxa"/>
          </w:tcPr>
          <w:p w14:paraId="59F8E92F" w14:textId="10EA442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{0103;0010}</w:t>
            </w:r>
          </w:p>
        </w:tc>
        <w:tc>
          <w:tcPr>
            <w:tcW w:w="7590" w:type="dxa"/>
            <w:gridSpan w:val="3"/>
          </w:tcPr>
          <w:p w14:paraId="3D169826" w14:textId="0DE93666"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Дерогация за деривати: </w:t>
            </w:r>
            <w:r w:rsidR="005D0085">
              <w:rPr>
                <w:rFonts w:ascii="Times New Roman" w:hAnsi="Times New Roman"/>
                <w:b/>
                <w:bCs/>
                <w:sz w:val="24"/>
                <w:szCs w:val="24"/>
              </w:rPr>
              <w:t>вноска</w:t>
            </w:r>
            <w:r>
              <w:rPr>
                <w:rFonts w:ascii="Times New Roman" w:hAnsi="Times New Roman"/>
                <w:b/>
                <w:bCs/>
                <w:sz w:val="24"/>
                <w:szCs w:val="24"/>
              </w:rPr>
              <w:t xml:space="preserve"> за потенциалната бъдеща експозиция по опростения стандартизиран подход (множител 1) </w:t>
            </w:r>
          </w:p>
          <w:p w14:paraId="39DE43B2" w14:textId="3ADD9785" w:rsidR="009E7F70" w:rsidRPr="000B66BC" w:rsidRDefault="00803ED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Член 281, параграф 2, буква e) и член 429в, параграф 6 от РКИ</w:t>
            </w:r>
          </w:p>
          <w:p w14:paraId="5B7322DC" w14:textId="620AA314" w:rsidR="00201339" w:rsidRPr="000B66BC" w:rsidRDefault="009E7F70" w:rsidP="000B66BC">
            <w:pPr>
              <w:pStyle w:val="BodyText1"/>
              <w:spacing w:after="240"/>
              <w:rPr>
                <w:rFonts w:ascii="Times New Roman" w:hAnsi="Times New Roman"/>
                <w:bCs/>
                <w:sz w:val="24"/>
                <w:szCs w:val="24"/>
              </w:rPr>
            </w:pPr>
            <w:r>
              <w:rPr>
                <w:rFonts w:ascii="Times New Roman" w:hAnsi="Times New Roman"/>
                <w:bCs/>
                <w:sz w:val="24"/>
                <w:szCs w:val="24"/>
              </w:rPr>
              <w:t>Потенциалната бъдеща експозиция по опростения стандартизиран подход, предвиден в член 281 от РКИ, като се приема множител 1. Стойността се докладва, като се приложи коефициент α от 1,4 съгласно член 274, параграф 2 от РКИ.</w:t>
            </w:r>
          </w:p>
          <w:p w14:paraId="3AE17E54" w14:textId="4D1F2755" w:rsidR="00CB48CC" w:rsidRPr="000B66BC" w:rsidRDefault="00201339" w:rsidP="000B66BC">
            <w:pPr>
              <w:pStyle w:val="BodyText1"/>
              <w:spacing w:after="240"/>
              <w:rPr>
                <w:rFonts w:ascii="Times New Roman" w:hAnsi="Times New Roman"/>
                <w:b/>
                <w:bCs/>
                <w:sz w:val="24"/>
                <w:szCs w:val="24"/>
              </w:rPr>
            </w:pPr>
            <w:r>
              <w:rPr>
                <w:rFonts w:ascii="Times New Roman" w:hAnsi="Times New Roman"/>
                <w:bCs/>
                <w:sz w:val="24"/>
                <w:szCs w:val="24"/>
              </w:rPr>
              <w:t>Институциите, които прилагат опростения стандартизиран подход, не намаляват мярката за общата експозиция с размера на маржина, получен в съответствие с член 429в, параграф 6 от РКИ.</w:t>
            </w:r>
            <w:r>
              <w:rPr>
                <w:sz w:val="24"/>
                <w:szCs w:val="24"/>
              </w:rPr>
              <w:t xml:space="preserve"> </w:t>
            </w:r>
          </w:p>
        </w:tc>
      </w:tr>
      <w:tr w:rsidR="00E1595A" w:rsidRPr="00E75BB8" w14:paraId="65B70708"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B7E5996" w14:textId="77777777" w:rsidR="00E1595A" w:rsidRPr="000B66BC" w:rsidRDefault="00E1595A" w:rsidP="000B66BC">
            <w:pPr>
              <w:pStyle w:val="BodyText1"/>
              <w:spacing w:after="240"/>
              <w:rPr>
                <w:rFonts w:ascii="Times New Roman" w:hAnsi="Times New Roman"/>
                <w:bCs/>
                <w:sz w:val="24"/>
                <w:szCs w:val="24"/>
              </w:rPr>
            </w:pPr>
            <w:r>
              <w:rPr>
                <w:rFonts w:ascii="Times New Roman" w:hAnsi="Times New Roman"/>
                <w:bCs/>
                <w:sz w:val="24"/>
                <w:szCs w:val="24"/>
              </w:rPr>
              <w:t>{0104;0010}</w:t>
            </w:r>
          </w:p>
        </w:tc>
        <w:tc>
          <w:tcPr>
            <w:tcW w:w="7590" w:type="dxa"/>
            <w:gridSpan w:val="3"/>
            <w:tcBorders>
              <w:top w:val="single" w:sz="4" w:space="0" w:color="auto"/>
              <w:left w:val="single" w:sz="4" w:space="0" w:color="auto"/>
              <w:bottom w:val="single" w:sz="4" w:space="0" w:color="auto"/>
              <w:right w:val="single" w:sz="4" w:space="0" w:color="auto"/>
            </w:tcBorders>
          </w:tcPr>
          <w:p w14:paraId="293F8B96" w14:textId="77777777"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Ефект на изключената част от експозициите към ЦК по сделки, обект на клиринг за клиенти (опростен стандартизиран подход — потенциална бъдеща експозиция)</w:t>
            </w:r>
          </w:p>
          <w:p w14:paraId="350D0B05" w14:textId="3F34C564"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429а, параграф 1, буква ж) от РКИ</w:t>
            </w:r>
          </w:p>
          <w:p w14:paraId="7020C299" w14:textId="77777777" w:rsidR="00E1595A" w:rsidRPr="000B66BC" w:rsidRDefault="00E1595A" w:rsidP="000B66BC">
            <w:pPr>
              <w:pStyle w:val="BodyText1"/>
              <w:spacing w:after="240" w:line="240" w:lineRule="auto"/>
              <w:rPr>
                <w:rFonts w:ascii="Times New Roman" w:hAnsi="Times New Roman"/>
                <w:bCs/>
                <w:sz w:val="24"/>
                <w:szCs w:val="24"/>
              </w:rPr>
            </w:pPr>
            <w:r>
              <w:rPr>
                <w:rFonts w:ascii="Times New Roman" w:hAnsi="Times New Roman"/>
                <w:bCs/>
                <w:sz w:val="24"/>
                <w:szCs w:val="24"/>
              </w:rPr>
              <w:t>Потенциалната бъдеща експозиция на изключените експозиции към КЦК по сделки с деривати, обект на клиринг за клиенти, при условие че тези позиции удовлетворяват условията по член 306, параграф 1, буква в) от РКИ. Стойността се докладва, като се приложи коефициент α от 1,4 съгласно член 274, параграф 2 от РКИ.</w:t>
            </w:r>
          </w:p>
          <w:p w14:paraId="419E01C7" w14:textId="70A232D0" w:rsidR="00E1595A" w:rsidRPr="000B66BC" w:rsidRDefault="00E1595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Институциите включват докладваната в това поле стойност и в {0103;0010}, все едно че не е имало изключване.</w:t>
            </w:r>
          </w:p>
        </w:tc>
      </w:tr>
      <w:tr w:rsidR="00CB48CC" w:rsidRPr="00E75BB8" w14:paraId="28BF0347" w14:textId="77777777" w:rsidTr="00E1595A">
        <w:trPr>
          <w:trHeight w:val="304"/>
        </w:trPr>
        <w:tc>
          <w:tcPr>
            <w:tcW w:w="1531" w:type="dxa"/>
          </w:tcPr>
          <w:p w14:paraId="313EA046" w14:textId="430415F9"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{0110;0010}</w:t>
            </w:r>
          </w:p>
          <w:p w14:paraId="4A976476"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CF5E433" w14:textId="00E40A8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Дерогация за деривати: метод на първоначалната експозиция</w:t>
            </w:r>
          </w:p>
          <w:p w14:paraId="6E5CD50D" w14:textId="2D0AEC2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429в, параграф 6 и член 282 от РКИ</w:t>
            </w:r>
          </w:p>
          <w:p w14:paraId="394FA10D" w14:textId="2507C2F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В това поле се посочва мярката за експозицията по договорите, изброени в точки 1 и 2 от приложение II към РКИ, изчислена по метода на първоначалната експозиция, посочен в член 282 от РКИ.</w:t>
            </w:r>
          </w:p>
          <w:p w14:paraId="0B0A4108" w14:textId="0C20B7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Институциите, които прилагат метода на първоначалната експозиция, не намаляват мярката за общата експозиция с размера на маржина, получен в съответствие с член 429в, параграф 6 от РКИ.</w:t>
            </w:r>
          </w:p>
          <w:p w14:paraId="39B54B07" w14:textId="5E193AC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Институциите, които не прилагат метода на първоначалната експозиция, не докладват това поле.</w:t>
            </w:r>
          </w:p>
          <w:p w14:paraId="1981EF1E" w14:textId="08F03AC9"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В това поле институциите не включват договорите, измерени чрез прилагане на СПКРК или на опростения стандартизиран подход.</w:t>
            </w:r>
          </w:p>
        </w:tc>
      </w:tr>
      <w:tr w:rsidR="00CB48CC" w:rsidRPr="00E75BB8" w14:paraId="3B7D8618" w14:textId="77777777" w:rsidTr="00E1595A">
        <w:trPr>
          <w:trHeight w:val="304"/>
        </w:trPr>
        <w:tc>
          <w:tcPr>
            <w:tcW w:w="1531" w:type="dxa"/>
          </w:tcPr>
          <w:p w14:paraId="42ED892B" w14:textId="40D1913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{0120;0010}</w:t>
            </w:r>
          </w:p>
        </w:tc>
        <w:tc>
          <w:tcPr>
            <w:tcW w:w="7590" w:type="dxa"/>
            <w:gridSpan w:val="3"/>
          </w:tcPr>
          <w:p w14:paraId="6FE290CC" w14:textId="030BF2BC"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Изключена част от експозициите към ЦК по сделки, обект на клиринг за клиенти (метод на първоначалната експозиция)</w:t>
            </w:r>
          </w:p>
          <w:p w14:paraId="7A371D92" w14:textId="7C6BD53C" w:rsidR="00CB48CC" w:rsidRPr="000B66BC" w:rsidRDefault="00803EDD"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429а, параграф 1, буква ж) от РКИ</w:t>
            </w:r>
          </w:p>
          <w:p w14:paraId="6CD3BE79" w14:textId="4FE04ED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Изключената част от експозициите към ЦК по сделки, обект на клиринг за клиенти, когато се прилага методът на първоначалната експозиция, посочен в член 282 от РКИ, стига тези позиции да удовлетворяват условията по член 306, параграф 1, буква в) от РКИ.</w:t>
            </w:r>
          </w:p>
          <w:p w14:paraId="18D8428B" w14:textId="6B3C879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Институциите включват докладваната в това поле стойност и в {0110;0010}, все едно че не е имало изключване.</w:t>
            </w:r>
          </w:p>
        </w:tc>
      </w:tr>
      <w:tr w:rsidR="00CB48CC" w:rsidRPr="00E75BB8" w14:paraId="5029F8E7" w14:textId="77777777" w:rsidTr="00E1595A">
        <w:trPr>
          <w:trHeight w:val="304"/>
        </w:trPr>
        <w:tc>
          <w:tcPr>
            <w:tcW w:w="1531" w:type="dxa"/>
          </w:tcPr>
          <w:p w14:paraId="598E1804" w14:textId="3350632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590" w:type="dxa"/>
            <w:gridSpan w:val="3"/>
          </w:tcPr>
          <w:p w14:paraId="0ECB889E" w14:textId="0C2B43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Ограничена условна стойност на издадените кредитни деривати</w:t>
            </w:r>
          </w:p>
          <w:p w14:paraId="3144DF47" w14:textId="2DF8394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429г от РКИ</w:t>
            </w:r>
          </w:p>
          <w:p w14:paraId="7435D499" w14:textId="489D0FDD" w:rsidR="00CB48CC" w:rsidRPr="000B66BC" w:rsidRDefault="00E75BB8" w:rsidP="000B66BC">
            <w:pPr>
              <w:pStyle w:val="BodyText1"/>
              <w:spacing w:after="240" w:line="240" w:lineRule="auto"/>
              <w:rPr>
                <w:rFonts w:ascii="Times New Roman" w:hAnsi="Times New Roman"/>
                <w:bCs/>
                <w:sz w:val="24"/>
                <w:szCs w:val="24"/>
              </w:rPr>
            </w:pPr>
            <w:r>
              <w:rPr>
                <w:rFonts w:ascii="Times New Roman" w:hAnsi="Times New Roman"/>
                <w:bCs/>
                <w:sz w:val="24"/>
                <w:szCs w:val="24"/>
              </w:rPr>
              <w:t>Институциите определят ограничената условна стойност на определените в член 429г, параграф 1 издадени кредитни деривати съгласно член 429г от РКИ.</w:t>
            </w:r>
          </w:p>
        </w:tc>
      </w:tr>
      <w:tr w:rsidR="00CB48CC" w:rsidRPr="00E75BB8" w14:paraId="5DA0B9DC" w14:textId="77777777" w:rsidTr="00E1595A">
        <w:trPr>
          <w:trHeight w:val="304"/>
        </w:trPr>
        <w:tc>
          <w:tcPr>
            <w:tcW w:w="1531" w:type="dxa"/>
          </w:tcPr>
          <w:p w14:paraId="753E918D" w14:textId="3CA2220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{0140;0010}</w:t>
            </w:r>
          </w:p>
        </w:tc>
        <w:tc>
          <w:tcPr>
            <w:tcW w:w="7590" w:type="dxa"/>
            <w:gridSpan w:val="3"/>
          </w:tcPr>
          <w:p w14:paraId="7C62D40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Допустими закупени кредитни деривати, приспаднати от издадените кредитни деривати</w:t>
            </w:r>
          </w:p>
          <w:p w14:paraId="64C8DF12" w14:textId="33012B9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429г от РКИ</w:t>
            </w:r>
          </w:p>
          <w:p w14:paraId="444D1EBB" w14:textId="45DE543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Ограничената условна стойност на закупените кредитни деривати (т.е. когато институция закупува кредитна защита от контрагент) със същите референтни наименования като тези на кредитните деривати, издадени от институцията, когато остатъчният срок до падежа на закупената кредитна защита е равен или по-голям от остатъчния срок до падежа на продадената защита. Следователно стойността не трябва да бъде по-</w:t>
            </w:r>
            <w:r>
              <w:rPr>
                <w:rFonts w:ascii="Times New Roman" w:hAnsi="Times New Roman"/>
                <w:bCs/>
                <w:sz w:val="24"/>
                <w:szCs w:val="24"/>
              </w:rPr>
              <w:lastRenderedPageBreak/>
              <w:t>голяма от стойността, вписана в {0130;0010} за всяко референтно наименование.</w:t>
            </w:r>
          </w:p>
        </w:tc>
      </w:tr>
      <w:tr w:rsidR="00CB48CC" w:rsidRPr="00E75BB8" w14:paraId="31F41404" w14:textId="77777777" w:rsidTr="00E1595A">
        <w:trPr>
          <w:trHeight w:val="983"/>
        </w:trPr>
        <w:tc>
          <w:tcPr>
            <w:tcW w:w="1531" w:type="dxa"/>
          </w:tcPr>
          <w:p w14:paraId="7A070329" w14:textId="158316A9"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{0150;0010}</w:t>
            </w:r>
          </w:p>
          <w:p w14:paraId="7A113EB7"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4E086B7E" w14:textId="7D519EE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Задбалансови позиции с кредитен конверсионен коефициент от 10 % в съответствие с член 429е от РКИ</w:t>
            </w:r>
          </w:p>
          <w:p w14:paraId="7C110152" w14:textId="3F4973A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429е, член 111, параграф 1, буква г) и член 166, параграф 9 от РКИ</w:t>
            </w:r>
          </w:p>
          <w:p w14:paraId="6707D5C8" w14:textId="57D30EE2"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szCs w:val="24"/>
              </w:rPr>
              <w:t>В съответствие с член 429е и член 111, параграф 1, буква г) от РКИ — стойността на експозицията на задбалансовите позиции с нисък риск, спрямо които би се прилагал кредитен конверсионен коефициент от 0 %, съгласно посоченото в точка 4, букви а)—в) от приложение I към РКИ (припомня се, че посочената тук стойност на експозицията е 10 % от номиналната стойност).</w:t>
            </w:r>
            <w:r>
              <w:rPr>
                <w:rFonts w:ascii="Times New Roman" w:hAnsi="Times New Roman"/>
                <w:bCs/>
                <w:sz w:val="24"/>
                <w:szCs w:val="24"/>
              </w:rPr>
              <w:t xml:space="preserve"> </w:t>
            </w:r>
            <w:r>
              <w:rPr>
                <w:rFonts w:ascii="Times New Roman" w:hAnsi="Times New Roman"/>
                <w:sz w:val="24"/>
                <w:szCs w:val="24"/>
              </w:rPr>
              <w:t>Това са поети задължения, които могат да бъдат отменени безусловно по всяко време от институцията без предизвестие или които предвиждат автоматичното им фактическо прекратяване при влошаване на кредитоспособността на кредитополучателя.</w:t>
            </w:r>
          </w:p>
          <w:p w14:paraId="7057DD3E" w14:textId="56EEEB5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Припомня се, че номиналната стойност не се намалява с корекциите за специфичен кредитен риск.</w:t>
            </w:r>
            <w:r>
              <w:rPr>
                <w:sz w:val="24"/>
                <w:szCs w:val="24"/>
              </w:rPr>
              <w:t xml:space="preserve"> </w:t>
            </w:r>
            <w:r>
              <w:rPr>
                <w:rFonts w:ascii="Times New Roman" w:hAnsi="Times New Roman"/>
                <w:bCs/>
                <w:sz w:val="24"/>
                <w:szCs w:val="24"/>
              </w:rPr>
              <w:t>Вместо това, както е посочено в член 429е, параграф 2, институциите могат да намалят еквивалентния размер на кредитната експозиция на задбалансовата позиция със съответния размер на корекциите за специфичен кредитен риск. За това изчисление се прилага долна граница от нула.</w:t>
            </w:r>
          </w:p>
          <w:p w14:paraId="34359CD8" w14:textId="26C6358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По силата на член 166, параграф 9 от РКИ, когато дадено поето задължение се отнася до продължаването на друго задължение, се използва по-ниският от двата конверсионни коефициента, приложими за съответните индивидуални задължения.</w:t>
            </w:r>
          </w:p>
          <w:p w14:paraId="2398A4B9" w14:textId="4F8273FB" w:rsidR="00CB48CC" w:rsidRPr="000B66BC" w:rsidRDefault="00CB48CC" w:rsidP="0061658B">
            <w:pPr>
              <w:pStyle w:val="BodyText1"/>
              <w:spacing w:after="240"/>
              <w:rPr>
                <w:rFonts w:ascii="Times New Roman" w:hAnsi="Times New Roman"/>
                <w:sz w:val="24"/>
                <w:szCs w:val="24"/>
              </w:rPr>
            </w:pPr>
            <w:r>
              <w:rPr>
                <w:rFonts w:ascii="Times New Roman" w:hAnsi="Times New Roman"/>
                <w:bCs/>
                <w:sz w:val="24"/>
                <w:szCs w:val="24"/>
              </w:rPr>
              <w:t>В това поле институциите не включват договорите, изброени в приложение II към РКИ, кредитните деривати, СФЦК и позициите, посочени в член 429г, в съответствие с член 429е от РКИ.</w:t>
            </w:r>
          </w:p>
        </w:tc>
      </w:tr>
      <w:tr w:rsidR="00CB48CC" w:rsidRPr="00E75BB8" w14:paraId="736A5471" w14:textId="77777777" w:rsidTr="00E1595A">
        <w:trPr>
          <w:trHeight w:val="712"/>
        </w:trPr>
        <w:tc>
          <w:tcPr>
            <w:tcW w:w="1531" w:type="dxa"/>
          </w:tcPr>
          <w:p w14:paraId="7BB0A9E0" w14:textId="321744D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{0160;0010}</w:t>
            </w:r>
          </w:p>
        </w:tc>
        <w:tc>
          <w:tcPr>
            <w:tcW w:w="7590" w:type="dxa"/>
            <w:gridSpan w:val="3"/>
          </w:tcPr>
          <w:p w14:paraId="079FCB69" w14:textId="303958C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Задбалансови позиции с кредитен конверсионен коефициент от 20 % в съответствие с член 429е от РКИ</w:t>
            </w:r>
          </w:p>
          <w:p w14:paraId="1808F2C6" w14:textId="2310301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429е, член 111, параграф 1, буква в) и член 166, параграф 9 от РКИ</w:t>
            </w:r>
          </w:p>
          <w:p w14:paraId="4A175A4A" w14:textId="3F120C71" w:rsidR="00494A67" w:rsidRPr="000B66BC" w:rsidRDefault="00CB48CC" w:rsidP="000B66BC">
            <w:pPr>
              <w:pStyle w:val="BodyText1"/>
              <w:spacing w:after="240" w:line="240" w:lineRule="auto"/>
              <w:rPr>
                <w:sz w:val="24"/>
                <w:szCs w:val="24"/>
              </w:rPr>
            </w:pPr>
            <w:r>
              <w:rPr>
                <w:rFonts w:ascii="Times New Roman" w:hAnsi="Times New Roman"/>
                <w:sz w:val="24"/>
                <w:szCs w:val="24"/>
              </w:rPr>
              <w:t>В съответствие с член 429е и член 111, параграф 1, буква г) от РКИ — стойността на експозицията на задбалансовите позиции с нисък риск, спрямо които би се прилагал кредитен конверсионен коефициент от 20 %, съгласно посоченото в точка 3, букви а)—в) от приложение I към РКИ (припомня се, че посочената тук стойност на експозицията е 20 % от номиналната стойност).</w:t>
            </w:r>
            <w:r>
              <w:rPr>
                <w:sz w:val="24"/>
                <w:szCs w:val="24"/>
              </w:rPr>
              <w:t xml:space="preserve"> </w:t>
            </w:r>
          </w:p>
          <w:p w14:paraId="130864F0" w14:textId="3274315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Припомня се, че номиналната стойност не се намалява с корекциите за специфичен кредитен риск. Вместо това, както е посочено в член 429е, параграф 2, институциите могат да намалят еквивалентния размер на кредитната експозиция на задбалансовата позиция със съответния </w:t>
            </w:r>
            <w:r>
              <w:rPr>
                <w:rFonts w:ascii="Times New Roman" w:hAnsi="Times New Roman"/>
                <w:bCs/>
                <w:sz w:val="24"/>
                <w:szCs w:val="24"/>
              </w:rPr>
              <w:lastRenderedPageBreak/>
              <w:t>размер на корекциите за специфичен кредитен риск. За това изчисление се прилага долна граница от нула.</w:t>
            </w:r>
          </w:p>
          <w:p w14:paraId="771B332A" w14:textId="2E953B0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По силата на член 166, параграф 9 от РКИ, когато дадено поето задължение се отнася до продължаването на друго задължение, се използва по-ниският от двата конверсионни коефициента, приложими за съответните индивидуални задължения.</w:t>
            </w:r>
          </w:p>
          <w:p w14:paraId="6986CCC3" w14:textId="2E0681BE" w:rsidR="003A5EB5"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В това поле институциите не включват договорите, изброени в приложение II към РКИ, кредитните деривати, СФЦК и позициите, посочени в член 429г, в съответствие с член 429е от РКИ.</w:t>
            </w:r>
          </w:p>
        </w:tc>
      </w:tr>
      <w:tr w:rsidR="00CB48CC" w:rsidRPr="00E75BB8" w14:paraId="3354B9C5" w14:textId="77777777" w:rsidTr="00E1595A">
        <w:trPr>
          <w:trHeight w:val="304"/>
        </w:trPr>
        <w:tc>
          <w:tcPr>
            <w:tcW w:w="1531" w:type="dxa"/>
          </w:tcPr>
          <w:p w14:paraId="513659B4" w14:textId="6E2AF11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{0170;0010}</w:t>
            </w:r>
          </w:p>
          <w:p w14:paraId="2D1C228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B65BAF0" w14:textId="7FC0FF2C"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Задбалансови позиции с кредитен конверсионен коефициент от 50 % в съответствие с член 429е от РКИ</w:t>
            </w:r>
          </w:p>
          <w:p w14:paraId="7DA0F3D2" w14:textId="4AAC15B6"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429е, член 111, параграф 1, буква б) и член 166, параграф 9 от РКИ</w:t>
            </w:r>
          </w:p>
          <w:p w14:paraId="54C0DA6B" w14:textId="46C9D017"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szCs w:val="24"/>
              </w:rPr>
              <w:t>В съответствие с член 429е и член 111, параграф 1, буква б) от РКИ — стойността на експозицията на задбалансовите позиции със среден риск, спрямо които би се прилагал кредитен конверсионен коефициент от 50 %, както е определено съгласно стандартизирания подход за кредитен риск, посочен в точка 2, букви а) и б) от приложение I към РКИ (припомня се, че посочената тук стойност на експозицията е 50 % от номиналната стойност).</w:t>
            </w:r>
            <w:r>
              <w:rPr>
                <w:rFonts w:ascii="Times New Roman" w:hAnsi="Times New Roman"/>
                <w:bCs/>
                <w:sz w:val="24"/>
                <w:szCs w:val="24"/>
              </w:rPr>
              <w:t xml:space="preserve"> </w:t>
            </w:r>
          </w:p>
          <w:p w14:paraId="512D74AD" w14:textId="4740EE8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Припомня се, че номиналната стойност не се намалява с корекциите за специфичен кредитен риск. Вместо това, както е посочено в член 429е, параграф 2, институциите могат да намалят еквивалентния размер на кредитната експозиция на задбалансовата позиция със съответния размер на корекциите за специфичен кредитен риск. За това изчисление се прилага долна граница от нула.</w:t>
            </w:r>
          </w:p>
          <w:p w14:paraId="116B0E4F" w14:textId="210C7C2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В това поле се включват ликвидни улеснения и всякакви други ангажименти за секюритизации. С други думи, в съответствие с член 255 от РКИ кредитният конверсионен коефициент за всички ликвидни улеснения е 50 %, независимо от срока до падеж.</w:t>
            </w:r>
          </w:p>
          <w:p w14:paraId="4339295A" w14:textId="7703B15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По силата на член 166, параграф 9 от РКИ, когато дадено поето задължение се отнася до продължаването на друго задължение, се използва по-ниският от двата конверсионни коефициента, приложими за съответните индивидуални задължения.</w:t>
            </w:r>
          </w:p>
          <w:p w14:paraId="6DDC311B" w14:textId="63B75A41"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В това поле институциите не включват договорите, изброени в приложение II към РКИ, кредитните деривати, СФЦК и позициите, посочени в член 429г, в съответствие с член 429е от РКИ.</w:t>
            </w:r>
          </w:p>
        </w:tc>
      </w:tr>
      <w:tr w:rsidR="00CB48CC" w:rsidRPr="00E75BB8" w14:paraId="0A0BB45E" w14:textId="77777777" w:rsidTr="00E1595A">
        <w:trPr>
          <w:trHeight w:val="304"/>
        </w:trPr>
        <w:tc>
          <w:tcPr>
            <w:tcW w:w="1531" w:type="dxa"/>
            <w:tcBorders>
              <w:bottom w:val="single" w:sz="4" w:space="0" w:color="auto"/>
            </w:tcBorders>
          </w:tcPr>
          <w:p w14:paraId="546786C4" w14:textId="1D71B0C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{0180;0010}</w:t>
            </w:r>
          </w:p>
          <w:p w14:paraId="22AA02F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F41926D" w14:textId="2D98731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Задбалансови позиции с кредитен конверсионен коефициент от 100 % в съответствие с член 429е от РКИ </w:t>
            </w:r>
          </w:p>
          <w:p w14:paraId="603EE80E" w14:textId="0C0E4F0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Член 429е, член 111, параграф 1, буква а) и член 166, параграф 9 от РКИ</w:t>
            </w:r>
          </w:p>
          <w:p w14:paraId="42AF30B9" w14:textId="4B2D78DC" w:rsidR="00494A67"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В съответствие с член 429е и член 111, параграф 1, буква а) от РКИ — стойността на експозицията на задбалансовите позиции с висок риск, спрямо които би се прилагал кредитен конверсионен коефициент от 100 %, съгласно посоченото в точка 1, букви а)—к) от приложение I към РКИ (припомня се, че посочената тук стойност на експозицията е 100 % от номиналната стойност).</w:t>
            </w:r>
          </w:p>
          <w:p w14:paraId="02A01DC2" w14:textId="2A8279D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Припомня се, че номиналната стойност не се намалява с корекциите за специфичен кредитен риск. Вместо това, както е посочено в член 429е, параграф 2, институциите могат да намалят еквивалентния размер на кредитната експозиция на задбалансовата позиция със съответния размер на корекциите за специфичен кредитен риск. За това изчисление се прилага долна граница от нула.</w:t>
            </w:r>
          </w:p>
          <w:p w14:paraId="12BC0F57" w14:textId="6A8A33B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В това поле се включват ликвидни улеснения и всякакви други ангажименти за секюритизации.</w:t>
            </w:r>
          </w:p>
          <w:p w14:paraId="01861A93" w14:textId="52EE7C7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По силата на член 166, параграф 9 от РКИ, когато дадено поето задължение се отнася до продължаването на друго задължение, се използва по-ниският от двата конверсионни коефициента, приложими за съответните индивидуални задължения.</w:t>
            </w:r>
          </w:p>
          <w:p w14:paraId="37DBE5CD" w14:textId="222A0001" w:rsidR="00CB48CC" w:rsidRPr="000B66BC" w:rsidRDefault="00CB48CC" w:rsidP="000B66BC">
            <w:pPr>
              <w:pStyle w:val="BodyText1"/>
              <w:spacing w:after="240" w:line="240" w:lineRule="auto"/>
              <w:rPr>
                <w:rFonts w:ascii="Times New Roman" w:hAnsi="Times New Roman"/>
                <w:bCs/>
                <w:sz w:val="24"/>
                <w:szCs w:val="24"/>
                <w:u w:val="single"/>
              </w:rPr>
            </w:pPr>
            <w:r>
              <w:rPr>
                <w:rFonts w:ascii="Times New Roman" w:hAnsi="Times New Roman"/>
                <w:bCs/>
                <w:sz w:val="24"/>
                <w:szCs w:val="24"/>
              </w:rPr>
              <w:t>В това поле институциите не включват договорите, изброени в приложение II към РКИ, кредитните деривати, СФЦК и позициите, посочени в член 429г, в съответствие с член 429е от РКИ.</w:t>
            </w:r>
          </w:p>
        </w:tc>
      </w:tr>
      <w:tr w:rsidR="00CB48CC" w:rsidRPr="00E75BB8" w14:paraId="36A7A2BB" w14:textId="77777777" w:rsidTr="00E1595A">
        <w:trPr>
          <w:trHeight w:val="304"/>
        </w:trPr>
        <w:tc>
          <w:tcPr>
            <w:tcW w:w="1531" w:type="dxa"/>
            <w:tcBorders>
              <w:bottom w:val="single" w:sz="4" w:space="0" w:color="auto"/>
            </w:tcBorders>
            <w:vAlign w:val="center"/>
          </w:tcPr>
          <w:p w14:paraId="7E132F7E" w14:textId="5BAF48E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{0181;0010}</w:t>
            </w:r>
          </w:p>
          <w:p w14:paraId="4112019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vAlign w:val="center"/>
          </w:tcPr>
          <w:p w14:paraId="6AD2D6D7"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Корекции за общ кредитен риск на задбалансовите позиции </w:t>
            </w:r>
          </w:p>
          <w:p w14:paraId="62AD4ABC" w14:textId="404EFC3B"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Член 429, параграф 4 от РКИ</w:t>
            </w:r>
          </w:p>
          <w:p w14:paraId="301E11EC" w14:textId="312F436B"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bCs/>
                <w:sz w:val="24"/>
                <w:szCs w:val="24"/>
              </w:rPr>
              <w:t>Стойността на корекциите за общ кредитен риск, съответстващи на задбалансовите позиции по член 429, параграф 4, буква г), които институциите приспадат в съответствие с член 429, параграф 4, последна алинея от РКИ.</w:t>
            </w:r>
          </w:p>
          <w:p w14:paraId="2059F8B9" w14:textId="5CF2B1A7" w:rsidR="00CB48CC" w:rsidRPr="000B66BC" w:rsidRDefault="00CB48CC" w:rsidP="0061658B">
            <w:pPr>
              <w:pStyle w:val="BodyText1"/>
              <w:spacing w:after="240"/>
              <w:rPr>
                <w:rFonts w:ascii="Times New Roman" w:hAnsi="Times New Roman"/>
                <w:color w:val="auto"/>
                <w:sz w:val="24"/>
                <w:szCs w:val="24"/>
              </w:rPr>
            </w:pPr>
            <w:r>
              <w:rPr>
                <w:rFonts w:ascii="Times New Roman" w:hAnsi="Times New Roman"/>
                <w:bCs/>
                <w:sz w:val="24"/>
                <w:szCs w:val="24"/>
              </w:rPr>
              <w:t>Докладваната стойност не участва като намаление при изчисляването на задбалансовите позиции, докладвани в редове {0150;0010} — {0180;0010}.</w:t>
            </w:r>
          </w:p>
        </w:tc>
      </w:tr>
      <w:tr w:rsidR="00CB48CC" w:rsidRPr="00E75BB8" w14:paraId="1DF5F072" w14:textId="77777777" w:rsidTr="00E1595A">
        <w:trPr>
          <w:trHeight w:val="304"/>
        </w:trPr>
        <w:tc>
          <w:tcPr>
            <w:tcW w:w="1531" w:type="dxa"/>
            <w:tcBorders>
              <w:bottom w:val="single" w:sz="4" w:space="0" w:color="auto"/>
            </w:tcBorders>
          </w:tcPr>
          <w:p w14:paraId="581AAB63" w14:textId="5DF88AB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{0185;0010}</w:t>
            </w:r>
          </w:p>
          <w:p w14:paraId="122DCB6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01E22C55" w14:textId="2D97797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Стандартни покупки и продажби, чийто сетълмент предстои: счетоводна стойност при осчетоводяване на датата на сделката </w:t>
            </w:r>
          </w:p>
          <w:p w14:paraId="4C694246" w14:textId="3BF041DF"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Член 429ж, параграф 1 от РКИ</w:t>
            </w:r>
          </w:p>
          <w:p w14:paraId="7D206739" w14:textId="0B1BCEAC" w:rsidR="00272017" w:rsidRPr="000B66BC" w:rsidRDefault="00272017" w:rsidP="000B66BC">
            <w:pPr>
              <w:pStyle w:val="BodyText1"/>
              <w:spacing w:after="240" w:line="240" w:lineRule="auto"/>
              <w:rPr>
                <w:rFonts w:ascii="Times New Roman" w:hAnsi="Times New Roman"/>
                <w:bCs/>
                <w:color w:val="auto"/>
                <w:sz w:val="24"/>
                <w:szCs w:val="24"/>
              </w:rPr>
            </w:pPr>
            <w:r>
              <w:rPr>
                <w:rFonts w:ascii="Times New Roman" w:hAnsi="Times New Roman"/>
                <w:bCs/>
                <w:color w:val="auto"/>
                <w:sz w:val="24"/>
                <w:szCs w:val="24"/>
              </w:rPr>
              <w:t>Сборът на:</w:t>
            </w:r>
          </w:p>
          <w:p w14:paraId="5F24E6D9" w14:textId="44D45AF9" w:rsidR="00995F8D" w:rsidRPr="000B66BC" w:rsidRDefault="00995F8D" w:rsidP="000B66BC">
            <w:pPr>
              <w:pStyle w:val="BodyText1"/>
              <w:numPr>
                <w:ilvl w:val="0"/>
                <w:numId w:val="42"/>
              </w:numPr>
              <w:spacing w:after="240"/>
              <w:rPr>
                <w:rFonts w:ascii="Times New Roman" w:hAnsi="Times New Roman"/>
                <w:bCs/>
                <w:color w:val="auto"/>
                <w:sz w:val="24"/>
                <w:szCs w:val="24"/>
              </w:rPr>
            </w:pPr>
            <w:r>
              <w:rPr>
                <w:rFonts w:ascii="Times New Roman" w:hAnsi="Times New Roman"/>
                <w:bCs/>
                <w:color w:val="auto"/>
                <w:sz w:val="24"/>
                <w:szCs w:val="24"/>
              </w:rPr>
              <w:t xml:space="preserve">стойността на свързаните със стандартни покупки парични средства, които остават като активи в баланса до датата на </w:t>
            </w:r>
            <w:r>
              <w:rPr>
                <w:rFonts w:ascii="Times New Roman" w:hAnsi="Times New Roman"/>
                <w:bCs/>
                <w:color w:val="auto"/>
                <w:sz w:val="24"/>
                <w:szCs w:val="24"/>
              </w:rPr>
              <w:lastRenderedPageBreak/>
              <w:t>сетълмента в съответствие с член 429, параграф 4, буква а) от РКИ;</w:t>
            </w:r>
          </w:p>
          <w:p w14:paraId="72B0EC2C" w14:textId="45D41EE2" w:rsidR="00995F8D" w:rsidRPr="000B66BC" w:rsidRDefault="00272017" w:rsidP="000B66BC">
            <w:pPr>
              <w:pStyle w:val="BodyText1"/>
              <w:numPr>
                <w:ilvl w:val="0"/>
                <w:numId w:val="42"/>
              </w:numPr>
              <w:spacing w:after="240"/>
              <w:rPr>
                <w:rFonts w:ascii="Times New Roman" w:hAnsi="Times New Roman"/>
                <w:bCs/>
                <w:color w:val="auto"/>
                <w:sz w:val="24"/>
                <w:szCs w:val="24"/>
              </w:rPr>
            </w:pPr>
            <w:r>
              <w:rPr>
                <w:rFonts w:ascii="Times New Roman" w:hAnsi="Times New Roman"/>
                <w:bCs/>
                <w:color w:val="auto"/>
                <w:sz w:val="24"/>
                <w:szCs w:val="24"/>
              </w:rPr>
              <w:t>свързаните със стандартни продажби парични вземания, които остават като активи в баланса до датата на сетълмента в съответствие с член 429, параграф 4, буква а) от РКИ. В тази стойност е отразен ефектът от позволеното съгласно приложимата счетоводна уредба нетиране между паричните вземания за стандартни продажби, чийто сетълмент предстои, и паричните задължения за стандартни покупки, чийто сетълмент предстои.</w:t>
            </w:r>
          </w:p>
          <w:p w14:paraId="5C35FB48" w14:textId="21B2EF08" w:rsidR="00CB48CC" w:rsidRPr="000B66BC" w:rsidRDefault="00272017"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Институциите, които прилагат осчетоводяване на датата на сделката, докладват горепосочения сбор в това поле, а не по ред 0190 „Други активи“, където докладват ценните книжа, свързани със стандартни покупки.</w:t>
            </w:r>
          </w:p>
        </w:tc>
      </w:tr>
      <w:tr w:rsidR="00CB48CC" w:rsidRPr="00E75BB8" w14:paraId="5102550B" w14:textId="77777777" w:rsidTr="00E1595A">
        <w:trPr>
          <w:trHeight w:val="304"/>
        </w:trPr>
        <w:tc>
          <w:tcPr>
            <w:tcW w:w="1531" w:type="dxa"/>
            <w:tcBorders>
              <w:bottom w:val="single" w:sz="4" w:space="0" w:color="auto"/>
            </w:tcBorders>
          </w:tcPr>
          <w:p w14:paraId="7F15FF7B" w14:textId="4280A8CB"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{0186;0010}</w:t>
            </w:r>
          </w:p>
          <w:p w14:paraId="09F7091F"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25B26A" w14:textId="3753174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Стандартни продажби, чийто сетълмент предстои: елиминиране на счетоводното нетиране при осчетоводяване на датата на сделката</w:t>
            </w:r>
          </w:p>
          <w:p w14:paraId="20327055" w14:textId="6888C0F3" w:rsidR="00CB48C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Член 429ж, параграф 2 от РКИ</w:t>
            </w:r>
          </w:p>
          <w:p w14:paraId="4A0C32B6" w14:textId="15F13BC7" w:rsidR="002B0AAC" w:rsidRPr="000B66BC" w:rsidRDefault="00995F8D" w:rsidP="000B66BC">
            <w:pPr>
              <w:pStyle w:val="BodyText1"/>
              <w:spacing w:after="240" w:line="240" w:lineRule="auto"/>
              <w:rPr>
                <w:rFonts w:ascii="Times New Roman" w:hAnsi="Times New Roman"/>
                <w:b/>
                <w:bCs/>
                <w:color w:val="auto"/>
                <w:sz w:val="24"/>
                <w:szCs w:val="24"/>
              </w:rPr>
            </w:pPr>
            <w:r>
              <w:rPr>
                <w:rFonts w:ascii="Times New Roman" w:hAnsi="Times New Roman"/>
                <w:bCs/>
                <w:color w:val="auto"/>
                <w:sz w:val="24"/>
                <w:szCs w:val="24"/>
              </w:rPr>
              <w:t>Стойност, която съгласно счетоводната уредба може да се нетира между паричните вземания за стандартни продажби, чийто сетълмент предстои, и паричните задължения за стандартни покупки, чийто сетълмент предстои.</w:t>
            </w:r>
          </w:p>
        </w:tc>
      </w:tr>
      <w:tr w:rsidR="00195426" w:rsidRPr="00E75BB8" w14:paraId="78EEA43B" w14:textId="77777777" w:rsidTr="00E1595A">
        <w:trPr>
          <w:trHeight w:val="304"/>
        </w:trPr>
        <w:tc>
          <w:tcPr>
            <w:tcW w:w="1531" w:type="dxa"/>
            <w:tcBorders>
              <w:bottom w:val="single" w:sz="4" w:space="0" w:color="auto"/>
            </w:tcBorders>
          </w:tcPr>
          <w:p w14:paraId="61857A89" w14:textId="623EBF8F" w:rsidR="00195426" w:rsidRPr="000B66BC" w:rsidRDefault="00195426" w:rsidP="000B66BC">
            <w:pPr>
              <w:pStyle w:val="BodyText1"/>
              <w:spacing w:after="240"/>
              <w:rPr>
                <w:rFonts w:ascii="Times New Roman" w:hAnsi="Times New Roman"/>
                <w:bCs/>
                <w:sz w:val="24"/>
                <w:szCs w:val="24"/>
              </w:rPr>
            </w:pPr>
            <w:r>
              <w:rPr>
                <w:rFonts w:ascii="Times New Roman" w:hAnsi="Times New Roman"/>
                <w:bCs/>
                <w:sz w:val="24"/>
                <w:szCs w:val="24"/>
              </w:rPr>
              <w:t>{0187;0010}</w:t>
            </w:r>
          </w:p>
          <w:p w14:paraId="58BAB70E" w14:textId="77777777" w:rsidR="00195426" w:rsidRPr="000B66BC" w:rsidRDefault="00195426"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510C554" w14:textId="628F0EFE" w:rsidR="00195426" w:rsidRPr="000B66BC" w:rsidRDefault="00195426" w:rsidP="000B66BC">
            <w:pPr>
              <w:pStyle w:val="BodyText1"/>
              <w:spacing w:after="240" w:line="240" w:lineRule="auto"/>
              <w:rPr>
                <w:rFonts w:ascii="Times New Roman" w:hAnsi="Times New Roman"/>
                <w:bCs/>
                <w:sz w:val="24"/>
                <w:szCs w:val="24"/>
              </w:rPr>
            </w:pPr>
            <w:r>
              <w:rPr>
                <w:rFonts w:ascii="Times New Roman" w:hAnsi="Times New Roman"/>
                <w:b/>
                <w:color w:val="auto"/>
                <w:sz w:val="24"/>
                <w:szCs w:val="24"/>
              </w:rPr>
              <w:t>(-) Стандартни продажби, чийто сетълмент предстои: нетиране в съответствие с 429ж, параграф 2 от РКИ</w:t>
            </w:r>
          </w:p>
          <w:p w14:paraId="416B6808" w14:textId="7F07F247" w:rsidR="00195426" w:rsidRPr="000B66BC" w:rsidRDefault="00195426"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Член 429ж, параграф 2 от РКИ</w:t>
            </w:r>
          </w:p>
          <w:p w14:paraId="057F1FAB" w14:textId="6EE6926A" w:rsidR="00195426" w:rsidRPr="000B66BC" w:rsidRDefault="00195426" w:rsidP="000B66BC">
            <w:pPr>
              <w:pStyle w:val="BodyText1"/>
              <w:spacing w:after="240"/>
              <w:rPr>
                <w:rFonts w:ascii="Times New Roman" w:hAnsi="Times New Roman"/>
                <w:b/>
                <w:bCs/>
                <w:color w:val="auto"/>
                <w:sz w:val="24"/>
                <w:szCs w:val="24"/>
              </w:rPr>
            </w:pPr>
            <w:r>
              <w:rPr>
                <w:rFonts w:ascii="Times New Roman" w:hAnsi="Times New Roman"/>
                <w:color w:val="auto"/>
                <w:sz w:val="24"/>
                <w:szCs w:val="24"/>
              </w:rPr>
              <w:t>Стойност, която се нетира между паричните вземания и паричните задължения, когато както съответните стандартни продажби, така и покупки се уреждат на база „доставка срещу плащане“ в съответствие с член 429ж, параграф 2 от РКИ.</w:t>
            </w:r>
          </w:p>
        </w:tc>
      </w:tr>
      <w:tr w:rsidR="00CB48CC" w:rsidRPr="00E75BB8" w14:paraId="664DB6ED" w14:textId="77777777" w:rsidTr="00E1595A">
        <w:trPr>
          <w:trHeight w:val="304"/>
        </w:trPr>
        <w:tc>
          <w:tcPr>
            <w:tcW w:w="1531" w:type="dxa"/>
            <w:tcBorders>
              <w:bottom w:val="single" w:sz="4" w:space="0" w:color="auto"/>
            </w:tcBorders>
          </w:tcPr>
          <w:p w14:paraId="761F65B7" w14:textId="0803C63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{0188;0010}</w:t>
            </w:r>
          </w:p>
          <w:p w14:paraId="2D8E081B"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CD9B991" w14:textId="1F5C665A"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Стандартни покупки, чийто сетълмент предстои: пълно признаване на задълженията за плащане при осчетоводяване на датата на сетълмент </w:t>
            </w:r>
          </w:p>
          <w:p w14:paraId="0305F981" w14:textId="76307473" w:rsidR="00CB48CC" w:rsidRPr="000B66BC" w:rsidRDefault="00195426"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Член 429ж, параграф 3 от РКИ</w:t>
            </w:r>
          </w:p>
          <w:p w14:paraId="17418655" w14:textId="77777777" w:rsidR="00CB48CC" w:rsidRPr="000B66BC" w:rsidRDefault="00CB48C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Пълната номинална стойност на задълженията за плащане, свързани със стандартни покупки, за институциите, които в съответствие с приложимата счетоводна уредба прилагат осчетоводяване на датата на сетълмент за стандартните покупки и продажби.</w:t>
            </w:r>
          </w:p>
          <w:p w14:paraId="59B3EB10" w14:textId="3BF06932" w:rsidR="00CB48CC" w:rsidRPr="000B66BC" w:rsidRDefault="003718C7" w:rsidP="000B66BC">
            <w:pPr>
              <w:pStyle w:val="BodyText1"/>
              <w:spacing w:after="240"/>
              <w:rPr>
                <w:rFonts w:ascii="Times New Roman" w:hAnsi="Times New Roman"/>
                <w:b/>
                <w:bCs/>
                <w:color w:val="auto"/>
                <w:sz w:val="24"/>
                <w:szCs w:val="24"/>
              </w:rPr>
            </w:pPr>
            <w:r>
              <w:rPr>
                <w:rFonts w:ascii="Times New Roman" w:hAnsi="Times New Roman"/>
                <w:color w:val="auto"/>
                <w:sz w:val="24"/>
                <w:szCs w:val="24"/>
              </w:rPr>
              <w:lastRenderedPageBreak/>
              <w:t>Ценните книжа, свързани със стандартните продажби, се докладват в ред 0190 „Други активи“.</w:t>
            </w:r>
          </w:p>
        </w:tc>
      </w:tr>
      <w:tr w:rsidR="00CB48CC" w:rsidRPr="00E75BB8" w14:paraId="061A339C" w14:textId="77777777" w:rsidTr="00E1595A">
        <w:trPr>
          <w:trHeight w:val="304"/>
        </w:trPr>
        <w:tc>
          <w:tcPr>
            <w:tcW w:w="1531" w:type="dxa"/>
            <w:tcBorders>
              <w:bottom w:val="single" w:sz="4" w:space="0" w:color="auto"/>
            </w:tcBorders>
          </w:tcPr>
          <w:p w14:paraId="4E6F9470" w14:textId="411DE5F9" w:rsidR="00974BCC" w:rsidRPr="000B66BC" w:rsidRDefault="00974B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{0189;0010}</w:t>
            </w:r>
          </w:p>
          <w:p w14:paraId="299E6D9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DDE4E8F" w14:textId="709B620B" w:rsidR="00974BCC" w:rsidRPr="000B66BC" w:rsidRDefault="00974B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Стандартни покупки, чийто сетълмент предстои: нетиране на задължения за плащане при осчетоводяване на датата на сетълмент в съответствие с член 429ж, параграф 3 от РКИ</w:t>
            </w:r>
          </w:p>
          <w:p w14:paraId="0155689A" w14:textId="5B8BD83D" w:rsidR="0049459B" w:rsidRPr="000B66BC" w:rsidRDefault="0049459B"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Член 429ж, параграф 3 от РКИ </w:t>
            </w:r>
          </w:p>
          <w:p w14:paraId="795D29D1" w14:textId="1EF3903A" w:rsidR="0049459B" w:rsidRPr="000B66BC" w:rsidRDefault="00DC3476" w:rsidP="000B66BC">
            <w:pPr>
              <w:pStyle w:val="BodyText1"/>
              <w:spacing w:after="240"/>
              <w:rPr>
                <w:rFonts w:ascii="Times New Roman" w:hAnsi="Times New Roman"/>
                <w:bCs/>
                <w:sz w:val="24"/>
                <w:szCs w:val="24"/>
              </w:rPr>
            </w:pPr>
            <w:r>
              <w:rPr>
                <w:rFonts w:ascii="Times New Roman" w:hAnsi="Times New Roman"/>
                <w:bCs/>
                <w:sz w:val="24"/>
                <w:szCs w:val="24"/>
              </w:rPr>
              <w:t>Частта от стойността, докладвана в ред 0188, нетирана с пълната номинална стойност на паричните вземания, свързани със стандартни продажби, чийто сетълмент предстои, в съответствие с член 429ж, параграф 3 от РКИ.</w:t>
            </w:r>
          </w:p>
        </w:tc>
      </w:tr>
      <w:tr w:rsidR="00CB48CC" w:rsidRPr="00E75BB8" w14:paraId="7F056AC7" w14:textId="77777777" w:rsidTr="00E1595A">
        <w:trPr>
          <w:trHeight w:val="304"/>
        </w:trPr>
        <w:tc>
          <w:tcPr>
            <w:tcW w:w="1531" w:type="dxa"/>
            <w:tcBorders>
              <w:bottom w:val="single" w:sz="4" w:space="0" w:color="auto"/>
            </w:tcBorders>
          </w:tcPr>
          <w:p w14:paraId="363AA4BD" w14:textId="49D24DA5"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{0190;0010}</w:t>
            </w:r>
          </w:p>
          <w:p w14:paraId="02CEC1E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0F25DB7"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Други активи </w:t>
            </w:r>
          </w:p>
          <w:p w14:paraId="6BF56BA7" w14:textId="00F0C269" w:rsidR="00CB48CC" w:rsidRPr="000B66BC" w:rsidRDefault="0097168A"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Член 429, параграф 4, буква а) от РКИ </w:t>
            </w:r>
          </w:p>
          <w:p w14:paraId="412FDEE7" w14:textId="715A83A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Всички активи, различни от договорите за деривати, изброени в приложение II към РКИ, кредитните деривати и СФЦК (напр. наред с другите активи в това поле се докладват счетоводните вземания за предоставен вариационен маржин в парични средства, когато са признати съгласно приложимата счетоводна уредба, ликвидните активи по смисъла на коефициента на ликвидно покритие, неуспешните и неуредените сделки). Институциите извършват оценка въз основа на принципите, заложени в член 429б, параграф 1 и член 429, параграф 7 от РКИ.</w:t>
            </w:r>
          </w:p>
          <w:p w14:paraId="1C53A1E2" w14:textId="69743091" w:rsidR="00BA46B1"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Институциите включват в това поле получените парични суми или обезпеченията, предоставени на контрагент посредством СФЦК и запазени в баланса (т.е. не са изпълнени счетоводните критерии за отписване). Освен това институциите признават тук позициите, които се приспадат от базовия собствен капитал от първи ред и допълнителния капитал от първи ред (напр. нематериалните активи, отсрочените данъчни активи и т.н.).</w:t>
            </w:r>
          </w:p>
          <w:p w14:paraId="0030E8E6" w14:textId="2978235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Стойността, докладвана в ред {0191;0010}, не участва като намаление при изчисляването на настоящия ред.</w:t>
            </w:r>
          </w:p>
          <w:p w14:paraId="52C58829" w14:textId="00F0E873" w:rsidR="00CB48CC" w:rsidRPr="000B66BC" w:rsidRDefault="00CB48CC" w:rsidP="000B66BC">
            <w:pPr>
              <w:pStyle w:val="BodyText1"/>
              <w:spacing w:after="240"/>
              <w:rPr>
                <w:rFonts w:ascii="Times New Roman" w:hAnsi="Times New Roman"/>
                <w:bCs/>
                <w:sz w:val="24"/>
                <w:szCs w:val="24"/>
                <w:u w:val="single"/>
              </w:rPr>
            </w:pPr>
            <w:r>
              <w:rPr>
                <w:rFonts w:ascii="Times New Roman" w:hAnsi="Times New Roman"/>
                <w:bCs/>
                <w:sz w:val="24"/>
                <w:szCs w:val="24"/>
              </w:rPr>
              <w:t>Механизмите за групиране на парични средства се докладват в редове {0193;0010}, {0194;0010}, {0195;0010}, {0196;0010}, {0197;0010} и {0198;0010}, а не тук.</w:t>
            </w:r>
          </w:p>
        </w:tc>
      </w:tr>
      <w:tr w:rsidR="00CB48CC" w:rsidRPr="00E75BB8" w14:paraId="5EC00608" w14:textId="77777777" w:rsidTr="00E1595A">
        <w:trPr>
          <w:trHeight w:val="304"/>
        </w:trPr>
        <w:tc>
          <w:tcPr>
            <w:tcW w:w="1531" w:type="dxa"/>
            <w:tcBorders>
              <w:bottom w:val="single" w:sz="4" w:space="0" w:color="auto"/>
            </w:tcBorders>
          </w:tcPr>
          <w:p w14:paraId="0DDE44FD" w14:textId="34148683"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{0191;0010}</w:t>
            </w:r>
          </w:p>
          <w:p w14:paraId="2309589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8980839"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Корекции за общ кредитен риск на балансовите позиции </w:t>
            </w:r>
          </w:p>
          <w:p w14:paraId="1CDF58F3" w14:textId="16269291"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 xml:space="preserve">Член 429, параграф 4 от РКИ </w:t>
            </w:r>
          </w:p>
          <w:p w14:paraId="7E1379BD" w14:textId="60D17E68" w:rsidR="00CB48CC" w:rsidRPr="000B66BC" w:rsidRDefault="00CB48CC" w:rsidP="000B66BC">
            <w:pPr>
              <w:pStyle w:val="BodyText1"/>
              <w:spacing w:after="240" w:line="240" w:lineRule="auto"/>
              <w:rPr>
                <w:rFonts w:ascii="Times New Roman" w:hAnsi="Times New Roman"/>
                <w:color w:val="auto"/>
                <w:sz w:val="24"/>
                <w:szCs w:val="24"/>
                <w:highlight w:val="cyan"/>
              </w:rPr>
            </w:pPr>
            <w:r>
              <w:rPr>
                <w:rFonts w:ascii="Times New Roman" w:hAnsi="Times New Roman"/>
                <w:bCs/>
                <w:sz w:val="24"/>
                <w:szCs w:val="24"/>
              </w:rPr>
              <w:t xml:space="preserve">Стойността на корекциите за общ кредитен риск, съответстващи на балансовите позиции по член 429, параграф 4, буква а), които </w:t>
            </w:r>
            <w:r>
              <w:rPr>
                <w:rFonts w:ascii="Times New Roman" w:hAnsi="Times New Roman"/>
                <w:bCs/>
                <w:sz w:val="24"/>
                <w:szCs w:val="24"/>
              </w:rPr>
              <w:lastRenderedPageBreak/>
              <w:t>институциите приспадат в съответствие с член 429, параграф 4, последна алинея от РКИ.</w:t>
            </w:r>
          </w:p>
          <w:p w14:paraId="58EB87A7" w14:textId="5FEB470A"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bCs/>
                <w:sz w:val="24"/>
                <w:szCs w:val="24"/>
              </w:rPr>
              <w:t>Докладваната стойност не участва като намаление при изчисляването на другите активи, докладвани в {0190;0010}.</w:t>
            </w:r>
          </w:p>
        </w:tc>
      </w:tr>
      <w:tr w:rsidR="006E0322" w:rsidRPr="00E75BB8" w14:paraId="2DB04EEA" w14:textId="77777777" w:rsidTr="00E1595A">
        <w:trPr>
          <w:trHeight w:val="304"/>
        </w:trPr>
        <w:tc>
          <w:tcPr>
            <w:tcW w:w="1531" w:type="dxa"/>
            <w:tcBorders>
              <w:bottom w:val="single" w:sz="4" w:space="0" w:color="auto"/>
            </w:tcBorders>
          </w:tcPr>
          <w:p w14:paraId="07B43E1F" w14:textId="12AF740D" w:rsidR="006E0322" w:rsidRPr="000B66BC" w:rsidRDefault="006E0322"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{0193;0010}</w:t>
            </w:r>
          </w:p>
          <w:p w14:paraId="28BFDD3E" w14:textId="77777777" w:rsidR="006E0322" w:rsidRPr="000B66BC" w:rsidRDefault="006E0322"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3974CEB" w14:textId="77777777" w:rsidR="00103B23"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Механизми за групиране на парични средства, които не могат да бъдат пруденциално нетирани: стойност съгласно счетоводната уредба</w:t>
            </w:r>
          </w:p>
          <w:p w14:paraId="01265E9F" w14:textId="60113854" w:rsidR="00103B23"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Член 429б, параграфи 2 и 3 от РКИ</w:t>
            </w:r>
          </w:p>
          <w:p w14:paraId="421B559D" w14:textId="0FAAC55C" w:rsidR="006E0322" w:rsidRPr="000B66BC" w:rsidRDefault="00103B23"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Счетоводната стойност на механизмите за групиране на парични средства (т.е. на механизмите, при които кредитните или дебитните салда по няколко отделни сметки се обединяват за целите на управлението на паричните средства или ликвидността), които не могат да бъдат нетирани в съответствие с член 429б, параграфи 2 и 3 от РКИ.</w:t>
            </w:r>
          </w:p>
        </w:tc>
      </w:tr>
      <w:tr w:rsidR="00CB48CC" w:rsidRPr="00E75BB8" w14:paraId="26F15125" w14:textId="77777777" w:rsidTr="00E1595A">
        <w:trPr>
          <w:trHeight w:val="304"/>
        </w:trPr>
        <w:tc>
          <w:tcPr>
            <w:tcW w:w="1531" w:type="dxa"/>
            <w:tcBorders>
              <w:bottom w:val="single" w:sz="4" w:space="0" w:color="auto"/>
            </w:tcBorders>
          </w:tcPr>
          <w:p w14:paraId="5FD0298B" w14:textId="2215C91C"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{0194;0010}</w:t>
            </w:r>
          </w:p>
          <w:p w14:paraId="4FD69EB9"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7940841" w14:textId="77777777" w:rsidR="00103B23"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Механизми за групиране на парични средства, които не могат да бъдат пруденциално нетирани: ефект от добавяне на нетирането, приложено съгласно счетоводната уредба</w:t>
            </w:r>
          </w:p>
          <w:p w14:paraId="390CF1DE" w14:textId="256221E8" w:rsidR="00CB48CC" w:rsidRPr="000B66BC" w:rsidRDefault="00CB48C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Член 429, параграф 7, буква б) и член 429б, параграфи 2 и 3 от РКИ</w:t>
            </w:r>
          </w:p>
          <w:p w14:paraId="7AC9B352" w14:textId="40BB7FB2" w:rsidR="00CB48CC" w:rsidRPr="000B66BC" w:rsidRDefault="00103B23"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Сумата, нетирана съгласно приложимата счетоводна рамка за докладваните в {0193;0010} механизми за групиране на парични средства, които не могат да бъдат пруденциално нетирани.</w:t>
            </w:r>
          </w:p>
        </w:tc>
      </w:tr>
      <w:tr w:rsidR="00CB48CC" w:rsidRPr="00E75BB8" w14:paraId="751549C0" w14:textId="77777777" w:rsidTr="00E1595A">
        <w:trPr>
          <w:trHeight w:val="304"/>
        </w:trPr>
        <w:tc>
          <w:tcPr>
            <w:tcW w:w="1531" w:type="dxa"/>
            <w:tcBorders>
              <w:bottom w:val="single" w:sz="4" w:space="0" w:color="auto"/>
            </w:tcBorders>
          </w:tcPr>
          <w:p w14:paraId="12C2B1C4" w14:textId="60D4BAFE" w:rsidR="00974BCC" w:rsidRPr="000B66BC" w:rsidRDefault="00974BCC" w:rsidP="000B66BC">
            <w:pPr>
              <w:pStyle w:val="BodyText1"/>
              <w:spacing w:after="240"/>
              <w:rPr>
                <w:rFonts w:ascii="Times New Roman" w:hAnsi="Times New Roman"/>
                <w:bCs/>
                <w:sz w:val="24"/>
                <w:szCs w:val="24"/>
              </w:rPr>
            </w:pPr>
            <w:r>
              <w:rPr>
                <w:rFonts w:ascii="Times New Roman" w:hAnsi="Times New Roman"/>
                <w:bCs/>
                <w:sz w:val="24"/>
                <w:szCs w:val="24"/>
              </w:rPr>
              <w:t>{0195;0010}</w:t>
            </w:r>
          </w:p>
          <w:p w14:paraId="522A5DF4"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3E634ADC" w14:textId="77777777"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Механизми за групиране на парични средства, които могат да бъдат пруденциално нетирани: стойност съгласно счетоводната уредба</w:t>
            </w:r>
          </w:p>
          <w:p w14:paraId="444FD556" w14:textId="103ECED4" w:rsidR="00CB48CC" w:rsidRPr="000B66BC" w:rsidRDefault="0073197F"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Член 429б, параграфи 2 и 3 от РКИ</w:t>
            </w:r>
          </w:p>
          <w:p w14:paraId="5FF92BE1" w14:textId="741EB544"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Счетоводната стойност на механизмите за групиране на парични средства (т.е. на механизмите, при които кредитните или дебитните салда по няколко отделни сметки се обединяват за целите на управлението на паричните средства или ликвидността), които могат да бъдат нетирани в съответствие с член 429б, параграфи 2 и 3 от РКИ.</w:t>
            </w:r>
          </w:p>
        </w:tc>
      </w:tr>
      <w:tr w:rsidR="00CB48CC" w:rsidRPr="00E75BB8" w14:paraId="0FD5A27F" w14:textId="77777777" w:rsidTr="00E1595A">
        <w:trPr>
          <w:trHeight w:val="304"/>
        </w:trPr>
        <w:tc>
          <w:tcPr>
            <w:tcW w:w="1531" w:type="dxa"/>
            <w:tcBorders>
              <w:bottom w:val="single" w:sz="4" w:space="0" w:color="auto"/>
            </w:tcBorders>
          </w:tcPr>
          <w:p w14:paraId="4CBB43FC" w14:textId="18B8DCA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{0196;0010}</w:t>
            </w:r>
          </w:p>
          <w:p w14:paraId="472BF07D"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BB5D25C" w14:textId="5927144D"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Механизми за групиране на парични средства, които могат да бъдат пруденциално нетирани: ефект от </w:t>
            </w:r>
            <w:r w:rsidR="00D11CF8" w:rsidRPr="00D11CF8">
              <w:rPr>
                <w:rFonts w:ascii="Times New Roman" w:hAnsi="Times New Roman"/>
                <w:b/>
                <w:color w:val="auto"/>
                <w:sz w:val="24"/>
                <w:szCs w:val="24"/>
              </w:rPr>
              <w:t xml:space="preserve">добавяне </w:t>
            </w:r>
            <w:r>
              <w:rPr>
                <w:rFonts w:ascii="Times New Roman" w:hAnsi="Times New Roman"/>
                <w:b/>
                <w:color w:val="auto"/>
                <w:sz w:val="24"/>
                <w:szCs w:val="24"/>
              </w:rPr>
              <w:t>на нетиране</w:t>
            </w:r>
            <w:r w:rsidR="0077618C">
              <w:rPr>
                <w:rFonts w:ascii="Times New Roman" w:hAnsi="Times New Roman"/>
                <w:b/>
                <w:color w:val="auto"/>
                <w:sz w:val="24"/>
                <w:szCs w:val="24"/>
              </w:rPr>
              <w:t>то, приложено</w:t>
            </w:r>
            <w:r>
              <w:rPr>
                <w:rFonts w:ascii="Times New Roman" w:hAnsi="Times New Roman"/>
                <w:b/>
                <w:color w:val="auto"/>
                <w:sz w:val="24"/>
                <w:szCs w:val="24"/>
              </w:rPr>
              <w:t xml:space="preserve"> съгласно счетоводната уредба</w:t>
            </w:r>
          </w:p>
          <w:p w14:paraId="770F0F10" w14:textId="602EA66B" w:rsidR="00CB48CC" w:rsidRPr="000B66BC" w:rsidRDefault="009F6A5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Член 429б, параграфи 2 и 3 от РКИ</w:t>
            </w:r>
          </w:p>
          <w:p w14:paraId="4F594E25" w14:textId="2FF29B12" w:rsidR="00864866" w:rsidRPr="000B66BC" w:rsidRDefault="00CB48CC" w:rsidP="000B66BC">
            <w:pPr>
              <w:pStyle w:val="BodyText1"/>
              <w:spacing w:after="240"/>
              <w:rPr>
                <w:rFonts w:ascii="Times New Roman" w:hAnsi="Times New Roman"/>
                <w:color w:val="auto"/>
                <w:sz w:val="24"/>
                <w:szCs w:val="24"/>
              </w:rPr>
            </w:pPr>
            <w:r>
              <w:rPr>
                <w:rFonts w:ascii="Times New Roman" w:hAnsi="Times New Roman"/>
                <w:color w:val="auto"/>
                <w:sz w:val="24"/>
                <w:szCs w:val="24"/>
              </w:rPr>
              <w:t>Сумата, нетирана съгласно приложимата счетоводна уредба за докладваните в {0195;0010} механизми за групиране на парични средства, които могат да бъдат пруденциално нетирани.</w:t>
            </w:r>
          </w:p>
          <w:p w14:paraId="14E77DE6" w14:textId="73BDAEC5" w:rsidR="00CB48CC" w:rsidRPr="000B66BC" w:rsidRDefault="00166A6F" w:rsidP="0077618C">
            <w:pPr>
              <w:pStyle w:val="BodyText1"/>
              <w:spacing w:after="240"/>
              <w:rPr>
                <w:rFonts w:ascii="Times New Roman" w:hAnsi="Times New Roman"/>
                <w:color w:val="auto"/>
                <w:sz w:val="24"/>
                <w:szCs w:val="24"/>
              </w:rPr>
            </w:pPr>
            <w:r>
              <w:rPr>
                <w:rFonts w:ascii="Times New Roman" w:hAnsi="Times New Roman"/>
                <w:color w:val="auto"/>
                <w:sz w:val="24"/>
                <w:szCs w:val="24"/>
              </w:rPr>
              <w:lastRenderedPageBreak/>
              <w:t xml:space="preserve">Когато институцията отговаря на изискванията по член 429б, параграф 2, буква б), тя не прилага </w:t>
            </w:r>
            <w:r w:rsidR="0077618C">
              <w:rPr>
                <w:rFonts w:ascii="Times New Roman" w:hAnsi="Times New Roman"/>
                <w:color w:val="auto"/>
                <w:sz w:val="24"/>
                <w:szCs w:val="24"/>
              </w:rPr>
              <w:t>добавянето</w:t>
            </w:r>
            <w:r>
              <w:rPr>
                <w:rFonts w:ascii="Times New Roman" w:hAnsi="Times New Roman"/>
                <w:color w:val="auto"/>
                <w:sz w:val="24"/>
                <w:szCs w:val="24"/>
              </w:rPr>
              <w:t xml:space="preserve"> в този ред за салдата, погасени въз основа на процедурата по член 429б, параграф 2, буква а).</w:t>
            </w:r>
          </w:p>
        </w:tc>
      </w:tr>
      <w:tr w:rsidR="00CB48CC" w:rsidRPr="00E75BB8" w14:paraId="6C598455" w14:textId="77777777" w:rsidTr="00E1595A">
        <w:trPr>
          <w:trHeight w:val="304"/>
        </w:trPr>
        <w:tc>
          <w:tcPr>
            <w:tcW w:w="1531" w:type="dxa"/>
            <w:tcBorders>
              <w:bottom w:val="single" w:sz="4" w:space="0" w:color="auto"/>
            </w:tcBorders>
          </w:tcPr>
          <w:p w14:paraId="11C78F9F" w14:textId="649683AF"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{0197;0010}</w:t>
            </w:r>
          </w:p>
          <w:p w14:paraId="2FDD840E"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01FD6E4" w14:textId="21052221"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Механизми за групиране на парични средства, които могат да бъдат пруденциално нетирани: признаване на нетирането в съответствие с член 429б, параграф 2 от РКИ</w:t>
            </w:r>
          </w:p>
          <w:p w14:paraId="52C1DAD6" w14:textId="565662D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Член 429б, параграф 2 от РКИ</w:t>
            </w:r>
          </w:p>
          <w:p w14:paraId="6514DC6F" w14:textId="4B1A16D6"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Сумата, нетирана от брутната експозиция, свързана със механизми за групиране на парични средства (сбора на редове 0195 и 0196) в съответствие с член 429б, параграф 2.</w:t>
            </w:r>
          </w:p>
        </w:tc>
      </w:tr>
      <w:tr w:rsidR="00CB48CC" w:rsidRPr="00E75BB8" w14:paraId="6681A527" w14:textId="77777777" w:rsidTr="00E1595A">
        <w:trPr>
          <w:trHeight w:val="304"/>
        </w:trPr>
        <w:tc>
          <w:tcPr>
            <w:tcW w:w="1531" w:type="dxa"/>
            <w:tcBorders>
              <w:bottom w:val="single" w:sz="4" w:space="0" w:color="auto"/>
            </w:tcBorders>
          </w:tcPr>
          <w:p w14:paraId="4136B44E" w14:textId="263B95A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{0198;0010}</w:t>
            </w:r>
          </w:p>
          <w:p w14:paraId="6AAFDEE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806A066" w14:textId="2775C46E" w:rsidR="00CB48CC" w:rsidRPr="000B66BC" w:rsidRDefault="00CB48C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Механизми за групиране на парични средства, които могат да бъдат пруденциално нетирани: признаване на нетирането в съответствие с член 429б, параграф 3 от РКИ</w:t>
            </w:r>
          </w:p>
          <w:p w14:paraId="4EC11D08" w14:textId="4AEA1576" w:rsidR="00CB48CC" w:rsidRPr="000B66BC" w:rsidRDefault="00CB48CC" w:rsidP="000B66BC">
            <w:pPr>
              <w:pStyle w:val="BodyText1"/>
              <w:spacing w:after="240" w:line="240" w:lineRule="auto"/>
              <w:rPr>
                <w:rFonts w:ascii="Times New Roman" w:hAnsi="Times New Roman"/>
                <w:b/>
                <w:bCs/>
                <w:color w:val="auto"/>
                <w:sz w:val="24"/>
                <w:szCs w:val="24"/>
                <w:highlight w:val="cyan"/>
              </w:rPr>
            </w:pPr>
            <w:r>
              <w:rPr>
                <w:rFonts w:ascii="Times New Roman" w:hAnsi="Times New Roman"/>
                <w:bCs/>
                <w:sz w:val="24"/>
                <w:szCs w:val="24"/>
              </w:rPr>
              <w:t>Член 429б, параграф 3 от РКИ</w:t>
            </w:r>
          </w:p>
          <w:p w14:paraId="10AA0B56" w14:textId="114633D3" w:rsidR="00CB48CC" w:rsidRPr="000B66BC" w:rsidRDefault="00CB48CC"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Сумата, нетирана от брутната експозиция, свързана със механизми за групиране на парични средства (сбора на редове 0195 и 0196) в съответствие с член 429б, параграф 3.</w:t>
            </w:r>
          </w:p>
        </w:tc>
      </w:tr>
      <w:tr w:rsidR="00CB48CC" w:rsidRPr="00E75BB8" w14:paraId="3E08AE39" w14:textId="77777777" w:rsidTr="00E1595A">
        <w:trPr>
          <w:trHeight w:val="304"/>
        </w:trPr>
        <w:tc>
          <w:tcPr>
            <w:tcW w:w="1531" w:type="dxa"/>
            <w:tcBorders>
              <w:bottom w:val="single" w:sz="4" w:space="0" w:color="auto"/>
            </w:tcBorders>
          </w:tcPr>
          <w:p w14:paraId="16A9AAE1" w14:textId="7B5874EF"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{0200;0010}</w:t>
            </w:r>
          </w:p>
        </w:tc>
        <w:tc>
          <w:tcPr>
            <w:tcW w:w="7590" w:type="dxa"/>
            <w:gridSpan w:val="3"/>
            <w:tcBorders>
              <w:bottom w:val="single" w:sz="4" w:space="0" w:color="auto"/>
            </w:tcBorders>
          </w:tcPr>
          <w:p w14:paraId="060D27D3" w14:textId="749854B7" w:rsidR="00CB48CC" w:rsidRPr="000B66BC" w:rsidRDefault="0026239E"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xml:space="preserve">Добавяне </w:t>
            </w:r>
            <w:r w:rsidR="00CB48CC">
              <w:rPr>
                <w:rFonts w:ascii="Times New Roman" w:hAnsi="Times New Roman"/>
                <w:b/>
                <w:bCs/>
                <w:sz w:val="24"/>
                <w:szCs w:val="24"/>
              </w:rPr>
              <w:t>за предоставени по деривати обезпечения</w:t>
            </w:r>
          </w:p>
          <w:p w14:paraId="2AA08714" w14:textId="4D3EE4F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429в, параграф 2 от РКИ</w:t>
            </w:r>
          </w:p>
          <w:p w14:paraId="6B6AC708" w14:textId="78EEE9C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Размерът на всички предоставени по деривати обезпечения, при условие че предоставянето на обезпечения намалява размера на активите съгласно приложимата счетоводна уредба, както е посочено в член 429в, параграф 2 от РКИ.</w:t>
            </w:r>
          </w:p>
          <w:p w14:paraId="3815F945" w14:textId="00E2C43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Институциите не включват в това поле първоначалния маржин за сделките с деривати, чиито клиринг е извършен от клиента чрез квалифициран ЦК (КЦК), нито допустимия вариационен маржин в парични средства, както е определен в член 429в, параграф 3 от РКИ.</w:t>
            </w:r>
          </w:p>
        </w:tc>
      </w:tr>
      <w:tr w:rsidR="00CB48CC" w:rsidRPr="00E75BB8" w14:paraId="5CAE26AC" w14:textId="77777777" w:rsidTr="00E1595A">
        <w:trPr>
          <w:trHeight w:val="304"/>
        </w:trPr>
        <w:tc>
          <w:tcPr>
            <w:tcW w:w="1531" w:type="dxa"/>
            <w:tcBorders>
              <w:bottom w:val="single" w:sz="4" w:space="0" w:color="auto"/>
            </w:tcBorders>
          </w:tcPr>
          <w:p w14:paraId="6E109898" w14:textId="552996B4"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{0210;0010}</w:t>
            </w:r>
          </w:p>
        </w:tc>
        <w:tc>
          <w:tcPr>
            <w:tcW w:w="7590" w:type="dxa"/>
            <w:gridSpan w:val="3"/>
            <w:tcBorders>
              <w:bottom w:val="single" w:sz="4" w:space="0" w:color="auto"/>
            </w:tcBorders>
          </w:tcPr>
          <w:p w14:paraId="0DBB01E6"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Вземания върху вариационен маржин в парични средства, предоставен при сделки с деривати</w:t>
            </w:r>
          </w:p>
          <w:p w14:paraId="353AEF67" w14:textId="168EBF83"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429в, параграф 3, буква в) от РКИ</w:t>
            </w:r>
          </w:p>
          <w:p w14:paraId="43A45BE7" w14:textId="7D55C148"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Вземанията върху вариационен маржин, изплатен в парични средства на контрагента по сделки с деривати, ако от институцията съгласно приложимата счетоводна уредба се изисква да признава тези вземания като актив и ако са изпълнени условията по член 429в, параграф 3, букви а)—д) от РКИ.</w:t>
            </w:r>
          </w:p>
          <w:p w14:paraId="5E1EBFBA" w14:textId="5DE4D17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Докладваната стойност се включва и в другите активи, докладвани в {0190;0010}.</w:t>
            </w:r>
          </w:p>
        </w:tc>
      </w:tr>
      <w:tr w:rsidR="00CB48CC" w:rsidRPr="00E75BB8" w14:paraId="7004E9E4" w14:textId="77777777" w:rsidTr="00E1595A">
        <w:trPr>
          <w:trHeight w:val="304"/>
        </w:trPr>
        <w:tc>
          <w:tcPr>
            <w:tcW w:w="1531" w:type="dxa"/>
            <w:tcBorders>
              <w:bottom w:val="single" w:sz="4" w:space="0" w:color="auto"/>
            </w:tcBorders>
          </w:tcPr>
          <w:p w14:paraId="200E881A" w14:textId="0436C5A2"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{0220;0010}</w:t>
            </w:r>
          </w:p>
        </w:tc>
        <w:tc>
          <w:tcPr>
            <w:tcW w:w="7590" w:type="dxa"/>
            <w:gridSpan w:val="3"/>
            <w:tcBorders>
              <w:bottom w:val="single" w:sz="4" w:space="0" w:color="auto"/>
            </w:tcBorders>
          </w:tcPr>
          <w:p w14:paraId="68880B55"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Изключена част от експозициите към ЦК по сделки, обект на клиринг за клиенти (първоначален маржин)</w:t>
            </w:r>
          </w:p>
          <w:p w14:paraId="3E812C65" w14:textId="2E43BC09" w:rsidR="00CB48CC" w:rsidRPr="000B66BC" w:rsidRDefault="001475A2"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429а, параграф 1, буква ж) от РКИ</w:t>
            </w:r>
          </w:p>
          <w:p w14:paraId="5FE3535A" w14:textId="779172E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Частта от първоначалния маржин (предоставен) на изключените експозиции към КЦК по сделки с деривати, обект на клиринг за клиенти, при условие че тези позиции удовлетворяват условията по член 306, параграф 1, буква в) от РКИ.</w:t>
            </w:r>
          </w:p>
          <w:p w14:paraId="6C360905" w14:textId="21F19BE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Докладваната стойност се включва и в другите активи, докладвани в {0190;0010}.</w:t>
            </w:r>
          </w:p>
        </w:tc>
      </w:tr>
      <w:tr w:rsidR="00CB48CC" w:rsidRPr="00E75BB8" w14:paraId="49F39ED5" w14:textId="77777777" w:rsidTr="00E1595A">
        <w:trPr>
          <w:trHeight w:val="304"/>
        </w:trPr>
        <w:tc>
          <w:tcPr>
            <w:tcW w:w="1531" w:type="dxa"/>
            <w:tcBorders>
              <w:bottom w:val="single" w:sz="4" w:space="0" w:color="auto"/>
            </w:tcBorders>
          </w:tcPr>
          <w:p w14:paraId="078DD162" w14:textId="26EF1E5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{0230;0010}</w:t>
            </w:r>
          </w:p>
        </w:tc>
        <w:tc>
          <w:tcPr>
            <w:tcW w:w="7590" w:type="dxa"/>
            <w:gridSpan w:val="3"/>
            <w:tcBorders>
              <w:bottom w:val="single" w:sz="4" w:space="0" w:color="auto"/>
            </w:tcBorders>
          </w:tcPr>
          <w:p w14:paraId="66A65253"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Корекции за сделки, осчетоводени като продажба на СФЦК</w:t>
            </w:r>
          </w:p>
          <w:p w14:paraId="46B4994C" w14:textId="11B91C9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429д, параграф 6 от РКИ</w:t>
            </w:r>
          </w:p>
          <w:p w14:paraId="05B69EB8" w14:textId="4CF799C1"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Стойността на ценните книжа, предоставени в заем по репо сделка, които са отписани поради сделка, осчетоводена като продажба съгласно приложимата счетоводна уредба.</w:t>
            </w:r>
          </w:p>
        </w:tc>
      </w:tr>
      <w:tr w:rsidR="00CB48CC" w:rsidRPr="00E75BB8" w14:paraId="5CBC395D" w14:textId="77777777" w:rsidTr="00E1595A">
        <w:trPr>
          <w:trHeight w:val="304"/>
        </w:trPr>
        <w:tc>
          <w:tcPr>
            <w:tcW w:w="1531" w:type="dxa"/>
            <w:tcBorders>
              <w:bottom w:val="single" w:sz="4" w:space="0" w:color="auto"/>
            </w:tcBorders>
          </w:tcPr>
          <w:p w14:paraId="22212EBE" w14:textId="01A07AD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{0235;0010}</w:t>
            </w:r>
          </w:p>
        </w:tc>
        <w:tc>
          <w:tcPr>
            <w:tcW w:w="7590" w:type="dxa"/>
            <w:gridSpan w:val="3"/>
            <w:tcBorders>
              <w:bottom w:val="single" w:sz="4" w:space="0" w:color="auto"/>
            </w:tcBorders>
          </w:tcPr>
          <w:p w14:paraId="6E0AEEEF"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 Намаляване на стойността на експозицията на заеми за предварително финансиране или междинни заеми </w:t>
            </w:r>
          </w:p>
          <w:p w14:paraId="44C18D39" w14:textId="51D265F7" w:rsidR="00131C70" w:rsidRPr="000B66BC" w:rsidRDefault="00131C70"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 параграф 8 от РКИ</w:t>
            </w:r>
          </w:p>
          <w:p w14:paraId="211507FA" w14:textId="0F9EA14E" w:rsidR="00131C70" w:rsidRPr="000B66BC" w:rsidRDefault="00131C70" w:rsidP="000B66BC">
            <w:pPr>
              <w:pStyle w:val="BodyText1"/>
              <w:spacing w:after="240"/>
              <w:rPr>
                <w:rFonts w:ascii="Times New Roman" w:hAnsi="Times New Roman"/>
                <w:bCs/>
                <w:sz w:val="24"/>
                <w:szCs w:val="24"/>
              </w:rPr>
            </w:pPr>
            <w:r>
              <w:rPr>
                <w:rFonts w:ascii="Times New Roman" w:hAnsi="Times New Roman"/>
                <w:bCs/>
                <w:sz w:val="24"/>
                <w:szCs w:val="24"/>
              </w:rPr>
              <w:t>Сумата, намалена от стойността на експозицията на заем за предварително финансиране или междинен заем в съответствие с член 429, параграф 8 от РКИ.</w:t>
            </w:r>
          </w:p>
          <w:p w14:paraId="28E46325" w14:textId="539EE861" w:rsidR="00131C70" w:rsidRPr="000B66BC" w:rsidRDefault="002662F0"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Докладваната стойност се включва в другите активи, докладвани в {0190;0010}.</w:t>
            </w:r>
          </w:p>
        </w:tc>
      </w:tr>
      <w:tr w:rsidR="00CB48CC" w:rsidRPr="00E75BB8" w14:paraId="18C57782" w14:textId="77777777" w:rsidTr="00E1595A">
        <w:trPr>
          <w:trHeight w:val="304"/>
        </w:trPr>
        <w:tc>
          <w:tcPr>
            <w:tcW w:w="1531" w:type="dxa"/>
            <w:tcBorders>
              <w:bottom w:val="single" w:sz="4" w:space="0" w:color="auto"/>
            </w:tcBorders>
          </w:tcPr>
          <w:p w14:paraId="3BF18418" w14:textId="18069978"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{0240;0010}</w:t>
            </w:r>
          </w:p>
        </w:tc>
        <w:tc>
          <w:tcPr>
            <w:tcW w:w="7590" w:type="dxa"/>
            <w:gridSpan w:val="3"/>
            <w:tcBorders>
              <w:bottom w:val="single" w:sz="4" w:space="0" w:color="auto"/>
            </w:tcBorders>
          </w:tcPr>
          <w:p w14:paraId="3B65685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Активи, предмет на доверително управление</w:t>
            </w:r>
          </w:p>
          <w:p w14:paraId="7B749386" w14:textId="503A5C32" w:rsidR="00CB48CC" w:rsidRPr="000B66BC" w:rsidRDefault="00520E26"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429а, параграф 1, буква и) от РКИ</w:t>
            </w:r>
          </w:p>
          <w:p w14:paraId="0AD4C34E" w14:textId="5E45FFB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Стойността на активите, предмет на доверително управление, които са признати в счетоводния баланс на институцията съгласно националните общоприети счетоводни принципи, отговарят в съответствие с член 429а, параграф 1, буква и) от РКИ на критериите за непризнаване, предвидени в МСФО 9 и, когато е приложимо, на критериите за изключване от обхвата на консолидацията, предвидени в МСФО 10, като се допуска, че няма ефект на счетоводно нетиране или друго РКР (т.е. са елиминирани всички евентуални ефекти на счетоводно нетиране или РКР върху балансовата стойност).</w:t>
            </w:r>
          </w:p>
          <w:p w14:paraId="3BDFEE4B" w14:textId="1245B02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Докладваната стойност се включва и в другите активи, докладвани в {0190;0010}.</w:t>
            </w:r>
          </w:p>
        </w:tc>
      </w:tr>
      <w:tr w:rsidR="00CB48CC" w:rsidRPr="00E75BB8" w14:paraId="6FE4C909" w14:textId="77777777" w:rsidTr="00E1595A">
        <w:trPr>
          <w:trHeight w:val="304"/>
        </w:trPr>
        <w:tc>
          <w:tcPr>
            <w:tcW w:w="1531" w:type="dxa"/>
            <w:tcBorders>
              <w:bottom w:val="single" w:sz="4" w:space="0" w:color="auto"/>
            </w:tcBorders>
          </w:tcPr>
          <w:p w14:paraId="6A867BE8" w14:textId="56A136F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{0250;0010}</w:t>
            </w:r>
          </w:p>
        </w:tc>
        <w:tc>
          <w:tcPr>
            <w:tcW w:w="7590" w:type="dxa"/>
            <w:gridSpan w:val="3"/>
            <w:tcBorders>
              <w:bottom w:val="single" w:sz="4" w:space="0" w:color="auto"/>
            </w:tcBorders>
          </w:tcPr>
          <w:p w14:paraId="444C70A3" w14:textId="10B6B4E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 Вътрешногрупови експозиции (индивидуална основа), изключени в съответствие с член 429а, параграф 1, буква в) от РКИ</w:t>
            </w:r>
          </w:p>
          <w:p w14:paraId="1E2E0D64" w14:textId="46D39225" w:rsidR="00CB48CC" w:rsidRPr="000B66BC" w:rsidRDefault="00010563"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429а, параграф 1, буква в) и член 113, параграф 6 от РКИ</w:t>
            </w:r>
          </w:p>
          <w:p w14:paraId="76D582E8" w14:textId="6A5B1B6D"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Експозициите, които не са били консолидирани на приложимото равнище на консолидация и които биха могли да бъдат третирани в съответствие с член 113, параграф 6 от РКИ, стига да са удовлетворени всички условия по член 113, параграф 6, букви а) — д) от РКИ и компетентните органи да са дали своето одобрение.</w:t>
            </w:r>
          </w:p>
          <w:p w14:paraId="01853F94" w14:textId="1684672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Докладваната стойност се включва и в съответните полета по-горе, все едно че не е имало изключване.</w:t>
            </w:r>
          </w:p>
        </w:tc>
      </w:tr>
      <w:tr w:rsidR="00CB48CC" w:rsidRPr="00E75BB8" w14:paraId="38D7A9B9" w14:textId="77777777" w:rsidTr="00E1595A">
        <w:trPr>
          <w:trHeight w:val="304"/>
        </w:trPr>
        <w:tc>
          <w:tcPr>
            <w:tcW w:w="1531" w:type="dxa"/>
            <w:tcBorders>
              <w:bottom w:val="single" w:sz="4" w:space="0" w:color="auto"/>
            </w:tcBorders>
          </w:tcPr>
          <w:p w14:paraId="370147EC" w14:textId="12EDC22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{0251;0010}</w:t>
            </w:r>
          </w:p>
        </w:tc>
        <w:tc>
          <w:tcPr>
            <w:tcW w:w="7590" w:type="dxa"/>
            <w:gridSpan w:val="3"/>
            <w:tcBorders>
              <w:bottom w:val="single" w:sz="4" w:space="0" w:color="auto"/>
            </w:tcBorders>
          </w:tcPr>
          <w:p w14:paraId="4730EC18" w14:textId="5DA0D2A7" w:rsidR="00CB48CC" w:rsidRPr="000B66BC" w:rsidRDefault="00CB48CC" w:rsidP="000B66BC">
            <w:pPr>
              <w:spacing w:after="240"/>
              <w:jc w:val="both"/>
              <w:rPr>
                <w:rFonts w:ascii="Times New Roman" w:hAnsi="Times New Roman"/>
                <w:b/>
                <w:color w:val="auto"/>
                <w:sz w:val="24"/>
                <w:szCs w:val="24"/>
              </w:rPr>
            </w:pPr>
            <w:r>
              <w:rPr>
                <w:rFonts w:ascii="Times New Roman" w:hAnsi="Times New Roman"/>
                <w:b/>
                <w:color w:val="auto"/>
                <w:sz w:val="24"/>
                <w:szCs w:val="24"/>
              </w:rPr>
              <w:t xml:space="preserve">(–) Експозиции в рамките на ИЗС (институционална защитна схема), изключени в съответствие с член 429а, параграф 1, буква в) от РКИ </w:t>
            </w:r>
          </w:p>
          <w:p w14:paraId="7A5F0217" w14:textId="2F9E23D3" w:rsidR="00CB48CC" w:rsidRPr="000B66BC" w:rsidRDefault="009433A7" w:rsidP="000B66BC">
            <w:pPr>
              <w:pStyle w:val="BodyText1"/>
              <w:spacing w:after="240" w:line="240" w:lineRule="auto"/>
              <w:rPr>
                <w:rFonts w:ascii="Times New Roman" w:hAnsi="Times New Roman"/>
                <w:bCs/>
                <w:sz w:val="24"/>
                <w:szCs w:val="24"/>
              </w:rPr>
            </w:pPr>
            <w:r>
              <w:rPr>
                <w:rFonts w:ascii="Times New Roman" w:hAnsi="Times New Roman"/>
                <w:sz w:val="24"/>
                <w:szCs w:val="24"/>
              </w:rPr>
              <w:t>Член 429а, параграф 1, буква в) и член 113, параграф 7 от РКИ</w:t>
            </w:r>
          </w:p>
          <w:p w14:paraId="16C42B04" w14:textId="24D6E08E"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Експозициите, които биха могли да бъдат третирани в съответствие с член 113, параграф 7 от РКИ, стига да са удовлетворени всички условия по член 113, параграф 7, букви а) — и) от РКИ и компетентните органи да са дали своето одобрение.</w:t>
            </w:r>
          </w:p>
          <w:p w14:paraId="3349FF66" w14:textId="7075C424"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Докладваната стойност се включва и в съответните полета по-горе, все едно че не е имало изключване.</w:t>
            </w:r>
          </w:p>
        </w:tc>
      </w:tr>
      <w:tr w:rsidR="00EC6F1E" w:rsidRPr="00E75BB8" w14:paraId="1D8BFA67" w14:textId="77777777" w:rsidTr="00E1595A">
        <w:trPr>
          <w:trHeight w:val="304"/>
        </w:trPr>
        <w:tc>
          <w:tcPr>
            <w:tcW w:w="1531" w:type="dxa"/>
            <w:tcBorders>
              <w:bottom w:val="single" w:sz="4" w:space="0" w:color="auto"/>
            </w:tcBorders>
            <w:vAlign w:val="center"/>
          </w:tcPr>
          <w:p w14:paraId="4496E47D" w14:textId="20CF4394"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bCs/>
                <w:sz w:val="24"/>
                <w:szCs w:val="24"/>
              </w:rPr>
              <w:t>{0252;0010}</w:t>
            </w:r>
          </w:p>
        </w:tc>
        <w:tc>
          <w:tcPr>
            <w:tcW w:w="7590" w:type="dxa"/>
            <w:gridSpan w:val="3"/>
            <w:tcBorders>
              <w:bottom w:val="single" w:sz="4" w:space="0" w:color="auto"/>
            </w:tcBorders>
            <w:vAlign w:val="center"/>
          </w:tcPr>
          <w:p w14:paraId="6BC877C8"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Изключени гарантирани части от експозиции, произтичащи от експортни кредити </w:t>
            </w:r>
          </w:p>
          <w:p w14:paraId="43FFAEEA" w14:textId="4E83D7AF"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429а, параграф 1, буква е) от РКИ</w:t>
            </w:r>
          </w:p>
          <w:p w14:paraId="0F2E3189" w14:textId="5999AD94"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sz w:val="24"/>
                <w:szCs w:val="24"/>
              </w:rPr>
              <w:t>Гарантираните части на произтичащите от експортни кредити експозиции, които могат да бъдат изключени, когато са изпълнени условията по член 429а, параграф 1 , буква е) от РКИ.</w:t>
            </w:r>
          </w:p>
          <w:p w14:paraId="4BBC9AD0" w14:textId="70F280C7"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Докладваната стойност се включва и в съответните полета по-горе, все едно че не е имало изключване.</w:t>
            </w:r>
          </w:p>
        </w:tc>
      </w:tr>
      <w:tr w:rsidR="00EC6F1E" w:rsidRPr="00E75BB8" w14:paraId="7AD87F00" w14:textId="77777777" w:rsidTr="00E1595A">
        <w:trPr>
          <w:trHeight w:val="304"/>
        </w:trPr>
        <w:tc>
          <w:tcPr>
            <w:tcW w:w="1531" w:type="dxa"/>
            <w:tcBorders>
              <w:bottom w:val="single" w:sz="4" w:space="0" w:color="auto"/>
            </w:tcBorders>
            <w:vAlign w:val="center"/>
          </w:tcPr>
          <w:p w14:paraId="1E11F6EB" w14:textId="77777777" w:rsidR="00EC6F1E" w:rsidRPr="000B66BC" w:rsidRDefault="00EC6F1E" w:rsidP="000B66BC">
            <w:pPr>
              <w:pStyle w:val="BodyText1"/>
              <w:spacing w:after="240"/>
              <w:rPr>
                <w:rFonts w:ascii="Times New Roman" w:hAnsi="Times New Roman"/>
                <w:bCs/>
                <w:sz w:val="24"/>
                <w:szCs w:val="24"/>
              </w:rPr>
            </w:pPr>
          </w:p>
          <w:p w14:paraId="323A635F" w14:textId="34C01BC7" w:rsidR="00EC6F1E" w:rsidRPr="000B66BC" w:rsidRDefault="00EC6F1E" w:rsidP="000B66BC">
            <w:pPr>
              <w:pStyle w:val="BodyText1"/>
              <w:spacing w:after="240"/>
              <w:rPr>
                <w:rFonts w:ascii="Times New Roman" w:hAnsi="Times New Roman"/>
                <w:bCs/>
                <w:sz w:val="24"/>
                <w:szCs w:val="24"/>
                <w:highlight w:val="yellow"/>
              </w:rPr>
            </w:pPr>
            <w:r>
              <w:rPr>
                <w:rFonts w:ascii="Times New Roman" w:hAnsi="Times New Roman"/>
                <w:bCs/>
                <w:sz w:val="24"/>
                <w:szCs w:val="24"/>
              </w:rPr>
              <w:t>{0253;0010}</w:t>
            </w:r>
          </w:p>
        </w:tc>
        <w:tc>
          <w:tcPr>
            <w:tcW w:w="7590" w:type="dxa"/>
            <w:gridSpan w:val="3"/>
            <w:tcBorders>
              <w:bottom w:val="single" w:sz="4" w:space="0" w:color="auto"/>
            </w:tcBorders>
            <w:vAlign w:val="center"/>
          </w:tcPr>
          <w:p w14:paraId="050310BA"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Изключен излишък по обезпечението, депозирано при посредници — трети лица</w:t>
            </w:r>
          </w:p>
          <w:p w14:paraId="209C179F" w14:textId="4127E36D"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429а, параграф 1, буква к) от РКИ</w:t>
            </w:r>
          </w:p>
          <w:p w14:paraId="64B746C7" w14:textId="3E23835E"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Излишъкът по обезпечението, депозирано при посредници — трети лица, който не е предоставено в заем и може да бъде изключен в съответствие с член 429а, параграф 1, буква к).</w:t>
            </w:r>
          </w:p>
          <w:p w14:paraId="7D107153" w14:textId="22433B1F"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Докладваната стойност се включва и в съответните полета по-горе, все едно че не е имало изключване.</w:t>
            </w:r>
          </w:p>
        </w:tc>
      </w:tr>
      <w:tr w:rsidR="00EC6F1E" w:rsidRPr="00E75BB8" w14:paraId="54166E91" w14:textId="77777777" w:rsidTr="00E1595A">
        <w:trPr>
          <w:trHeight w:val="304"/>
        </w:trPr>
        <w:tc>
          <w:tcPr>
            <w:tcW w:w="1531" w:type="dxa"/>
            <w:tcBorders>
              <w:bottom w:val="single" w:sz="4" w:space="0" w:color="auto"/>
            </w:tcBorders>
            <w:vAlign w:val="center"/>
          </w:tcPr>
          <w:p w14:paraId="5E8D1AF5" w14:textId="6DF49680"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lastRenderedPageBreak/>
              <w:t>{0254;0010}</w:t>
            </w:r>
          </w:p>
        </w:tc>
        <w:tc>
          <w:tcPr>
            <w:tcW w:w="7590" w:type="dxa"/>
            <w:gridSpan w:val="3"/>
            <w:tcBorders>
              <w:bottom w:val="single" w:sz="4" w:space="0" w:color="auto"/>
            </w:tcBorders>
            <w:vAlign w:val="center"/>
          </w:tcPr>
          <w:p w14:paraId="665021DC" w14:textId="77777777"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Изключени секюритизирани експозиции, които представляват прехвърляне на значителен риск </w:t>
            </w:r>
          </w:p>
          <w:p w14:paraId="69C77F33" w14:textId="64BBCCE1" w:rsidR="00EC6F1E" w:rsidRPr="000B66BC" w:rsidRDefault="00A42B1A"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429а, параграф 1, буква м) от РКИ</w:t>
            </w:r>
          </w:p>
          <w:p w14:paraId="17E7D3CF" w14:textId="77777777" w:rsidR="00EC6F1E" w:rsidRPr="000B66BC" w:rsidRDefault="00EC6F1E" w:rsidP="000B66BC">
            <w:pPr>
              <w:pStyle w:val="BodyText1"/>
              <w:spacing w:after="240" w:line="240" w:lineRule="auto"/>
              <w:rPr>
                <w:rFonts w:ascii="Times New Roman" w:hAnsi="Times New Roman"/>
                <w:bCs/>
                <w:sz w:val="24"/>
                <w:szCs w:val="24"/>
              </w:rPr>
            </w:pPr>
            <w:r>
              <w:rPr>
                <w:rFonts w:ascii="Times New Roman" w:hAnsi="Times New Roman"/>
                <w:bCs/>
                <w:sz w:val="24"/>
                <w:szCs w:val="24"/>
              </w:rPr>
              <w:t>Секюритизираните експозиции от традиционни секюритизации, които отговарят на условията за прехвърляне на значителен риск, предвидени в член 244, параграф 2.</w:t>
            </w:r>
          </w:p>
          <w:p w14:paraId="56BAB74A" w14:textId="083FCC3D"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Докладваната стойност се включва и в съответните полета по-горе, все едно че не е имало изключване.</w:t>
            </w:r>
          </w:p>
        </w:tc>
      </w:tr>
      <w:tr w:rsidR="00EC6F1E" w:rsidRPr="00E75BB8" w14:paraId="7069054A" w14:textId="77777777" w:rsidTr="00E1595A">
        <w:trPr>
          <w:trHeight w:val="304"/>
        </w:trPr>
        <w:tc>
          <w:tcPr>
            <w:tcW w:w="1531" w:type="dxa"/>
            <w:tcBorders>
              <w:bottom w:val="single" w:sz="4" w:space="0" w:color="auto"/>
            </w:tcBorders>
            <w:vAlign w:val="center"/>
          </w:tcPr>
          <w:p w14:paraId="7B9CA4F6" w14:textId="3C428DC7"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{0255;0010}</w:t>
            </w:r>
          </w:p>
        </w:tc>
        <w:tc>
          <w:tcPr>
            <w:tcW w:w="7590" w:type="dxa"/>
            <w:gridSpan w:val="3"/>
            <w:tcBorders>
              <w:bottom w:val="single" w:sz="4" w:space="0" w:color="auto"/>
            </w:tcBorders>
            <w:vAlign w:val="center"/>
          </w:tcPr>
          <w:p w14:paraId="43716DF9" w14:textId="2825BB71" w:rsidR="00EC6F1E" w:rsidRPr="000B66BC" w:rsidRDefault="00EC6F1E"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szCs w:val="24"/>
              </w:rPr>
              <w:t>(–) Експозиции към централна банка, изключени в съответствие с член 429а, параграф 1, буква н) от РКИ</w:t>
            </w:r>
          </w:p>
          <w:p w14:paraId="737C879F" w14:textId="14999659" w:rsidR="00EC6F1E" w:rsidRPr="000B66BC" w:rsidRDefault="00DE2482" w:rsidP="000B66BC">
            <w:pPr>
              <w:pStyle w:val="BodyText1"/>
              <w:spacing w:after="240" w:line="240" w:lineRule="auto"/>
              <w:rPr>
                <w:rFonts w:ascii="Times New Roman" w:hAnsi="Times New Roman"/>
                <w:bCs/>
                <w:sz w:val="24"/>
                <w:szCs w:val="24"/>
              </w:rPr>
            </w:pPr>
            <w:r>
              <w:rPr>
                <w:rFonts w:ascii="Times New Roman" w:hAnsi="Times New Roman"/>
                <w:sz w:val="24"/>
                <w:szCs w:val="24"/>
              </w:rPr>
              <w:t>Член 429а, параграф 1, буква н) от РКИ</w:t>
            </w:r>
          </w:p>
          <w:p w14:paraId="300950AF" w14:textId="128AE793"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Докладваната стойност се включва и в съответните полета по-горе, все едно че не е имало изключване.</w:t>
            </w:r>
          </w:p>
        </w:tc>
      </w:tr>
      <w:tr w:rsidR="00EC6F1E" w:rsidRPr="00E75BB8" w14:paraId="54E04016" w14:textId="77777777" w:rsidTr="00E1595A">
        <w:trPr>
          <w:trHeight w:val="304"/>
        </w:trPr>
        <w:tc>
          <w:tcPr>
            <w:tcW w:w="1531" w:type="dxa"/>
            <w:tcBorders>
              <w:bottom w:val="single" w:sz="4" w:space="0" w:color="auto"/>
            </w:tcBorders>
            <w:vAlign w:val="center"/>
          </w:tcPr>
          <w:p w14:paraId="07FCDF2C" w14:textId="69109565" w:rsidR="00EC6F1E" w:rsidRPr="000B66BC" w:rsidRDefault="00EC6F1E" w:rsidP="000B66BC">
            <w:pPr>
              <w:pStyle w:val="BodyText1"/>
              <w:spacing w:after="240"/>
              <w:rPr>
                <w:rFonts w:ascii="Times New Roman" w:hAnsi="Times New Roman"/>
                <w:bCs/>
                <w:sz w:val="24"/>
                <w:szCs w:val="24"/>
              </w:rPr>
            </w:pPr>
            <w:r>
              <w:rPr>
                <w:rFonts w:ascii="Times New Roman" w:hAnsi="Times New Roman"/>
                <w:bCs/>
                <w:sz w:val="24"/>
                <w:szCs w:val="24"/>
              </w:rPr>
              <w:t>{0256;0010}</w:t>
            </w:r>
          </w:p>
        </w:tc>
        <w:tc>
          <w:tcPr>
            <w:tcW w:w="7590" w:type="dxa"/>
            <w:gridSpan w:val="3"/>
            <w:tcBorders>
              <w:bottom w:val="single" w:sz="4" w:space="0" w:color="auto"/>
            </w:tcBorders>
            <w:vAlign w:val="center"/>
          </w:tcPr>
          <w:p w14:paraId="0B0A550F" w14:textId="48704114"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Изключени спомагателни услуги от банков тип, предоставяни от ЦДЦК/институции в съответствие с член 429а, параграф 1, буква о) от РКИ</w:t>
            </w:r>
          </w:p>
          <w:p w14:paraId="5D17ABE6" w14:textId="52B88A9E" w:rsidR="00EC6F1E" w:rsidRPr="000B66BC" w:rsidRDefault="00F82681" w:rsidP="000B66BC">
            <w:pPr>
              <w:pStyle w:val="BodyText1"/>
              <w:spacing w:after="240" w:line="240" w:lineRule="auto"/>
              <w:rPr>
                <w:rFonts w:ascii="Times New Roman" w:hAnsi="Times New Roman"/>
                <w:bCs/>
                <w:sz w:val="24"/>
                <w:szCs w:val="24"/>
              </w:rPr>
            </w:pPr>
            <w:r>
              <w:rPr>
                <w:rFonts w:ascii="Times New Roman" w:hAnsi="Times New Roman"/>
                <w:sz w:val="24"/>
                <w:szCs w:val="24"/>
              </w:rPr>
              <w:t>Член 429а, параграф 1, буква о) от РКИ</w:t>
            </w:r>
          </w:p>
          <w:p w14:paraId="2A59DF82" w14:textId="75E2BAB5"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Докладваната стойност се включва и в съответните полета по-горе, все едно че не е имало изключване.</w:t>
            </w:r>
          </w:p>
        </w:tc>
      </w:tr>
      <w:tr w:rsidR="00EC6F1E" w:rsidRPr="00E75BB8" w14:paraId="796C7E67" w14:textId="77777777" w:rsidTr="00E1595A">
        <w:trPr>
          <w:trHeight w:val="304"/>
        </w:trPr>
        <w:tc>
          <w:tcPr>
            <w:tcW w:w="1531" w:type="dxa"/>
            <w:tcBorders>
              <w:bottom w:val="single" w:sz="4" w:space="0" w:color="auto"/>
            </w:tcBorders>
            <w:vAlign w:val="center"/>
          </w:tcPr>
          <w:p w14:paraId="3A077F3C" w14:textId="5BBF63E4" w:rsidR="00EC6F1E" w:rsidRPr="000B66BC" w:rsidRDefault="0001312C" w:rsidP="000B66BC">
            <w:pPr>
              <w:pStyle w:val="BodyText1"/>
              <w:spacing w:after="240"/>
              <w:rPr>
                <w:rFonts w:ascii="Times New Roman" w:hAnsi="Times New Roman"/>
                <w:bCs/>
                <w:sz w:val="24"/>
                <w:szCs w:val="24"/>
              </w:rPr>
            </w:pPr>
            <w:r>
              <w:rPr>
                <w:rFonts w:ascii="Times New Roman" w:hAnsi="Times New Roman"/>
                <w:bCs/>
                <w:sz w:val="24"/>
                <w:szCs w:val="24"/>
              </w:rPr>
              <w:t>{0257;0010}</w:t>
            </w:r>
          </w:p>
        </w:tc>
        <w:tc>
          <w:tcPr>
            <w:tcW w:w="7590" w:type="dxa"/>
            <w:gridSpan w:val="3"/>
            <w:tcBorders>
              <w:bottom w:val="single" w:sz="4" w:space="0" w:color="auto"/>
            </w:tcBorders>
            <w:vAlign w:val="center"/>
          </w:tcPr>
          <w:p w14:paraId="4CA8E235" w14:textId="29A8F0CD" w:rsidR="00EC6F1E" w:rsidRPr="000B66BC" w:rsidRDefault="00EC6F1E"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Изключени спомагателни услуги от банков тип, предоставяни от определени институции в съответствие с член 429а, параграф 1, буква п) от РКИ</w:t>
            </w:r>
          </w:p>
          <w:p w14:paraId="290DEB1D" w14:textId="16219676" w:rsidR="00F82681" w:rsidRPr="000B66BC" w:rsidRDefault="00B329C6" w:rsidP="000B66BC">
            <w:pPr>
              <w:pStyle w:val="BodyText1"/>
              <w:spacing w:after="240" w:line="240" w:lineRule="auto"/>
              <w:rPr>
                <w:rFonts w:ascii="Times New Roman" w:hAnsi="Times New Roman"/>
                <w:color w:val="auto"/>
                <w:sz w:val="24"/>
                <w:szCs w:val="24"/>
              </w:rPr>
            </w:pPr>
            <w:r>
              <w:rPr>
                <w:rFonts w:ascii="Times New Roman" w:hAnsi="Times New Roman"/>
                <w:sz w:val="24"/>
                <w:szCs w:val="24"/>
              </w:rPr>
              <w:t>Член 429а, параграф 1, буква п) от РКИ</w:t>
            </w:r>
          </w:p>
          <w:p w14:paraId="302E407B" w14:textId="2195E524" w:rsidR="00EC6F1E" w:rsidRPr="000B66BC" w:rsidRDefault="00EC6F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Докладваната стойност се включва и в съответните полета по-горе, все едно че не е имало изключване.</w:t>
            </w:r>
          </w:p>
        </w:tc>
      </w:tr>
      <w:tr w:rsidR="00CB48CC" w:rsidRPr="00E75BB8" w14:paraId="759771C3" w14:textId="77777777" w:rsidTr="00E1595A">
        <w:trPr>
          <w:trHeight w:val="304"/>
        </w:trPr>
        <w:tc>
          <w:tcPr>
            <w:tcW w:w="1531" w:type="dxa"/>
            <w:tcBorders>
              <w:bottom w:val="single" w:sz="4" w:space="0" w:color="auto"/>
            </w:tcBorders>
          </w:tcPr>
          <w:p w14:paraId="523A3FCF" w14:textId="6DF532E0"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{0260;0010}</w:t>
            </w:r>
          </w:p>
        </w:tc>
        <w:tc>
          <w:tcPr>
            <w:tcW w:w="7590" w:type="dxa"/>
            <w:gridSpan w:val="3"/>
            <w:tcBorders>
              <w:bottom w:val="single" w:sz="4" w:space="0" w:color="auto"/>
            </w:tcBorders>
          </w:tcPr>
          <w:p w14:paraId="1FAED4EC" w14:textId="0BBD48A4"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sz w:val="24"/>
                <w:szCs w:val="24"/>
              </w:rPr>
              <w:t>(–) Експозиции, изключени в съответствие с член 429а, параграф 1, буква й) от РКИ</w:t>
            </w:r>
          </w:p>
          <w:p w14:paraId="218BC8E5" w14:textId="0E84595E" w:rsidR="00CB48CC" w:rsidRPr="000B66BC" w:rsidRDefault="00B329C6" w:rsidP="000B66BC">
            <w:pPr>
              <w:pStyle w:val="BodyText1"/>
              <w:spacing w:after="240" w:line="240" w:lineRule="auto"/>
              <w:rPr>
                <w:rFonts w:ascii="Times New Roman" w:hAnsi="Times New Roman"/>
                <w:bCs/>
                <w:sz w:val="24"/>
                <w:szCs w:val="24"/>
              </w:rPr>
            </w:pPr>
            <w:r>
              <w:rPr>
                <w:rFonts w:ascii="Times New Roman" w:hAnsi="Times New Roman"/>
                <w:sz w:val="24"/>
                <w:szCs w:val="24"/>
              </w:rPr>
              <w:t>Член 429а, параграф 1, буква й) от РКИ</w:t>
            </w:r>
          </w:p>
          <w:p w14:paraId="3A1ACCB0" w14:textId="066522F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sz w:val="24"/>
                <w:szCs w:val="24"/>
              </w:rPr>
              <w:lastRenderedPageBreak/>
              <w:t>Експозициите, изключени в съответствие с член 429а, параграф 1, буква й) от РКИ, стига да са удовлетворени посочените там условия.</w:t>
            </w:r>
          </w:p>
          <w:p w14:paraId="639566D9" w14:textId="70FB6A4B"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Докладваната стойност се включва и в съответните полета по-горе, все едно че не е имало изключване.</w:t>
            </w:r>
          </w:p>
        </w:tc>
      </w:tr>
      <w:tr w:rsidR="00CB48CC" w:rsidRPr="00E75BB8" w14:paraId="4D2ECF18" w14:textId="77777777" w:rsidTr="00E1595A">
        <w:trPr>
          <w:trHeight w:val="304"/>
        </w:trPr>
        <w:tc>
          <w:tcPr>
            <w:tcW w:w="1531" w:type="dxa"/>
            <w:tcBorders>
              <w:bottom w:val="single" w:sz="4" w:space="0" w:color="auto"/>
            </w:tcBorders>
            <w:vAlign w:val="center"/>
          </w:tcPr>
          <w:p w14:paraId="4DF44B5D" w14:textId="2AAC5E7C"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{0261;0010}</w:t>
            </w:r>
          </w:p>
        </w:tc>
        <w:tc>
          <w:tcPr>
            <w:tcW w:w="7590" w:type="dxa"/>
            <w:gridSpan w:val="3"/>
            <w:tcBorders>
              <w:bottom w:val="single" w:sz="4" w:space="0" w:color="auto"/>
            </w:tcBorders>
            <w:vAlign w:val="center"/>
          </w:tcPr>
          <w:p w14:paraId="7117C87C" w14:textId="7829B627" w:rsidR="00743C1E" w:rsidRPr="000B66BC" w:rsidRDefault="009D46F6"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 </w:t>
            </w:r>
            <w:r>
              <w:rPr>
                <w:rFonts w:ascii="Times New Roman" w:hAnsi="Times New Roman"/>
                <w:b/>
                <w:color w:val="auto"/>
                <w:sz w:val="24"/>
                <w:szCs w:val="24"/>
              </w:rPr>
              <w:t>(−) Изключени експозиции на публични кредитни институции за развитие — инвестиции в публичния сектор</w:t>
            </w:r>
          </w:p>
          <w:p w14:paraId="387343FE" w14:textId="733E008F" w:rsidR="00743C1E" w:rsidRPr="000B66BC" w:rsidRDefault="00993549" w:rsidP="000B66BC">
            <w:pPr>
              <w:pStyle w:val="BodyText1"/>
              <w:spacing w:after="240" w:line="240" w:lineRule="auto"/>
              <w:rPr>
                <w:rFonts w:ascii="Times New Roman" w:hAnsi="Times New Roman"/>
                <w:bCs/>
                <w:sz w:val="24"/>
                <w:szCs w:val="24"/>
              </w:rPr>
            </w:pPr>
            <w:r>
              <w:rPr>
                <w:rFonts w:ascii="Times New Roman" w:hAnsi="Times New Roman"/>
                <w:color w:val="auto"/>
                <w:sz w:val="24"/>
                <w:szCs w:val="24"/>
              </w:rPr>
              <w:t>Член 429а, параграф 1, буква а) и параграфи 2 от РКИ</w:t>
            </w:r>
          </w:p>
          <w:p w14:paraId="740BFE27" w14:textId="2CA85AAC" w:rsidR="00743C1E" w:rsidRPr="000B66BC" w:rsidRDefault="00743C1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Експозициите, произтичащи от активи, които представляват вземания от централни правителства, регионални правителства, местни органи на властта или субекти от публичния сектор във връзка с инвестиции в публичния сектор, които могат да бъдат изключени в съответствие с член 429а, параграф 1, буква г) от РКИ.</w:t>
            </w:r>
          </w:p>
          <w:p w14:paraId="0B2209FE" w14:textId="4A72C105" w:rsidR="000F5958" w:rsidRPr="000B66BC" w:rsidRDefault="000F5958"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Когато вземането отговаря и на изискванията за насърчителен заем съгласно член 429а, параграф 3, то не се докладва в това поле, а в редове 0262—0264, както е приложимо.</w:t>
            </w:r>
          </w:p>
          <w:p w14:paraId="1F103E32" w14:textId="51AB418A"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Докладваната стойност се включва и в съответните полета по-горе, все едно че не е имало изключване.</w:t>
            </w:r>
          </w:p>
        </w:tc>
      </w:tr>
      <w:tr w:rsidR="00CB48CC" w:rsidRPr="00E75BB8" w14:paraId="53C01F29" w14:textId="77777777" w:rsidTr="00E1595A">
        <w:trPr>
          <w:trHeight w:val="304"/>
        </w:trPr>
        <w:tc>
          <w:tcPr>
            <w:tcW w:w="1531" w:type="dxa"/>
            <w:tcBorders>
              <w:bottom w:val="single" w:sz="4" w:space="0" w:color="auto"/>
            </w:tcBorders>
            <w:vAlign w:val="center"/>
          </w:tcPr>
          <w:p w14:paraId="17CB97C6" w14:textId="5334142B"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{0262;0010}</w:t>
            </w:r>
          </w:p>
        </w:tc>
        <w:tc>
          <w:tcPr>
            <w:tcW w:w="7590" w:type="dxa"/>
            <w:gridSpan w:val="3"/>
            <w:tcBorders>
              <w:bottom w:val="single" w:sz="4" w:space="0" w:color="auto"/>
            </w:tcBorders>
            <w:vAlign w:val="center"/>
          </w:tcPr>
          <w:p w14:paraId="788A486A"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Изключени експозиции на публични кредитни институции за развитие — насърчителни заеми, отпуснати от публична кредитна институция за развитие</w:t>
            </w:r>
          </w:p>
          <w:p w14:paraId="30828A29" w14:textId="31FE28CB" w:rsidR="00743C1E" w:rsidRPr="000B66BC" w:rsidRDefault="00542529"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429а, параграф 1, буква г) и параграфи 2 и 3 от РКИ</w:t>
            </w:r>
          </w:p>
          <w:p w14:paraId="672E00E2" w14:textId="7E6FCF88"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color w:val="auto"/>
                <w:sz w:val="24"/>
                <w:szCs w:val="24"/>
              </w:rPr>
              <w:t xml:space="preserve">Експозициите, произтичащи от насърчителни заеми, включително прехвърлени насърчителни заеми, отпуснати от публична кредитна институция за развитие, които могат да бъдат изключени в съответствие с член 429а, параграф 1, буква г) от РКИ. </w:t>
            </w:r>
            <w:r>
              <w:rPr>
                <w:rFonts w:ascii="Times New Roman" w:hAnsi="Times New Roman"/>
                <w:sz w:val="24"/>
                <w:szCs w:val="24"/>
              </w:rPr>
              <w:t>Взимат се предвид и експозициите на подразделението на дадена институция, която се третира от компетентен орган като публична кредитна институция за развитие в съответствие с член 429а, параграф 2, последна алинея от РКИ.</w:t>
            </w:r>
          </w:p>
          <w:p w14:paraId="64C77AD5" w14:textId="227981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Докладваната стойност се включва и в съответните полета по-горе, все едно че не е имало изключване.</w:t>
            </w:r>
          </w:p>
        </w:tc>
      </w:tr>
      <w:tr w:rsidR="00CB48CC" w:rsidRPr="00E75BB8" w14:paraId="00B60DDD" w14:textId="77777777" w:rsidTr="00E1595A">
        <w:trPr>
          <w:trHeight w:val="304"/>
        </w:trPr>
        <w:tc>
          <w:tcPr>
            <w:tcW w:w="1531" w:type="dxa"/>
            <w:tcBorders>
              <w:bottom w:val="single" w:sz="4" w:space="0" w:color="auto"/>
            </w:tcBorders>
            <w:vAlign w:val="center"/>
          </w:tcPr>
          <w:p w14:paraId="0C78434F" w14:textId="7703C49F"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{0263;0010}</w:t>
            </w:r>
          </w:p>
        </w:tc>
        <w:tc>
          <w:tcPr>
            <w:tcW w:w="7590" w:type="dxa"/>
            <w:gridSpan w:val="3"/>
            <w:tcBorders>
              <w:bottom w:val="single" w:sz="4" w:space="0" w:color="auto"/>
            </w:tcBorders>
            <w:vAlign w:val="center"/>
          </w:tcPr>
          <w:p w14:paraId="7CBAF840"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Изключени експозиции на публични кредитни институции за развитие — насърчителни заеми, отпуснати от субект, създаден пряко от централно правителство, регионални правителства или местни органи на власт на държава членка</w:t>
            </w:r>
          </w:p>
          <w:p w14:paraId="4B17F8AE" w14:textId="3DD44064"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429а, параграф 1, буква г) и параграфи 2 и 3 от РКИ</w:t>
            </w:r>
          </w:p>
          <w:p w14:paraId="6FAF30DE" w14:textId="69B451A9"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szCs w:val="24"/>
              </w:rPr>
              <w:t xml:space="preserve">Експозициите, произтичащи от насърчителни заеми, включително прехвърлени насърчителни заеми, отпуснати от субект, създаден пряко </w:t>
            </w:r>
            <w:r>
              <w:rPr>
                <w:rFonts w:ascii="Times New Roman" w:hAnsi="Times New Roman"/>
                <w:sz w:val="24"/>
                <w:szCs w:val="24"/>
              </w:rPr>
              <w:lastRenderedPageBreak/>
              <w:t>от централно правителство, регионални правителства или местни органи на власт на държава членка, които могат да бъдат изключени в съответствие с член 429а, параграф 1, буква г) от РКИ.</w:t>
            </w:r>
            <w:r>
              <w:rPr>
                <w:rFonts w:ascii="Times New Roman" w:hAnsi="Times New Roman"/>
                <w:bCs/>
                <w:sz w:val="24"/>
                <w:szCs w:val="24"/>
              </w:rPr>
              <w:t xml:space="preserve"> </w:t>
            </w:r>
            <w:r>
              <w:rPr>
                <w:rFonts w:ascii="Times New Roman" w:hAnsi="Times New Roman"/>
                <w:sz w:val="24"/>
                <w:szCs w:val="24"/>
              </w:rPr>
              <w:t>Взимат се предвид и експозициите на подразделението на дадена институция, която се третира от компетентен орган като публична кредитна институция за развитие в съответствие с член 429а, параграф 2, последна алинея от РКИ.</w:t>
            </w:r>
          </w:p>
          <w:p w14:paraId="5A3364FC" w14:textId="2A7576CE"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Докладваната стойност се включва и в съответните полета по-горе, все едно че не е имало изключване.</w:t>
            </w:r>
          </w:p>
        </w:tc>
      </w:tr>
      <w:tr w:rsidR="00CB48CC" w:rsidRPr="00E75BB8" w14:paraId="24911276" w14:textId="77777777" w:rsidTr="00E1595A">
        <w:trPr>
          <w:trHeight w:val="304"/>
        </w:trPr>
        <w:tc>
          <w:tcPr>
            <w:tcW w:w="1531" w:type="dxa"/>
            <w:tcBorders>
              <w:bottom w:val="single" w:sz="4" w:space="0" w:color="auto"/>
            </w:tcBorders>
            <w:vAlign w:val="center"/>
          </w:tcPr>
          <w:p w14:paraId="633E837E" w14:textId="64229AC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{0264;0010}</w:t>
            </w:r>
          </w:p>
        </w:tc>
        <w:tc>
          <w:tcPr>
            <w:tcW w:w="7590" w:type="dxa"/>
            <w:gridSpan w:val="3"/>
            <w:tcBorders>
              <w:bottom w:val="single" w:sz="4" w:space="0" w:color="auto"/>
            </w:tcBorders>
            <w:vAlign w:val="center"/>
          </w:tcPr>
          <w:p w14:paraId="7047590E" w14:textId="77777777"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Изключени експозиции на публични кредитни институции за развитие — насърчителни заеми, отпуснати от субект, създаден от централно правителство, регионални правителства или местни органи на власт на държава членка, посредством посредническа кредитна институция</w:t>
            </w:r>
          </w:p>
          <w:p w14:paraId="6754B207" w14:textId="392DBA3E" w:rsidR="009D46F6" w:rsidRPr="000B66BC" w:rsidRDefault="00C36AC0"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429а, параграф 1, буква г) и параграфи 2 и 3 от РКИ</w:t>
            </w:r>
          </w:p>
          <w:p w14:paraId="77D97E64" w14:textId="0FCAF836" w:rsidR="00E849C2"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sz w:val="24"/>
                <w:szCs w:val="24"/>
              </w:rPr>
              <w:t>Експозициите, произтичащи от насърчителни заеми, включително прехвърлени насърчителни заеми, отпуснати от субект, създаден от централно правителство, регионални правителства или местни органи на власт на държава членка, посредством посредническа кредитна институция, които могат да бъдат изключени в съответствие с член 429а, параграф 1, буква г) от РКИ.</w:t>
            </w:r>
            <w:r>
              <w:rPr>
                <w:rFonts w:ascii="Times New Roman" w:hAnsi="Times New Roman"/>
                <w:bCs/>
                <w:sz w:val="24"/>
                <w:szCs w:val="24"/>
              </w:rPr>
              <w:t xml:space="preserve"> </w:t>
            </w:r>
            <w:r>
              <w:rPr>
                <w:rFonts w:ascii="Times New Roman" w:hAnsi="Times New Roman"/>
                <w:sz w:val="24"/>
                <w:szCs w:val="24"/>
              </w:rPr>
              <w:t>Взимат се предвид и експозициите на подразделението на дадена институция, която се третира от компетентен орган като публична кредитна институция за развитие в съответствие с член 429а, параграф 2, последна алинея от РКИ.</w:t>
            </w:r>
          </w:p>
          <w:p w14:paraId="318709D6" w14:textId="775B94CC"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Докладваната стойност се включва и в съответните полета по-горе, все едно че не е имало изключване.</w:t>
            </w:r>
          </w:p>
        </w:tc>
      </w:tr>
      <w:tr w:rsidR="00CB48CC" w:rsidRPr="00E75BB8" w14:paraId="337CD92B" w14:textId="77777777" w:rsidTr="00E1595A">
        <w:trPr>
          <w:trHeight w:val="304"/>
        </w:trPr>
        <w:tc>
          <w:tcPr>
            <w:tcW w:w="1531" w:type="dxa"/>
            <w:tcBorders>
              <w:bottom w:val="single" w:sz="4" w:space="0" w:color="auto"/>
            </w:tcBorders>
            <w:vAlign w:val="center"/>
          </w:tcPr>
          <w:p w14:paraId="6C7E09CA" w14:textId="166BCBE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{0265;0010}</w:t>
            </w:r>
          </w:p>
        </w:tc>
        <w:tc>
          <w:tcPr>
            <w:tcW w:w="7590" w:type="dxa"/>
            <w:gridSpan w:val="3"/>
            <w:tcBorders>
              <w:bottom w:val="single" w:sz="4" w:space="0" w:color="auto"/>
            </w:tcBorders>
            <w:vAlign w:val="center"/>
          </w:tcPr>
          <w:p w14:paraId="3A4A6AD1" w14:textId="23AF7226"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Изключени експозиции по прехвърлени насърчителни заеми от непублични кредитни институции за развитие (или </w:t>
            </w:r>
            <w:r w:rsidR="00EA59A8">
              <w:rPr>
                <w:rFonts w:ascii="Times New Roman" w:hAnsi="Times New Roman"/>
                <w:b/>
                <w:color w:val="auto"/>
                <w:sz w:val="24"/>
                <w:szCs w:val="24"/>
              </w:rPr>
              <w:t>подразделения</w:t>
            </w:r>
            <w:r>
              <w:rPr>
                <w:rFonts w:ascii="Times New Roman" w:hAnsi="Times New Roman"/>
                <w:b/>
                <w:color w:val="auto"/>
                <w:sz w:val="24"/>
                <w:szCs w:val="24"/>
              </w:rPr>
              <w:t>) — насърчителни заеми, отпуснати от публична кредитна институция за развитие</w:t>
            </w:r>
          </w:p>
          <w:p w14:paraId="51F998E0" w14:textId="0F685FC2" w:rsidR="009D46F6" w:rsidRPr="000B66BC" w:rsidRDefault="0079137A"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429а, параграф 1, буква д) и параграфи 2 и 3 от РКИ</w:t>
            </w:r>
          </w:p>
          <w:p w14:paraId="6B9968E8" w14:textId="2AC62AF4" w:rsidR="00743C1E" w:rsidRPr="000B66BC" w:rsidRDefault="00E849C2"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Частите от експозициите, произтичащи от прехвърлени насърчителни заеми към други кредитни институции, когато насърчителните заеми са отпуснати от публична кредитна институция за развитие. </w:t>
            </w:r>
            <w:r>
              <w:rPr>
                <w:rFonts w:ascii="Times New Roman" w:hAnsi="Times New Roman"/>
                <w:sz w:val="24"/>
                <w:szCs w:val="24"/>
              </w:rPr>
              <w:t xml:space="preserve">Взимат се предвид частите от експозициите на </w:t>
            </w:r>
            <w:r w:rsidR="00EA59A8">
              <w:rPr>
                <w:rFonts w:ascii="Times New Roman" w:hAnsi="Times New Roman"/>
                <w:sz w:val="24"/>
                <w:szCs w:val="24"/>
              </w:rPr>
              <w:t>подразделения</w:t>
            </w:r>
            <w:r>
              <w:rPr>
                <w:rFonts w:ascii="Times New Roman" w:hAnsi="Times New Roman"/>
                <w:sz w:val="24"/>
                <w:szCs w:val="24"/>
              </w:rPr>
              <w:t>та на дадена институция, които не се третират от компетентен орган като публична кредитна институция за развитие в съответствие с член 429а, параграф 2, последна алинея от РКИ.</w:t>
            </w:r>
          </w:p>
          <w:p w14:paraId="1CF30E6B" w14:textId="322E3C8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lastRenderedPageBreak/>
              <w:t>Докладваната стойност се включва и в съответните полета по-горе, все едно че не е имало изключване.</w:t>
            </w:r>
          </w:p>
        </w:tc>
      </w:tr>
      <w:tr w:rsidR="00CB48CC" w:rsidRPr="00E75BB8" w14:paraId="02D73868" w14:textId="77777777" w:rsidTr="00E1595A">
        <w:trPr>
          <w:trHeight w:val="304"/>
        </w:trPr>
        <w:tc>
          <w:tcPr>
            <w:tcW w:w="1531" w:type="dxa"/>
            <w:tcBorders>
              <w:bottom w:val="single" w:sz="4" w:space="0" w:color="auto"/>
            </w:tcBorders>
            <w:vAlign w:val="center"/>
          </w:tcPr>
          <w:p w14:paraId="57A4063C" w14:textId="06DE7FF4" w:rsidR="00CB48CC"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lastRenderedPageBreak/>
              <w:t>{0266;0010}</w:t>
            </w:r>
          </w:p>
        </w:tc>
        <w:tc>
          <w:tcPr>
            <w:tcW w:w="7590" w:type="dxa"/>
            <w:gridSpan w:val="3"/>
            <w:tcBorders>
              <w:bottom w:val="single" w:sz="4" w:space="0" w:color="auto"/>
            </w:tcBorders>
            <w:vAlign w:val="center"/>
          </w:tcPr>
          <w:p w14:paraId="4A900DCE" w14:textId="7D691AD0"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Изключени експозиции по прехвърлени насърчителни заеми от непублични кредитни институции за развитие (или </w:t>
            </w:r>
            <w:r w:rsidR="00EA59A8">
              <w:rPr>
                <w:rFonts w:ascii="Times New Roman" w:hAnsi="Times New Roman"/>
                <w:b/>
                <w:color w:val="auto"/>
                <w:sz w:val="24"/>
                <w:szCs w:val="24"/>
              </w:rPr>
              <w:t>подразделения</w:t>
            </w:r>
            <w:r>
              <w:rPr>
                <w:rFonts w:ascii="Times New Roman" w:hAnsi="Times New Roman"/>
                <w:b/>
                <w:color w:val="auto"/>
                <w:sz w:val="24"/>
                <w:szCs w:val="24"/>
              </w:rPr>
              <w:t>) — насърчителни заеми, отпуснати от субект, създаден пряко от централно правителство, регионални правителства или местни органи на власт на държава членка</w:t>
            </w:r>
          </w:p>
          <w:p w14:paraId="003BD5E4" w14:textId="186B4E9B" w:rsidR="00743C1E"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429а, параграф 1, буква д) и параграфи 2 и 3 от РКИ</w:t>
            </w:r>
          </w:p>
          <w:p w14:paraId="128930FF" w14:textId="088287F7" w:rsidR="00415D69"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Частите от експозициите, произтичащи от прехвърлени насърчителни заеми към други кредитни институции, когато насърчителните заеми са отпуснати от субект, създаден пряко от централно правителство, регионални правителства или местни органи на власт на държава членка. </w:t>
            </w:r>
            <w:r>
              <w:rPr>
                <w:rFonts w:ascii="Times New Roman" w:hAnsi="Times New Roman"/>
                <w:sz w:val="24"/>
                <w:szCs w:val="24"/>
              </w:rPr>
              <w:t xml:space="preserve">Взимат се предвид частите от експозициите на </w:t>
            </w:r>
            <w:r w:rsidR="00EA59A8">
              <w:rPr>
                <w:rFonts w:ascii="Times New Roman" w:hAnsi="Times New Roman"/>
                <w:sz w:val="24"/>
                <w:szCs w:val="24"/>
              </w:rPr>
              <w:t>подразделения</w:t>
            </w:r>
            <w:r>
              <w:rPr>
                <w:rFonts w:ascii="Times New Roman" w:hAnsi="Times New Roman"/>
                <w:sz w:val="24"/>
                <w:szCs w:val="24"/>
              </w:rPr>
              <w:t>та на дадена институция, които не се третират от компетентен орган като публична кредитна институция за развитие в съответствие с член 429а, параграф 2, последна алинея от РКИ.</w:t>
            </w:r>
          </w:p>
          <w:p w14:paraId="4DD1C09D" w14:textId="67B346B4"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Докладваната стойност се включва и в съответните полета по-горе, все едно че не е имало изключване.</w:t>
            </w:r>
          </w:p>
        </w:tc>
      </w:tr>
      <w:tr w:rsidR="00CB48CC" w:rsidRPr="00E75BB8" w14:paraId="78DBF21B" w14:textId="77777777" w:rsidTr="00E1595A">
        <w:trPr>
          <w:trHeight w:val="304"/>
        </w:trPr>
        <w:tc>
          <w:tcPr>
            <w:tcW w:w="1531" w:type="dxa"/>
            <w:tcBorders>
              <w:bottom w:val="single" w:sz="4" w:space="0" w:color="auto"/>
            </w:tcBorders>
            <w:vAlign w:val="center"/>
          </w:tcPr>
          <w:p w14:paraId="159B9A71" w14:textId="29511FD8" w:rsidR="00946138" w:rsidRPr="000B66BC" w:rsidRDefault="00946138" w:rsidP="000B66BC">
            <w:pPr>
              <w:pStyle w:val="BodyText1"/>
              <w:spacing w:after="240"/>
              <w:rPr>
                <w:rFonts w:ascii="Times New Roman" w:hAnsi="Times New Roman"/>
                <w:bCs/>
                <w:sz w:val="24"/>
                <w:szCs w:val="24"/>
                <w:highlight w:val="yellow"/>
              </w:rPr>
            </w:pPr>
            <w:r>
              <w:rPr>
                <w:rFonts w:ascii="Times New Roman" w:hAnsi="Times New Roman"/>
                <w:bCs/>
                <w:sz w:val="24"/>
                <w:szCs w:val="24"/>
              </w:rPr>
              <w:t>{0267;0010}</w:t>
            </w:r>
          </w:p>
        </w:tc>
        <w:tc>
          <w:tcPr>
            <w:tcW w:w="7590" w:type="dxa"/>
            <w:gridSpan w:val="3"/>
            <w:tcBorders>
              <w:bottom w:val="single" w:sz="4" w:space="0" w:color="auto"/>
            </w:tcBorders>
            <w:vAlign w:val="center"/>
          </w:tcPr>
          <w:p w14:paraId="0D809E6C" w14:textId="14C8F4B8" w:rsidR="00946138" w:rsidRPr="000B66BC" w:rsidRDefault="0094613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 Изключени експозиции по прехвърлени насърчителни заеми от непублични кредитни институции за развитие (или </w:t>
            </w:r>
            <w:r w:rsidR="00EA59A8">
              <w:rPr>
                <w:rFonts w:ascii="Times New Roman" w:hAnsi="Times New Roman"/>
                <w:b/>
                <w:color w:val="auto"/>
                <w:sz w:val="24"/>
                <w:szCs w:val="24"/>
              </w:rPr>
              <w:t>подразделения</w:t>
            </w:r>
            <w:r>
              <w:rPr>
                <w:rFonts w:ascii="Times New Roman" w:hAnsi="Times New Roman"/>
                <w:b/>
                <w:color w:val="auto"/>
                <w:sz w:val="24"/>
                <w:szCs w:val="24"/>
              </w:rPr>
              <w:t>) — насърчителни заеми, отпуснати от субект, създаден от централно правителство, регионални правителства или местни органи на власт на държава членка, посредством посредническа кредитна институция</w:t>
            </w:r>
          </w:p>
          <w:p w14:paraId="30EAE7BC" w14:textId="63AC62A5" w:rsidR="009D46F6" w:rsidRPr="000B66BC" w:rsidRDefault="00D03534"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429а, параграф 1, буква д) и параграфи 2 и 3 от РКИ</w:t>
            </w:r>
          </w:p>
          <w:p w14:paraId="3DE31CDF" w14:textId="445FBAD8" w:rsidR="00743C1E" w:rsidRPr="000B66BC" w:rsidRDefault="00415D69"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 xml:space="preserve">Частите от експозициите, произтичащи от прехвърлени насърчителни заеми към други кредитни институции, когато насърчителните заеми са отпуснати от субект, създаден от централно правителство, регионални правителства или местни органи на власт на държава членка, посредством посредническа кредитна институция. </w:t>
            </w:r>
            <w:r>
              <w:rPr>
                <w:rFonts w:ascii="Times New Roman" w:hAnsi="Times New Roman"/>
                <w:sz w:val="24"/>
                <w:szCs w:val="24"/>
              </w:rPr>
              <w:t xml:space="preserve">Взимат се предвид частите от експозициите на </w:t>
            </w:r>
            <w:r w:rsidR="00EA59A8">
              <w:rPr>
                <w:rFonts w:ascii="Times New Roman" w:hAnsi="Times New Roman"/>
                <w:sz w:val="24"/>
                <w:szCs w:val="24"/>
              </w:rPr>
              <w:t>подразделения</w:t>
            </w:r>
            <w:r>
              <w:rPr>
                <w:rFonts w:ascii="Times New Roman" w:hAnsi="Times New Roman"/>
                <w:sz w:val="24"/>
                <w:szCs w:val="24"/>
              </w:rPr>
              <w:t>та на дадена институция, които не се третират от компетентен орган като публична кредитна институция за развитие в съответствие с член 429а, параграф 2, последна алинея от РКИ.</w:t>
            </w:r>
          </w:p>
          <w:p w14:paraId="53C99EBF" w14:textId="67514C6D" w:rsidR="00743C1E" w:rsidRPr="000B66BC" w:rsidRDefault="00743C1E"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Докладваната стойност се включва и в съответните полета по-горе, все едно че не е имало изключване.</w:t>
            </w:r>
          </w:p>
        </w:tc>
      </w:tr>
      <w:tr w:rsidR="00CB48CC" w:rsidRPr="00E75BB8" w14:paraId="39D281E6" w14:textId="77777777" w:rsidTr="00E1595A">
        <w:trPr>
          <w:trHeight w:val="304"/>
        </w:trPr>
        <w:tc>
          <w:tcPr>
            <w:tcW w:w="1531" w:type="dxa"/>
            <w:tcBorders>
              <w:bottom w:val="single" w:sz="4" w:space="0" w:color="auto"/>
            </w:tcBorders>
          </w:tcPr>
          <w:p w14:paraId="28E3E527" w14:textId="64B2DB2E"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{0270;0010}</w:t>
            </w:r>
          </w:p>
          <w:p w14:paraId="49DAE00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CD09A92" w14:textId="77777777" w:rsidR="00CB48CC" w:rsidRPr="000B66BC" w:rsidRDefault="00CB48CC" w:rsidP="000B66BC">
            <w:pPr>
              <w:pStyle w:val="BodyText1"/>
              <w:spacing w:after="240" w:line="240" w:lineRule="auto"/>
              <w:rPr>
                <w:rFonts w:ascii="Times New Roman" w:hAnsi="Times New Roman"/>
                <w:sz w:val="24"/>
                <w:szCs w:val="24"/>
              </w:rPr>
            </w:pPr>
            <w:r>
              <w:rPr>
                <w:rFonts w:ascii="Times New Roman" w:hAnsi="Times New Roman"/>
                <w:b/>
                <w:bCs/>
                <w:sz w:val="24"/>
                <w:szCs w:val="24"/>
              </w:rPr>
              <w:t>(-) Стойност на активите, приспадната от капитала от първи ред — „окончателно“ определение</w:t>
            </w:r>
          </w:p>
          <w:p w14:paraId="7786B29A" w14:textId="16FE3CE7" w:rsidR="00CB48CC" w:rsidRPr="000B66BC" w:rsidRDefault="00542529" w:rsidP="000B66BC">
            <w:pPr>
              <w:pStyle w:val="BodyText1"/>
              <w:spacing w:after="240" w:line="240" w:lineRule="auto"/>
              <w:rPr>
                <w:rFonts w:ascii="Times New Roman" w:hAnsi="Times New Roman"/>
                <w:sz w:val="24"/>
                <w:szCs w:val="24"/>
              </w:rPr>
            </w:pPr>
            <w:r>
              <w:rPr>
                <w:rFonts w:ascii="Times New Roman" w:hAnsi="Times New Roman"/>
                <w:sz w:val="24"/>
                <w:szCs w:val="24"/>
              </w:rPr>
              <w:t>Член 429а, параграф 1, буква б) и член 499, параграф 1, буква а) от РКИ</w:t>
            </w:r>
          </w:p>
          <w:p w14:paraId="675D8B7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Тук се включват всички корекции по отношение на стойността на даден актив, изисквани по:</w:t>
            </w:r>
          </w:p>
          <w:p w14:paraId="0ABD1D78" w14:textId="0198F3C1"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членове 32—35 от РКИ, или </w:t>
            </w:r>
          </w:p>
          <w:p w14:paraId="14203D05" w14:textId="63CBF1E7"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членове 36—47 от РКИ, или</w:t>
            </w:r>
          </w:p>
          <w:p w14:paraId="33D193AD" w14:textId="220C0D01"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членове 56—60 от РКИ,</w:t>
            </w:r>
          </w:p>
          <w:p w14:paraId="0A1B29CB"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както е приложимо.</w:t>
            </w:r>
          </w:p>
          <w:p w14:paraId="75E8D9BE" w14:textId="75588980"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Институциите взимат предвид изключенията, алтернативните подходи и освобождаванията по отношение на такива приспадания, предвидени в членове 48, 49 и 79 от РКИ, без да взимат предвид дерогацията, предвидена в десета част, дял I, глави 1, 2 и 4 от РКИ. За да се избегне двойното отчитане, при изчисляване на стойността на експозицията в {0010;0010} — {0267;0010} институциите не докладват корекциите, които вече са били приложени по силата на член 111 от РКИ, нито тези, които не водят до намаляване на стойността на определен актив.</w:t>
            </w:r>
          </w:p>
          <w:p w14:paraId="36ECE9CF" w14:textId="32731BE5"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Тъй като тези стойности са вече приспаднати от мярката за капитала, те водят до намаляване на експозицията с оглед на отношението на ливъридж и се докладват като отрицателно число.</w:t>
            </w:r>
          </w:p>
        </w:tc>
      </w:tr>
      <w:tr w:rsidR="00CB48CC" w:rsidRPr="00E75BB8" w14:paraId="70428859" w14:textId="77777777" w:rsidTr="00E1595A">
        <w:trPr>
          <w:trHeight w:val="304"/>
        </w:trPr>
        <w:tc>
          <w:tcPr>
            <w:tcW w:w="1531" w:type="dxa"/>
            <w:tcBorders>
              <w:bottom w:val="single" w:sz="4" w:space="0" w:color="auto"/>
            </w:tcBorders>
          </w:tcPr>
          <w:p w14:paraId="5BCE2B05" w14:textId="02607C2D"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{0280;0010}</w:t>
            </w:r>
          </w:p>
          <w:p w14:paraId="0F555030"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56F1EE18" w14:textId="4A888983"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Стойност на активите, приспадната от (-) или добавен към (+) капитала от първи ред — „преходно“ определение</w:t>
            </w:r>
          </w:p>
          <w:p w14:paraId="552CF68D" w14:textId="18B726F6" w:rsidR="00CB48CC" w:rsidRPr="000B66BC" w:rsidRDefault="006F5F1F" w:rsidP="000B66BC">
            <w:pPr>
              <w:pStyle w:val="BodyText1"/>
              <w:spacing w:after="240" w:line="240" w:lineRule="auto"/>
              <w:rPr>
                <w:rFonts w:ascii="Times New Roman" w:hAnsi="Times New Roman"/>
                <w:bCs/>
                <w:sz w:val="24"/>
                <w:szCs w:val="24"/>
              </w:rPr>
            </w:pPr>
            <w:r>
              <w:rPr>
                <w:rFonts w:ascii="Times New Roman" w:hAnsi="Times New Roman"/>
                <w:sz w:val="24"/>
                <w:szCs w:val="24"/>
              </w:rPr>
              <w:t>Член 429а, параграф 1, буква б) и член 499, параграф 1, буква а) от РКИ</w:t>
            </w:r>
          </w:p>
          <w:p w14:paraId="1C7AD92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Тук се включват всички корекции по отношение на стойността на даден актив, изисквани по:</w:t>
            </w:r>
          </w:p>
          <w:p w14:paraId="2FE9C127" w14:textId="455E590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членове 32—35 от РКИ, или </w:t>
            </w:r>
          </w:p>
          <w:p w14:paraId="35A3C50B" w14:textId="4F89203A"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 xml:space="preserve">членове 36—47 от РКИ, или </w:t>
            </w:r>
          </w:p>
          <w:p w14:paraId="66CB0299" w14:textId="34D60510" w:rsidR="00CB48CC" w:rsidRPr="000B66BC" w:rsidRDefault="00CB48CC" w:rsidP="000B66BC">
            <w:pPr>
              <w:pStyle w:val="BodyText1"/>
              <w:spacing w:after="240" w:line="240" w:lineRule="auto"/>
              <w:ind w:left="72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членове 56—60 от РКИ,</w:t>
            </w:r>
          </w:p>
          <w:p w14:paraId="152F8BFD"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както е приложимо.</w:t>
            </w:r>
          </w:p>
          <w:p w14:paraId="730A3940" w14:textId="2AFA1AF4" w:rsidR="00D9327B"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Освен дерогацията, предвидена в десета част, дял I, глава 1, 2 и 4 от РКИ, институциите взимат предвид и изключенията, алтернативните подходи и освобождаванията по отношение на такива приспадания, предвидени в членове 48, 49 и 79 от РКИ. За да се избегне двойното отчитане, при изчисляване на стойността на експозицията в {0010;0010} — {0267;0010} институциите не докладват корекциите, които вече са били приложени по силата на член 111 от РКИ, нито тези, които не водят до намаляване на стойността на определен актив.</w:t>
            </w:r>
          </w:p>
          <w:p w14:paraId="33460AF9" w14:textId="77777777"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Тъй като тези стойности са вече приспаднати от мярката за капитала, те водят до намаляване на експозицията с оглед на отношението на ливъридж и се докладват като отрицателно число.</w:t>
            </w:r>
          </w:p>
          <w:p w14:paraId="5A75B235" w14:textId="38C4EC5D" w:rsidR="00CB48CC" w:rsidRPr="000B66BC" w:rsidRDefault="00D9327B" w:rsidP="000B66BC">
            <w:pPr>
              <w:pStyle w:val="BodyText1"/>
              <w:spacing w:after="240" w:line="240" w:lineRule="auto"/>
              <w:rPr>
                <w:rFonts w:ascii="Times New Roman" w:hAnsi="Times New Roman"/>
                <w:b/>
                <w:bCs/>
                <w:sz w:val="24"/>
                <w:szCs w:val="24"/>
              </w:rPr>
            </w:pPr>
            <w:r>
              <w:rPr>
                <w:rFonts w:ascii="Times New Roman" w:hAnsi="Times New Roman"/>
                <w:sz w:val="24"/>
                <w:szCs w:val="24"/>
              </w:rPr>
              <w:t>Освен това институциите докладват в този ред като положителна стойност сумите, които следва да се добавят обратно към мярката за експозиция с оглед на отношението на ливъридж в съответствие с член 473а, параграф 7 и член 473а, параграф 7а от РКИ.</w:t>
            </w:r>
          </w:p>
        </w:tc>
      </w:tr>
      <w:tr w:rsidR="00CB48CC" w:rsidRPr="00E75BB8" w14:paraId="2854FA96" w14:textId="77777777" w:rsidTr="00E1595A">
        <w:trPr>
          <w:trHeight w:val="304"/>
        </w:trPr>
        <w:tc>
          <w:tcPr>
            <w:tcW w:w="1531" w:type="dxa"/>
            <w:tcBorders>
              <w:bottom w:val="single" w:sz="4" w:space="0" w:color="auto"/>
            </w:tcBorders>
          </w:tcPr>
          <w:p w14:paraId="4375AA27" w14:textId="5FEC739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{0290;0010}</w:t>
            </w:r>
          </w:p>
          <w:p w14:paraId="140D82B2"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655BA90C" w14:textId="6C419506"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Мярка за общата експозиция с оглед на отношението на ливъридж — при използване на „окончателно“ определение на капитал от първи ред</w:t>
            </w:r>
          </w:p>
          <w:p w14:paraId="18A90C99" w14:textId="73B21DC6" w:rsidR="00CB48CC" w:rsidRPr="000B66BC" w:rsidRDefault="0026270F"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Институциите докладват сбора от всички редове от 0010 до 0267 и ред 0270.</w:t>
            </w:r>
          </w:p>
        </w:tc>
      </w:tr>
      <w:tr w:rsidR="00CB48CC" w:rsidRPr="00E75BB8" w14:paraId="16865D6C" w14:textId="77777777" w:rsidTr="00E1595A">
        <w:trPr>
          <w:trHeight w:val="304"/>
        </w:trPr>
        <w:tc>
          <w:tcPr>
            <w:tcW w:w="1531" w:type="dxa"/>
            <w:tcBorders>
              <w:bottom w:val="single" w:sz="4" w:space="0" w:color="auto"/>
            </w:tcBorders>
          </w:tcPr>
          <w:p w14:paraId="5F1E1E63" w14:textId="6C4A4D9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{0300;0010}</w:t>
            </w:r>
          </w:p>
          <w:p w14:paraId="2180AA43"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Borders>
              <w:bottom w:val="single" w:sz="4" w:space="0" w:color="auto"/>
            </w:tcBorders>
          </w:tcPr>
          <w:p w14:paraId="762C2DC4" w14:textId="132D1D7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Мярка за общата експозиция с оглед на отношението на ливъридж — при използване на „преходно“ определение на капитал от първи ред</w:t>
            </w:r>
          </w:p>
          <w:p w14:paraId="247E260C" w14:textId="44CFD3F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Институциите докладват сбора от всички редове от 0010 до 0267 и ред 0280.</w:t>
            </w:r>
          </w:p>
        </w:tc>
      </w:tr>
      <w:tr w:rsidR="00CB48CC" w:rsidRPr="00E75BB8" w14:paraId="25B9F129" w14:textId="77777777" w:rsidTr="00E1595A">
        <w:trPr>
          <w:trHeight w:val="304"/>
        </w:trPr>
        <w:tc>
          <w:tcPr>
            <w:tcW w:w="1531" w:type="dxa"/>
            <w:shd w:val="pct25" w:color="auto" w:fill="auto"/>
          </w:tcPr>
          <w:p w14:paraId="069EB129" w14:textId="740388FD"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szCs w:val="24"/>
              </w:rPr>
              <w:t>Ред и колона</w:t>
            </w:r>
          </w:p>
        </w:tc>
        <w:tc>
          <w:tcPr>
            <w:tcW w:w="7590" w:type="dxa"/>
            <w:gridSpan w:val="3"/>
            <w:shd w:val="pct25" w:color="auto" w:fill="auto"/>
          </w:tcPr>
          <w:p w14:paraId="10FF1AF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Капитал </w:t>
            </w:r>
          </w:p>
        </w:tc>
      </w:tr>
      <w:tr w:rsidR="00CB48CC" w:rsidRPr="00E75BB8" w14:paraId="448FE1D7" w14:textId="77777777" w:rsidTr="00E1595A">
        <w:trPr>
          <w:trHeight w:val="304"/>
        </w:trPr>
        <w:tc>
          <w:tcPr>
            <w:tcW w:w="1531" w:type="dxa"/>
          </w:tcPr>
          <w:p w14:paraId="696588A9" w14:textId="3F9C3A82"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{0310;0010}</w:t>
            </w:r>
          </w:p>
          <w:p w14:paraId="7738A245"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2F0EFDF6" w14:textId="46AB3F15"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Капитал от първи ред — „окончателно“ определение</w:t>
            </w:r>
          </w:p>
          <w:p w14:paraId="6D31890D" w14:textId="5223FA9F"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 параграф 3 и член 499, параграф 1, буква а) от РКИ</w:t>
            </w:r>
          </w:p>
          <w:p w14:paraId="49E3D5DA" w14:textId="329FD522"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Това е размерът на капитала от първи ред, изчислен в съответствие с член 25 от РКИ, без да се взема предвид дерогацията, предвидена в десета част, дял I, глави 1, 2 и 4 от РКИ.</w:t>
            </w:r>
          </w:p>
        </w:tc>
      </w:tr>
      <w:tr w:rsidR="00CB48CC" w:rsidRPr="00E75BB8" w14:paraId="2B054486" w14:textId="77777777" w:rsidTr="00E1595A">
        <w:trPr>
          <w:trHeight w:val="304"/>
        </w:trPr>
        <w:tc>
          <w:tcPr>
            <w:tcW w:w="1531" w:type="dxa"/>
          </w:tcPr>
          <w:p w14:paraId="5ED7C02F" w14:textId="7A8D781A"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{0320;0010}</w:t>
            </w:r>
          </w:p>
          <w:p w14:paraId="15F4A511" w14:textId="77777777" w:rsidR="00CB48CC" w:rsidRPr="000B66BC" w:rsidRDefault="00CB48CC" w:rsidP="000B66BC">
            <w:pPr>
              <w:pStyle w:val="BodyText1"/>
              <w:spacing w:after="240"/>
              <w:rPr>
                <w:rFonts w:ascii="Times New Roman" w:hAnsi="Times New Roman"/>
                <w:bCs/>
                <w:sz w:val="24"/>
                <w:szCs w:val="24"/>
              </w:rPr>
            </w:pPr>
          </w:p>
        </w:tc>
        <w:tc>
          <w:tcPr>
            <w:tcW w:w="7590" w:type="dxa"/>
            <w:gridSpan w:val="3"/>
          </w:tcPr>
          <w:p w14:paraId="656D366B"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Капитал от първи ред – „преходно“ определение</w:t>
            </w:r>
          </w:p>
          <w:p w14:paraId="5041E493" w14:textId="204565F9"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 параграф 3 и член 499, параграф 1, буква б) от РКИ</w:t>
            </w:r>
          </w:p>
          <w:p w14:paraId="3270C368" w14:textId="06319C94" w:rsidR="00CB48CC" w:rsidRPr="000B66BC" w:rsidRDefault="00CB48CC" w:rsidP="00B70EBF">
            <w:pPr>
              <w:pStyle w:val="BodyText1"/>
              <w:spacing w:after="240" w:line="240" w:lineRule="auto"/>
              <w:rPr>
                <w:rFonts w:ascii="Times New Roman" w:hAnsi="Times New Roman"/>
                <w:bCs/>
                <w:sz w:val="24"/>
                <w:szCs w:val="24"/>
              </w:rPr>
            </w:pPr>
            <w:r>
              <w:rPr>
                <w:rFonts w:ascii="Times New Roman" w:hAnsi="Times New Roman"/>
                <w:bCs/>
                <w:sz w:val="24"/>
                <w:szCs w:val="24"/>
              </w:rPr>
              <w:t>Това е размерът на капитала от първи ред, изчислен в съответствие с член 25 от РКИ, след като се взема предвид дерогацията, предвидена в десета част, дял I, глави 1, 2 и 4 от РКИ.</w:t>
            </w:r>
          </w:p>
        </w:tc>
      </w:tr>
      <w:tr w:rsidR="00CB48CC" w:rsidRPr="00E75BB8" w14:paraId="30D5612D" w14:textId="77777777" w:rsidTr="00E1595A">
        <w:trPr>
          <w:trHeight w:val="304"/>
        </w:trPr>
        <w:tc>
          <w:tcPr>
            <w:tcW w:w="1531" w:type="dxa"/>
            <w:shd w:val="clear" w:color="auto" w:fill="D9D9D9" w:themeFill="background1" w:themeFillShade="D9"/>
          </w:tcPr>
          <w:p w14:paraId="3E09CDC7" w14:textId="4222548E" w:rsidR="00CB48CC" w:rsidRPr="000B66BC" w:rsidRDefault="00CB48CC" w:rsidP="000B66BC">
            <w:pPr>
              <w:pStyle w:val="BodyText1"/>
              <w:spacing w:after="240"/>
              <w:rPr>
                <w:rFonts w:ascii="Times New Roman" w:hAnsi="Times New Roman"/>
                <w:b/>
                <w:bCs/>
                <w:sz w:val="24"/>
                <w:szCs w:val="24"/>
              </w:rPr>
            </w:pPr>
            <w:r>
              <w:rPr>
                <w:rFonts w:ascii="Times New Roman" w:hAnsi="Times New Roman"/>
                <w:b/>
                <w:sz w:val="24"/>
                <w:szCs w:val="24"/>
              </w:rPr>
              <w:t>Ред и колона</w:t>
            </w:r>
          </w:p>
        </w:tc>
        <w:tc>
          <w:tcPr>
            <w:tcW w:w="7590" w:type="dxa"/>
            <w:gridSpan w:val="3"/>
            <w:shd w:val="clear" w:color="auto" w:fill="D9D9D9" w:themeFill="background1" w:themeFillShade="D9"/>
          </w:tcPr>
          <w:p w14:paraId="19280F08"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Отношение на ливъридж</w:t>
            </w:r>
          </w:p>
        </w:tc>
      </w:tr>
      <w:tr w:rsidR="00CB48CC" w:rsidRPr="00E75BB8" w14:paraId="7E720607" w14:textId="77777777" w:rsidTr="00E1595A">
        <w:trPr>
          <w:trHeight w:val="304"/>
        </w:trPr>
        <w:tc>
          <w:tcPr>
            <w:tcW w:w="1531" w:type="dxa"/>
          </w:tcPr>
          <w:p w14:paraId="04FDC8D4" w14:textId="563122E7"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{0330;0010}</w:t>
            </w:r>
          </w:p>
        </w:tc>
        <w:tc>
          <w:tcPr>
            <w:tcW w:w="7590" w:type="dxa"/>
            <w:gridSpan w:val="3"/>
          </w:tcPr>
          <w:p w14:paraId="170E1973"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Отношение на ливъридж — при използване на „окончателното“ определение на капитал от първи ред</w:t>
            </w:r>
          </w:p>
          <w:p w14:paraId="14103416" w14:textId="56BA3CEA"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 параграф 2 и член 499, параграф 1 от РКИ</w:t>
            </w:r>
          </w:p>
          <w:p w14:paraId="13640073" w14:textId="1BB24A76" w:rsidR="00CB48CC"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Това е отношението на ливъридж, изчислено съгласно част II, параграф 4 от настоящото приложение.</w:t>
            </w:r>
          </w:p>
        </w:tc>
      </w:tr>
      <w:tr w:rsidR="00CB48CC" w:rsidRPr="00E75BB8" w14:paraId="58F7E1A1" w14:textId="77777777" w:rsidTr="00E1595A">
        <w:trPr>
          <w:trHeight w:val="304"/>
        </w:trPr>
        <w:tc>
          <w:tcPr>
            <w:tcW w:w="1531" w:type="dxa"/>
          </w:tcPr>
          <w:p w14:paraId="775E3AF8" w14:textId="15CC0D81"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lastRenderedPageBreak/>
              <w:t>{0340;0010}</w:t>
            </w:r>
          </w:p>
        </w:tc>
        <w:tc>
          <w:tcPr>
            <w:tcW w:w="7590" w:type="dxa"/>
            <w:gridSpan w:val="3"/>
          </w:tcPr>
          <w:p w14:paraId="750922D1"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Отношение на ливъридж — при използване на „преходното“ определение на капитал от първи ред</w:t>
            </w:r>
          </w:p>
          <w:p w14:paraId="26098DFB" w14:textId="7824BAFB" w:rsidR="00CB48CC" w:rsidRPr="000B66BC" w:rsidRDefault="00CB48CC"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429, параграф 2 и член 499, параграф 1 от РКИ</w:t>
            </w:r>
          </w:p>
          <w:p w14:paraId="173B4CA4" w14:textId="217771DE" w:rsidR="000A486B" w:rsidRPr="000B66BC" w:rsidRDefault="00CB48CC" w:rsidP="00B70EBF">
            <w:pPr>
              <w:pStyle w:val="BodyText1"/>
              <w:spacing w:after="240" w:line="240" w:lineRule="auto"/>
              <w:rPr>
                <w:rFonts w:ascii="Times New Roman" w:hAnsi="Times New Roman"/>
                <w:b/>
                <w:bCs/>
                <w:sz w:val="24"/>
                <w:szCs w:val="24"/>
              </w:rPr>
            </w:pPr>
            <w:r>
              <w:rPr>
                <w:rFonts w:ascii="Times New Roman" w:hAnsi="Times New Roman"/>
                <w:sz w:val="24"/>
                <w:szCs w:val="24"/>
              </w:rPr>
              <w:t>Това е отношението на ливъридж, изчислено съгласно част II, параграф 5 от настоящото приложение.</w:t>
            </w:r>
          </w:p>
        </w:tc>
      </w:tr>
      <w:tr w:rsidR="00CB48CC" w:rsidRPr="00E75BB8" w14:paraId="39DF531E"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4F4CF2" w14:textId="395C0A79" w:rsidR="00CB48CC" w:rsidRPr="000B66BC" w:rsidRDefault="00CB48CC" w:rsidP="000B66BC">
            <w:pPr>
              <w:pStyle w:val="BodyText1"/>
              <w:spacing w:after="240"/>
              <w:rPr>
                <w:rFonts w:ascii="Times New Roman" w:hAnsi="Times New Roman"/>
                <w:bCs/>
                <w:sz w:val="24"/>
                <w:szCs w:val="24"/>
              </w:rPr>
            </w:pPr>
            <w:r>
              <w:rPr>
                <w:rFonts w:ascii="Times New Roman" w:hAnsi="Times New Roman"/>
                <w:b/>
                <w:bCs/>
                <w:sz w:val="24"/>
                <w:szCs w:val="24"/>
              </w:rPr>
              <w:t>Ред и колона</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47A705" w14:textId="77777777" w:rsidR="00CB48CC" w:rsidRPr="000B66BC" w:rsidRDefault="00CB48CC"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Изисквания: суми</w:t>
            </w:r>
          </w:p>
        </w:tc>
      </w:tr>
      <w:tr w:rsidR="00E36E71" w:rsidRPr="00E75BB8" w14:paraId="49D3F11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478479BE" w14:textId="15CB4911"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3F51A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Изискване по стълб 2 (ИС2) с оглед на рисковете от прекомерен ливъридж</w:t>
            </w:r>
          </w:p>
          <w:p w14:paraId="52420558" w14:textId="1AD55706" w:rsidR="00E36E71" w:rsidRPr="000B66BC" w:rsidRDefault="008B096D" w:rsidP="00B70EBF">
            <w:pPr>
              <w:pStyle w:val="BodyText1"/>
              <w:spacing w:after="240" w:line="240" w:lineRule="auto"/>
              <w:rPr>
                <w:rFonts w:ascii="Times New Roman" w:hAnsi="Times New Roman"/>
                <w:b/>
                <w:color w:val="auto"/>
                <w:sz w:val="24"/>
                <w:szCs w:val="24"/>
              </w:rPr>
            </w:pPr>
            <w:r>
              <w:rPr>
                <w:rFonts w:ascii="Times New Roman" w:hAnsi="Times New Roman"/>
                <w:bCs/>
                <w:sz w:val="24"/>
                <w:szCs w:val="24"/>
              </w:rPr>
              <w:t xml:space="preserve">Членове 104 и 104а от РКИ </w:t>
            </w:r>
            <w:r>
              <w:rPr>
                <w:rFonts w:ascii="Times New Roman" w:hAnsi="Times New Roman"/>
                <w:sz w:val="24"/>
                <w:szCs w:val="24"/>
              </w:rPr>
              <w:t>Допълнителните собствени средства, изисквани от компетентния орган с оглед на рисковете от прекомерен ливъридж съгласното посоченото в член 104 от ДКИ</w:t>
            </w:r>
          </w:p>
        </w:tc>
      </w:tr>
      <w:tr w:rsidR="00E36E71" w:rsidRPr="00E75BB8" w14:paraId="5E2FEE3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62D3C276" w14:textId="64F853EC"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2A6845DE" w14:textId="659EEC38"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в т.ч.: въз основа на базовия собствен капитал от първи ред</w:t>
            </w:r>
          </w:p>
          <w:p w14:paraId="118609BA" w14:textId="66E6068C" w:rsidR="008E21B3"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Частта от ИС2, посочено в ред 0350, която компетентният орган изисква да бъде налице под формата на базов собствен капитал от първи ред.</w:t>
            </w:r>
          </w:p>
        </w:tc>
      </w:tr>
      <w:tr w:rsidR="00E36E71" w:rsidRPr="00E75BB8" w14:paraId="050776B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C554369" w14:textId="61BE47AC"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60019DE4" w14:textId="4DD14E6A" w:rsidR="008E21B3"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Буфер на отношението на ливъридж за Г-СЗИ</w:t>
            </w:r>
          </w:p>
          <w:p w14:paraId="2DF708A7" w14:textId="0B222937" w:rsidR="008E21B3" w:rsidRPr="000B66BC" w:rsidRDefault="008E21B3" w:rsidP="000B66BC">
            <w:pPr>
              <w:pStyle w:val="BodyText1"/>
              <w:spacing w:after="240" w:line="240" w:lineRule="auto"/>
              <w:rPr>
                <w:rFonts w:ascii="Times New Roman" w:hAnsi="Times New Roman"/>
                <w:b/>
                <w:bCs/>
                <w:color w:val="auto"/>
                <w:sz w:val="24"/>
                <w:szCs w:val="24"/>
              </w:rPr>
            </w:pPr>
            <w:r>
              <w:rPr>
                <w:rFonts w:ascii="Times New Roman" w:hAnsi="Times New Roman"/>
                <w:bCs/>
                <w:sz w:val="24"/>
                <w:szCs w:val="24"/>
              </w:rPr>
              <w:t>Член 92, параграф 1а от РКИ</w:t>
            </w:r>
          </w:p>
          <w:p w14:paraId="04DDCD79" w14:textId="1E39E84B" w:rsidR="008E21B3" w:rsidRPr="000B66BC" w:rsidRDefault="00B70EBF"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Г-СЗИ докладват стойността на добавката за Г-СЗИ за отношението на ливъридж, определена в съответствие с член 92, параграф 1а от РКИ.</w:t>
            </w:r>
          </w:p>
          <w:p w14:paraId="10B82F9E" w14:textId="4585213B" w:rsidR="00E36E71" w:rsidRPr="000B66BC" w:rsidRDefault="008E21B3" w:rsidP="000B66BC">
            <w:pPr>
              <w:pStyle w:val="BodyText1"/>
              <w:spacing w:after="240"/>
              <w:rPr>
                <w:rFonts w:ascii="Times New Roman" w:hAnsi="Times New Roman"/>
                <w:b/>
                <w:color w:val="auto"/>
                <w:sz w:val="24"/>
                <w:szCs w:val="24"/>
              </w:rPr>
            </w:pPr>
            <w:r>
              <w:rPr>
                <w:rFonts w:ascii="Times New Roman" w:hAnsi="Times New Roman"/>
                <w:bCs/>
                <w:color w:val="auto"/>
                <w:sz w:val="24"/>
                <w:szCs w:val="24"/>
              </w:rPr>
              <w:t>Г-СЗИ докладват тази стойност към датата на прилагане на буфера съгласно РКИ.</w:t>
            </w:r>
          </w:p>
        </w:tc>
      </w:tr>
      <w:tr w:rsidR="00E36E71" w:rsidRPr="00E75BB8" w14:paraId="756B6F5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A626523" w14:textId="5BD07284"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BCE9F97"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Насоки по стълб 2 (НС2) с оглед на рисковете от прекомерен ливъридж</w:t>
            </w:r>
          </w:p>
          <w:p w14:paraId="0B3B1A45" w14:textId="1A1C051A" w:rsidR="00E36E71" w:rsidRPr="000B66BC" w:rsidRDefault="008E21B3"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Член 104б от РКИ; допълнителните собствени средства, за които компетентният орган е съобщил с оглед на рисковете от прекомерен ливъридж съгласното посоченото в член 104б от ДКИ.</w:t>
            </w:r>
          </w:p>
        </w:tc>
      </w:tr>
      <w:tr w:rsidR="00E36E71" w:rsidRPr="00E75BB8" w14:paraId="5FB7C0D6"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59BC8EE" w14:textId="66C61468"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{0390;0010}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4782868"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в т.ч.: въз основа на базовия собствен капитал от първи ред</w:t>
            </w:r>
          </w:p>
          <w:p w14:paraId="3318F690" w14:textId="590855DB"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Частта от НС2, посочени в ред 0380, която компетентният орган изисква да бъде налице под формата на базов собствен капитал от първи ред.</w:t>
            </w:r>
          </w:p>
        </w:tc>
      </w:tr>
      <w:tr w:rsidR="00E36E71" w:rsidRPr="00E75BB8" w14:paraId="65AB50BB"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76DB95F" w14:textId="0B1F3FB1"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{0400;0010}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6461BE" w14:textId="2AF2CC4F" w:rsidR="00FB31D6" w:rsidRPr="000B66BC" w:rsidRDefault="00E36E71" w:rsidP="000B66BC">
            <w:pPr>
              <w:pStyle w:val="BodyText1"/>
              <w:spacing w:after="240" w:line="240" w:lineRule="auto"/>
              <w:rPr>
                <w:rFonts w:ascii="Times New Roman" w:hAnsi="Times New Roman"/>
                <w:color w:val="auto"/>
                <w:sz w:val="24"/>
                <w:szCs w:val="24"/>
              </w:rPr>
            </w:pPr>
            <w:r>
              <w:rPr>
                <w:rFonts w:ascii="Times New Roman" w:hAnsi="Times New Roman"/>
                <w:b/>
                <w:color w:val="auto"/>
                <w:sz w:val="24"/>
                <w:szCs w:val="24"/>
              </w:rPr>
              <w:t>в т.ч.: въз основа на капитала от първи ред</w:t>
            </w:r>
          </w:p>
          <w:p w14:paraId="69A1223C" w14:textId="5FB61961" w:rsidR="00E36E71" w:rsidRPr="000B66BC" w:rsidRDefault="00FB31D6"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lastRenderedPageBreak/>
              <w:t>Частта от НС2, посочени в ред 0380, която компетентният орган изисква да бъде налице под формата на капитал от първи ред.</w:t>
            </w:r>
          </w:p>
        </w:tc>
      </w:tr>
      <w:tr w:rsidR="00E36E71" w:rsidRPr="00E75BB8" w14:paraId="0EAD8BE9"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A6857C" w14:textId="480AB7BD" w:rsidR="00E36E71" w:rsidRPr="000B66BC" w:rsidRDefault="00E36E71" w:rsidP="000B66BC">
            <w:pPr>
              <w:pStyle w:val="BodyText1"/>
              <w:spacing w:after="240"/>
              <w:rPr>
                <w:rFonts w:ascii="Times New Roman" w:hAnsi="Times New Roman"/>
                <w:b/>
                <w:bCs/>
                <w:sz w:val="24"/>
                <w:szCs w:val="24"/>
              </w:rPr>
            </w:pPr>
            <w:r>
              <w:rPr>
                <w:rFonts w:ascii="Times New Roman" w:hAnsi="Times New Roman"/>
                <w:b/>
                <w:bCs/>
                <w:sz w:val="24"/>
                <w:szCs w:val="24"/>
              </w:rPr>
              <w:lastRenderedPageBreak/>
              <w:t>Ред и колона</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5B8FEE"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bCs/>
                <w:sz w:val="24"/>
                <w:szCs w:val="24"/>
              </w:rPr>
              <w:t>Изисквания: отношения</w:t>
            </w:r>
          </w:p>
        </w:tc>
      </w:tr>
      <w:tr w:rsidR="00CB48CC" w:rsidRPr="00E75BB8" w14:paraId="297BFBE3"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32DD133B" w14:textId="17E35BDE" w:rsidR="00CB48CC" w:rsidRPr="000B66BC" w:rsidRDefault="00CB48CC" w:rsidP="000B66BC">
            <w:pPr>
              <w:pStyle w:val="BodyText1"/>
              <w:spacing w:after="240"/>
              <w:rPr>
                <w:rFonts w:ascii="Times New Roman" w:hAnsi="Times New Roman"/>
                <w:bCs/>
                <w:sz w:val="24"/>
                <w:szCs w:val="24"/>
              </w:rPr>
            </w:pPr>
            <w:r>
              <w:rPr>
                <w:rFonts w:ascii="Times New Roman" w:hAnsi="Times New Roman"/>
                <w:bCs/>
                <w:sz w:val="24"/>
                <w:szCs w:val="24"/>
              </w:rPr>
              <w:t>{0410;0010}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CC2B3A5" w14:textId="5E37AED7" w:rsidR="00CB48CC" w:rsidRPr="000B66BC" w:rsidRDefault="00E36E71" w:rsidP="000B66BC">
            <w:pPr>
              <w:pStyle w:val="BodyText1"/>
              <w:spacing w:after="240" w:line="240" w:lineRule="auto"/>
              <w:rPr>
                <w:rFonts w:ascii="Times New Roman" w:hAnsi="Times New Roman"/>
                <w:b/>
                <w:bCs/>
                <w:color w:val="auto"/>
                <w:sz w:val="24"/>
                <w:szCs w:val="24"/>
              </w:rPr>
            </w:pPr>
            <w:r>
              <w:rPr>
                <w:rFonts w:ascii="Times New Roman" w:hAnsi="Times New Roman"/>
                <w:b/>
                <w:color w:val="auto"/>
                <w:sz w:val="24"/>
                <w:szCs w:val="24"/>
              </w:rPr>
              <w:t xml:space="preserve">Изискване относно отношението на ливъридж по първи стълб </w:t>
            </w:r>
          </w:p>
          <w:p w14:paraId="75955E40" w14:textId="22BA171D" w:rsidR="00B70EBF" w:rsidRDefault="006F5F1F" w:rsidP="00B70EBF">
            <w:pPr>
              <w:pStyle w:val="BodyText1"/>
              <w:spacing w:after="240" w:line="240" w:lineRule="auto"/>
              <w:rPr>
                <w:rFonts w:ascii="Times New Roman" w:hAnsi="Times New Roman"/>
                <w:bCs/>
                <w:color w:val="auto"/>
                <w:sz w:val="24"/>
                <w:szCs w:val="24"/>
              </w:rPr>
            </w:pPr>
            <w:r>
              <w:rPr>
                <w:rFonts w:ascii="Times New Roman" w:hAnsi="Times New Roman"/>
                <w:bCs/>
                <w:sz w:val="24"/>
                <w:szCs w:val="24"/>
              </w:rPr>
              <w:t>Член 92, параграф 1, буква г), член 429а, параграф 7 и член 429а, параграф 1, буква н) от РКИ; отношението на ливъридж, необходимо за преодоляване на рисковете от прекомерен ливъридж, както е посочено в член 92, параграф 1, буква г) от РКИ.</w:t>
            </w:r>
          </w:p>
          <w:p w14:paraId="2ACA2F0E" w14:textId="548B0D98" w:rsidR="00CB48CC" w:rsidRPr="000B66BC" w:rsidRDefault="00FB31D6" w:rsidP="00B70EBF">
            <w:pPr>
              <w:pStyle w:val="BodyText1"/>
              <w:spacing w:after="240" w:line="240" w:lineRule="auto"/>
              <w:rPr>
                <w:rFonts w:ascii="Times New Roman" w:hAnsi="Times New Roman"/>
                <w:b/>
                <w:bCs/>
                <w:color w:val="auto"/>
                <w:sz w:val="24"/>
                <w:szCs w:val="24"/>
              </w:rPr>
            </w:pPr>
            <w:r>
              <w:rPr>
                <w:rFonts w:ascii="Times New Roman" w:hAnsi="Times New Roman"/>
                <w:sz w:val="24"/>
                <w:szCs w:val="24"/>
              </w:rPr>
              <w:t>Институциите, които изключват експозиции към централната банка на институцията, както е посочено в член 429а, параграф 1, буква н), докладват изискването за коригираното отношение на ливъридж съгласно член 429а, параграф 7 от РКИ.</w:t>
            </w:r>
          </w:p>
        </w:tc>
      </w:tr>
      <w:tr w:rsidR="00E36E71" w:rsidRPr="00E75BB8" w14:paraId="18E64DF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147AF81A" w14:textId="0848022F"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{0420;0010}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C8CBF9B"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Общо изискване относно отношението на ливъридж по ПНПО (ОИОЛ)</w:t>
            </w:r>
          </w:p>
          <w:p w14:paraId="58E6C4BD" w14:textId="29BB005C" w:rsidR="00FB31D6"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Членове 104 и 104а от РКИ</w:t>
            </w:r>
          </w:p>
          <w:p w14:paraId="010497B2" w14:textId="77777777" w:rsidR="00FB31D6" w:rsidRPr="000B66BC" w:rsidRDefault="00FB31D6" w:rsidP="000B66BC">
            <w:pPr>
              <w:pStyle w:val="BodyText1"/>
              <w:spacing w:after="240" w:line="240" w:lineRule="auto"/>
              <w:rPr>
                <w:rFonts w:ascii="Times New Roman" w:hAnsi="Times New Roman"/>
                <w:bCs/>
                <w:sz w:val="24"/>
                <w:szCs w:val="24"/>
              </w:rPr>
            </w:pPr>
            <w:r>
              <w:rPr>
                <w:rFonts w:ascii="Times New Roman" w:hAnsi="Times New Roman"/>
                <w:bCs/>
                <w:sz w:val="24"/>
                <w:szCs w:val="24"/>
              </w:rPr>
              <w:t>Сборът на i) и ii), както следва:</w:t>
            </w:r>
          </w:p>
          <w:p w14:paraId="2BCF2D92" w14:textId="4D8870D5" w:rsidR="00FB31D6" w:rsidRPr="000B66BC" w:rsidRDefault="00FB31D6" w:rsidP="000B66BC">
            <w:pPr>
              <w:pStyle w:val="BodyText1"/>
              <w:numPr>
                <w:ilvl w:val="0"/>
                <w:numId w:val="27"/>
              </w:numPr>
              <w:spacing w:after="240" w:line="240" w:lineRule="auto"/>
              <w:rPr>
                <w:rFonts w:ascii="Times New Roman" w:hAnsi="Times New Roman"/>
                <w:bCs/>
                <w:sz w:val="24"/>
                <w:szCs w:val="24"/>
              </w:rPr>
            </w:pPr>
            <w:r>
              <w:rPr>
                <w:rFonts w:ascii="Times New Roman" w:hAnsi="Times New Roman"/>
                <w:bCs/>
                <w:sz w:val="24"/>
                <w:szCs w:val="24"/>
              </w:rPr>
              <w:t>изискването относно отношението на ливъридж по първи стълб, докладвано в ред 0410;</w:t>
            </w:r>
          </w:p>
          <w:p w14:paraId="4613F532" w14:textId="0609A36A" w:rsidR="00FB31D6" w:rsidRPr="000B66BC" w:rsidRDefault="00FB31D6" w:rsidP="000B66BC">
            <w:pPr>
              <w:pStyle w:val="BodyText1"/>
              <w:numPr>
                <w:ilvl w:val="0"/>
                <w:numId w:val="27"/>
              </w:numPr>
              <w:spacing w:after="240" w:line="240" w:lineRule="auto"/>
              <w:rPr>
                <w:rFonts w:ascii="Times New Roman" w:hAnsi="Times New Roman"/>
                <w:b/>
                <w:color w:val="auto"/>
                <w:sz w:val="24"/>
                <w:szCs w:val="24"/>
              </w:rPr>
            </w:pPr>
            <w:r>
              <w:rPr>
                <w:rFonts w:ascii="Times New Roman" w:hAnsi="Times New Roman"/>
                <w:sz w:val="24"/>
                <w:szCs w:val="24"/>
              </w:rPr>
              <w:t>отношението на допълнителните собствени средства, изисквани от компетентния орган (ИС2) с оглед на рисковете от прекомерен ливъридж съгласното посоченото в член 104 от ДКИ</w:t>
            </w:r>
          </w:p>
          <w:p w14:paraId="4F1A1488" w14:textId="77777777" w:rsidR="00B70EBF" w:rsidRDefault="00780634" w:rsidP="00B70EBF">
            <w:pPr>
              <w:pStyle w:val="BodyText1"/>
              <w:spacing w:after="240" w:line="240" w:lineRule="auto"/>
              <w:rPr>
                <w:rFonts w:ascii="Times New Roman" w:hAnsi="Times New Roman"/>
                <w:color w:val="auto"/>
                <w:sz w:val="24"/>
                <w:szCs w:val="24"/>
              </w:rPr>
            </w:pPr>
            <w:r>
              <w:rPr>
                <w:rFonts w:ascii="Times New Roman" w:hAnsi="Times New Roman"/>
                <w:sz w:val="24"/>
                <w:szCs w:val="24"/>
              </w:rPr>
              <w:t>Институциите изчисляват подточка ii), като разделят стойността в {0350;0010} с тази в {0300;0010}.</w:t>
            </w:r>
            <w:r>
              <w:rPr>
                <w:rFonts w:ascii="Times New Roman" w:hAnsi="Times New Roman"/>
                <w:color w:val="auto"/>
                <w:sz w:val="24"/>
                <w:szCs w:val="24"/>
              </w:rPr>
              <w:t xml:space="preserve"> </w:t>
            </w:r>
          </w:p>
          <w:p w14:paraId="128BD13A" w14:textId="3F8F4801" w:rsidR="00FB31D6"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Ако компетентният орган не е съобщил допълнителни капиталови изисквания, се докладва само компонент i).</w:t>
            </w:r>
          </w:p>
        </w:tc>
      </w:tr>
      <w:tr w:rsidR="00E36E71" w:rsidRPr="00E75BB8" w14:paraId="0482CAD5"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56493FBD" w14:textId="065D7838"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{0430;0010}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531F150B"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ОИОЛ: въз основа на базовия собствен капитал от първи ред</w:t>
            </w:r>
          </w:p>
          <w:p w14:paraId="7473B81A" w14:textId="78011C71" w:rsidR="00780634" w:rsidRPr="000B66BC" w:rsidRDefault="00A0709E"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Частта от отношението на допълнителните собствени средства, посочено в ред 0420, подточка ii), което компетентният орган изисква да бъде налице под формата на базов собствен капитал от първи ред.</w:t>
            </w:r>
          </w:p>
          <w:p w14:paraId="17146566" w14:textId="4E043C22" w:rsidR="00E36E71" w:rsidRPr="000B66BC" w:rsidRDefault="00780634" w:rsidP="000B66BC">
            <w:pPr>
              <w:pStyle w:val="BodyText1"/>
              <w:spacing w:after="240" w:line="240" w:lineRule="auto"/>
              <w:rPr>
                <w:rFonts w:ascii="Times New Roman" w:hAnsi="Times New Roman"/>
                <w:b/>
                <w:color w:val="auto"/>
                <w:sz w:val="24"/>
                <w:szCs w:val="24"/>
              </w:rPr>
            </w:pPr>
            <w:r>
              <w:rPr>
                <w:rFonts w:ascii="Times New Roman" w:hAnsi="Times New Roman"/>
                <w:sz w:val="24"/>
                <w:szCs w:val="24"/>
              </w:rPr>
              <w:t>Институциите изчисляват тази стойност, като разделят стойността в {0360;0010} с тази в {0300;0010}.</w:t>
            </w:r>
          </w:p>
        </w:tc>
      </w:tr>
      <w:tr w:rsidR="00E36E71" w:rsidRPr="00E75BB8" w14:paraId="769316AF"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1E4C5FF" w14:textId="7241185F" w:rsidR="00E36E71" w:rsidRPr="000B66BC" w:rsidRDefault="00E36E71" w:rsidP="000B66BC">
            <w:pPr>
              <w:pStyle w:val="BodyText1"/>
              <w:spacing w:after="240"/>
              <w:rPr>
                <w:rFonts w:ascii="Times New Roman" w:hAnsi="Times New Roman"/>
                <w:bCs/>
                <w:sz w:val="24"/>
                <w:szCs w:val="24"/>
              </w:rPr>
            </w:pPr>
            <w:r>
              <w:rPr>
                <w:rFonts w:ascii="Times New Roman" w:hAnsi="Times New Roman"/>
                <w:bCs/>
                <w:sz w:val="24"/>
                <w:szCs w:val="24"/>
              </w:rPr>
              <w:t>{0440;0010}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08C666F" w14:textId="77777777" w:rsidR="00E36E71" w:rsidRPr="000B66BC" w:rsidRDefault="00E36E7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Съвкупно изискване относно отношението на ливъридж (СИОЛ)</w:t>
            </w:r>
          </w:p>
          <w:p w14:paraId="42BE8CD3" w14:textId="1383D3D9"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Член 92, параграф 1а от РКИ</w:t>
            </w:r>
          </w:p>
          <w:p w14:paraId="1BB646F8" w14:textId="77777777"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Сборът на i) и ii), както следва:</w:t>
            </w:r>
          </w:p>
          <w:p w14:paraId="3ACD46ED" w14:textId="4650EB7F"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bCs/>
                <w:color w:val="auto"/>
                <w:sz w:val="24"/>
                <w:szCs w:val="24"/>
              </w:rPr>
              <w:t>ОИОЛ, посочено в ред 0420;</w:t>
            </w:r>
          </w:p>
          <w:p w14:paraId="7026B9BA" w14:textId="6D50CC87" w:rsidR="00136A9C" w:rsidRPr="000B66BC" w:rsidRDefault="00136A9C" w:rsidP="000B66BC">
            <w:pPr>
              <w:pStyle w:val="BodyText1"/>
              <w:numPr>
                <w:ilvl w:val="0"/>
                <w:numId w:val="28"/>
              </w:numPr>
              <w:spacing w:after="240"/>
              <w:rPr>
                <w:rFonts w:ascii="Times New Roman" w:hAnsi="Times New Roman"/>
                <w:bCs/>
                <w:color w:val="auto"/>
                <w:sz w:val="24"/>
                <w:szCs w:val="24"/>
              </w:rPr>
            </w:pPr>
            <w:r>
              <w:rPr>
                <w:rFonts w:ascii="Times New Roman" w:hAnsi="Times New Roman"/>
                <w:color w:val="auto"/>
                <w:sz w:val="24"/>
                <w:szCs w:val="24"/>
              </w:rPr>
              <w:t>буфера на отношението на ливъридж за Г-СЗИ в съответствие с член 92, параграф 1а от РКИ, изразен като процент от общата експозиция с оглед на отношението на ливъридж.</w:t>
            </w:r>
          </w:p>
          <w:p w14:paraId="2D72E728" w14:textId="77777777" w:rsidR="00B70EBF" w:rsidRDefault="00B70EBF" w:rsidP="000B66BC">
            <w:pPr>
              <w:pStyle w:val="BodyText1"/>
              <w:spacing w:after="240"/>
              <w:rPr>
                <w:rFonts w:ascii="Times New Roman" w:hAnsi="Times New Roman"/>
                <w:bCs/>
                <w:sz w:val="24"/>
                <w:szCs w:val="24"/>
              </w:rPr>
            </w:pPr>
            <w:r>
              <w:rPr>
                <w:rFonts w:ascii="Times New Roman" w:hAnsi="Times New Roman"/>
                <w:sz w:val="24"/>
                <w:szCs w:val="24"/>
              </w:rPr>
              <w:t>Институциите изчисляват подточка ii), като разделят стойността в {0370;0010} с тази в {0300;0010}.</w:t>
            </w:r>
          </w:p>
          <w:p w14:paraId="341458F5" w14:textId="1339DA28" w:rsidR="00136A9C" w:rsidRPr="000B66BC" w:rsidRDefault="00136A9C"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Компонент ii) се взема предвид от Г-СЗИ само към датата на прилагане на буфера съгласно РКИ.</w:t>
            </w:r>
          </w:p>
          <w:p w14:paraId="0AEE6486" w14:textId="71BAF399" w:rsidR="00136A9C" w:rsidRPr="000B66BC" w:rsidRDefault="00136A9C" w:rsidP="00B70EBF">
            <w:pPr>
              <w:pStyle w:val="BodyText1"/>
              <w:spacing w:after="240" w:line="240" w:lineRule="auto"/>
              <w:rPr>
                <w:rFonts w:ascii="Times New Roman" w:hAnsi="Times New Roman"/>
                <w:b/>
                <w:color w:val="auto"/>
                <w:sz w:val="24"/>
                <w:szCs w:val="24"/>
              </w:rPr>
            </w:pPr>
            <w:r>
              <w:rPr>
                <w:rFonts w:ascii="Times New Roman" w:hAnsi="Times New Roman"/>
                <w:bCs/>
                <w:color w:val="auto"/>
                <w:sz w:val="24"/>
                <w:szCs w:val="24"/>
              </w:rPr>
              <w:t>Ако няма приложима добавка за Г-СЗИ, се докладва само компонент i).</w:t>
            </w:r>
          </w:p>
        </w:tc>
      </w:tr>
      <w:tr w:rsidR="00E36E71" w:rsidRPr="00E75BB8" w14:paraId="700506B4"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3DA25A6" w14:textId="7BC3EB01" w:rsidR="00E36E71" w:rsidRPr="000B66BC" w:rsidRDefault="00A0709E" w:rsidP="000B66BC">
            <w:pPr>
              <w:pStyle w:val="BodyText1"/>
              <w:spacing w:after="240"/>
              <w:rPr>
                <w:rFonts w:ascii="Times New Roman" w:hAnsi="Times New Roman"/>
                <w:bCs/>
                <w:sz w:val="24"/>
                <w:szCs w:val="24"/>
              </w:rPr>
            </w:pPr>
            <w:r>
              <w:rPr>
                <w:rFonts w:ascii="Times New Roman" w:hAnsi="Times New Roman"/>
                <w:bCs/>
                <w:sz w:val="24"/>
                <w:szCs w:val="24"/>
              </w:rPr>
              <w:lastRenderedPageBreak/>
              <w:t>{0450;0010}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39440973" w14:textId="44BB98C0" w:rsidR="00136A9C" w:rsidRPr="000B66BC" w:rsidRDefault="00E36E71" w:rsidP="000B66BC">
            <w:pPr>
              <w:pStyle w:val="BodyText1"/>
              <w:spacing w:after="240" w:line="240" w:lineRule="auto"/>
              <w:rPr>
                <w:rFonts w:ascii="Times New Roman" w:hAnsi="Times New Roman"/>
                <w:bCs/>
                <w:sz w:val="24"/>
                <w:szCs w:val="24"/>
              </w:rPr>
            </w:pPr>
            <w:r>
              <w:rPr>
                <w:rFonts w:ascii="Times New Roman" w:hAnsi="Times New Roman"/>
                <w:b/>
                <w:color w:val="auto"/>
                <w:sz w:val="24"/>
                <w:szCs w:val="24"/>
              </w:rPr>
              <w:t>Съвкупно изискване относно отношението на ливъридж (СИОЛ) и отношение съгласно насоките по стълб 2 (НС2)</w:t>
            </w:r>
          </w:p>
          <w:p w14:paraId="022B6350" w14:textId="029B6D58"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104б от РКИ</w:t>
            </w:r>
          </w:p>
          <w:p w14:paraId="358F5440" w14:textId="77777777" w:rsidR="00136A9C" w:rsidRPr="000B66BC" w:rsidRDefault="00136A9C" w:rsidP="000B66BC">
            <w:pPr>
              <w:pStyle w:val="BodyText1"/>
              <w:spacing w:after="240" w:line="240" w:lineRule="auto"/>
              <w:rPr>
                <w:rFonts w:ascii="Times New Roman" w:hAnsi="Times New Roman"/>
                <w:bCs/>
                <w:sz w:val="24"/>
                <w:szCs w:val="24"/>
              </w:rPr>
            </w:pPr>
            <w:r>
              <w:rPr>
                <w:rFonts w:ascii="Times New Roman" w:hAnsi="Times New Roman"/>
                <w:bCs/>
                <w:sz w:val="24"/>
                <w:szCs w:val="24"/>
              </w:rPr>
              <w:t>Сборът на i) и ii), както следва:</w:t>
            </w:r>
          </w:p>
          <w:p w14:paraId="4E42EACA" w14:textId="261B723C" w:rsidR="00136A9C" w:rsidRPr="000B66BC" w:rsidRDefault="00136A9C" w:rsidP="000B66BC">
            <w:pPr>
              <w:pStyle w:val="BodyText1"/>
              <w:numPr>
                <w:ilvl w:val="0"/>
                <w:numId w:val="29"/>
              </w:numPr>
              <w:spacing w:after="240" w:line="240" w:lineRule="auto"/>
              <w:rPr>
                <w:rFonts w:ascii="Times New Roman" w:hAnsi="Times New Roman"/>
                <w:color w:val="auto"/>
                <w:sz w:val="24"/>
                <w:szCs w:val="24"/>
              </w:rPr>
            </w:pPr>
            <w:r>
              <w:rPr>
                <w:rFonts w:ascii="Times New Roman" w:hAnsi="Times New Roman"/>
                <w:color w:val="auto"/>
                <w:sz w:val="24"/>
                <w:szCs w:val="24"/>
              </w:rPr>
              <w:t>СИОЛ, посочено в ред 0440;</w:t>
            </w:r>
          </w:p>
          <w:p w14:paraId="51B081D7" w14:textId="1FBE8C55" w:rsidR="00136A9C" w:rsidRPr="000B66BC" w:rsidRDefault="00136A9C" w:rsidP="000B66BC">
            <w:pPr>
              <w:pStyle w:val="BodyText1"/>
              <w:numPr>
                <w:ilvl w:val="0"/>
                <w:numId w:val="29"/>
              </w:numPr>
              <w:spacing w:after="240" w:line="240" w:lineRule="auto"/>
              <w:rPr>
                <w:rFonts w:ascii="Times New Roman" w:hAnsi="Times New Roman"/>
                <w:b/>
                <w:bCs/>
                <w:color w:val="auto"/>
                <w:sz w:val="24"/>
                <w:szCs w:val="24"/>
              </w:rPr>
            </w:pPr>
            <w:r>
              <w:rPr>
                <w:rFonts w:ascii="Times New Roman" w:hAnsi="Times New Roman"/>
                <w:bCs/>
                <w:color w:val="auto"/>
                <w:sz w:val="24"/>
                <w:szCs w:val="24"/>
              </w:rPr>
              <w:t>допълнителните собствени средства, за които компетентният орган е съобщил с оглед на рисковете от прекомерен ливъридж съгласното посоченото в член 104б от ДКИ, изразени като процент от общата експозиция с оглед на отношението на ливъридж.</w:t>
            </w:r>
          </w:p>
          <w:p w14:paraId="1C4745E4" w14:textId="77777777" w:rsidR="00B70EBF" w:rsidRDefault="00780634" w:rsidP="00B70EBF">
            <w:pPr>
              <w:pStyle w:val="BodyText1"/>
              <w:spacing w:after="240" w:line="240" w:lineRule="auto"/>
              <w:rPr>
                <w:rFonts w:ascii="Times New Roman" w:hAnsi="Times New Roman"/>
                <w:bCs/>
                <w:color w:val="auto"/>
                <w:sz w:val="24"/>
                <w:szCs w:val="24"/>
              </w:rPr>
            </w:pPr>
            <w:r>
              <w:rPr>
                <w:rFonts w:ascii="Times New Roman" w:hAnsi="Times New Roman"/>
                <w:sz w:val="24"/>
                <w:szCs w:val="24"/>
              </w:rPr>
              <w:t>Институциите изчисляват подточка ii), като разделят стойността в {0380;0010} с тази в {0300;0010}.</w:t>
            </w:r>
            <w:r>
              <w:rPr>
                <w:rFonts w:ascii="Times New Roman" w:hAnsi="Times New Roman"/>
                <w:bCs/>
                <w:color w:val="auto"/>
                <w:sz w:val="24"/>
                <w:szCs w:val="24"/>
              </w:rPr>
              <w:t xml:space="preserve"> </w:t>
            </w:r>
          </w:p>
          <w:p w14:paraId="6E55E37C" w14:textId="5108C444" w:rsidR="00136A9C" w:rsidRPr="000B66BC" w:rsidRDefault="00B70EBF" w:rsidP="00B70EBF">
            <w:pPr>
              <w:pStyle w:val="BodyText1"/>
              <w:spacing w:after="240" w:line="240" w:lineRule="auto"/>
              <w:rPr>
                <w:rFonts w:ascii="Times New Roman" w:hAnsi="Times New Roman"/>
                <w:b/>
                <w:color w:val="auto"/>
                <w:sz w:val="24"/>
                <w:szCs w:val="24"/>
              </w:rPr>
            </w:pPr>
            <w:r>
              <w:rPr>
                <w:rFonts w:ascii="Times New Roman" w:hAnsi="Times New Roman"/>
                <w:bCs/>
                <w:color w:val="auto"/>
                <w:sz w:val="24"/>
                <w:szCs w:val="24"/>
              </w:rPr>
              <w:t>Ако компетентният орган не е съобщил НС2, се докладва само компонент i).</w:t>
            </w:r>
          </w:p>
        </w:tc>
      </w:tr>
      <w:tr w:rsidR="00E36E71" w:rsidRPr="00E75BB8" w14:paraId="680EF640"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0BDF0E92" w14:textId="6C47A0CC" w:rsidR="00E36E71" w:rsidRPr="000B66BC" w:rsidRDefault="009573B2" w:rsidP="000B66BC">
            <w:pPr>
              <w:pStyle w:val="BodyText1"/>
              <w:spacing w:after="240"/>
              <w:rPr>
                <w:rFonts w:ascii="Times New Roman" w:hAnsi="Times New Roman"/>
                <w:bCs/>
                <w:sz w:val="24"/>
                <w:szCs w:val="24"/>
              </w:rPr>
            </w:pPr>
            <w:r>
              <w:rPr>
                <w:rFonts w:ascii="Times New Roman" w:hAnsi="Times New Roman"/>
                <w:bCs/>
                <w:sz w:val="24"/>
                <w:szCs w:val="24"/>
              </w:rPr>
              <w:t>{0460;0010}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073EAF2A" w14:textId="3A51D2AA"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СИОЛ и НС2: въз основа на базовия собствен капитал от първи ред</w:t>
            </w:r>
          </w:p>
          <w:p w14:paraId="76E51CBF" w14:textId="77777777"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Сборът на i) и ii), както следва:</w:t>
            </w:r>
          </w:p>
          <w:p w14:paraId="4E8CC957" w14:textId="6092A4C3"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szCs w:val="24"/>
              </w:rPr>
              <w:t>Частта от отношението на допълнителните собствени средства, посочено в ред 0430, която компетентният орган изисква да бъде налице под формата на базов собствен капитал от първи ред.</w:t>
            </w:r>
          </w:p>
          <w:p w14:paraId="611A5895" w14:textId="6EB99D1C" w:rsidR="00136A9C" w:rsidRPr="000B66BC" w:rsidRDefault="00136A9C" w:rsidP="000B66BC">
            <w:pPr>
              <w:pStyle w:val="BodyText1"/>
              <w:numPr>
                <w:ilvl w:val="0"/>
                <w:numId w:val="30"/>
              </w:numPr>
              <w:spacing w:after="240" w:line="240" w:lineRule="auto"/>
              <w:rPr>
                <w:rFonts w:ascii="Times New Roman" w:hAnsi="Times New Roman"/>
                <w:color w:val="auto"/>
                <w:sz w:val="24"/>
                <w:szCs w:val="24"/>
              </w:rPr>
            </w:pPr>
            <w:r>
              <w:rPr>
                <w:rFonts w:ascii="Times New Roman" w:hAnsi="Times New Roman"/>
                <w:color w:val="auto"/>
                <w:sz w:val="24"/>
                <w:szCs w:val="24"/>
              </w:rPr>
              <w:lastRenderedPageBreak/>
              <w:t>частта от отношението съгласно НС2, посочено в ред 0450, подточка ii), за която компетентният орган е съобщил да бъде налице под формата на базов собствен капитал от първи ред.</w:t>
            </w:r>
          </w:p>
          <w:p w14:paraId="30A327FA" w14:textId="77777777" w:rsidR="003E3C45" w:rsidRDefault="00780634" w:rsidP="003E3C45">
            <w:pPr>
              <w:pStyle w:val="BodyText1"/>
              <w:spacing w:after="240" w:line="240" w:lineRule="auto"/>
              <w:rPr>
                <w:rFonts w:ascii="Times New Roman" w:hAnsi="Times New Roman"/>
                <w:color w:val="auto"/>
                <w:sz w:val="24"/>
                <w:szCs w:val="24"/>
              </w:rPr>
            </w:pPr>
            <w:r>
              <w:rPr>
                <w:rFonts w:ascii="Times New Roman" w:hAnsi="Times New Roman"/>
                <w:sz w:val="24"/>
                <w:szCs w:val="24"/>
              </w:rPr>
              <w:t>Институциите изчисляват подточка ii), като разделят стойността в {0390;0010} с тази в {0300;0010}.</w:t>
            </w:r>
            <w:r>
              <w:rPr>
                <w:rFonts w:ascii="Times New Roman" w:hAnsi="Times New Roman"/>
                <w:color w:val="auto"/>
                <w:sz w:val="24"/>
                <w:szCs w:val="24"/>
              </w:rPr>
              <w:t xml:space="preserve"> </w:t>
            </w:r>
          </w:p>
          <w:p w14:paraId="32685844" w14:textId="531CB8FD" w:rsidR="00E36E71" w:rsidRPr="000B66BC" w:rsidRDefault="003E3C45"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Ако компетентният орган не е съобщил НС2, се докладва само компонент i).</w:t>
            </w:r>
          </w:p>
        </w:tc>
      </w:tr>
      <w:tr w:rsidR="00E36E71" w:rsidRPr="00E75BB8" w14:paraId="5CCACDAA" w14:textId="77777777" w:rsidTr="00E1595A">
        <w:trPr>
          <w:trHeight w:val="304"/>
        </w:trPr>
        <w:tc>
          <w:tcPr>
            <w:tcW w:w="1531" w:type="dxa"/>
            <w:tcBorders>
              <w:top w:val="single" w:sz="4" w:space="0" w:color="auto"/>
              <w:left w:val="single" w:sz="4" w:space="0" w:color="auto"/>
              <w:bottom w:val="single" w:sz="4" w:space="0" w:color="auto"/>
              <w:right w:val="single" w:sz="4" w:space="0" w:color="auto"/>
            </w:tcBorders>
          </w:tcPr>
          <w:p w14:paraId="2109F561" w14:textId="5D20E85A" w:rsidR="00E36E71" w:rsidRPr="000B66BC" w:rsidRDefault="00A0709E" w:rsidP="000B66BC">
            <w:pPr>
              <w:pStyle w:val="BodyText1"/>
              <w:spacing w:after="240"/>
              <w:rPr>
                <w:rFonts w:ascii="Times New Roman" w:hAnsi="Times New Roman"/>
                <w:bCs/>
                <w:sz w:val="24"/>
                <w:szCs w:val="24"/>
              </w:rPr>
            </w:pPr>
            <w:r>
              <w:rPr>
                <w:rFonts w:ascii="Times New Roman" w:hAnsi="Times New Roman"/>
                <w:bCs/>
                <w:sz w:val="24"/>
                <w:szCs w:val="24"/>
              </w:rPr>
              <w:lastRenderedPageBreak/>
              <w:t>{0470;0010}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161754F2" w14:textId="77777777" w:rsidR="00E36E71" w:rsidRPr="000B66BC" w:rsidRDefault="001D36C8"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СИОЛ и НС2: въз основа на капитала от първи ред</w:t>
            </w:r>
          </w:p>
          <w:p w14:paraId="7E7156A9" w14:textId="787E9B54" w:rsidR="00136A9C" w:rsidRPr="000B66BC" w:rsidRDefault="00136A9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Сборът на i), ii) и iii), както следва:</w:t>
            </w:r>
          </w:p>
          <w:p w14:paraId="5D168708" w14:textId="116662AF" w:rsidR="00136A9C" w:rsidRPr="000B66BC" w:rsidRDefault="00843D9B"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szCs w:val="24"/>
              </w:rPr>
              <w:t>общото изискване относно отношението на ливъридж по ПНПО, посочено в ред 0420;</w:t>
            </w:r>
          </w:p>
          <w:p w14:paraId="44471EA4" w14:textId="4CE94828" w:rsidR="00843D9B" w:rsidRPr="000B66BC" w:rsidRDefault="00843D9B" w:rsidP="000B66BC">
            <w:pPr>
              <w:pStyle w:val="ListParagraph"/>
              <w:numPr>
                <w:ilvl w:val="0"/>
                <w:numId w:val="32"/>
              </w:numPr>
              <w:spacing w:after="240"/>
              <w:rPr>
                <w:rFonts w:ascii="Times New Roman" w:hAnsi="Times New Roman"/>
                <w:sz w:val="24"/>
              </w:rPr>
            </w:pPr>
            <w:r>
              <w:rPr>
                <w:rFonts w:ascii="Times New Roman" w:hAnsi="Times New Roman"/>
                <w:sz w:val="24"/>
              </w:rPr>
              <w:t>буфера на отношението на ливъридж за Г-СЗИ в съответствие с член 92, параграф 1а от РКИ, изразен като процент от общата експозиция с оглед на отношението на ливъридж.</w:t>
            </w:r>
          </w:p>
          <w:p w14:paraId="776F4028" w14:textId="5132AE58" w:rsidR="00136A9C" w:rsidRPr="000B66BC" w:rsidRDefault="00136A9C" w:rsidP="000B66BC">
            <w:pPr>
              <w:pStyle w:val="BodyText1"/>
              <w:numPr>
                <w:ilvl w:val="0"/>
                <w:numId w:val="32"/>
              </w:numPr>
              <w:spacing w:after="240" w:line="240" w:lineRule="auto"/>
              <w:rPr>
                <w:rFonts w:ascii="Times New Roman" w:hAnsi="Times New Roman"/>
                <w:color w:val="auto"/>
                <w:sz w:val="24"/>
                <w:szCs w:val="24"/>
              </w:rPr>
            </w:pPr>
            <w:r>
              <w:rPr>
                <w:rFonts w:ascii="Times New Roman" w:hAnsi="Times New Roman"/>
                <w:color w:val="auto"/>
                <w:sz w:val="24"/>
                <w:szCs w:val="24"/>
              </w:rPr>
              <w:t>частта от отношението съгласно НС2, посочено в ред 0450, подточка ii), която компетентният орган изисква да бъде налице под формата на капитал от първи ред.</w:t>
            </w:r>
          </w:p>
          <w:p w14:paraId="26F19755" w14:textId="77777777" w:rsidR="003E3C45" w:rsidRPr="000B66BC" w:rsidRDefault="003E3C45" w:rsidP="003E3C45">
            <w:pPr>
              <w:pStyle w:val="BodyText1"/>
              <w:spacing w:after="240" w:line="240" w:lineRule="auto"/>
              <w:rPr>
                <w:rFonts w:ascii="Times New Roman" w:hAnsi="Times New Roman"/>
                <w:color w:val="auto"/>
                <w:sz w:val="24"/>
                <w:szCs w:val="24"/>
              </w:rPr>
            </w:pPr>
            <w:r>
              <w:rPr>
                <w:rFonts w:ascii="Times New Roman" w:hAnsi="Times New Roman"/>
                <w:sz w:val="24"/>
                <w:szCs w:val="24"/>
              </w:rPr>
              <w:t>Институциите изчисляват подточка ii), като разделят стойността в {0370;0010} с тази в {0300;0010}.</w:t>
            </w:r>
          </w:p>
          <w:p w14:paraId="2313052B" w14:textId="77777777" w:rsidR="003E3C45" w:rsidRDefault="003E3C45" w:rsidP="003E3C45">
            <w:pPr>
              <w:pStyle w:val="BodyText1"/>
              <w:spacing w:after="240" w:line="240" w:lineRule="auto"/>
              <w:rPr>
                <w:rFonts w:ascii="Times New Roman" w:hAnsi="Times New Roman"/>
                <w:bCs/>
                <w:sz w:val="24"/>
                <w:szCs w:val="24"/>
              </w:rPr>
            </w:pPr>
            <w:r>
              <w:rPr>
                <w:rFonts w:ascii="Times New Roman" w:hAnsi="Times New Roman"/>
                <w:sz w:val="24"/>
                <w:szCs w:val="24"/>
              </w:rPr>
              <w:t>Институциите изчисляват подточка iii), като разделят стойността в {0400;0010} с тази в {0300;0010}.</w:t>
            </w:r>
          </w:p>
          <w:p w14:paraId="6BF7BD0F" w14:textId="49D247A3" w:rsidR="00843D9B" w:rsidRPr="000B66BC" w:rsidRDefault="00843D9B" w:rsidP="003E3C45">
            <w:pPr>
              <w:pStyle w:val="BodyText1"/>
              <w:spacing w:after="240" w:line="240" w:lineRule="auto"/>
              <w:rPr>
                <w:rFonts w:ascii="Times New Roman" w:hAnsi="Times New Roman"/>
                <w:bCs/>
                <w:color w:val="auto"/>
                <w:sz w:val="24"/>
                <w:szCs w:val="24"/>
              </w:rPr>
            </w:pPr>
            <w:r>
              <w:rPr>
                <w:rFonts w:ascii="Times New Roman" w:hAnsi="Times New Roman"/>
                <w:bCs/>
                <w:color w:val="auto"/>
                <w:sz w:val="24"/>
                <w:szCs w:val="24"/>
              </w:rPr>
              <w:t>Ако няма приложима добавка за Г-СЗИ, се докладват само компоненти i) и iii).</w:t>
            </w:r>
          </w:p>
          <w:p w14:paraId="784A7DD8" w14:textId="6852D82B" w:rsidR="00E36E71" w:rsidRPr="000B66BC" w:rsidRDefault="00136A9C" w:rsidP="003E3C45">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Ако компетентният орган не е съобщил НС2, се докладват само компоненти i) и ii).</w:t>
            </w:r>
          </w:p>
        </w:tc>
      </w:tr>
      <w:tr w:rsidR="00E524FC" w:rsidRPr="00E75BB8" w14:paraId="601424AF"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BFD45C" w14:textId="1021D484" w:rsidR="00E524FC" w:rsidRPr="000B66BC" w:rsidRDefault="00E524FC" w:rsidP="000B66BC">
            <w:pPr>
              <w:pStyle w:val="BodyText1"/>
              <w:spacing w:after="240"/>
              <w:rPr>
                <w:rFonts w:ascii="Times New Roman" w:hAnsi="Times New Roman"/>
                <w:bCs/>
                <w:sz w:val="24"/>
                <w:szCs w:val="24"/>
              </w:rPr>
            </w:pPr>
            <w:r>
              <w:rPr>
                <w:rFonts w:ascii="Times New Roman" w:hAnsi="Times New Roman"/>
                <w:b/>
                <w:bCs/>
                <w:sz w:val="24"/>
                <w:szCs w:val="24"/>
              </w:rPr>
              <w:t>Ред и колона</w:t>
            </w:r>
          </w:p>
        </w:tc>
        <w:tc>
          <w:tcPr>
            <w:tcW w:w="759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942BB32" w14:textId="77777777"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Поясняващи позиции</w:t>
            </w:r>
          </w:p>
        </w:tc>
      </w:tr>
      <w:tr w:rsidR="00E524FC" w:rsidRPr="00E75BB8" w14:paraId="66E51847"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FD03E43" w14:textId="0903377D" w:rsidR="00E524FC" w:rsidRPr="000B66BC" w:rsidRDefault="00E524FC" w:rsidP="000B66BC">
            <w:pPr>
              <w:pStyle w:val="BodyText1"/>
              <w:spacing w:after="240"/>
              <w:rPr>
                <w:rFonts w:ascii="Times New Roman" w:hAnsi="Times New Roman"/>
                <w:bCs/>
                <w:sz w:val="24"/>
                <w:szCs w:val="24"/>
              </w:rPr>
            </w:pPr>
            <w:r>
              <w:rPr>
                <w:rFonts w:ascii="Times New Roman" w:hAnsi="Times New Roman"/>
                <w:bCs/>
                <w:sz w:val="24"/>
                <w:szCs w:val="24"/>
              </w:rPr>
              <w:t>{0480;0010}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72F197BC" w14:textId="55DA8CC4"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Отношение на ливъридж, все едно не са били приложени МСФО 9 или аналогични преходни разпоредби относно ОКЗ</w:t>
            </w:r>
          </w:p>
          <w:p w14:paraId="56553E75" w14:textId="77777777"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Член 473а, параграф 8 от РКИ</w:t>
            </w:r>
          </w:p>
          <w:p w14:paraId="7576BAB1" w14:textId="7CE29514"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Институциите, които са решили да прилагат преходните разпоредби по член 473а от РКИ, докладват отношението на ливъридж, което биха имали, в случай че не прилагат този член.</w:t>
            </w:r>
          </w:p>
        </w:tc>
      </w:tr>
      <w:tr w:rsidR="00E524FC" w:rsidRPr="00E75BB8" w14:paraId="12DDA6F6" w14:textId="77777777" w:rsidTr="00E524FC">
        <w:trPr>
          <w:trHeight w:val="304"/>
        </w:trPr>
        <w:tc>
          <w:tcPr>
            <w:tcW w:w="1531" w:type="dxa"/>
            <w:tcBorders>
              <w:top w:val="single" w:sz="4" w:space="0" w:color="auto"/>
              <w:left w:val="single" w:sz="4" w:space="0" w:color="auto"/>
              <w:bottom w:val="single" w:sz="4" w:space="0" w:color="auto"/>
              <w:right w:val="single" w:sz="4" w:space="0" w:color="auto"/>
            </w:tcBorders>
          </w:tcPr>
          <w:p w14:paraId="7DE13EEB" w14:textId="7EBFE2F4" w:rsidR="00E524FC" w:rsidRPr="000B66BC" w:rsidRDefault="00E524FC" w:rsidP="000B66BC">
            <w:pPr>
              <w:pStyle w:val="BodyText1"/>
              <w:spacing w:after="240"/>
              <w:rPr>
                <w:rFonts w:ascii="Times New Roman" w:hAnsi="Times New Roman"/>
                <w:bCs/>
                <w:sz w:val="24"/>
                <w:szCs w:val="24"/>
              </w:rPr>
            </w:pPr>
            <w:r>
              <w:rPr>
                <w:rFonts w:ascii="Times New Roman" w:hAnsi="Times New Roman"/>
                <w:bCs/>
                <w:sz w:val="24"/>
                <w:szCs w:val="24"/>
              </w:rPr>
              <w:lastRenderedPageBreak/>
              <w:t>{0490;0010}</w:t>
            </w:r>
          </w:p>
        </w:tc>
        <w:tc>
          <w:tcPr>
            <w:tcW w:w="7590" w:type="dxa"/>
            <w:gridSpan w:val="3"/>
            <w:tcBorders>
              <w:top w:val="single" w:sz="4" w:space="0" w:color="auto"/>
              <w:left w:val="single" w:sz="4" w:space="0" w:color="auto"/>
              <w:bottom w:val="single" w:sz="4" w:space="0" w:color="auto"/>
              <w:right w:val="single" w:sz="4" w:space="0" w:color="auto"/>
            </w:tcBorders>
            <w:vAlign w:val="center"/>
          </w:tcPr>
          <w:p w14:paraId="4537C97D" w14:textId="7B6565CA"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Отношение на ливъридж, все едно не е било приложено временното третиране на нереализираните печалби и загуби, оценени по справедлива стойност в друг всеобхватен доход</w:t>
            </w:r>
          </w:p>
          <w:p w14:paraId="22FC70A7" w14:textId="77777777" w:rsidR="00E524FC" w:rsidRPr="000B66BC" w:rsidRDefault="00E524FC" w:rsidP="000B66BC">
            <w:pPr>
              <w:pStyle w:val="BodyText1"/>
              <w:spacing w:after="240" w:line="240" w:lineRule="auto"/>
              <w:rPr>
                <w:rFonts w:ascii="Times New Roman" w:hAnsi="Times New Roman"/>
                <w:color w:val="auto"/>
                <w:sz w:val="24"/>
                <w:szCs w:val="24"/>
              </w:rPr>
            </w:pPr>
            <w:r>
              <w:rPr>
                <w:rFonts w:ascii="Times New Roman" w:hAnsi="Times New Roman"/>
                <w:color w:val="auto"/>
                <w:sz w:val="24"/>
                <w:szCs w:val="24"/>
              </w:rPr>
              <w:t>Член 468, параграф 5 от РКИ</w:t>
            </w:r>
          </w:p>
          <w:p w14:paraId="787A9CC8" w14:textId="1B7E2B43" w:rsidR="00E524FC" w:rsidRPr="000B66BC" w:rsidRDefault="00E524FC"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Институциите, които са решили да прилагат временното третиране по член 468, параграф 1 от РКИ, докладват отношението на ливъридж, което биха имали, в случай че не прилагат това третиране.</w:t>
            </w:r>
          </w:p>
        </w:tc>
      </w:tr>
    </w:tbl>
    <w:p w14:paraId="6B40D8E2" w14:textId="77777777" w:rsidR="00AE2798" w:rsidRPr="000B66BC" w:rsidRDefault="00AE2798" w:rsidP="000B66BC">
      <w:pPr>
        <w:pStyle w:val="BodyText1"/>
        <w:spacing w:after="240"/>
        <w:rPr>
          <w:rFonts w:ascii="Times New Roman" w:hAnsi="Times New Roman"/>
          <w:sz w:val="24"/>
          <w:szCs w:val="24"/>
        </w:rPr>
      </w:pPr>
    </w:p>
    <w:p w14:paraId="794CE395" w14:textId="173F43D2" w:rsidR="00700DA6" w:rsidRPr="000B66BC" w:rsidRDefault="005F4574" w:rsidP="000B66BC">
      <w:pPr>
        <w:pStyle w:val="BodyText1"/>
        <w:spacing w:after="240"/>
        <w:ind w:left="357" w:hanging="357"/>
        <w:outlineLvl w:val="1"/>
        <w:rPr>
          <w:rFonts w:ascii="Times New Roman" w:hAnsi="Times New Roman"/>
          <w:b/>
          <w:sz w:val="24"/>
          <w:szCs w:val="24"/>
        </w:rPr>
      </w:pPr>
      <w:bookmarkStart w:id="54" w:name="_Toc359414286"/>
      <w:bookmarkStart w:id="55" w:name="_Toc423089071"/>
      <w:bookmarkStart w:id="56" w:name="_Toc58840524"/>
      <w:r>
        <w:rPr>
          <w:rFonts w:ascii="Times New Roman" w:hAnsi="Times New Roman"/>
          <w:b/>
          <w:sz w:val="24"/>
          <w:szCs w:val="24"/>
        </w:rPr>
        <w:t>4.</w:t>
      </w:r>
      <w:r>
        <w:tab/>
      </w:r>
      <w:bookmarkStart w:id="57" w:name="_Toc351048507"/>
      <w:r>
        <w:rPr>
          <w:rFonts w:ascii="Times New Roman" w:hAnsi="Times New Roman"/>
          <w:b/>
          <w:sz w:val="24"/>
          <w:szCs w:val="24"/>
        </w:rPr>
        <w:t>C 40.00 – Алтернативно третиране на мярката за експозиция</w:t>
      </w:r>
      <w:bookmarkEnd w:id="51"/>
      <w:bookmarkEnd w:id="57"/>
      <w:bookmarkEnd w:id="54"/>
      <w:r>
        <w:rPr>
          <w:rFonts w:ascii="Times New Roman" w:hAnsi="Times New Roman"/>
          <w:b/>
          <w:sz w:val="24"/>
          <w:szCs w:val="24"/>
        </w:rPr>
        <w:t xml:space="preserve"> (LR1)</w:t>
      </w:r>
      <w:bookmarkEnd w:id="55"/>
      <w:bookmarkEnd w:id="56"/>
    </w:p>
    <w:p w14:paraId="0FB337CA" w14:textId="47825928"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20.</w:t>
      </w:r>
      <w:r>
        <w:tab/>
      </w:r>
      <w:r>
        <w:rPr>
          <w:rFonts w:ascii="Times New Roman" w:hAnsi="Times New Roman"/>
          <w:sz w:val="24"/>
          <w:szCs w:val="24"/>
        </w:rPr>
        <w:t xml:space="preserve">В тази част от докладването се събират данни за алтернативното третиране на дериватите, СФЦК, задбалансовите позиции, изключените инвестиции в публичния сектор и изключените експозиции по насърчителни заеми. </w:t>
      </w:r>
    </w:p>
    <w:p w14:paraId="0801E40E" w14:textId="5C86FA03" w:rsidR="00F4754B"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21.</w:t>
      </w:r>
      <w:r>
        <w:tab/>
      </w:r>
      <w:r>
        <w:rPr>
          <w:rFonts w:ascii="Times New Roman" w:hAnsi="Times New Roman"/>
          <w:sz w:val="24"/>
          <w:szCs w:val="24"/>
        </w:rPr>
        <w:t xml:space="preserve">Институциите определят „счетоводните балансови стойности“ в LR1 въз основа на приложимата счетоводна рамка, както е определена в член 4, параграф 1, точка 77 от РКИ. „Счетоводна стойност, без нетиране или друго РКР“ се отнася до счетоводната балансова стойност, без да се взимат предвид ефектите от нетиране или друго редуциране на кредитния риск. </w:t>
      </w:r>
    </w:p>
    <w:p w14:paraId="6A1F4290" w14:textId="209D6435" w:rsidR="005556DC"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22.</w:t>
      </w:r>
      <w:r>
        <w:tab/>
      </w:r>
      <w:r>
        <w:rPr>
          <w:rFonts w:ascii="Times New Roman" w:hAnsi="Times New Roman"/>
          <w:sz w:val="24"/>
          <w:szCs w:val="24"/>
        </w:rPr>
        <w:t>Институциите докладват позициите по LR1, все едно че позициите с отрицателен знак в образец LRCalc (например освобождавания/приспадания) в съответствие с установените практики при използването на знаци в част I, параграф 9 от настоящото приложение, с изключение на редове {0270;0010} {0280;0010}, не се прилагат.</w:t>
      </w:r>
    </w:p>
    <w:p w14:paraId="3B5DA19A" w14:textId="2845E321" w:rsidR="00201643" w:rsidRPr="000B66BC" w:rsidRDefault="00201643"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23.</w:t>
      </w:r>
      <w:r>
        <w:tab/>
      </w:r>
      <w:r>
        <w:rPr>
          <w:rFonts w:ascii="Times New Roman" w:hAnsi="Times New Roman"/>
          <w:sz w:val="24"/>
          <w:szCs w:val="24"/>
        </w:rPr>
        <w:t>{R0410;c0010} в образец 40.00 се докладва единствено от:</w:t>
      </w:r>
    </w:p>
    <w:p w14:paraId="120D67B7" w14:textId="7350FC6D"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 xml:space="preserve">големи институции, които са Г-СЗИ или са емитирали ценни книжа, допуснати до търговия на регулиран пазар, на всеки шест месеца; </w:t>
      </w:r>
    </w:p>
    <w:p w14:paraId="275097FF" w14:textId="4F3F0B8E"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големи институции, различни от Г-СЗИ, които не са регистрирани на фондовата борса, веднъж годишно;</w:t>
      </w:r>
    </w:p>
    <w:p w14:paraId="59E3D42C" w14:textId="64FE3358" w:rsidR="00390B64" w:rsidRPr="000B66BC" w:rsidRDefault="00390B64" w:rsidP="000B66BC">
      <w:pPr>
        <w:pStyle w:val="BodyText1"/>
        <w:numPr>
          <w:ilvl w:val="0"/>
          <w:numId w:val="35"/>
        </w:numPr>
        <w:spacing w:after="240"/>
        <w:rPr>
          <w:rFonts w:ascii="Times New Roman" w:hAnsi="Times New Roman"/>
          <w:sz w:val="24"/>
          <w:szCs w:val="24"/>
        </w:rPr>
      </w:pPr>
      <w:r>
        <w:rPr>
          <w:rFonts w:ascii="Times New Roman" w:hAnsi="Times New Roman"/>
          <w:sz w:val="24"/>
          <w:szCs w:val="24"/>
        </w:rPr>
        <w:t xml:space="preserve">институции, различни от големи институции и малки и несложни институции, които са емитирали ценни книжа, допуснати до търговия на регулиран пазар, веднъж годишно. </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7620"/>
      </w:tblGrid>
      <w:tr w:rsidR="00F4754B" w:rsidRPr="00E75BB8" w14:paraId="26421155" w14:textId="77777777" w:rsidTr="00C7202A">
        <w:tc>
          <w:tcPr>
            <w:tcW w:w="1418" w:type="dxa"/>
            <w:shd w:val="clear" w:color="auto" w:fill="D9D9D9" w:themeFill="background1" w:themeFillShade="D9"/>
          </w:tcPr>
          <w:p w14:paraId="08FB450D" w14:textId="524E5AB8"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szCs w:val="24"/>
              </w:rPr>
              <w:t>Ред и колона</w:t>
            </w:r>
          </w:p>
        </w:tc>
        <w:tc>
          <w:tcPr>
            <w:tcW w:w="7620" w:type="dxa"/>
            <w:shd w:val="clear" w:color="auto" w:fill="D9D9D9" w:themeFill="background1" w:themeFillShade="D9"/>
          </w:tcPr>
          <w:p w14:paraId="2A94B720"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Препратки към правни норми и указания</w:t>
            </w:r>
          </w:p>
        </w:tc>
      </w:tr>
      <w:tr w:rsidR="00F4754B" w:rsidRPr="00E75BB8" w14:paraId="361F248A" w14:textId="77777777" w:rsidTr="00776650">
        <w:tc>
          <w:tcPr>
            <w:tcW w:w="1418" w:type="dxa"/>
          </w:tcPr>
          <w:p w14:paraId="4F9FA107" w14:textId="57BE6A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620" w:type="dxa"/>
          </w:tcPr>
          <w:p w14:paraId="39F15765" w14:textId="77777777" w:rsidR="00F4754B" w:rsidRPr="000B66BC" w:rsidRDefault="00F4754B" w:rsidP="000B66BC">
            <w:pPr>
              <w:pStyle w:val="BodyText1"/>
              <w:spacing w:after="240" w:line="240" w:lineRule="auto"/>
              <w:rPr>
                <w:rFonts w:ascii="Times New Roman" w:hAnsi="Times New Roman"/>
                <w:bCs/>
                <w:sz w:val="24"/>
                <w:szCs w:val="24"/>
                <w:u w:val="single"/>
              </w:rPr>
            </w:pPr>
            <w:r>
              <w:rPr>
                <w:rFonts w:ascii="Times New Roman" w:hAnsi="Times New Roman"/>
                <w:b/>
                <w:bCs/>
                <w:sz w:val="24"/>
                <w:szCs w:val="24"/>
              </w:rPr>
              <w:t>Деривати — Счетоводна балансова стойност</w:t>
            </w:r>
          </w:p>
          <w:p w14:paraId="7F9C9C25" w14:textId="151D2509" w:rsidR="000A6437"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Това е сборът на {0020;010}, {0050;0010} и {0060;0010}.</w:t>
            </w:r>
          </w:p>
        </w:tc>
      </w:tr>
      <w:tr w:rsidR="00F4754B" w:rsidRPr="00E75BB8" w14:paraId="1D231FFA" w14:textId="77777777" w:rsidTr="00776650">
        <w:tc>
          <w:tcPr>
            <w:tcW w:w="1418" w:type="dxa"/>
          </w:tcPr>
          <w:p w14:paraId="63C98797" w14:textId="06C6C9DC"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{0010;0020}</w:t>
            </w:r>
          </w:p>
        </w:tc>
        <w:tc>
          <w:tcPr>
            <w:tcW w:w="7620" w:type="dxa"/>
          </w:tcPr>
          <w:p w14:paraId="4563944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Деривати — Счетоводна стойност, без нетиране или друго РКР</w:t>
            </w:r>
          </w:p>
          <w:p w14:paraId="7E68FF9D" w14:textId="3AAE9DFF" w:rsidR="00FF3AC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Това е сборът на {0020;0020}, {0050;0020} и {0060;0020}.</w:t>
            </w:r>
          </w:p>
        </w:tc>
      </w:tr>
      <w:tr w:rsidR="00F4754B" w:rsidRPr="00E75BB8" w14:paraId="56F668DB" w14:textId="77777777" w:rsidTr="00776650">
        <w:tc>
          <w:tcPr>
            <w:tcW w:w="1418" w:type="dxa"/>
          </w:tcPr>
          <w:p w14:paraId="678E69B3" w14:textId="4CB76640"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{0010;0070}</w:t>
            </w:r>
          </w:p>
        </w:tc>
        <w:tc>
          <w:tcPr>
            <w:tcW w:w="7620" w:type="dxa"/>
          </w:tcPr>
          <w:p w14:paraId="5D79D47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Деривати — Условна стойност</w:t>
            </w:r>
          </w:p>
          <w:p w14:paraId="2AECBC09" w14:textId="2F33E455"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Това е сборът на {0020;0070}, {0050;0070} и {0060;0070}.</w:t>
            </w:r>
          </w:p>
        </w:tc>
      </w:tr>
      <w:tr w:rsidR="00F4754B" w:rsidRPr="00E75BB8" w14:paraId="6B45BB27" w14:textId="77777777" w:rsidTr="00776650">
        <w:tc>
          <w:tcPr>
            <w:tcW w:w="1418" w:type="dxa"/>
          </w:tcPr>
          <w:p w14:paraId="46216D41" w14:textId="7412E93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620" w:type="dxa"/>
          </w:tcPr>
          <w:p w14:paraId="0B692C5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Кредитни деривати (продадена защита) — Счетоводна балансова стойност</w:t>
            </w:r>
          </w:p>
          <w:p w14:paraId="0232A08C" w14:textId="71CBB29B"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Член 4, параграф 1, точка 77 от РКИ; счетоводната балансова стойност, по приложимата счетоводна уредба, на кредитните деривати, когато институцията продава кредитна защита на контрагент и договорът е признат като актив в баланса.</w:t>
            </w:r>
          </w:p>
        </w:tc>
      </w:tr>
      <w:tr w:rsidR="00F4754B" w:rsidRPr="00E75BB8" w14:paraId="78089643" w14:textId="77777777" w:rsidTr="00776650">
        <w:tc>
          <w:tcPr>
            <w:tcW w:w="1418" w:type="dxa"/>
          </w:tcPr>
          <w:p w14:paraId="6D29AC05" w14:textId="21326B2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{0020;0020}</w:t>
            </w:r>
          </w:p>
        </w:tc>
        <w:tc>
          <w:tcPr>
            <w:tcW w:w="7620" w:type="dxa"/>
          </w:tcPr>
          <w:p w14:paraId="47C4979D" w14:textId="1C2E617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Кредитни деривати (продадена защита) — Счетоводна стойност, без нетиране или друго РКР</w:t>
            </w:r>
          </w:p>
          <w:p w14:paraId="379F5EE7" w14:textId="22B93F7B" w:rsidR="00F4754B" w:rsidRPr="000B66BC" w:rsidRDefault="006D6827" w:rsidP="003E3C4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Член 4, параграф 1, точка 77 от РКИ; счетоводната балансова стойност, по приложимата счетоводна уредба, на кредитните деривати, когато институцията продава кредитна защита на контрагент и договорът е вписан като актив в баланса, като се допуска, че няма ефект на счетоводно нетиране или друго РКР (т.е. са елиминирани всякакви ефекти на счетоводно нетиране или РКР върху балансовата стойност).</w:t>
            </w:r>
          </w:p>
        </w:tc>
      </w:tr>
      <w:tr w:rsidR="00F4754B" w:rsidRPr="00E75BB8" w14:paraId="6F14FFAF" w14:textId="77777777" w:rsidTr="00776650">
        <w:tc>
          <w:tcPr>
            <w:tcW w:w="1418" w:type="dxa"/>
          </w:tcPr>
          <w:p w14:paraId="7C797A14" w14:textId="4C6AAC2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{0020;0070}</w:t>
            </w:r>
          </w:p>
        </w:tc>
        <w:tc>
          <w:tcPr>
            <w:tcW w:w="7620" w:type="dxa"/>
          </w:tcPr>
          <w:p w14:paraId="5B4D474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Кредитни деривати (продадена защита) — Условна стойност</w:t>
            </w:r>
          </w:p>
          <w:p w14:paraId="79F96141" w14:textId="45B474E1" w:rsidR="00F4754B"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Това е сборът на {0030;0070} и {0040;0070}.</w:t>
            </w:r>
          </w:p>
        </w:tc>
      </w:tr>
      <w:tr w:rsidR="00410E47" w:rsidRPr="00E75BB8" w14:paraId="3223F811" w14:textId="77777777" w:rsidTr="00776650">
        <w:tc>
          <w:tcPr>
            <w:tcW w:w="1418" w:type="dxa"/>
          </w:tcPr>
          <w:p w14:paraId="13A1CD32" w14:textId="73B22E89"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{0020;0075}</w:t>
            </w:r>
          </w:p>
        </w:tc>
        <w:tc>
          <w:tcPr>
            <w:tcW w:w="7620" w:type="dxa"/>
          </w:tcPr>
          <w:p w14:paraId="4149AAF1"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Кредитни деривати (продадена защита) — Ограничена условна стойност</w:t>
            </w:r>
          </w:p>
          <w:p w14:paraId="0C4AF19E" w14:textId="54E04166" w:rsidR="00410E47" w:rsidRPr="000B66BC" w:rsidRDefault="003E3C4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Институциите докладват условната стойност по кредитните деривати (продадена защита), както в 0020; 0070}, след намаляване с всички отрицателни изменения в справедливата стойност, включени в капитала от първи ред, по отношение на издадения кредитен дериват.</w:t>
            </w:r>
          </w:p>
        </w:tc>
      </w:tr>
      <w:tr w:rsidR="00F56B61" w:rsidRPr="00E75BB8" w14:paraId="01AA1F98" w14:textId="77777777" w:rsidTr="00F56B61">
        <w:tc>
          <w:tcPr>
            <w:tcW w:w="1418" w:type="dxa"/>
            <w:tcBorders>
              <w:top w:val="single" w:sz="4" w:space="0" w:color="auto"/>
              <w:left w:val="single" w:sz="4" w:space="0" w:color="auto"/>
              <w:bottom w:val="single" w:sz="4" w:space="0" w:color="auto"/>
              <w:right w:val="single" w:sz="4" w:space="0" w:color="auto"/>
            </w:tcBorders>
          </w:tcPr>
          <w:p w14:paraId="2BE34FE0" w14:textId="29A35CD8" w:rsidR="00F56B61" w:rsidRPr="000B66BC" w:rsidRDefault="00F56B61" w:rsidP="000B66BC">
            <w:pPr>
              <w:pStyle w:val="BodyText1"/>
              <w:spacing w:after="240"/>
              <w:rPr>
                <w:rFonts w:ascii="Times New Roman" w:hAnsi="Times New Roman"/>
                <w:bCs/>
                <w:sz w:val="24"/>
                <w:szCs w:val="24"/>
              </w:rPr>
            </w:pPr>
            <w:r>
              <w:rPr>
                <w:rFonts w:ascii="Times New Roman" w:hAnsi="Times New Roman"/>
                <w:bCs/>
                <w:sz w:val="24"/>
                <w:szCs w:val="24"/>
              </w:rPr>
              <w:t>{0030;0070}</w:t>
            </w:r>
          </w:p>
        </w:tc>
        <w:tc>
          <w:tcPr>
            <w:tcW w:w="7620" w:type="dxa"/>
            <w:tcBorders>
              <w:top w:val="single" w:sz="4" w:space="0" w:color="auto"/>
              <w:left w:val="single" w:sz="4" w:space="0" w:color="auto"/>
              <w:bottom w:val="single" w:sz="4" w:space="0" w:color="auto"/>
              <w:right w:val="single" w:sz="4" w:space="0" w:color="auto"/>
            </w:tcBorders>
          </w:tcPr>
          <w:p w14:paraId="15FC1D07" w14:textId="36F4ADB6"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Кредитни деривати (продадена защита), които са предмет на клауза за анулиране — Условна стойност</w:t>
            </w:r>
          </w:p>
          <w:p w14:paraId="018BEF1F" w14:textId="22289BB3" w:rsidR="00F56B61"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Институциите докладват условната стойност по кредитните деривати, когато институцията продава кредитна защита на контрагент, която е предмет на клауза за анулиране.</w:t>
            </w:r>
          </w:p>
          <w:p w14:paraId="5A116C41" w14:textId="488FF38F" w:rsidR="00F56B61" w:rsidRPr="000B66BC" w:rsidRDefault="00F56B61" w:rsidP="000B66BC">
            <w:pPr>
              <w:pStyle w:val="BodyText1"/>
              <w:spacing w:after="240" w:line="240" w:lineRule="auto"/>
              <w:rPr>
                <w:rFonts w:ascii="Times New Roman" w:hAnsi="Times New Roman"/>
                <w:bCs/>
                <w:sz w:val="24"/>
                <w:szCs w:val="24"/>
              </w:rPr>
            </w:pPr>
            <w:r>
              <w:rPr>
                <w:rFonts w:ascii="Times New Roman" w:hAnsi="Times New Roman"/>
                <w:bCs/>
                <w:sz w:val="24"/>
                <w:szCs w:val="24"/>
              </w:rPr>
              <w:t>Под клауза за анулиране се разбира клаузата, която дава на изправната страна правото да прекрати и приключи своевременно всички сделки по споразумението в случай на неизпълнение, включително в случай на несъстоятелност или неплатежоспособност на контрагента.</w:t>
            </w:r>
          </w:p>
          <w:p w14:paraId="7931AC41" w14:textId="557F8233" w:rsidR="00F56B61" w:rsidRPr="000B66BC" w:rsidRDefault="00F56B61" w:rsidP="000B66BC">
            <w:pPr>
              <w:pStyle w:val="BodyText1"/>
              <w:spacing w:after="240" w:line="240" w:lineRule="auto"/>
              <w:rPr>
                <w:rFonts w:ascii="Times New Roman" w:hAnsi="Times New Roman"/>
                <w:b/>
                <w:bCs/>
                <w:sz w:val="24"/>
                <w:szCs w:val="24"/>
              </w:rPr>
            </w:pPr>
            <w:r>
              <w:rPr>
                <w:rFonts w:ascii="Times New Roman" w:hAnsi="Times New Roman"/>
                <w:bCs/>
                <w:sz w:val="24"/>
                <w:szCs w:val="24"/>
              </w:rPr>
              <w:lastRenderedPageBreak/>
              <w:t>Институциите взимат предвид всички кредитни деривати, а не само тези в търговския портфейл.</w:t>
            </w:r>
          </w:p>
        </w:tc>
      </w:tr>
      <w:tr w:rsidR="00410E47" w:rsidRPr="00E75BB8" w14:paraId="758B12D8" w14:textId="77777777" w:rsidTr="00F56B61">
        <w:tc>
          <w:tcPr>
            <w:tcW w:w="1418" w:type="dxa"/>
          </w:tcPr>
          <w:p w14:paraId="25EB07E0" w14:textId="122C486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{0040;0070}</w:t>
            </w:r>
          </w:p>
        </w:tc>
        <w:tc>
          <w:tcPr>
            <w:tcW w:w="7620" w:type="dxa"/>
          </w:tcPr>
          <w:p w14:paraId="6050FB9E" w14:textId="17B2C2C9"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Кредитни деривати (продадена защита), които не са предмет на клауза за анулиране — Условна стойност</w:t>
            </w:r>
          </w:p>
          <w:p w14:paraId="1DD1CCDE" w14:textId="0B30797B" w:rsidR="00410E47" w:rsidRPr="000B66BC" w:rsidRDefault="003E3C45" w:rsidP="000B66BC">
            <w:pPr>
              <w:pStyle w:val="BodyText1"/>
              <w:spacing w:after="240" w:line="240" w:lineRule="auto"/>
              <w:rPr>
                <w:rFonts w:ascii="Times New Roman" w:hAnsi="Times New Roman"/>
                <w:sz w:val="24"/>
                <w:szCs w:val="24"/>
              </w:rPr>
            </w:pPr>
            <w:r>
              <w:rPr>
                <w:rFonts w:ascii="Times New Roman" w:hAnsi="Times New Roman"/>
                <w:sz w:val="24"/>
                <w:szCs w:val="24"/>
              </w:rPr>
              <w:t>Институциите докладват условната стойност по кредитните деривати, когато институцията продава кредитна защита на контрагент, която не е предмет на клауза за анулиране.</w:t>
            </w:r>
          </w:p>
          <w:p w14:paraId="35F31007" w14:textId="3FE74DD8" w:rsidR="00410E47" w:rsidRPr="000B66BC" w:rsidRDefault="00410E47" w:rsidP="000B66BC">
            <w:pPr>
              <w:pStyle w:val="BodyText1"/>
              <w:spacing w:after="240" w:line="240" w:lineRule="auto"/>
              <w:rPr>
                <w:rFonts w:ascii="Times New Roman" w:hAnsi="Times New Roman"/>
                <w:sz w:val="24"/>
                <w:szCs w:val="24"/>
              </w:rPr>
            </w:pPr>
            <w:r>
              <w:rPr>
                <w:rFonts w:ascii="Times New Roman" w:hAnsi="Times New Roman"/>
                <w:sz w:val="24"/>
                <w:szCs w:val="24"/>
              </w:rPr>
              <w:t>Под клауза за анулиране се разбира клаузата, която дава на изправната страна правото да прекрати и приключи своевременно всички сделки по споразумението в случай на неизпълнение, включително в случай на несъстоятелност или неплатежоспособност на контрагента.</w:t>
            </w:r>
          </w:p>
          <w:p w14:paraId="3D6F6539" w14:textId="27A2337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Институциите взимат предвид всички кредитни деривати, а не само тези в търговския портфейл.</w:t>
            </w:r>
            <w:r>
              <w:rPr>
                <w:rFonts w:ascii="Times New Roman" w:hAnsi="Times New Roman"/>
                <w:b/>
                <w:bCs/>
                <w:sz w:val="24"/>
                <w:szCs w:val="24"/>
                <w:u w:val="single"/>
              </w:rPr>
              <w:t xml:space="preserve"> </w:t>
            </w:r>
          </w:p>
        </w:tc>
      </w:tr>
      <w:tr w:rsidR="00410E47" w:rsidRPr="00E75BB8" w14:paraId="6FD3F9A1" w14:textId="77777777" w:rsidTr="00F56B61">
        <w:tc>
          <w:tcPr>
            <w:tcW w:w="1418" w:type="dxa"/>
          </w:tcPr>
          <w:p w14:paraId="735EF22F" w14:textId="3084E84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{0050;0010}</w:t>
            </w:r>
          </w:p>
        </w:tc>
        <w:tc>
          <w:tcPr>
            <w:tcW w:w="7620" w:type="dxa"/>
          </w:tcPr>
          <w:p w14:paraId="1C7DEFE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Кредитни деривати (закупена защита) — Счетоводна балансова стойност</w:t>
            </w:r>
          </w:p>
          <w:p w14:paraId="253831D8" w14:textId="2DDCF90C"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 параграф 1, точка 77 от РКИ; счетоводната балансова стойност, по приложимата счетоводна уредба, на кредитните деривати, когато институцията купува кредитна защита от контрагент и договорът е признат като актив в баланса.</w:t>
            </w:r>
          </w:p>
          <w:p w14:paraId="702252EB" w14:textId="057F95BC"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Институциите взимат предвид всички кредитни деривати, а не само тези в търговския портфейл.</w:t>
            </w:r>
            <w:r>
              <w:rPr>
                <w:rFonts w:ascii="Times New Roman" w:hAnsi="Times New Roman"/>
                <w:b/>
                <w:bCs/>
                <w:sz w:val="24"/>
                <w:szCs w:val="24"/>
                <w:u w:val="single"/>
              </w:rPr>
              <w:t xml:space="preserve"> </w:t>
            </w:r>
          </w:p>
        </w:tc>
      </w:tr>
      <w:tr w:rsidR="00410E47" w:rsidRPr="00E75BB8" w14:paraId="7D57309E" w14:textId="77777777" w:rsidTr="00F56B61">
        <w:tc>
          <w:tcPr>
            <w:tcW w:w="1418" w:type="dxa"/>
          </w:tcPr>
          <w:p w14:paraId="321C83DC" w14:textId="405C1057"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{0050;0020}</w:t>
            </w:r>
          </w:p>
        </w:tc>
        <w:tc>
          <w:tcPr>
            <w:tcW w:w="7620" w:type="dxa"/>
          </w:tcPr>
          <w:p w14:paraId="0AFB57D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Кредитни деривати (закупена защита) — Счетоводна стойност, без нетиране или друго РКР</w:t>
            </w:r>
          </w:p>
          <w:p w14:paraId="269D2982" w14:textId="78A45E3B"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 параграф 1, точка 77 от РКИ; счетоводната балансова стойност, по приложимата счетоводна уредба, на кредитните деривати, когато институцията купува кредитна защита от контрагент и договорът е вписан като актив в баланса, като се допуска, че няма ефект на счетоводно нетиране или РКР (т.е. са елиминирани всякакви ефекти на счетоводно нетиране или РКР върху балансовата стойност).</w:t>
            </w:r>
          </w:p>
          <w:p w14:paraId="2E8D49DB" w14:textId="0AA00007"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Институциите взимат предвид всички кредитни деривати, а не само тези в търговския портфейл.</w:t>
            </w:r>
            <w:r>
              <w:rPr>
                <w:rFonts w:ascii="Times New Roman" w:hAnsi="Times New Roman"/>
                <w:b/>
                <w:bCs/>
                <w:sz w:val="24"/>
                <w:szCs w:val="24"/>
                <w:u w:val="single"/>
              </w:rPr>
              <w:t xml:space="preserve"> </w:t>
            </w:r>
          </w:p>
        </w:tc>
      </w:tr>
      <w:tr w:rsidR="00410E47" w:rsidRPr="00E75BB8" w14:paraId="66D4DF42" w14:textId="77777777" w:rsidTr="00776650">
        <w:tc>
          <w:tcPr>
            <w:tcW w:w="1418" w:type="dxa"/>
          </w:tcPr>
          <w:p w14:paraId="14F12A57" w14:textId="14E0A38E"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{0050;0070}</w:t>
            </w:r>
          </w:p>
          <w:p w14:paraId="02F218B6"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1CAAAE1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Кредитни деривати (закупена защита) — Условна стойност</w:t>
            </w:r>
          </w:p>
          <w:p w14:paraId="1671DB5D" w14:textId="3D6728B4"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Институциите докладват условната стойност по кредитните деривати, когато институцията купува кредитна защита от контрагент. </w:t>
            </w:r>
          </w:p>
          <w:p w14:paraId="38DBE45F" w14:textId="372DBEE5" w:rsidR="00410E47" w:rsidRPr="000B66BC" w:rsidRDefault="00410E47"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Институциите взимат предвид всички кредитни деривати, а не само тези в търговския портфейл.</w:t>
            </w:r>
            <w:r>
              <w:rPr>
                <w:rFonts w:ascii="Times New Roman" w:hAnsi="Times New Roman"/>
                <w:b/>
                <w:bCs/>
                <w:sz w:val="24"/>
                <w:szCs w:val="24"/>
                <w:u w:val="single"/>
              </w:rPr>
              <w:t xml:space="preserve"> </w:t>
            </w:r>
          </w:p>
        </w:tc>
      </w:tr>
      <w:tr w:rsidR="00410E47" w:rsidRPr="00E75BB8" w14:paraId="05C9F42E" w14:textId="77777777" w:rsidTr="00776650">
        <w:tc>
          <w:tcPr>
            <w:tcW w:w="1418" w:type="dxa"/>
          </w:tcPr>
          <w:p w14:paraId="0F85E383" w14:textId="5077338D"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{0050;0075}</w:t>
            </w:r>
          </w:p>
        </w:tc>
        <w:tc>
          <w:tcPr>
            <w:tcW w:w="7620" w:type="dxa"/>
          </w:tcPr>
          <w:p w14:paraId="1E75C7B9"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Кредитни деривати (закупена защита) — Ограничена условна стойност</w:t>
            </w:r>
          </w:p>
          <w:p w14:paraId="34A0542C" w14:textId="20F92B99" w:rsidR="00410E47" w:rsidRPr="000B66BC" w:rsidRDefault="003E3C4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Институциите докладват условната стойност по кредитните деривати (закупена защита), както в {0050;0070}, след намаляване с всички положителни изменения в справедливата стойност, включени в капитала от първи ред, по отношение на закупения кредитен дериват.</w:t>
            </w:r>
          </w:p>
        </w:tc>
      </w:tr>
      <w:tr w:rsidR="00410E47" w:rsidRPr="00E75BB8" w14:paraId="3D24D0EB" w14:textId="77777777" w:rsidTr="00776650">
        <w:tc>
          <w:tcPr>
            <w:tcW w:w="1418" w:type="dxa"/>
          </w:tcPr>
          <w:p w14:paraId="2FA9342C" w14:textId="1D5DB6DE"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{0050;0085}</w:t>
            </w:r>
          </w:p>
          <w:p w14:paraId="09433CF3" w14:textId="77777777" w:rsidR="00410E47" w:rsidRPr="000B66BC" w:rsidRDefault="00410E47" w:rsidP="000B66BC">
            <w:pPr>
              <w:pStyle w:val="BodyText1"/>
              <w:spacing w:after="240"/>
              <w:rPr>
                <w:rFonts w:ascii="Times New Roman" w:hAnsi="Times New Roman"/>
                <w:bCs/>
                <w:sz w:val="24"/>
                <w:szCs w:val="24"/>
              </w:rPr>
            </w:pPr>
          </w:p>
        </w:tc>
        <w:tc>
          <w:tcPr>
            <w:tcW w:w="7620" w:type="dxa"/>
          </w:tcPr>
          <w:p w14:paraId="7385FC42" w14:textId="77777777" w:rsidR="00410E47" w:rsidRPr="000B66BC" w:rsidRDefault="00ED7412"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Кредитни деривати (закупена защита) — Ограничена условна стойност (идентично референтно наименование)</w:t>
            </w:r>
          </w:p>
          <w:p w14:paraId="797BBD79" w14:textId="03DB9559" w:rsidR="00410E47" w:rsidRPr="000B66BC" w:rsidRDefault="003E3C45" w:rsidP="000B66BC">
            <w:pPr>
              <w:pStyle w:val="BodyText1"/>
              <w:spacing w:after="240" w:line="240" w:lineRule="auto"/>
              <w:rPr>
                <w:rFonts w:ascii="Times New Roman" w:hAnsi="Times New Roman"/>
                <w:bCs/>
                <w:sz w:val="24"/>
                <w:szCs w:val="24"/>
              </w:rPr>
            </w:pPr>
            <w:r>
              <w:rPr>
                <w:rFonts w:ascii="Times New Roman" w:hAnsi="Times New Roman"/>
                <w:sz w:val="24"/>
                <w:szCs w:val="24"/>
              </w:rPr>
              <w:t>Институциите докладват условната стойност по кредитните деривати, когато институцията купува кредитна защита с идентично референтно наименование като това на кредитните деривати, издадени от докладващата институция.</w:t>
            </w:r>
          </w:p>
          <w:p w14:paraId="55CDE23E"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За целите на докладването на стойността в това поле, съответните референтни наименования се приемат за идентични, ако се отнасят до едно и също юридическо лице и ранг. </w:t>
            </w:r>
          </w:p>
          <w:p w14:paraId="2F022BB9" w14:textId="3144A560"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Закупената кредитна защита по отношение на група от референтни субекти се приема за идентична, ако защитата е икономически еквивалентна на закупуване на защита отделно по отношение на всяко отделно наименование в групата.</w:t>
            </w:r>
          </w:p>
          <w:p w14:paraId="0154314D" w14:textId="77777777"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Ако институцията купува кредитна защита по отношение на група от референтни наименования, то тази кредитна защита се приема за идентична, ако закупената кредитна защита обхваща изцяло компонентите на групата, по отношение на която е продадена кредитната защита. С други думи, приспадането може единствено да бъде признато, когато групата от референтни субекти и нивото на подчиненост при двете сделки са идентични. </w:t>
            </w:r>
          </w:p>
          <w:p w14:paraId="52D47F4F" w14:textId="120567C7"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sz w:val="24"/>
                <w:szCs w:val="24"/>
              </w:rPr>
              <w:t>За всяко референтно наименование условната стойност на закупената кредитна защита, посочена в това поле с оглед докладване, не надвишава стойностите, докладвани в {0020;0075} и {0050;0075}.</w:t>
            </w:r>
          </w:p>
        </w:tc>
      </w:tr>
      <w:tr w:rsidR="00410E47" w:rsidRPr="00E75BB8" w14:paraId="679A8A87" w14:textId="77777777" w:rsidTr="00776650">
        <w:tc>
          <w:tcPr>
            <w:tcW w:w="1418" w:type="dxa"/>
          </w:tcPr>
          <w:p w14:paraId="486F8B55" w14:textId="7C0C1343"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{0060;0010}</w:t>
            </w:r>
          </w:p>
        </w:tc>
        <w:tc>
          <w:tcPr>
            <w:tcW w:w="7620" w:type="dxa"/>
          </w:tcPr>
          <w:p w14:paraId="7A410C0D" w14:textId="15D05203"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Финансови деривати — Счетоводна балансова стойност</w:t>
            </w:r>
          </w:p>
          <w:p w14:paraId="6FA0DDE8" w14:textId="76BC30CE" w:rsidR="00410E47" w:rsidRPr="000B66BC" w:rsidRDefault="006D6827"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 параграф 1, точка 77 от РКИ</w:t>
            </w:r>
          </w:p>
          <w:p w14:paraId="5A64C9B2" w14:textId="6BFDB4D4" w:rsidR="00410E47" w:rsidRPr="000B66BC" w:rsidRDefault="00E2413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Институциите докладват счетоводната балансова стойност, по приложимата счетоводна уредба, на договорите, изброени в приложение II към РКИ, когато договорите са признати като актив в баланса.</w:t>
            </w:r>
          </w:p>
        </w:tc>
      </w:tr>
      <w:tr w:rsidR="00410E47" w:rsidRPr="00E75BB8" w14:paraId="64AB4D96" w14:textId="77777777" w:rsidTr="00776650">
        <w:tc>
          <w:tcPr>
            <w:tcW w:w="1418" w:type="dxa"/>
          </w:tcPr>
          <w:p w14:paraId="2EC14738" w14:textId="4D7985E6"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{0060;0020}</w:t>
            </w:r>
          </w:p>
        </w:tc>
        <w:tc>
          <w:tcPr>
            <w:tcW w:w="7620" w:type="dxa"/>
          </w:tcPr>
          <w:p w14:paraId="47D5F195"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Финансови деривати — Счетоводна стойност, без нетиране или друго РКР</w:t>
            </w:r>
          </w:p>
          <w:p w14:paraId="00EB79C6" w14:textId="7804F83C" w:rsidR="00410E47" w:rsidRPr="000B66BC" w:rsidRDefault="006D682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Член 4, параграф 1, точка 77 от РКИ; счетоводната балансова стойност, по приложимата счетоводна уредба, на договорите, изброени в приложение II към РКИ, когато договорите са признати като актив в баланса, като се допуска, че няма ефект на счетоводно нетиране или друго РКР (т.е. са елиминирани всякакви ефекти на счетоводно нетиране или РКР върху балансовата стойност).</w:t>
            </w:r>
          </w:p>
        </w:tc>
      </w:tr>
      <w:tr w:rsidR="00410E47" w:rsidRPr="00E75BB8" w14:paraId="24EE0FAD" w14:textId="77777777" w:rsidTr="00776650">
        <w:tc>
          <w:tcPr>
            <w:tcW w:w="1418" w:type="dxa"/>
          </w:tcPr>
          <w:p w14:paraId="1ACC573A" w14:textId="679E5400"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{0060;0070}</w:t>
            </w:r>
          </w:p>
        </w:tc>
        <w:tc>
          <w:tcPr>
            <w:tcW w:w="7620" w:type="dxa"/>
          </w:tcPr>
          <w:p w14:paraId="2C3B01F2"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Финансови деривати – Условна стойност</w:t>
            </w:r>
          </w:p>
          <w:p w14:paraId="64E79FE5" w14:textId="6D634E0A" w:rsidR="00410E47" w:rsidRPr="000B66BC" w:rsidRDefault="00410E47"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В това поле се вписва условната стойност по договорите, изброени в приложение II към РКИ.</w:t>
            </w:r>
          </w:p>
        </w:tc>
      </w:tr>
      <w:tr w:rsidR="007B7914" w:rsidRPr="00E75BB8" w14:paraId="77E61D46" w14:textId="77777777" w:rsidTr="007B7914">
        <w:tc>
          <w:tcPr>
            <w:tcW w:w="1418" w:type="dxa"/>
            <w:tcBorders>
              <w:top w:val="single" w:sz="4" w:space="0" w:color="auto"/>
              <w:left w:val="single" w:sz="4" w:space="0" w:color="auto"/>
              <w:bottom w:val="single" w:sz="4" w:space="0" w:color="auto"/>
              <w:right w:val="single" w:sz="4" w:space="0" w:color="auto"/>
            </w:tcBorders>
          </w:tcPr>
          <w:p w14:paraId="1DF724B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bCs/>
                <w:sz w:val="24"/>
                <w:szCs w:val="24"/>
              </w:rPr>
              <w:t>{0071;0010}</w:t>
            </w:r>
          </w:p>
        </w:tc>
        <w:tc>
          <w:tcPr>
            <w:tcW w:w="7620" w:type="dxa"/>
            <w:tcBorders>
              <w:top w:val="single" w:sz="4" w:space="0" w:color="auto"/>
              <w:left w:val="single" w:sz="4" w:space="0" w:color="auto"/>
              <w:bottom w:val="single" w:sz="4" w:space="0" w:color="auto"/>
              <w:right w:val="single" w:sz="4" w:space="0" w:color="auto"/>
            </w:tcBorders>
          </w:tcPr>
          <w:p w14:paraId="2D48E17E"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Сделки за финансиране с ценни книжа — Счетоводна балансова стойност</w:t>
            </w:r>
          </w:p>
          <w:p w14:paraId="0D6AB751" w14:textId="715CA2F8" w:rsidR="007B7914" w:rsidRPr="000B66BC"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t>Член 4, параграф 1, точка 77 от РКИ; счетоводната балансова стойност, по приложимата счетоводна уредба, на СФЦК, когато договорите са признати като актив в баланса.</w:t>
            </w:r>
          </w:p>
          <w:p w14:paraId="2235756A" w14:textId="4A4EF690"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Институциите не включват в това поле получените парични суми или обезпеченията, предоставени на контрагент посредством горепосочените сделки и запазени в баланса (т.е. не са изпълнени счетоводните критерии за отписване). Вместо това институциите ги включват в {0090,0010}.</w:t>
            </w:r>
          </w:p>
        </w:tc>
      </w:tr>
      <w:tr w:rsidR="007B7914" w:rsidRPr="00E75BB8" w14:paraId="4906EC4F" w14:textId="77777777" w:rsidTr="007B7914">
        <w:tc>
          <w:tcPr>
            <w:tcW w:w="1418" w:type="dxa"/>
            <w:tcBorders>
              <w:top w:val="single" w:sz="4" w:space="0" w:color="auto"/>
              <w:left w:val="single" w:sz="4" w:space="0" w:color="auto"/>
              <w:bottom w:val="single" w:sz="4" w:space="0" w:color="auto"/>
              <w:right w:val="single" w:sz="4" w:space="0" w:color="auto"/>
            </w:tcBorders>
          </w:tcPr>
          <w:p w14:paraId="51FE085B" w14:textId="77777777" w:rsidR="007B7914" w:rsidRPr="000B66BC" w:rsidRDefault="007B7914" w:rsidP="000B66BC">
            <w:pPr>
              <w:pStyle w:val="BodyText1"/>
              <w:spacing w:after="240"/>
              <w:rPr>
                <w:rFonts w:ascii="Times New Roman" w:hAnsi="Times New Roman"/>
                <w:bCs/>
                <w:sz w:val="24"/>
                <w:szCs w:val="24"/>
              </w:rPr>
            </w:pPr>
            <w:r>
              <w:rPr>
                <w:rFonts w:ascii="Times New Roman" w:hAnsi="Times New Roman"/>
                <w:bCs/>
                <w:sz w:val="24"/>
                <w:szCs w:val="24"/>
              </w:rPr>
              <w:t>{0071;0020}</w:t>
            </w:r>
          </w:p>
        </w:tc>
        <w:tc>
          <w:tcPr>
            <w:tcW w:w="7620" w:type="dxa"/>
            <w:tcBorders>
              <w:top w:val="single" w:sz="4" w:space="0" w:color="auto"/>
              <w:left w:val="single" w:sz="4" w:space="0" w:color="auto"/>
              <w:bottom w:val="single" w:sz="4" w:space="0" w:color="auto"/>
              <w:right w:val="single" w:sz="4" w:space="0" w:color="auto"/>
            </w:tcBorders>
          </w:tcPr>
          <w:p w14:paraId="199363B4" w14:textId="77777777"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Сделки за финансиране с ценни книжа — Счетоводна стойност, без нетиране или друго РКР</w:t>
            </w:r>
          </w:p>
          <w:p w14:paraId="07F0EA6D" w14:textId="36DDFB54" w:rsidR="00474B43" w:rsidRDefault="007B7914"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Член 4, параграф 1, точка 77 от РКИ; счетоводната балансова стойност, по приложимата счетоводна уредба, когато договорите са признати като актив в баланса, като се допуска, че няма ефект на счетоводно нетиране или друго РКР (т.е. са елиминирани всякакви ефекти на счетоводно нетиране или РКР върху балансовата стойност). </w:t>
            </w:r>
          </w:p>
          <w:p w14:paraId="04F4C292" w14:textId="292EA0BD" w:rsidR="007B7914"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При осчетоводяването на продажбата по отношение на СФЦК съгласно приложимата счетоводна уредба институциите елиминират всички свързани с продажбата счетоводни вписвания.</w:t>
            </w:r>
          </w:p>
          <w:p w14:paraId="072F9F82" w14:textId="5255D9A3" w:rsidR="007B7914" w:rsidRPr="000B66BC" w:rsidRDefault="007B7914"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Институциите не включват в това поле получените парични суми или обезпеченията, предоставени на контрагент посредством горепосочените сделки и запазени в баланса (т.е. не са изпълнени счетоводните критерии за отписване). Вместо това институциите ги включват в {0090,0020}.</w:t>
            </w:r>
          </w:p>
        </w:tc>
      </w:tr>
      <w:tr w:rsidR="00410E47" w:rsidRPr="00E75BB8" w14:paraId="2BD078C3" w14:textId="77777777" w:rsidTr="00FC2664">
        <w:tc>
          <w:tcPr>
            <w:tcW w:w="1418" w:type="dxa"/>
          </w:tcPr>
          <w:p w14:paraId="793DC72B" w14:textId="19D262D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{0090;0010}</w:t>
            </w:r>
          </w:p>
        </w:tc>
        <w:tc>
          <w:tcPr>
            <w:tcW w:w="7620" w:type="dxa"/>
          </w:tcPr>
          <w:p w14:paraId="520EA2A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Други активи — Счетоводна балансова стойност</w:t>
            </w:r>
          </w:p>
          <w:p w14:paraId="6BEE30BB" w14:textId="22D8D469" w:rsidR="00410E47" w:rsidRPr="000B66BC" w:rsidRDefault="0084728D"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Член 4, параграф 1, точка 77 от РКИ; счетоводната балансова стойност, по приложимата счетоводна уредба, на всички активи, различни от </w:t>
            </w:r>
            <w:r>
              <w:rPr>
                <w:rFonts w:ascii="Times New Roman" w:hAnsi="Times New Roman"/>
                <w:bCs/>
                <w:sz w:val="24"/>
                <w:szCs w:val="24"/>
              </w:rPr>
              <w:lastRenderedPageBreak/>
              <w:t>договорите, изброени в приложение II към РКИ, кредитни деривати и СФЦК.</w:t>
            </w:r>
          </w:p>
        </w:tc>
      </w:tr>
      <w:tr w:rsidR="00410E47" w:rsidRPr="00E75BB8" w14:paraId="2A9CFA05" w14:textId="77777777" w:rsidTr="00FC2664">
        <w:tc>
          <w:tcPr>
            <w:tcW w:w="1418" w:type="dxa"/>
          </w:tcPr>
          <w:p w14:paraId="77B58A02" w14:textId="52063391"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{0090;0020}</w:t>
            </w:r>
          </w:p>
        </w:tc>
        <w:tc>
          <w:tcPr>
            <w:tcW w:w="7620" w:type="dxa"/>
          </w:tcPr>
          <w:p w14:paraId="0A7C5F46"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Други активи — Счетоводна стойност, без нетиране или друго РКР</w:t>
            </w:r>
          </w:p>
          <w:p w14:paraId="398E7EA3" w14:textId="1172C7C7" w:rsidR="00410E47" w:rsidRPr="000B66BC" w:rsidRDefault="00E20CD8" w:rsidP="00474B43">
            <w:pPr>
              <w:pStyle w:val="BodyText1"/>
              <w:spacing w:after="240" w:line="240" w:lineRule="auto"/>
              <w:rPr>
                <w:rFonts w:ascii="Times New Roman" w:hAnsi="Times New Roman"/>
                <w:b/>
                <w:bCs/>
                <w:sz w:val="24"/>
                <w:szCs w:val="24"/>
                <w:u w:val="single"/>
              </w:rPr>
            </w:pPr>
            <w:r>
              <w:rPr>
                <w:rFonts w:ascii="Times New Roman" w:hAnsi="Times New Roman"/>
                <w:bCs/>
                <w:sz w:val="24"/>
                <w:szCs w:val="24"/>
              </w:rPr>
              <w:t>Член 4, параграф 1, точка 77 от РКИ; счетоводната балансова стойност, по приложимата счетоводна уредба, на всички активи, различни от договорите, изброени в приложение II към РКИ, кредитни деривати и СФЦК, като се допуска, че няма ефект на счетоводно нетиране или друго РКР (т.е. са елиминирани всякакви ефекти на счетоводно нетиране или РКР върху балансовата стойност).</w:t>
            </w:r>
          </w:p>
        </w:tc>
      </w:tr>
      <w:tr w:rsidR="00D5649D" w:rsidRPr="00E75BB8" w14:paraId="6FD4B7E9" w14:textId="77777777" w:rsidTr="00D5649D">
        <w:tc>
          <w:tcPr>
            <w:tcW w:w="1418" w:type="dxa"/>
            <w:tcBorders>
              <w:top w:val="single" w:sz="4" w:space="0" w:color="auto"/>
              <w:left w:val="single" w:sz="4" w:space="0" w:color="auto"/>
              <w:bottom w:val="single" w:sz="4" w:space="0" w:color="auto"/>
              <w:right w:val="single" w:sz="4" w:space="0" w:color="auto"/>
            </w:tcBorders>
          </w:tcPr>
          <w:p w14:paraId="620B263B" w14:textId="77777777" w:rsidR="00D5649D" w:rsidRPr="000B66BC" w:rsidDel="00764219" w:rsidRDefault="00D5649D" w:rsidP="000B66BC">
            <w:pPr>
              <w:pStyle w:val="BodyText1"/>
              <w:spacing w:after="240"/>
              <w:rPr>
                <w:rFonts w:ascii="Times New Roman" w:hAnsi="Times New Roman"/>
                <w:bCs/>
                <w:sz w:val="24"/>
                <w:szCs w:val="24"/>
              </w:rPr>
            </w:pPr>
            <w:r>
              <w:rPr>
                <w:rFonts w:ascii="Times New Roman" w:hAnsi="Times New Roman"/>
                <w:bCs/>
                <w:sz w:val="24"/>
                <w:szCs w:val="24"/>
              </w:rPr>
              <w:t>{0095;0070}</w:t>
            </w:r>
          </w:p>
        </w:tc>
        <w:tc>
          <w:tcPr>
            <w:tcW w:w="7620" w:type="dxa"/>
            <w:tcBorders>
              <w:top w:val="single" w:sz="4" w:space="0" w:color="auto"/>
              <w:left w:val="single" w:sz="4" w:space="0" w:color="auto"/>
              <w:bottom w:val="single" w:sz="4" w:space="0" w:color="auto"/>
              <w:right w:val="single" w:sz="4" w:space="0" w:color="auto"/>
            </w:tcBorders>
          </w:tcPr>
          <w:p w14:paraId="60C68604" w14:textId="77777777" w:rsidR="00D5649D" w:rsidRPr="000B66BC" w:rsidRDefault="00D5649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Задбалансови позиции</w:t>
            </w:r>
          </w:p>
          <w:p w14:paraId="75A062FE" w14:textId="5F4AEDAA" w:rsidR="00D5649D" w:rsidRPr="000B66BC" w:rsidRDefault="00474B43" w:rsidP="000B66BC">
            <w:pPr>
              <w:pStyle w:val="BodyText1"/>
              <w:spacing w:after="240" w:line="240" w:lineRule="auto"/>
              <w:rPr>
                <w:rFonts w:ascii="Times New Roman" w:hAnsi="Times New Roman"/>
                <w:bCs/>
                <w:sz w:val="24"/>
                <w:szCs w:val="24"/>
              </w:rPr>
            </w:pPr>
            <w:r>
              <w:rPr>
                <w:rFonts w:ascii="Times New Roman" w:hAnsi="Times New Roman"/>
                <w:bCs/>
                <w:sz w:val="24"/>
                <w:szCs w:val="24"/>
              </w:rPr>
              <w:t>Институциите докладват номиналната стойност на задбалансовите позиции. Номиналната стойност не се намалява с корекциите за специфичен кредитен риск.</w:t>
            </w:r>
          </w:p>
          <w:p w14:paraId="76247621" w14:textId="632614DC" w:rsidR="00D5649D" w:rsidRPr="000B66BC" w:rsidDel="00764219" w:rsidRDefault="00D5649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По силата на член 429е, параграф 1 от РКИ институциите не включват в това поле договорите, изброени в приложение II към РКИ, кредитните деривати и СФЦК.</w:t>
            </w:r>
          </w:p>
        </w:tc>
      </w:tr>
      <w:tr w:rsidR="00410E47" w:rsidRPr="00E75BB8" w14:paraId="0FBB579D" w14:textId="77777777" w:rsidTr="00086398">
        <w:tc>
          <w:tcPr>
            <w:tcW w:w="1418" w:type="dxa"/>
          </w:tcPr>
          <w:p w14:paraId="28FDBFBD" w14:textId="613B5E03"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{0210;0020}</w:t>
            </w:r>
          </w:p>
        </w:tc>
        <w:tc>
          <w:tcPr>
            <w:tcW w:w="7620" w:type="dxa"/>
          </w:tcPr>
          <w:p w14:paraId="29B185C3"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Парични обезпечения, получени при сделки с деривати — Счетоводна стойност, без нетиране или друго РКР</w:t>
            </w:r>
          </w:p>
          <w:p w14:paraId="39EDF297" w14:textId="273BC4C8" w:rsidR="00410E47" w:rsidRPr="000B66BC" w:rsidRDefault="00410E47" w:rsidP="000B66BC">
            <w:pPr>
              <w:pStyle w:val="BodyText1"/>
              <w:spacing w:after="240" w:line="240" w:lineRule="auto"/>
              <w:rPr>
                <w:rFonts w:ascii="Times New Roman" w:hAnsi="Times New Roman"/>
                <w:bCs/>
                <w:sz w:val="24"/>
                <w:szCs w:val="24"/>
              </w:rPr>
            </w:pPr>
            <w:r>
              <w:rPr>
                <w:rFonts w:ascii="Times New Roman" w:hAnsi="Times New Roman"/>
                <w:bCs/>
                <w:sz w:val="24"/>
                <w:szCs w:val="24"/>
              </w:rPr>
              <w:t>Счетоводната балансова стойност, по приложимата счетоводна уредба, на паричните обезпечения, получени при сделки с деривати, като се допуска, че няма ефект на счетоводно нетиране или друго РКР (т.е. са елиминирани всякакви ефекти на счетоводно нетиране или РКР върху балансовата стойност).</w:t>
            </w:r>
          </w:p>
          <w:p w14:paraId="2131D4BF" w14:textId="59EC9867" w:rsidR="00410E47" w:rsidRPr="000B66BC" w:rsidRDefault="00410E47" w:rsidP="00474B43">
            <w:pPr>
              <w:pStyle w:val="BodyText1"/>
              <w:tabs>
                <w:tab w:val="left" w:pos="4755"/>
              </w:tabs>
              <w:spacing w:after="240" w:line="240" w:lineRule="auto"/>
              <w:rPr>
                <w:rFonts w:ascii="Times New Roman" w:hAnsi="Times New Roman"/>
                <w:b/>
                <w:bCs/>
                <w:sz w:val="24"/>
                <w:szCs w:val="24"/>
              </w:rPr>
            </w:pPr>
            <w:r>
              <w:rPr>
                <w:rFonts w:ascii="Times New Roman" w:hAnsi="Times New Roman"/>
                <w:sz w:val="24"/>
                <w:szCs w:val="24"/>
              </w:rPr>
              <w:t>За целите на докладването в това поле, „парични средства“ означава общият размер на паричните средства, включително монети и банкноти/валута. Тук се включва общият размер на депозитите, държани при централни банки, доколкото тези депозити могат да бъдат изтеглени в периоди на напрежение. В това поле институциите не докладват паричните средства по депозит при други институции.</w:t>
            </w:r>
          </w:p>
        </w:tc>
      </w:tr>
      <w:tr w:rsidR="00410E47" w:rsidRPr="00E75BB8" w14:paraId="53DF6927" w14:textId="77777777" w:rsidTr="00086398">
        <w:tc>
          <w:tcPr>
            <w:tcW w:w="1418" w:type="dxa"/>
          </w:tcPr>
          <w:p w14:paraId="211CECAA" w14:textId="44AF7167"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{0220;0020}</w:t>
            </w:r>
          </w:p>
        </w:tc>
        <w:tc>
          <w:tcPr>
            <w:tcW w:w="7620" w:type="dxa"/>
          </w:tcPr>
          <w:p w14:paraId="6DB00C4C"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Вземания за парични обезпечения, предоставени при сделки с деривати — Счетоводна стойност, без нетиране или друго РКР</w:t>
            </w:r>
          </w:p>
          <w:p w14:paraId="7D33E862" w14:textId="047F9D4A" w:rsidR="00474B43" w:rsidRDefault="00410E47"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Счетоводната балансова стойност, по приложимата счетоводна уредба, на вземанията за парични обезпечения, предоставени при сделки с деривати, като се допуска, че няма ефект на счетоводно нетиране или друго РКР (т.е. са елиминирани всякакви ефекти на счетоводно нетиране или РКР върху балансовата стойност). </w:t>
            </w:r>
          </w:p>
          <w:p w14:paraId="7CD00868" w14:textId="0996E74B"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sz w:val="24"/>
                <w:szCs w:val="24"/>
              </w:rPr>
              <w:t xml:space="preserve">Институции, които по силата на приложимата счетоводна уредба имат право да нетират вземане за парично обезпечение, предоставено срещу свързаното дериватно задължение (отрицателна справедлива стойност) </w:t>
            </w:r>
            <w:r>
              <w:rPr>
                <w:rFonts w:ascii="Times New Roman" w:hAnsi="Times New Roman"/>
                <w:sz w:val="24"/>
                <w:szCs w:val="24"/>
              </w:rPr>
              <w:lastRenderedPageBreak/>
              <w:t>и които изберат да направят това, елиминират нетирането и докладват нетното парично вземане.</w:t>
            </w:r>
          </w:p>
        </w:tc>
      </w:tr>
      <w:tr w:rsidR="00410E47" w:rsidRPr="00E75BB8" w14:paraId="56CCADD2" w14:textId="77777777" w:rsidTr="00086398">
        <w:tc>
          <w:tcPr>
            <w:tcW w:w="1418" w:type="dxa"/>
          </w:tcPr>
          <w:p w14:paraId="3CD1E23F" w14:textId="2F79B69D"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lastRenderedPageBreak/>
              <w:t>{0230;0020}</w:t>
            </w:r>
          </w:p>
        </w:tc>
        <w:tc>
          <w:tcPr>
            <w:tcW w:w="7620" w:type="dxa"/>
          </w:tcPr>
          <w:p w14:paraId="5AE16600" w14:textId="77777777" w:rsidR="00410E47" w:rsidRPr="000B66BC" w:rsidRDefault="00410E47"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Ценни книжа, получени в резултат на СФЦК и признати като актив — Счетоводна стойност, без нетиране или друго РКР</w:t>
            </w:r>
          </w:p>
          <w:p w14:paraId="28A4D6AF" w14:textId="5C43B50B" w:rsidR="00410E47" w:rsidRPr="000B66BC" w:rsidRDefault="00410E47" w:rsidP="00474B43">
            <w:pPr>
              <w:pStyle w:val="BodyText1"/>
              <w:spacing w:after="240" w:line="240" w:lineRule="auto"/>
              <w:rPr>
                <w:rFonts w:ascii="Times New Roman" w:hAnsi="Times New Roman"/>
                <w:b/>
                <w:bCs/>
                <w:sz w:val="24"/>
                <w:szCs w:val="24"/>
              </w:rPr>
            </w:pPr>
            <w:r>
              <w:rPr>
                <w:rFonts w:ascii="Times New Roman" w:hAnsi="Times New Roman"/>
                <w:sz w:val="24"/>
                <w:szCs w:val="24"/>
              </w:rPr>
              <w:t>Счетоводната балансова стойност, по приложимата счетоводна уредба, на получените в резултат на СФЦК ценни книжа, които са признати като актив в баланса съгласно приложимата счетоводна уредба, като се допуска, че няма ефект на счетоводно нетиране или друго РКР (т.е. са елиминирани всякакви ефекти на счетоводно нетиране или РКР върху балансовата стойност).</w:t>
            </w:r>
          </w:p>
        </w:tc>
      </w:tr>
      <w:tr w:rsidR="00410E47" w:rsidRPr="00E75BB8" w14:paraId="73AB9A4D" w14:textId="77777777" w:rsidTr="00086398">
        <w:tc>
          <w:tcPr>
            <w:tcW w:w="1418" w:type="dxa"/>
          </w:tcPr>
          <w:p w14:paraId="05353E9D" w14:textId="466C38AA" w:rsidR="00410E47" w:rsidRPr="000B66BC" w:rsidRDefault="00410E47" w:rsidP="000B66BC">
            <w:pPr>
              <w:pStyle w:val="BodyText1"/>
              <w:spacing w:after="240"/>
              <w:rPr>
                <w:rFonts w:ascii="Times New Roman" w:hAnsi="Times New Roman"/>
                <w:bCs/>
                <w:sz w:val="24"/>
                <w:szCs w:val="24"/>
              </w:rPr>
            </w:pPr>
            <w:r>
              <w:rPr>
                <w:rFonts w:ascii="Times New Roman" w:hAnsi="Times New Roman"/>
                <w:bCs/>
                <w:sz w:val="24"/>
                <w:szCs w:val="24"/>
              </w:rPr>
              <w:t>{0240;0020}</w:t>
            </w:r>
          </w:p>
        </w:tc>
        <w:tc>
          <w:tcPr>
            <w:tcW w:w="7620" w:type="dxa"/>
          </w:tcPr>
          <w:p w14:paraId="66AFC109" w14:textId="77777777" w:rsidR="00410E47" w:rsidRPr="000B66BC" w:rsidRDefault="00410E4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Кредитна операция с посредничество при СФЦК (парични вземания) — Счетоводна стойност, без нетиране или друго РКР</w:t>
            </w:r>
          </w:p>
          <w:p w14:paraId="6B9D4FF6" w14:textId="65358007"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bCs/>
                <w:sz w:val="24"/>
                <w:szCs w:val="24"/>
              </w:rPr>
              <w:t>Счетоводната балансова стойност, по приложимата счетоводна уредба, на парично вземане при парично кредитиране на притежателя на ценни книжа в рамките на квалифицирана кредитна операция с посредничество (qualifying cash conduit lending transaction — CCLT), като се допуска, че няма ефект на счетоводно нетиране или друго РКР (т.е. са елиминирани всякакви ефекти на счетоводно нетиране или РКР върху балансовата стойност).</w:t>
            </w:r>
          </w:p>
          <w:p w14:paraId="748B124D" w14:textId="5207C93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За целите на докладването в това поле, „парични средства“ означава общият размер на паричните средства, включително монети и банкноти/валута. Тук се включва общият размер на депозитите, държани при централни банки, доколкото тези депозити могат да бъдат изтеглени в периоди на напрежение. Институциите не докладват в това поле паричните средства по депозити при други институции.</w:t>
            </w:r>
          </w:p>
          <w:p w14:paraId="334DF029" w14:textId="53853645" w:rsidR="00410E47" w:rsidRPr="000B66BC" w:rsidRDefault="00410E47" w:rsidP="000B66BC">
            <w:pPr>
              <w:pStyle w:val="BodyText1"/>
              <w:tabs>
                <w:tab w:val="left" w:pos="4755"/>
              </w:tabs>
              <w:spacing w:after="240" w:line="240" w:lineRule="auto"/>
              <w:rPr>
                <w:rFonts w:ascii="Times New Roman" w:hAnsi="Times New Roman"/>
                <w:sz w:val="24"/>
                <w:szCs w:val="24"/>
              </w:rPr>
            </w:pPr>
            <w:r>
              <w:rPr>
                <w:rFonts w:ascii="Times New Roman" w:hAnsi="Times New Roman"/>
                <w:sz w:val="24"/>
                <w:szCs w:val="24"/>
              </w:rPr>
              <w:t>Под CCLT се разбира комбинация от две сделки, при които институцията заема ценни книжа от притежателя им и ги предоставя в заем на трето лице (заемополучател на ценни книжа). Същевременно институцията получава парично обезпечение от заемополучателя и предоставя в заем получените парични средства на притежателя на ценните книжа. CCLT отговаря на всяко от следните условия:</w:t>
            </w:r>
          </w:p>
          <w:p w14:paraId="2544528C"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а)</w:t>
            </w:r>
            <w:r>
              <w:tab/>
            </w:r>
            <w:r>
              <w:rPr>
                <w:rFonts w:ascii="Times New Roman" w:hAnsi="Times New Roman"/>
                <w:color w:val="000000"/>
                <w:sz w:val="24"/>
                <w:szCs w:val="24"/>
              </w:rPr>
              <w:t>двете отделни сделки, които съставляват CCLT, са извършени на една и съща дата на търговия или при международни сделки — в рамките на последователни работни дни;</w:t>
            </w:r>
          </w:p>
          <w:p w14:paraId="491F9748"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б)</w:t>
            </w:r>
            <w:r>
              <w:tab/>
            </w:r>
            <w:r>
              <w:rPr>
                <w:rFonts w:ascii="Times New Roman" w:hAnsi="Times New Roman"/>
                <w:color w:val="000000"/>
                <w:sz w:val="24"/>
                <w:szCs w:val="24"/>
              </w:rPr>
              <w:t>когато по сделките, съставляващи CCLT, не е определен конкретен падеж, институцията има законното право да закрие всяка от позициите по CCLT, т.е. всяка от двете съставляващи я сделки, по всяко време и без предизвестие;</w:t>
            </w:r>
          </w:p>
          <w:p w14:paraId="5BFB7780" w14:textId="77777777" w:rsidR="00410E47" w:rsidRPr="000B66BC" w:rsidRDefault="00500508" w:rsidP="000B66BC">
            <w:pPr>
              <w:pStyle w:val="Paragraph"/>
              <w:spacing w:after="240"/>
              <w:ind w:left="794" w:hanging="794"/>
              <w:rPr>
                <w:rFonts w:ascii="Times New Roman" w:hAnsi="Times New Roman"/>
                <w:color w:val="000000"/>
                <w:sz w:val="24"/>
                <w:szCs w:val="24"/>
              </w:rPr>
            </w:pPr>
            <w:r>
              <w:rPr>
                <w:rFonts w:ascii="Times New Roman" w:hAnsi="Times New Roman"/>
                <w:color w:val="000000"/>
                <w:sz w:val="24"/>
                <w:szCs w:val="24"/>
              </w:rPr>
              <w:t>в)</w:t>
            </w:r>
            <w:r>
              <w:tab/>
            </w:r>
            <w:r>
              <w:rPr>
                <w:rFonts w:ascii="Times New Roman" w:hAnsi="Times New Roman"/>
                <w:color w:val="000000"/>
                <w:sz w:val="24"/>
                <w:szCs w:val="24"/>
              </w:rPr>
              <w:t xml:space="preserve">когато по сделките, съставляващи CCLT, е определен конкретен падеж, CCLT не е причина за възникване на падежни несъответствия за институцията; институцията има законното </w:t>
            </w:r>
            <w:r>
              <w:rPr>
                <w:rFonts w:ascii="Times New Roman" w:hAnsi="Times New Roman"/>
                <w:color w:val="000000"/>
                <w:sz w:val="24"/>
                <w:szCs w:val="24"/>
              </w:rPr>
              <w:lastRenderedPageBreak/>
              <w:t>право да закрие всяка от позициите по CCLT, т.е. всяка от двете съставляващи я сделки, по всяко време и без предизвестие;</w:t>
            </w:r>
          </w:p>
          <w:p w14:paraId="62CD2905" w14:textId="1AEDC3DC" w:rsidR="00410E47" w:rsidRPr="000B66BC" w:rsidRDefault="00500508" w:rsidP="000B66BC">
            <w:pPr>
              <w:pStyle w:val="Paragraph"/>
              <w:spacing w:after="240"/>
              <w:ind w:left="794" w:hanging="794"/>
              <w:rPr>
                <w:rFonts w:ascii="Times New Roman" w:hAnsi="Times New Roman"/>
                <w:b/>
                <w:bCs/>
                <w:sz w:val="24"/>
                <w:szCs w:val="24"/>
              </w:rPr>
            </w:pPr>
            <w:r>
              <w:rPr>
                <w:rFonts w:ascii="Times New Roman" w:hAnsi="Times New Roman"/>
                <w:sz w:val="24"/>
                <w:szCs w:val="24"/>
              </w:rPr>
              <w:t>г)</w:t>
            </w:r>
            <w:r>
              <w:tab/>
            </w:r>
            <w:r>
              <w:rPr>
                <w:rFonts w:ascii="Times New Roman" w:hAnsi="Times New Roman"/>
                <w:sz w:val="24"/>
                <w:szCs w:val="24"/>
              </w:rPr>
              <w:t>тя не е причина за възникване на допълнителни експозиции.</w:t>
            </w:r>
          </w:p>
        </w:tc>
      </w:tr>
      <w:tr w:rsidR="00142881" w:rsidRPr="00E75BB8" w14:paraId="12EB77F9" w14:textId="77777777" w:rsidTr="003B3824">
        <w:tc>
          <w:tcPr>
            <w:tcW w:w="1418" w:type="dxa"/>
          </w:tcPr>
          <w:p w14:paraId="2EC98E8B" w14:textId="4055F8C1" w:rsidR="00142881" w:rsidRPr="000B66BC" w:rsidRDefault="00142881" w:rsidP="000B66BC">
            <w:pPr>
              <w:pStyle w:val="BodyText1"/>
              <w:spacing w:after="240"/>
              <w:rPr>
                <w:rFonts w:ascii="Times New Roman" w:hAnsi="Times New Roman"/>
                <w:bCs/>
                <w:sz w:val="24"/>
                <w:szCs w:val="24"/>
              </w:rPr>
            </w:pPr>
            <w:bookmarkStart w:id="58" w:name="_Toc322687882"/>
            <w:bookmarkEnd w:id="52"/>
            <w:r>
              <w:rPr>
                <w:rFonts w:ascii="Times New Roman" w:hAnsi="Times New Roman"/>
                <w:bCs/>
                <w:sz w:val="24"/>
                <w:szCs w:val="24"/>
              </w:rPr>
              <w:lastRenderedPageBreak/>
              <w:t>{0270;0010}</w:t>
            </w:r>
          </w:p>
        </w:tc>
        <w:tc>
          <w:tcPr>
            <w:tcW w:w="7620" w:type="dxa"/>
          </w:tcPr>
          <w:p w14:paraId="056E429E" w14:textId="1C4A54EB"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Инвестиции в публичния сектор — Вземания от централни правителства — Счетоводна балансова стойност</w:t>
            </w:r>
          </w:p>
          <w:p w14:paraId="62173A01" w14:textId="7BC7EE77" w:rsidR="00474B43" w:rsidRDefault="00142881"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Когато институцията е публична кредитна институция за развитие, счетоводната балансова стойност, по приложимата счетоводна уредба, на активите, които представляват вземания от централни правителства във връзка с инвестиции в публичния сектор. </w:t>
            </w:r>
          </w:p>
          <w:p w14:paraId="4B86F17F" w14:textId="318E21E8" w:rsidR="00142881" w:rsidRPr="000B66BC" w:rsidRDefault="007A5EF2"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Взимат се предвид и счетоводните балансови стойности на дадена институция, която се третира от компетентен орган като публична кредитна институция за развитие в съответствие с член 429а, параграф 2, последна алинея от РКИ.</w:t>
            </w:r>
          </w:p>
        </w:tc>
      </w:tr>
      <w:tr w:rsidR="00142881" w:rsidRPr="00E75BB8" w14:paraId="65A561BA" w14:textId="77777777" w:rsidTr="003B3824">
        <w:tc>
          <w:tcPr>
            <w:tcW w:w="1418" w:type="dxa"/>
          </w:tcPr>
          <w:p w14:paraId="6E6645F9" w14:textId="7051B924"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{0280;0010}</w:t>
            </w:r>
          </w:p>
        </w:tc>
        <w:tc>
          <w:tcPr>
            <w:tcW w:w="7620" w:type="dxa"/>
          </w:tcPr>
          <w:p w14:paraId="64975C56" w14:textId="4DD757EC"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Инвестиции в публичния сектор — Вземания от регионални правителства — Счетоводна балансова стойност</w:t>
            </w:r>
          </w:p>
          <w:p w14:paraId="13E2AB70" w14:textId="21F74962"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Когато институцията е публична кредитна институция за развитие, счетоводната балансова стойност, по приложимата счетоводна уредба, на активите, които представляват вземания от регионални правителства във връзка с инвестиции в публичния сектор. </w:t>
            </w:r>
          </w:p>
          <w:p w14:paraId="440096C8" w14:textId="4D2E5EED"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Взимат се предвид и счетоводните балансови стойности на дадена институция, която се третира от компетентен орган като публична кредитна институция за развитие в съответствие с член 429а, параграф 2, последна алинея от РКИ.</w:t>
            </w:r>
          </w:p>
        </w:tc>
      </w:tr>
      <w:tr w:rsidR="00142881" w:rsidRPr="00E75BB8" w14:paraId="178B01CC" w14:textId="77777777" w:rsidTr="003B3824">
        <w:tc>
          <w:tcPr>
            <w:tcW w:w="1418" w:type="dxa"/>
          </w:tcPr>
          <w:p w14:paraId="14A30C11" w14:textId="09FC39C8"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{0290;0010}</w:t>
            </w:r>
          </w:p>
        </w:tc>
        <w:tc>
          <w:tcPr>
            <w:tcW w:w="7620" w:type="dxa"/>
          </w:tcPr>
          <w:p w14:paraId="4E12A671" w14:textId="20EE5DA6" w:rsidR="00142881" w:rsidRPr="000B66BC" w:rsidRDefault="00142881"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Инвестиции в публичния сектор — Вземания от местни органи на власт — Счетоводна балансова стойност</w:t>
            </w:r>
          </w:p>
          <w:p w14:paraId="1993F59B" w14:textId="77777777"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Когато институцията е публична кредитна институция за развитие, счетоводната балансова стойност, по приложимата счетоводна уредба, на активите, които представляват вземания от местни органи на власт във връзка с инвестиции в публичния сектор.</w:t>
            </w:r>
          </w:p>
          <w:p w14:paraId="3AEC5523" w14:textId="32E213BF"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Взимат се предвид и счетоводните балансови стойности на дадена институция, която се третира от компетентен орган като публична кредитна институция за развитие в съответствие с член 429а, параграф 2, последна алинея от РКИ.</w:t>
            </w:r>
          </w:p>
        </w:tc>
      </w:tr>
      <w:tr w:rsidR="00142881" w:rsidRPr="00E75BB8" w14:paraId="6B4A4FFD" w14:textId="77777777" w:rsidTr="003B3824">
        <w:tc>
          <w:tcPr>
            <w:tcW w:w="1418" w:type="dxa"/>
          </w:tcPr>
          <w:p w14:paraId="4AD0C008" w14:textId="06F13C4A" w:rsidR="00142881" w:rsidRPr="000B66BC" w:rsidRDefault="00142881" w:rsidP="000B66BC">
            <w:pPr>
              <w:pStyle w:val="BodyText1"/>
              <w:spacing w:after="240"/>
              <w:rPr>
                <w:rFonts w:ascii="Times New Roman" w:hAnsi="Times New Roman"/>
                <w:bCs/>
                <w:sz w:val="24"/>
                <w:szCs w:val="24"/>
              </w:rPr>
            </w:pPr>
            <w:r>
              <w:rPr>
                <w:rFonts w:ascii="Times New Roman" w:hAnsi="Times New Roman"/>
                <w:bCs/>
                <w:sz w:val="24"/>
                <w:szCs w:val="24"/>
              </w:rPr>
              <w:t>{0300;0010}</w:t>
            </w:r>
          </w:p>
        </w:tc>
        <w:tc>
          <w:tcPr>
            <w:tcW w:w="7620" w:type="dxa"/>
          </w:tcPr>
          <w:p w14:paraId="00BE052E" w14:textId="3ADFA117" w:rsidR="00142881" w:rsidRPr="000B66BC" w:rsidRDefault="00142881"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Инвестиции в публичния сектор — Вземания от субекти от публичния сектор — Счетоводна балансова стойност</w:t>
            </w:r>
          </w:p>
          <w:p w14:paraId="4C818D07" w14:textId="23446733" w:rsidR="006E4F4E" w:rsidRDefault="00142881"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Когато институцията е публична кредитна институция за развитие, счетоводната балансова стойност, по приложимата счетоводна уредба, </w:t>
            </w:r>
            <w:r>
              <w:rPr>
                <w:rFonts w:ascii="Times New Roman" w:hAnsi="Times New Roman"/>
                <w:bCs/>
                <w:sz w:val="24"/>
                <w:szCs w:val="24"/>
              </w:rPr>
              <w:lastRenderedPageBreak/>
              <w:t>на активите, които представляват вземания от субекти от публичния сектор във връзка с инвестиции в публичния сектор.</w:t>
            </w:r>
          </w:p>
          <w:p w14:paraId="7115C598" w14:textId="32973285" w:rsidR="00142881" w:rsidRPr="000B66BC" w:rsidRDefault="007A5EF2"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Взимат се предвид и счетоводните балансови стойности на подразделението на дадена институция, която се третира от компетентен орган като публична кредитна институция за развитие в съответствие с член 429а, параграф 2, последна алинея от РКИ.</w:t>
            </w:r>
          </w:p>
        </w:tc>
      </w:tr>
      <w:tr w:rsidR="00D126C3" w:rsidRPr="00E75BB8" w14:paraId="5655180E" w14:textId="77777777" w:rsidTr="00D126C3">
        <w:tc>
          <w:tcPr>
            <w:tcW w:w="1418" w:type="dxa"/>
            <w:tcBorders>
              <w:top w:val="single" w:sz="4" w:space="0" w:color="auto"/>
              <w:left w:val="single" w:sz="4" w:space="0" w:color="auto"/>
              <w:bottom w:val="single" w:sz="4" w:space="0" w:color="auto"/>
              <w:right w:val="single" w:sz="4" w:space="0" w:color="auto"/>
            </w:tcBorders>
          </w:tcPr>
          <w:p w14:paraId="3373E0CF" w14:textId="68555762"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lastRenderedPageBreak/>
              <w:t>{0310;0010}</w:t>
            </w:r>
          </w:p>
        </w:tc>
        <w:tc>
          <w:tcPr>
            <w:tcW w:w="7620" w:type="dxa"/>
            <w:tcBorders>
              <w:top w:val="single" w:sz="4" w:space="0" w:color="auto"/>
              <w:left w:val="single" w:sz="4" w:space="0" w:color="auto"/>
              <w:bottom w:val="single" w:sz="4" w:space="0" w:color="auto"/>
              <w:right w:val="single" w:sz="4" w:space="0" w:color="auto"/>
            </w:tcBorders>
          </w:tcPr>
          <w:p w14:paraId="0E650077" w14:textId="4AFA1485"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Насърчителни заеми — Вземания от централни правителства — Счетоводна балансова стойност</w:t>
            </w:r>
          </w:p>
          <w:p w14:paraId="23369FCD" w14:textId="74E86023" w:rsidR="006E4F4E"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Когато институцията е публична кредитна институция за развитие, счетоводната балансова стойност, по приложимата счетоводна уредба, на активите, които представляват вземания от централни правителства във връзка с насърчителни заеми. </w:t>
            </w:r>
          </w:p>
          <w:p w14:paraId="57D9B72D" w14:textId="5104929D" w:rsidR="00D126C3" w:rsidRPr="000B66BC" w:rsidRDefault="00D126C3" w:rsidP="006E4F4E">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Взимат се предвид и счетоводните балансови стойности на подразделението на дадена институция, която се третира от компетентен орган като публична кредитна институция за развитие в съответствие с член 429а, параграф 2, последна алинея от РКИ.</w:t>
            </w:r>
          </w:p>
        </w:tc>
      </w:tr>
      <w:tr w:rsidR="001E5A9A" w:rsidRPr="00E75BB8" w14:paraId="31EDB1F9" w14:textId="77777777" w:rsidTr="00E631B4">
        <w:tc>
          <w:tcPr>
            <w:tcW w:w="1418" w:type="dxa"/>
          </w:tcPr>
          <w:p w14:paraId="1988C1B5" w14:textId="4DEDEE5A" w:rsidR="001E5A9A" w:rsidRPr="000B66BC" w:rsidRDefault="001E5A9A" w:rsidP="000B66BC">
            <w:pPr>
              <w:pStyle w:val="BodyText1"/>
              <w:spacing w:after="240"/>
              <w:rPr>
                <w:rFonts w:ascii="Times New Roman" w:hAnsi="Times New Roman"/>
                <w:bCs/>
                <w:sz w:val="24"/>
                <w:szCs w:val="24"/>
              </w:rPr>
            </w:pPr>
            <w:r>
              <w:rPr>
                <w:rFonts w:ascii="Times New Roman" w:hAnsi="Times New Roman"/>
                <w:bCs/>
                <w:sz w:val="24"/>
                <w:szCs w:val="24"/>
              </w:rPr>
              <w:t>{0310;0070}</w:t>
            </w:r>
          </w:p>
        </w:tc>
        <w:tc>
          <w:tcPr>
            <w:tcW w:w="7620" w:type="dxa"/>
          </w:tcPr>
          <w:p w14:paraId="63C478B7" w14:textId="76F217EB" w:rsidR="001E5A9A" w:rsidRPr="000B66BC" w:rsidRDefault="001E5A9A"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Насърчителни заеми — Вземания от централни правителства — Условна стойност/номинална стойност</w:t>
            </w:r>
          </w:p>
          <w:p w14:paraId="7A0E36C1" w14:textId="77777777" w:rsidR="006E4F4E" w:rsidRDefault="001E5A9A" w:rsidP="000B66BC">
            <w:pPr>
              <w:pStyle w:val="BodyText1"/>
              <w:spacing w:after="240" w:line="240" w:lineRule="auto"/>
              <w:rPr>
                <w:rFonts w:ascii="Times New Roman" w:hAnsi="Times New Roman"/>
                <w:bCs/>
                <w:sz w:val="24"/>
                <w:szCs w:val="24"/>
              </w:rPr>
            </w:pPr>
            <w:r>
              <w:rPr>
                <w:rFonts w:ascii="Times New Roman" w:hAnsi="Times New Roman"/>
                <w:bCs/>
                <w:sz w:val="24"/>
                <w:szCs w:val="24"/>
              </w:rPr>
              <w:t>Когато институцията е публична кредитна институция за развитие, номиналната стойност на задбалансовите позиции във връзка с неусвоената част от насърчителните заеми, отпуснати на централни правителства.</w:t>
            </w:r>
          </w:p>
          <w:p w14:paraId="60CCF55C" w14:textId="65935CC3" w:rsidR="001E5A9A" w:rsidRPr="000B66BC" w:rsidRDefault="001E5A9A" w:rsidP="006E4F4E">
            <w:pPr>
              <w:pStyle w:val="BodyText1"/>
              <w:spacing w:after="240" w:line="240" w:lineRule="auto"/>
              <w:rPr>
                <w:rFonts w:ascii="Times New Roman" w:hAnsi="Times New Roman"/>
                <w:b/>
                <w:bCs/>
                <w:sz w:val="24"/>
                <w:szCs w:val="24"/>
              </w:rPr>
            </w:pPr>
            <w:r>
              <w:rPr>
                <w:rFonts w:ascii="Times New Roman" w:hAnsi="Times New Roman"/>
                <w:bCs/>
                <w:sz w:val="24"/>
                <w:szCs w:val="24"/>
              </w:rPr>
              <w:t>Взимат се предвид и номиналните стойности на подразделението на дадена институция, която се третира от компетентен орган като публична кредитна институция за развитие в съответствие с член 429а, параграф 2, последна алинея от РКИ.</w:t>
            </w:r>
          </w:p>
        </w:tc>
      </w:tr>
      <w:tr w:rsidR="00D126C3" w:rsidRPr="00E75BB8" w14:paraId="4CD3F0D4" w14:textId="77777777" w:rsidTr="00D126C3">
        <w:tc>
          <w:tcPr>
            <w:tcW w:w="1418" w:type="dxa"/>
            <w:tcBorders>
              <w:top w:val="single" w:sz="4" w:space="0" w:color="auto"/>
              <w:left w:val="single" w:sz="4" w:space="0" w:color="auto"/>
              <w:bottom w:val="single" w:sz="4" w:space="0" w:color="auto"/>
              <w:right w:val="single" w:sz="4" w:space="0" w:color="auto"/>
            </w:tcBorders>
          </w:tcPr>
          <w:p w14:paraId="06D17859" w14:textId="476A44FC"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{0320;0010}</w:t>
            </w:r>
          </w:p>
        </w:tc>
        <w:tc>
          <w:tcPr>
            <w:tcW w:w="7620" w:type="dxa"/>
            <w:tcBorders>
              <w:top w:val="single" w:sz="4" w:space="0" w:color="auto"/>
              <w:left w:val="single" w:sz="4" w:space="0" w:color="auto"/>
              <w:bottom w:val="single" w:sz="4" w:space="0" w:color="auto"/>
              <w:right w:val="single" w:sz="4" w:space="0" w:color="auto"/>
            </w:tcBorders>
          </w:tcPr>
          <w:p w14:paraId="5AEC1E03" w14:textId="67E09130" w:rsidR="00D126C3" w:rsidRPr="000B66BC" w:rsidRDefault="003B79B4"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Насърчителни заеми — Вземания от регионални правителства — Счетоводна балансова стойност</w:t>
            </w:r>
          </w:p>
          <w:p w14:paraId="23DFAEA6" w14:textId="77777777" w:rsidR="006E4F4E" w:rsidRDefault="00D126C3" w:rsidP="006E4F4E">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Когато институцията е публична кредитна институция за развитие, счетоводната балансова стойност, по приложимата счетоводна уредба, на активите, които представляват вземания от регионални правителства във връзка с насърчителни заеми.</w:t>
            </w:r>
          </w:p>
          <w:p w14:paraId="5822DF0E" w14:textId="16DA8EF0"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Взимат се предвид и счетоводните балансови стойности на подразделението на дадена институция, която се третира от компетентен орган като публична кредитна институция за развитие в съответствие с член 429а, параграф 2, последна алинея от РКИ.</w:t>
            </w:r>
          </w:p>
        </w:tc>
      </w:tr>
      <w:tr w:rsidR="001943A2" w:rsidRPr="00E75BB8" w14:paraId="44874BFB" w14:textId="77777777" w:rsidTr="00E631B4">
        <w:tc>
          <w:tcPr>
            <w:tcW w:w="1418" w:type="dxa"/>
          </w:tcPr>
          <w:p w14:paraId="79CADF8F" w14:textId="0B21C100"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{0320;0070}</w:t>
            </w:r>
          </w:p>
        </w:tc>
        <w:tc>
          <w:tcPr>
            <w:tcW w:w="7620" w:type="dxa"/>
          </w:tcPr>
          <w:p w14:paraId="5C83E384" w14:textId="76BED22D"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Насърчителни заеми — Вземания от регионални правителства — Условна стойност/номинална стойност</w:t>
            </w:r>
          </w:p>
          <w:p w14:paraId="645C841D" w14:textId="1E4EDCB5" w:rsidR="006918E9" w:rsidRDefault="001943A2"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Когато институцията е публична кредитна институция за развитие, номиналната стойност на задбалансовите позиции във връзка с неусвоената част от насърчителните заеми, отпуснати на регионални правителства.</w:t>
            </w:r>
          </w:p>
          <w:p w14:paraId="2D66318A" w14:textId="19721B69" w:rsidR="000A486B"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Взимат се предвид и номиналните стойности на подразделението на дадена институция, която се третира от компетентен орган като публична кредитна институция за развитие в съответствие с член 429а, параграф 2, последна алинея от РКИ.</w:t>
            </w:r>
          </w:p>
        </w:tc>
      </w:tr>
      <w:tr w:rsidR="00D126C3" w:rsidRPr="00E75BB8" w14:paraId="31B79207" w14:textId="77777777" w:rsidTr="00D126C3">
        <w:tc>
          <w:tcPr>
            <w:tcW w:w="1418" w:type="dxa"/>
            <w:tcBorders>
              <w:top w:val="single" w:sz="4" w:space="0" w:color="auto"/>
              <w:left w:val="single" w:sz="4" w:space="0" w:color="auto"/>
              <w:bottom w:val="single" w:sz="4" w:space="0" w:color="auto"/>
              <w:right w:val="single" w:sz="4" w:space="0" w:color="auto"/>
            </w:tcBorders>
          </w:tcPr>
          <w:p w14:paraId="157AB5A7" w14:textId="6C4B4A9D"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lastRenderedPageBreak/>
              <w:t>{0330;0010}</w:t>
            </w:r>
          </w:p>
        </w:tc>
        <w:tc>
          <w:tcPr>
            <w:tcW w:w="7620" w:type="dxa"/>
            <w:tcBorders>
              <w:top w:val="single" w:sz="4" w:space="0" w:color="auto"/>
              <w:left w:val="single" w:sz="4" w:space="0" w:color="auto"/>
              <w:bottom w:val="single" w:sz="4" w:space="0" w:color="auto"/>
              <w:right w:val="single" w:sz="4" w:space="0" w:color="auto"/>
            </w:tcBorders>
          </w:tcPr>
          <w:p w14:paraId="10A9D422" w14:textId="267967C6"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Насърчителни заеми — Вземания от местни органи на власт — Счетоводна балансова стойност</w:t>
            </w:r>
          </w:p>
          <w:p w14:paraId="04327041" w14:textId="6CF71B42" w:rsidR="006918E9" w:rsidRDefault="00D126C3"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Когато институцията е публична кредитна институция за развитие, счетоводната балансова стойност, по приложимата счетоводна уредба, на активите, които представляват вземания от местни органи на власт във връзка с насърчителни заеми.</w:t>
            </w:r>
          </w:p>
          <w:p w14:paraId="3B5B1EC0" w14:textId="304F0DBC"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Взимат се предвид и счетоводните балансови стойности на подразделението на дадена институция, която се третира от компетентен орган като публична кредитна институция за развитие в съответствие с член 429а, параграф 2, последна алинея от РКИ.</w:t>
            </w:r>
          </w:p>
        </w:tc>
      </w:tr>
      <w:tr w:rsidR="001943A2" w:rsidRPr="00E75BB8" w14:paraId="0ABE486A" w14:textId="77777777" w:rsidTr="00E631B4">
        <w:tc>
          <w:tcPr>
            <w:tcW w:w="1418" w:type="dxa"/>
          </w:tcPr>
          <w:p w14:paraId="6A69EE0F" w14:textId="4A68D204"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t>{0330;0070}</w:t>
            </w:r>
          </w:p>
        </w:tc>
        <w:tc>
          <w:tcPr>
            <w:tcW w:w="7620" w:type="dxa"/>
          </w:tcPr>
          <w:p w14:paraId="0211D136" w14:textId="747BD7FE"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Насърчителни заеми — Вземания от местни органи на власт — Условна стойност/номинална стойност</w:t>
            </w:r>
          </w:p>
          <w:p w14:paraId="38BCF0DC" w14:textId="6D975688" w:rsidR="006918E9" w:rsidRDefault="001943A2" w:rsidP="000B66BC">
            <w:pPr>
              <w:pStyle w:val="BodyText1"/>
              <w:spacing w:after="240" w:line="240" w:lineRule="auto"/>
              <w:rPr>
                <w:rFonts w:ascii="Times New Roman" w:hAnsi="Times New Roman"/>
                <w:bCs/>
                <w:sz w:val="24"/>
                <w:szCs w:val="24"/>
              </w:rPr>
            </w:pPr>
            <w:r>
              <w:rPr>
                <w:rFonts w:ascii="Times New Roman" w:hAnsi="Times New Roman"/>
                <w:bCs/>
                <w:sz w:val="24"/>
                <w:szCs w:val="24"/>
              </w:rPr>
              <w:t>Когато институцията е публична кредитна институция за развитие, номиналната стойност на задбалансовите позиции във връзка с неусвоената част от насърчителните заеми, отпуснати на местни органи на власт.</w:t>
            </w:r>
          </w:p>
          <w:p w14:paraId="4054A803" w14:textId="7D1F66F0" w:rsidR="001943A2" w:rsidRPr="000B66BC" w:rsidRDefault="001943A2"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Взимат се предвид и номиналните стойности на подразделението на дадена институция, която се третира от компетентен орган като публична кредитна институция за развитие в съответствие с член 429а, параграф 2, последна алинея от РКИ.</w:t>
            </w:r>
          </w:p>
        </w:tc>
      </w:tr>
      <w:tr w:rsidR="00D126C3" w:rsidRPr="00E75BB8" w14:paraId="7024E473" w14:textId="77777777" w:rsidTr="00D126C3">
        <w:tc>
          <w:tcPr>
            <w:tcW w:w="1418" w:type="dxa"/>
            <w:tcBorders>
              <w:top w:val="single" w:sz="4" w:space="0" w:color="auto"/>
              <w:left w:val="single" w:sz="4" w:space="0" w:color="auto"/>
              <w:bottom w:val="single" w:sz="4" w:space="0" w:color="auto"/>
              <w:right w:val="single" w:sz="4" w:space="0" w:color="auto"/>
            </w:tcBorders>
          </w:tcPr>
          <w:p w14:paraId="40ECBC43" w14:textId="4FD45966"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t>{0340;0010}</w:t>
            </w:r>
          </w:p>
        </w:tc>
        <w:tc>
          <w:tcPr>
            <w:tcW w:w="7620" w:type="dxa"/>
            <w:tcBorders>
              <w:top w:val="single" w:sz="4" w:space="0" w:color="auto"/>
              <w:left w:val="single" w:sz="4" w:space="0" w:color="auto"/>
              <w:bottom w:val="single" w:sz="4" w:space="0" w:color="auto"/>
              <w:right w:val="single" w:sz="4" w:space="0" w:color="auto"/>
            </w:tcBorders>
          </w:tcPr>
          <w:p w14:paraId="5AA9403F" w14:textId="5A0EBB01" w:rsidR="00D126C3" w:rsidRPr="000B66BC" w:rsidRDefault="00D126C3"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Насърчителни заеми — Вземания от субекти от публичния сектор — Счетоводна балансова стойност</w:t>
            </w:r>
          </w:p>
          <w:p w14:paraId="01C18437" w14:textId="77777777" w:rsidR="006918E9" w:rsidRDefault="00D126C3" w:rsidP="006918E9">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Когато институцията е публична кредитна институция за развитие, счетоводната балансова стойност, по приложимата счетоводна уредба, на активите, които представляват вземания от субекти от публичния сектор във връзка с насърчителни заеми.</w:t>
            </w:r>
          </w:p>
          <w:p w14:paraId="271873F2" w14:textId="69D63A33" w:rsidR="00D126C3" w:rsidRPr="000B66BC" w:rsidRDefault="00D126C3"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Взимат се предвид и счетоводните балансови стойности на подразделението на дадена институция, която се третира от компетентен орган като публична кредитна институция за развитие в съответствие с член 429а, параграф 2, последна алинея от РКИ.</w:t>
            </w:r>
          </w:p>
        </w:tc>
      </w:tr>
      <w:tr w:rsidR="001943A2" w:rsidRPr="00E75BB8" w14:paraId="5E7DDD36" w14:textId="77777777" w:rsidTr="00E631B4">
        <w:tc>
          <w:tcPr>
            <w:tcW w:w="1418" w:type="dxa"/>
          </w:tcPr>
          <w:p w14:paraId="525D124D" w14:textId="765B9FDB" w:rsidR="001943A2" w:rsidRPr="000B66BC" w:rsidRDefault="001943A2" w:rsidP="000B66BC">
            <w:pPr>
              <w:pStyle w:val="BodyText1"/>
              <w:spacing w:after="240"/>
              <w:rPr>
                <w:rFonts w:ascii="Times New Roman" w:hAnsi="Times New Roman"/>
                <w:bCs/>
                <w:sz w:val="24"/>
                <w:szCs w:val="24"/>
              </w:rPr>
            </w:pPr>
            <w:r>
              <w:rPr>
                <w:rFonts w:ascii="Times New Roman" w:hAnsi="Times New Roman"/>
                <w:bCs/>
                <w:sz w:val="24"/>
                <w:szCs w:val="24"/>
              </w:rPr>
              <w:lastRenderedPageBreak/>
              <w:t>{0340;0070}</w:t>
            </w:r>
          </w:p>
        </w:tc>
        <w:tc>
          <w:tcPr>
            <w:tcW w:w="7620" w:type="dxa"/>
          </w:tcPr>
          <w:p w14:paraId="6383FA4C" w14:textId="78CEFFA7" w:rsidR="001943A2" w:rsidRPr="000B66BC" w:rsidRDefault="001943A2"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Насърчителни заеми — Вземания от субекти от публичния сектор — Условна стойност/номинална стойност</w:t>
            </w:r>
          </w:p>
          <w:p w14:paraId="5C047141" w14:textId="77777777" w:rsidR="006918E9" w:rsidRDefault="001943A2" w:rsidP="006918E9">
            <w:pPr>
              <w:pStyle w:val="BodyText1"/>
              <w:spacing w:after="240" w:line="240" w:lineRule="auto"/>
              <w:rPr>
                <w:rFonts w:ascii="Times New Roman" w:hAnsi="Times New Roman"/>
                <w:bCs/>
                <w:sz w:val="24"/>
                <w:szCs w:val="24"/>
              </w:rPr>
            </w:pPr>
            <w:r>
              <w:rPr>
                <w:rFonts w:ascii="Times New Roman" w:hAnsi="Times New Roman"/>
                <w:bCs/>
                <w:sz w:val="24"/>
                <w:szCs w:val="24"/>
              </w:rPr>
              <w:t>Когато институцията е публична кредитна институция за развитие, номиналната стойност на задбалансовите позиции във връзка с неусвоената част от насърчителните заеми, отпуснати на субекти от публичния сектор.</w:t>
            </w:r>
          </w:p>
          <w:p w14:paraId="28AF0C76" w14:textId="43B760BA" w:rsidR="001943A2" w:rsidRPr="000B66BC" w:rsidRDefault="001943A2"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Взимат се предвид и номиналните стойности на подразделението на дадена институция, която се третира от компетентен орган като публична кредитна институция за развитие в съответствие с член 429а, параграф 2, последна алинея от РКИ.</w:t>
            </w:r>
          </w:p>
        </w:tc>
      </w:tr>
      <w:tr w:rsidR="00462408" w:rsidRPr="00E75BB8" w14:paraId="29DF5E7A" w14:textId="77777777" w:rsidTr="00E631B4">
        <w:tc>
          <w:tcPr>
            <w:tcW w:w="1418" w:type="dxa"/>
          </w:tcPr>
          <w:p w14:paraId="1D9C525C" w14:textId="680B64DF"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{0350;0010}</w:t>
            </w:r>
          </w:p>
        </w:tc>
        <w:tc>
          <w:tcPr>
            <w:tcW w:w="7620" w:type="dxa"/>
          </w:tcPr>
          <w:p w14:paraId="3CAFC6DC" w14:textId="096127A3"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Насърчителни заеми — Вземания от нефинансови предприятия — Счетоводна балансова стойност</w:t>
            </w:r>
          </w:p>
          <w:p w14:paraId="38EC1D3F"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bCs/>
                <w:sz w:val="24"/>
                <w:szCs w:val="24"/>
              </w:rPr>
              <w:t>Когато институцията е публична кредитна институция за развитие, счетоводната балансова стойност, по приложимата счетоводна уредба, на активите, които представляват вземания от нефинансови предприятия във връзка с насърчителни заеми.</w:t>
            </w:r>
          </w:p>
          <w:p w14:paraId="6BF179ED" w14:textId="2C4CB2A0"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Взимат се предвид и счетоводните балансови стойности на подразделението на дадена институция, която се третира от компетентен орган като публична кредитна институция за развитие в съответствие с член 429а, параграф 2, последна алинея от РКИ.</w:t>
            </w:r>
          </w:p>
        </w:tc>
      </w:tr>
      <w:tr w:rsidR="00A7136D" w:rsidRPr="00E75BB8" w14:paraId="12870EEF" w14:textId="77777777" w:rsidTr="00E631B4">
        <w:tc>
          <w:tcPr>
            <w:tcW w:w="1418" w:type="dxa"/>
          </w:tcPr>
          <w:p w14:paraId="79383F04" w14:textId="29554F65" w:rsidR="00A7136D" w:rsidRPr="000B66BC" w:rsidRDefault="00A7136D" w:rsidP="000B66BC">
            <w:pPr>
              <w:pStyle w:val="BodyText1"/>
              <w:spacing w:after="240"/>
              <w:rPr>
                <w:rFonts w:ascii="Times New Roman" w:hAnsi="Times New Roman"/>
                <w:bCs/>
                <w:sz w:val="24"/>
                <w:szCs w:val="24"/>
              </w:rPr>
            </w:pPr>
            <w:r>
              <w:rPr>
                <w:rFonts w:ascii="Times New Roman" w:hAnsi="Times New Roman"/>
                <w:bCs/>
                <w:sz w:val="24"/>
                <w:szCs w:val="24"/>
              </w:rPr>
              <w:t>{0350;0070}</w:t>
            </w:r>
          </w:p>
        </w:tc>
        <w:tc>
          <w:tcPr>
            <w:tcW w:w="7620" w:type="dxa"/>
          </w:tcPr>
          <w:p w14:paraId="26540368" w14:textId="2C1D23F7" w:rsidR="00A7136D" w:rsidRPr="000B66BC" w:rsidRDefault="00A7136D"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Насърчителни заеми — Вземания от нефинансови предприятия — Условна стойност/номинална стойност</w:t>
            </w:r>
          </w:p>
          <w:p w14:paraId="054BF407" w14:textId="212AEBBD" w:rsidR="00A7136D" w:rsidRPr="000B66BC" w:rsidRDefault="00A7136D" w:rsidP="000B66BC">
            <w:pPr>
              <w:pStyle w:val="BodyText1"/>
              <w:spacing w:after="240" w:line="240" w:lineRule="auto"/>
              <w:rPr>
                <w:rFonts w:ascii="Times New Roman" w:hAnsi="Times New Roman"/>
                <w:bCs/>
                <w:sz w:val="24"/>
                <w:szCs w:val="24"/>
              </w:rPr>
            </w:pPr>
            <w:r>
              <w:rPr>
                <w:rFonts w:ascii="Times New Roman" w:hAnsi="Times New Roman"/>
                <w:bCs/>
                <w:sz w:val="24"/>
                <w:szCs w:val="24"/>
              </w:rPr>
              <w:t>Когато институцията е публична кредитна институция за развитие, номиналната стойност на задбалансовите позиции във връзка с неусвоената част от насърчителните заеми, отпуснати на нефинансови предприятия.</w:t>
            </w:r>
          </w:p>
          <w:p w14:paraId="41A92F44" w14:textId="7D39B959" w:rsidR="00A7136D" w:rsidRPr="000B66BC" w:rsidRDefault="00A7136D"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Взимат се предвид и номиналните стойности на подразделението на дадена институция, която се третира от компетентен орган като публична кредитна институция за развитие в съответствие с член 429а, параграф 2, последна алинея от РКИ.</w:t>
            </w:r>
          </w:p>
        </w:tc>
      </w:tr>
      <w:tr w:rsidR="00462408" w:rsidRPr="00E75BB8" w14:paraId="1F6E7CB4" w14:textId="77777777" w:rsidTr="00E631B4">
        <w:tc>
          <w:tcPr>
            <w:tcW w:w="1418" w:type="dxa"/>
          </w:tcPr>
          <w:p w14:paraId="6254A862" w14:textId="004992BC"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{0360;0010}</w:t>
            </w:r>
          </w:p>
        </w:tc>
        <w:tc>
          <w:tcPr>
            <w:tcW w:w="7620" w:type="dxa"/>
          </w:tcPr>
          <w:p w14:paraId="1C554FC7" w14:textId="1F3CBF52" w:rsidR="00462408" w:rsidRPr="000B66BC" w:rsidRDefault="00462408"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Насърчителни заеми — Вземания от домакинства — Счетоводна балансова стойност</w:t>
            </w:r>
          </w:p>
          <w:p w14:paraId="55D67008" w14:textId="77777777" w:rsidR="006918E9" w:rsidRDefault="00462408" w:rsidP="006918E9">
            <w:pPr>
              <w:pStyle w:val="BodyText1"/>
              <w:spacing w:after="240" w:line="240" w:lineRule="auto"/>
              <w:rPr>
                <w:rFonts w:ascii="Times New Roman" w:hAnsi="Times New Roman"/>
                <w:bCs/>
                <w:sz w:val="24"/>
                <w:szCs w:val="24"/>
              </w:rPr>
            </w:pPr>
            <w:r>
              <w:rPr>
                <w:rFonts w:ascii="Times New Roman" w:hAnsi="Times New Roman"/>
                <w:bCs/>
                <w:sz w:val="24"/>
                <w:szCs w:val="24"/>
              </w:rPr>
              <w:t>Когато институцията е публична кредитна институция за развитие, счетоводната балансова стойност, по приложимата счетоводна уредба, на активите, които представляват вземания от домакинства във връзка с насърчителни заеми.</w:t>
            </w:r>
          </w:p>
          <w:p w14:paraId="77B96BEE" w14:textId="794E8F25"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 xml:space="preserve">Взимат се предвид и счетоводните балансови стойности на подразделението на дадена институция, която се третира от компетентен </w:t>
            </w:r>
            <w:r>
              <w:rPr>
                <w:rFonts w:ascii="Times New Roman" w:hAnsi="Times New Roman"/>
                <w:bCs/>
                <w:sz w:val="24"/>
                <w:szCs w:val="24"/>
              </w:rPr>
              <w:lastRenderedPageBreak/>
              <w:t>орган като публична кредитна институция за развитие в съответствие с член 429а, параграф 2, последна алинея от РКИ.</w:t>
            </w:r>
          </w:p>
        </w:tc>
      </w:tr>
      <w:tr w:rsidR="00D126C3" w:rsidRPr="00E75BB8" w14:paraId="18F55D0D" w14:textId="77777777" w:rsidTr="00E631B4">
        <w:tc>
          <w:tcPr>
            <w:tcW w:w="1418" w:type="dxa"/>
          </w:tcPr>
          <w:p w14:paraId="6CB2C6F3" w14:textId="0D17F3B9" w:rsidR="00D126C3" w:rsidRPr="000B66BC" w:rsidRDefault="00D126C3" w:rsidP="000B66BC">
            <w:pPr>
              <w:pStyle w:val="BodyText1"/>
              <w:spacing w:after="240"/>
              <w:rPr>
                <w:rFonts w:ascii="Times New Roman" w:hAnsi="Times New Roman"/>
                <w:bCs/>
                <w:sz w:val="24"/>
                <w:szCs w:val="24"/>
              </w:rPr>
            </w:pPr>
            <w:r>
              <w:rPr>
                <w:rFonts w:ascii="Times New Roman" w:hAnsi="Times New Roman"/>
                <w:bCs/>
                <w:sz w:val="24"/>
                <w:szCs w:val="24"/>
              </w:rPr>
              <w:lastRenderedPageBreak/>
              <w:t>{0360;0070}</w:t>
            </w:r>
          </w:p>
        </w:tc>
        <w:tc>
          <w:tcPr>
            <w:tcW w:w="7620" w:type="dxa"/>
          </w:tcPr>
          <w:p w14:paraId="5FFB5CC5" w14:textId="0AFA9088" w:rsidR="00D126C3" w:rsidRPr="000B66BC" w:rsidRDefault="00D126C3" w:rsidP="000B66BC">
            <w:pPr>
              <w:pStyle w:val="BodyText1"/>
              <w:tabs>
                <w:tab w:val="left" w:pos="4755"/>
              </w:tabs>
              <w:spacing w:after="240" w:line="240" w:lineRule="auto"/>
              <w:rPr>
                <w:rFonts w:ascii="Times New Roman" w:hAnsi="Times New Roman"/>
                <w:color w:val="auto"/>
                <w:sz w:val="24"/>
                <w:szCs w:val="24"/>
              </w:rPr>
            </w:pPr>
            <w:r>
              <w:rPr>
                <w:rFonts w:ascii="Times New Roman" w:hAnsi="Times New Roman"/>
                <w:b/>
                <w:bCs/>
                <w:sz w:val="24"/>
                <w:szCs w:val="24"/>
              </w:rPr>
              <w:t>Насърчителни заеми — Вземания от домакинства — Условна стойност/номинална стойност</w:t>
            </w:r>
          </w:p>
          <w:p w14:paraId="5C098B17" w14:textId="561EFEA4" w:rsidR="00D126C3" w:rsidRPr="000B66BC" w:rsidRDefault="00D126C3" w:rsidP="000B66BC">
            <w:pPr>
              <w:pStyle w:val="BodyText1"/>
              <w:spacing w:after="240" w:line="240" w:lineRule="auto"/>
              <w:rPr>
                <w:rFonts w:ascii="Times New Roman" w:hAnsi="Times New Roman"/>
                <w:bCs/>
                <w:sz w:val="24"/>
                <w:szCs w:val="24"/>
              </w:rPr>
            </w:pPr>
            <w:r>
              <w:rPr>
                <w:rFonts w:ascii="Times New Roman" w:hAnsi="Times New Roman"/>
                <w:bCs/>
                <w:sz w:val="24"/>
                <w:szCs w:val="24"/>
              </w:rPr>
              <w:t>Когато институцията е публична кредитна институция за развитие, номиналната стойност на задбалансовите позиции във връзка с неусвоената част от насърчителните заеми, отпуснати на домакинства.</w:t>
            </w:r>
          </w:p>
          <w:p w14:paraId="635041B3" w14:textId="7B16BC5F" w:rsidR="00D126C3" w:rsidRPr="000B66BC" w:rsidRDefault="00D126C3"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Взимат се предвид и номиналните стойности на подразделението на дадена институция, която се третира от компетентен орган като публична кредитна институция за развитие в съответствие с член 429а, параграф 2, последна алинея от РКИ.</w:t>
            </w:r>
          </w:p>
        </w:tc>
      </w:tr>
      <w:tr w:rsidR="00462408" w:rsidRPr="00E75BB8" w14:paraId="44E1C677" w14:textId="77777777" w:rsidTr="00E631B4">
        <w:tc>
          <w:tcPr>
            <w:tcW w:w="1418" w:type="dxa"/>
          </w:tcPr>
          <w:p w14:paraId="17FF7A37" w14:textId="4D384D9C" w:rsidR="00462408" w:rsidRPr="000B66BC" w:rsidRDefault="00462408" w:rsidP="000B66BC">
            <w:pPr>
              <w:pStyle w:val="BodyText1"/>
              <w:spacing w:after="240"/>
              <w:rPr>
                <w:rFonts w:ascii="Times New Roman" w:hAnsi="Times New Roman"/>
                <w:bCs/>
                <w:sz w:val="24"/>
                <w:szCs w:val="24"/>
              </w:rPr>
            </w:pPr>
            <w:r>
              <w:rPr>
                <w:rFonts w:ascii="Times New Roman" w:hAnsi="Times New Roman"/>
                <w:bCs/>
                <w:sz w:val="24"/>
                <w:szCs w:val="24"/>
              </w:rPr>
              <w:t>{0370;0010}</w:t>
            </w:r>
          </w:p>
        </w:tc>
        <w:tc>
          <w:tcPr>
            <w:tcW w:w="7620" w:type="dxa"/>
          </w:tcPr>
          <w:p w14:paraId="3F005630" w14:textId="77777777" w:rsidR="00462408" w:rsidRPr="000B66BC" w:rsidRDefault="0046240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Насърчителни заеми — Прехвърляне — Счетоводна балансова стойност</w:t>
            </w:r>
          </w:p>
          <w:p w14:paraId="77AE875C" w14:textId="77777777" w:rsidR="006918E9" w:rsidRDefault="00462408" w:rsidP="006918E9">
            <w:pPr>
              <w:pStyle w:val="BodyText1"/>
              <w:spacing w:after="240" w:line="240" w:lineRule="auto"/>
              <w:rPr>
                <w:rFonts w:ascii="Times New Roman" w:hAnsi="Times New Roman"/>
                <w:color w:val="auto"/>
                <w:sz w:val="24"/>
                <w:szCs w:val="24"/>
              </w:rPr>
            </w:pPr>
            <w:r>
              <w:rPr>
                <w:rFonts w:ascii="Times New Roman" w:hAnsi="Times New Roman"/>
                <w:bCs/>
                <w:sz w:val="24"/>
                <w:szCs w:val="24"/>
              </w:rPr>
              <w:t>Когато институцията е публична кредитна институция за развитие, счетоводната балансова стойност, по приложимата счетоводна уредба, на прехвърлените насърчителни заеми, когато насърчителните заеми не са отпуснати от самата институция.</w:t>
            </w:r>
          </w:p>
          <w:p w14:paraId="13D74794" w14:textId="2A0E0A51" w:rsidR="00462408" w:rsidRPr="000B66BC" w:rsidRDefault="00462408"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Взимат се предвид и счетоводните балансови стойности на подразделението на дадена институция, която се третира от компетентен орган като публична кредитна институция за развитие в съответствие с член 429а, параграф 2, последна алинея от РКИ.</w:t>
            </w:r>
          </w:p>
        </w:tc>
      </w:tr>
      <w:tr w:rsidR="004A107B" w:rsidRPr="00E75BB8" w14:paraId="09331359" w14:textId="77777777" w:rsidTr="00E631B4">
        <w:tc>
          <w:tcPr>
            <w:tcW w:w="1418" w:type="dxa"/>
          </w:tcPr>
          <w:p w14:paraId="073777C0" w14:textId="772CDEDA" w:rsidR="004A107B" w:rsidRPr="000B66BC" w:rsidRDefault="004A107B" w:rsidP="000B66BC">
            <w:pPr>
              <w:pStyle w:val="BodyText1"/>
              <w:spacing w:after="240"/>
              <w:rPr>
                <w:rFonts w:ascii="Times New Roman" w:hAnsi="Times New Roman"/>
                <w:bCs/>
                <w:sz w:val="24"/>
                <w:szCs w:val="24"/>
                <w:highlight w:val="yellow"/>
              </w:rPr>
            </w:pPr>
            <w:r>
              <w:rPr>
                <w:rFonts w:ascii="Times New Roman" w:hAnsi="Times New Roman"/>
                <w:bCs/>
                <w:sz w:val="24"/>
                <w:szCs w:val="24"/>
              </w:rPr>
              <w:t>{0370;0070}</w:t>
            </w:r>
          </w:p>
        </w:tc>
        <w:tc>
          <w:tcPr>
            <w:tcW w:w="7620" w:type="dxa"/>
          </w:tcPr>
          <w:p w14:paraId="0CA54233" w14:textId="2370225D" w:rsidR="004A107B" w:rsidRPr="000B66BC" w:rsidRDefault="004A107B"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Насърчителни заеми — Прехвърляне — Условна стойност/номинална стойност</w:t>
            </w:r>
          </w:p>
          <w:p w14:paraId="67DCF513" w14:textId="77777777" w:rsidR="006918E9" w:rsidRDefault="004A107B" w:rsidP="006918E9">
            <w:pPr>
              <w:pStyle w:val="BodyText1"/>
              <w:spacing w:after="240" w:line="240" w:lineRule="auto"/>
              <w:rPr>
                <w:rFonts w:ascii="Times New Roman" w:hAnsi="Times New Roman"/>
                <w:color w:val="auto"/>
                <w:sz w:val="24"/>
                <w:szCs w:val="24"/>
              </w:rPr>
            </w:pPr>
            <w:r>
              <w:rPr>
                <w:rFonts w:ascii="Times New Roman" w:hAnsi="Times New Roman"/>
                <w:bCs/>
                <w:sz w:val="24"/>
                <w:szCs w:val="24"/>
              </w:rPr>
              <w:t>Когато институцията е публична кредитна институция за развитие, номиналната стойност на задбалансовите позиции във връзка с неусвоената част от прехвърлените насърчителни заеми, когато насърчителните заеми не са отпуснати от самата институция.</w:t>
            </w:r>
          </w:p>
          <w:p w14:paraId="75F9BF76" w14:textId="0F97AE35" w:rsidR="004A107B" w:rsidRPr="000B66BC" w:rsidRDefault="0033642B" w:rsidP="006918E9">
            <w:pPr>
              <w:pStyle w:val="BodyText1"/>
              <w:spacing w:after="240" w:line="240" w:lineRule="auto"/>
              <w:rPr>
                <w:rFonts w:ascii="Times New Roman" w:hAnsi="Times New Roman"/>
                <w:b/>
                <w:bCs/>
                <w:sz w:val="24"/>
                <w:szCs w:val="24"/>
              </w:rPr>
            </w:pPr>
            <w:r>
              <w:rPr>
                <w:rFonts w:ascii="Times New Roman" w:hAnsi="Times New Roman"/>
                <w:bCs/>
                <w:sz w:val="24"/>
                <w:szCs w:val="24"/>
              </w:rPr>
              <w:t>Взимат се предвид и номиналните стойности на подразделението на дадена институция, която се третира от компетентен орган като публична кредитна институция за развитие в съответствие с член 429а, параграф 2, последна алинея от РКИ.</w:t>
            </w:r>
          </w:p>
        </w:tc>
      </w:tr>
      <w:tr w:rsidR="00703CC2" w:rsidRPr="00E75BB8" w14:paraId="5432666E" w14:textId="77777777" w:rsidTr="000C01E8">
        <w:tc>
          <w:tcPr>
            <w:tcW w:w="1418" w:type="dxa"/>
            <w:tcBorders>
              <w:top w:val="single" w:sz="4" w:space="0" w:color="auto"/>
              <w:left w:val="single" w:sz="4" w:space="0" w:color="auto"/>
              <w:bottom w:val="single" w:sz="4" w:space="0" w:color="auto"/>
              <w:right w:val="single" w:sz="4" w:space="0" w:color="auto"/>
            </w:tcBorders>
          </w:tcPr>
          <w:p w14:paraId="17AAFB29" w14:textId="23478B5E" w:rsidR="00703CC2" w:rsidRPr="000B66BC" w:rsidRDefault="007F3838" w:rsidP="000B66BC">
            <w:pPr>
              <w:pStyle w:val="BodyText1"/>
              <w:spacing w:after="240"/>
              <w:rPr>
                <w:rFonts w:ascii="Times New Roman" w:hAnsi="Times New Roman"/>
                <w:bCs/>
                <w:sz w:val="24"/>
                <w:szCs w:val="24"/>
              </w:rPr>
            </w:pPr>
            <w:r>
              <w:rPr>
                <w:rFonts w:ascii="Times New Roman" w:hAnsi="Times New Roman"/>
                <w:bCs/>
                <w:sz w:val="24"/>
                <w:szCs w:val="24"/>
              </w:rPr>
              <w:t>{0380;0010}</w:t>
            </w:r>
          </w:p>
        </w:tc>
        <w:tc>
          <w:tcPr>
            <w:tcW w:w="7620" w:type="dxa"/>
            <w:tcBorders>
              <w:top w:val="single" w:sz="4" w:space="0" w:color="auto"/>
              <w:left w:val="single" w:sz="4" w:space="0" w:color="auto"/>
              <w:bottom w:val="single" w:sz="4" w:space="0" w:color="auto"/>
              <w:right w:val="single" w:sz="4" w:space="0" w:color="auto"/>
            </w:tcBorders>
          </w:tcPr>
          <w:p w14:paraId="6B9DA2BC" w14:textId="0B7E2413" w:rsidR="00703CC2" w:rsidRPr="000B66BC" w:rsidRDefault="00703CC2"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Експозиции към централни банки — Счетоводна балансова стойност</w:t>
            </w:r>
          </w:p>
          <w:p w14:paraId="68FD6F4B" w14:textId="013AB044" w:rsidR="007F3838"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 xml:space="preserve">Институциите докладват в съответствие с приложимата счетоводна уредба стойността на следните експозиции към централната банка на институцията: i) монети и банкноти, които представляват законна валута в юрисдикцията на централната банка; ii) активи, представляващи </w:t>
            </w:r>
            <w:r>
              <w:rPr>
                <w:rFonts w:ascii="Times New Roman" w:hAnsi="Times New Roman"/>
                <w:bCs/>
                <w:sz w:val="24"/>
                <w:szCs w:val="24"/>
              </w:rPr>
              <w:lastRenderedPageBreak/>
              <w:t>вземания от централната банка, включително резерви, депозирани в централната банка.</w:t>
            </w:r>
          </w:p>
          <w:p w14:paraId="6DEE1984" w14:textId="4388DF7E" w:rsidR="009F67E9" w:rsidRPr="000B66BC" w:rsidRDefault="007F383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Институциите включват само експозициите, които отговарят на следните две условия: а) деноминирани са в същата валута като депозитите, привличани от институцията; б) средният им срок до падежа не надвишава значително средния срок до падежа на депозитите, привличани от институцията.</w:t>
            </w:r>
          </w:p>
          <w:p w14:paraId="1572123D" w14:textId="74F2C6DA" w:rsidR="007F3838" w:rsidRPr="000B66BC" w:rsidRDefault="009F67E9" w:rsidP="000B66BC">
            <w:pPr>
              <w:pStyle w:val="BodyText1"/>
              <w:spacing w:after="240" w:line="240" w:lineRule="auto"/>
              <w:rPr>
                <w:rFonts w:ascii="Times New Roman" w:hAnsi="Times New Roman"/>
                <w:b/>
                <w:bCs/>
                <w:sz w:val="24"/>
                <w:szCs w:val="24"/>
              </w:rPr>
            </w:pPr>
            <w:r>
              <w:rPr>
                <w:rFonts w:ascii="Times New Roman" w:hAnsi="Times New Roman"/>
                <w:sz w:val="24"/>
                <w:szCs w:val="24"/>
              </w:rPr>
              <w:t>Институциите докладват тези експозиции независимо от това дали са освободени от мярката за общата експозиция съгласно член 429а, параграфи 5 и 6 от РКИ.</w:t>
            </w:r>
          </w:p>
        </w:tc>
      </w:tr>
      <w:tr w:rsidR="00086398" w:rsidRPr="00E75BB8" w14:paraId="2FC50208" w14:textId="77777777" w:rsidTr="00086398">
        <w:tc>
          <w:tcPr>
            <w:tcW w:w="1418" w:type="dxa"/>
            <w:tcBorders>
              <w:top w:val="single" w:sz="4" w:space="0" w:color="auto"/>
              <w:left w:val="single" w:sz="4" w:space="0" w:color="auto"/>
              <w:bottom w:val="single" w:sz="4" w:space="0" w:color="auto"/>
              <w:right w:val="single" w:sz="4" w:space="0" w:color="auto"/>
            </w:tcBorders>
          </w:tcPr>
          <w:p w14:paraId="035C2019"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bCs/>
                <w:sz w:val="24"/>
                <w:szCs w:val="24"/>
              </w:rPr>
              <w:lastRenderedPageBreak/>
              <w:t>{0390;0140}</w:t>
            </w:r>
          </w:p>
        </w:tc>
        <w:tc>
          <w:tcPr>
            <w:tcW w:w="7620" w:type="dxa"/>
            <w:tcBorders>
              <w:top w:val="single" w:sz="4" w:space="0" w:color="auto"/>
              <w:left w:val="single" w:sz="4" w:space="0" w:color="auto"/>
              <w:bottom w:val="single" w:sz="4" w:space="0" w:color="auto"/>
              <w:right w:val="single" w:sz="4" w:space="0" w:color="auto"/>
            </w:tcBorders>
          </w:tcPr>
          <w:p w14:paraId="61B3D8C3" w14:textId="20C39BF3"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Стойност на експозициите към централни банки, използвана за изчисляване на изискването за коригирано отношение на ливъридж, посочено в член 429а, параграф 7 от РКИ — Размер на експозицията с оглед на отношението на ливъридж</w:t>
            </w:r>
          </w:p>
          <w:p w14:paraId="0EDC2D5D" w14:textId="0B426B68"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Среднодневната обща стойност на експозициите на институцията към нейната централна банка, изчислена за целия период на поддържане на резервите в централната банка, непосредствено предшестващ датата, посочена в член 429a, параграф 5, буква в) от РКИ, които отговарят на условията за изключване в съответствие с член 429a, параграф 1, буква н) от РКИ.</w:t>
            </w:r>
          </w:p>
        </w:tc>
      </w:tr>
      <w:tr w:rsidR="00086398" w:rsidRPr="00E75BB8" w14:paraId="49595092" w14:textId="77777777" w:rsidTr="00086398">
        <w:tc>
          <w:tcPr>
            <w:tcW w:w="1418" w:type="dxa"/>
            <w:tcBorders>
              <w:top w:val="single" w:sz="4" w:space="0" w:color="auto"/>
              <w:left w:val="single" w:sz="4" w:space="0" w:color="auto"/>
              <w:bottom w:val="single" w:sz="4" w:space="0" w:color="auto"/>
              <w:right w:val="single" w:sz="4" w:space="0" w:color="auto"/>
            </w:tcBorders>
          </w:tcPr>
          <w:p w14:paraId="33EBBE0E" w14:textId="77777777" w:rsidR="00086398" w:rsidRPr="000B66BC" w:rsidRDefault="00086398" w:rsidP="000B66BC">
            <w:pPr>
              <w:pStyle w:val="BodyText1"/>
              <w:spacing w:after="240"/>
              <w:rPr>
                <w:rFonts w:ascii="Times New Roman" w:hAnsi="Times New Roman"/>
                <w:bCs/>
                <w:sz w:val="24"/>
                <w:szCs w:val="24"/>
              </w:rPr>
            </w:pPr>
            <w:r>
              <w:rPr>
                <w:rFonts w:ascii="Times New Roman" w:hAnsi="Times New Roman"/>
                <w:bCs/>
                <w:sz w:val="24"/>
                <w:szCs w:val="24"/>
              </w:rPr>
              <w:t>{0400;0140}</w:t>
            </w:r>
          </w:p>
        </w:tc>
        <w:tc>
          <w:tcPr>
            <w:tcW w:w="7620" w:type="dxa"/>
            <w:tcBorders>
              <w:top w:val="single" w:sz="4" w:space="0" w:color="auto"/>
              <w:left w:val="single" w:sz="4" w:space="0" w:color="auto"/>
              <w:bottom w:val="single" w:sz="4" w:space="0" w:color="auto"/>
              <w:right w:val="single" w:sz="4" w:space="0" w:color="auto"/>
            </w:tcBorders>
          </w:tcPr>
          <w:p w14:paraId="78B454B7" w14:textId="0E1F3C1E" w:rsidR="00DD51E7" w:rsidRPr="000B66BC" w:rsidRDefault="00DD51E7"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Мярка за експозиция с оглед на отношението на ливъридж, използвана за изчисляване на изискването за коригирано отношение на ливъридж, посочено в член 429а, параграф 7 от РКИ — Размер на експозицията с оглед на отношението на ливъридж</w:t>
            </w:r>
          </w:p>
          <w:p w14:paraId="7F49B2B2" w14:textId="4B127234" w:rsidR="000A486B" w:rsidRPr="000B66BC" w:rsidRDefault="00DD51E7" w:rsidP="006918E9">
            <w:pPr>
              <w:pStyle w:val="BodyText1"/>
              <w:tabs>
                <w:tab w:val="left" w:pos="4755"/>
              </w:tabs>
              <w:spacing w:after="240" w:line="240" w:lineRule="auto"/>
              <w:rPr>
                <w:rFonts w:ascii="Times New Roman" w:hAnsi="Times New Roman"/>
                <w:b/>
                <w:bCs/>
                <w:sz w:val="24"/>
                <w:szCs w:val="24"/>
              </w:rPr>
            </w:pPr>
            <w:r>
              <w:rPr>
                <w:rFonts w:ascii="Times New Roman" w:hAnsi="Times New Roman"/>
                <w:bCs/>
                <w:sz w:val="24"/>
                <w:szCs w:val="24"/>
              </w:rPr>
              <w:t>Мярката за общата експозиция на институцията, както е определена в член 429, параграф 4 от РКИ, включително експозициите, които са изключени съгласно член 429, параграф 1, буква н) от РКИ, на посочената в член 429а, параграф 5, буква в) от РКИ дата.</w:t>
            </w:r>
          </w:p>
        </w:tc>
      </w:tr>
      <w:tr w:rsidR="000C01E8" w:rsidRPr="00E75BB8" w14:paraId="2AF78942" w14:textId="77777777" w:rsidTr="000C01E8">
        <w:tc>
          <w:tcPr>
            <w:tcW w:w="1418" w:type="dxa"/>
            <w:tcBorders>
              <w:top w:val="single" w:sz="4" w:space="0" w:color="auto"/>
              <w:left w:val="single" w:sz="4" w:space="0" w:color="auto"/>
              <w:bottom w:val="single" w:sz="4" w:space="0" w:color="auto"/>
              <w:right w:val="single" w:sz="4" w:space="0" w:color="auto"/>
            </w:tcBorders>
          </w:tcPr>
          <w:p w14:paraId="09A1ECA9" w14:textId="5DFC5643" w:rsidR="000C01E8" w:rsidRPr="000B66BC" w:rsidRDefault="000C01E8" w:rsidP="000B66BC">
            <w:pPr>
              <w:pStyle w:val="BodyText1"/>
              <w:spacing w:after="240"/>
              <w:rPr>
                <w:rFonts w:ascii="Times New Roman" w:hAnsi="Times New Roman"/>
                <w:bCs/>
                <w:sz w:val="24"/>
                <w:szCs w:val="24"/>
              </w:rPr>
            </w:pPr>
            <w:r>
              <w:rPr>
                <w:rFonts w:ascii="Times New Roman" w:hAnsi="Times New Roman"/>
                <w:bCs/>
                <w:sz w:val="24"/>
                <w:szCs w:val="24"/>
              </w:rPr>
              <w:t>{0410;0010}</w:t>
            </w:r>
          </w:p>
        </w:tc>
        <w:tc>
          <w:tcPr>
            <w:tcW w:w="7620" w:type="dxa"/>
            <w:tcBorders>
              <w:top w:val="single" w:sz="4" w:space="0" w:color="auto"/>
              <w:left w:val="single" w:sz="4" w:space="0" w:color="auto"/>
              <w:bottom w:val="single" w:sz="4" w:space="0" w:color="auto"/>
              <w:right w:val="single" w:sz="4" w:space="0" w:color="auto"/>
            </w:tcBorders>
          </w:tcPr>
          <w:p w14:paraId="2400C592" w14:textId="77777777" w:rsidR="000C01E8" w:rsidRPr="000B66BC" w:rsidRDefault="000C01E8" w:rsidP="000B66BC">
            <w:pPr>
              <w:pStyle w:val="BodyText1"/>
              <w:tabs>
                <w:tab w:val="left" w:pos="4755"/>
              </w:tabs>
              <w:spacing w:after="240" w:line="240" w:lineRule="auto"/>
              <w:rPr>
                <w:rFonts w:ascii="Times New Roman" w:hAnsi="Times New Roman"/>
                <w:b/>
                <w:bCs/>
                <w:sz w:val="24"/>
                <w:szCs w:val="24"/>
              </w:rPr>
            </w:pPr>
            <w:r>
              <w:rPr>
                <w:rFonts w:ascii="Times New Roman" w:hAnsi="Times New Roman"/>
                <w:b/>
                <w:bCs/>
                <w:sz w:val="24"/>
                <w:szCs w:val="24"/>
              </w:rPr>
              <w:t xml:space="preserve">Общо активи </w:t>
            </w:r>
          </w:p>
          <w:p w14:paraId="6B941506" w14:textId="67257FB8" w:rsidR="00086398" w:rsidRPr="000B66BC" w:rsidRDefault="000C01E8" w:rsidP="000B66BC">
            <w:pPr>
              <w:pStyle w:val="BodyText1"/>
              <w:tabs>
                <w:tab w:val="left" w:pos="4755"/>
              </w:tabs>
              <w:spacing w:after="240" w:line="240" w:lineRule="auto"/>
              <w:rPr>
                <w:rFonts w:ascii="Times New Roman" w:hAnsi="Times New Roman"/>
                <w:bCs/>
                <w:sz w:val="24"/>
                <w:szCs w:val="24"/>
              </w:rPr>
            </w:pPr>
            <w:r>
              <w:rPr>
                <w:rFonts w:ascii="Times New Roman" w:hAnsi="Times New Roman"/>
                <w:bCs/>
                <w:sz w:val="24"/>
                <w:szCs w:val="24"/>
              </w:rPr>
              <w:t>Институциите докладват в тази позиция общите активи според обхвата, използван в публикуваните финансови отчети.</w:t>
            </w:r>
          </w:p>
        </w:tc>
      </w:tr>
    </w:tbl>
    <w:p w14:paraId="03B5554A" w14:textId="77777777" w:rsidR="00462408" w:rsidRPr="000B66BC" w:rsidRDefault="00462408" w:rsidP="000B66BC">
      <w:pPr>
        <w:pStyle w:val="BodyText1"/>
        <w:spacing w:after="240"/>
        <w:rPr>
          <w:rFonts w:ascii="Times New Roman" w:hAnsi="Times New Roman"/>
          <w:b/>
          <w:sz w:val="24"/>
          <w:szCs w:val="24"/>
        </w:rPr>
      </w:pPr>
      <w:bookmarkStart w:id="59" w:name="_Toc338669922"/>
      <w:bookmarkStart w:id="60" w:name="_Toc338669923"/>
      <w:bookmarkStart w:id="61" w:name="_Toc338669924"/>
      <w:bookmarkStart w:id="62" w:name="_Toc338669925"/>
      <w:bookmarkStart w:id="63" w:name="_Toc338669926"/>
      <w:bookmarkStart w:id="64" w:name="_Toc338669927"/>
      <w:bookmarkStart w:id="65" w:name="_Toc338669928"/>
      <w:bookmarkEnd w:id="59"/>
      <w:bookmarkEnd w:id="60"/>
      <w:bookmarkEnd w:id="61"/>
      <w:bookmarkEnd w:id="62"/>
      <w:bookmarkEnd w:id="63"/>
      <w:bookmarkEnd w:id="64"/>
      <w:bookmarkEnd w:id="65"/>
    </w:p>
    <w:p w14:paraId="5E95AFC7" w14:textId="71198216" w:rsidR="00217D1F" w:rsidRPr="000B66BC" w:rsidRDefault="005F4574" w:rsidP="000B66BC">
      <w:pPr>
        <w:pStyle w:val="BodyText1"/>
        <w:spacing w:after="240"/>
        <w:ind w:left="357" w:hanging="357"/>
        <w:outlineLvl w:val="1"/>
        <w:rPr>
          <w:rFonts w:ascii="Times New Roman" w:hAnsi="Times New Roman"/>
          <w:b/>
          <w:sz w:val="24"/>
          <w:szCs w:val="24"/>
        </w:rPr>
      </w:pPr>
      <w:bookmarkStart w:id="66" w:name="_Toc338669914"/>
      <w:bookmarkStart w:id="67" w:name="_Toc338669915"/>
      <w:bookmarkStart w:id="68" w:name="_Toc338669918"/>
      <w:bookmarkStart w:id="69" w:name="_Toc322687900"/>
      <w:bookmarkStart w:id="70" w:name="_Toc351048510"/>
      <w:bookmarkStart w:id="71" w:name="_Toc359414289"/>
      <w:bookmarkStart w:id="72" w:name="_Toc423089074"/>
      <w:bookmarkStart w:id="73" w:name="_Toc58840525"/>
      <w:bookmarkStart w:id="74" w:name="_Toc322533879"/>
      <w:bookmarkEnd w:id="58"/>
      <w:bookmarkEnd w:id="66"/>
      <w:bookmarkEnd w:id="67"/>
      <w:bookmarkEnd w:id="68"/>
      <w:r>
        <w:rPr>
          <w:rFonts w:ascii="Times New Roman" w:hAnsi="Times New Roman"/>
          <w:b/>
          <w:sz w:val="24"/>
          <w:szCs w:val="24"/>
        </w:rPr>
        <w:t>5.</w:t>
      </w:r>
      <w:r>
        <w:tab/>
      </w:r>
      <w:r>
        <w:rPr>
          <w:rFonts w:ascii="Times New Roman" w:hAnsi="Times New Roman"/>
          <w:b/>
          <w:sz w:val="24"/>
          <w:szCs w:val="24"/>
        </w:rPr>
        <w:t>C 43.00 – Алтернативна разбивка на компонентите на мярката за експозицията с оглед на отношението на ливъридж</w:t>
      </w:r>
      <w:bookmarkEnd w:id="69"/>
      <w:bookmarkEnd w:id="70"/>
      <w:bookmarkEnd w:id="71"/>
      <w:r>
        <w:rPr>
          <w:rFonts w:ascii="Times New Roman" w:hAnsi="Times New Roman"/>
          <w:b/>
          <w:sz w:val="24"/>
          <w:szCs w:val="24"/>
        </w:rPr>
        <w:t xml:space="preserve"> (LR4)</w:t>
      </w:r>
      <w:bookmarkEnd w:id="72"/>
      <w:bookmarkEnd w:id="73"/>
    </w:p>
    <w:p w14:paraId="28B96BA9" w14:textId="5AF52E0B" w:rsidR="004E437E" w:rsidRPr="000B66BC" w:rsidRDefault="00500508" w:rsidP="000B66BC">
      <w:pPr>
        <w:pStyle w:val="BodyText1"/>
        <w:spacing w:after="240"/>
        <w:ind w:left="720" w:hanging="360"/>
        <w:rPr>
          <w:rFonts w:ascii="Times New Roman" w:hAnsi="Times New Roman"/>
          <w:sz w:val="24"/>
          <w:szCs w:val="24"/>
        </w:rPr>
      </w:pPr>
      <w:r>
        <w:rPr>
          <w:rFonts w:ascii="Times New Roman" w:hAnsi="Times New Roman"/>
          <w:sz w:val="24"/>
          <w:szCs w:val="24"/>
        </w:rPr>
        <w:t>24.</w:t>
      </w:r>
      <w:r>
        <w:tab/>
      </w:r>
      <w:r>
        <w:rPr>
          <w:rFonts w:ascii="Times New Roman" w:hAnsi="Times New Roman"/>
          <w:sz w:val="24"/>
          <w:szCs w:val="24"/>
        </w:rPr>
        <w:t>Институциите докладват стойностите на експозицията с оглед на отношението на ливъридж в LR4 след прилагането на освобождаванията и приспаданията в образец LRCalc, т.е. позициите с отрицателен знак в съответствие с установените практики при използването на знаци в част I, параграф 9 от настоящото приложение, с изключение на редове {0270;0010} {0280;0010}</w:t>
      </w:r>
    </w:p>
    <w:p w14:paraId="69B9194E" w14:textId="636E268C" w:rsidR="00A54449" w:rsidRPr="000B66BC" w:rsidRDefault="00500508"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lastRenderedPageBreak/>
        <w:t>25.</w:t>
      </w:r>
      <w:r>
        <w:tab/>
      </w:r>
      <w:r>
        <w:rPr>
          <w:rFonts w:ascii="Times New Roman" w:hAnsi="Times New Roman"/>
          <w:sz w:val="24"/>
          <w:szCs w:val="24"/>
        </w:rPr>
        <w:t>С цел избягване на двойно отчитане институциите прилагат следната формула:</w:t>
      </w:r>
    </w:p>
    <w:p w14:paraId="6C63F05C" w14:textId="680D603A" w:rsidR="00F4754B" w:rsidRPr="000B66BC" w:rsidRDefault="00287E34"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 xml:space="preserve"> </w:t>
      </w:r>
      <w:r>
        <w:tab/>
      </w:r>
      <w:r>
        <w:rPr>
          <w:rFonts w:ascii="Times New Roman" w:hAnsi="Times New Roman"/>
          <w:sz w:val="24"/>
          <w:szCs w:val="24"/>
        </w:rPr>
        <w:t>Сборът от всички редове от {0010; 0010}</w:t>
      </w:r>
      <w:r>
        <w:rPr>
          <w:rFonts w:ascii="Times New Roman" w:hAnsi="Times New Roman"/>
          <w:bCs/>
          <w:sz w:val="24"/>
          <w:szCs w:val="24"/>
        </w:rPr>
        <w:t xml:space="preserve"> до </w:t>
      </w:r>
      <w:r>
        <w:rPr>
          <w:rFonts w:ascii="Times New Roman" w:hAnsi="Times New Roman"/>
          <w:sz w:val="24"/>
          <w:szCs w:val="24"/>
        </w:rPr>
        <w:t>{0</w:t>
      </w:r>
      <w:r>
        <w:rPr>
          <w:rFonts w:ascii="Times New Roman" w:hAnsi="Times New Roman"/>
          <w:bCs/>
          <w:sz w:val="24"/>
          <w:szCs w:val="24"/>
        </w:rPr>
        <w:t>267;</w:t>
      </w:r>
      <w:r>
        <w:rPr>
          <w:rFonts w:ascii="Times New Roman" w:hAnsi="Times New Roman"/>
          <w:sz w:val="24"/>
          <w:szCs w:val="24"/>
        </w:rPr>
        <w:t>0010}</w:t>
      </w:r>
      <w:r>
        <w:rPr>
          <w:rFonts w:ascii="Times New Roman" w:hAnsi="Times New Roman"/>
          <w:bCs/>
          <w:sz w:val="24"/>
          <w:szCs w:val="24"/>
        </w:rPr>
        <w:t xml:space="preserve"> в обра LRCalc трябва да е равен на</w:t>
      </w:r>
      <w:r>
        <w:rPr>
          <w:rFonts w:ascii="Times New Roman" w:hAnsi="Times New Roman"/>
          <w:sz w:val="24"/>
          <w:szCs w:val="24"/>
        </w:rPr>
        <w:t xml:space="preserve"> = [{LR4;0010;0010} + {LR4;0040;0010} + {LR4;0050;0010} + {LR4;0060;0010} + {LR4;0065;0010} + {LR4;0070;0010} + {LR4;0080;0010} + {LR40;080;0020} + {LR4;0090;0010} + {LR4;00090;0020} + {LR4;0140;0010} + {LR4;0140;0020} + {LR4;0180;0010} + {LR4;0180;0020} + {LR4;190;0010} + {LR4;0190;0020} + {LR4;0210;0010} + {LR4;0210;0020} + {LR4;0230;0010} + {LR4;0230;0020} + {LR4;0280;0010} + {LR4;0280;0020} + {LR4;0290;0010} + {LR4;0290;0020}].</w:t>
      </w:r>
    </w:p>
    <w:p w14:paraId="5BDC94CE" w14:textId="5304C6DC" w:rsidR="00675587" w:rsidRPr="000B66BC" w:rsidRDefault="00143C6A" w:rsidP="000B66BC">
      <w:pPr>
        <w:pStyle w:val="BodyText1"/>
        <w:spacing w:after="240"/>
        <w:ind w:left="720" w:hanging="360"/>
        <w:rPr>
          <w:rFonts w:ascii="Times New Roman" w:hAnsi="Times New Roman"/>
          <w:sz w:val="24"/>
          <w:szCs w:val="24"/>
        </w:rPr>
      </w:pPr>
      <w:r>
        <w:rPr>
          <w:rFonts w:ascii="Times New Roman" w:hAnsi="Times New Roman"/>
          <w:sz w:val="24"/>
          <w:szCs w:val="24"/>
        </w:rPr>
        <w:t>26.</w:t>
      </w:r>
      <w:r>
        <w:tab/>
      </w:r>
      <w:r>
        <w:rPr>
          <w:rFonts w:ascii="Times New Roman" w:hAnsi="Times New Roman"/>
          <w:sz w:val="24"/>
          <w:szCs w:val="24"/>
        </w:rPr>
        <w:t>За да бъдат в съответствие със стойностите на експозицията с оглед на отношението на ливъридж, рисково претеглените размери на експозициите също се докладват в „окончателния“ им вид.</w:t>
      </w:r>
    </w:p>
    <w:p w14:paraId="794DC095" w14:textId="689BE33F" w:rsidR="003B1611" w:rsidRPr="000B66BC" w:rsidRDefault="003B1611" w:rsidP="000B66BC">
      <w:pPr>
        <w:pStyle w:val="BodyText1"/>
        <w:spacing w:after="240"/>
        <w:ind w:left="720" w:hanging="360"/>
        <w:rPr>
          <w:rFonts w:ascii="Times New Roman" w:hAnsi="Times New Roman"/>
          <w:sz w:val="24"/>
          <w:szCs w:val="24"/>
        </w:rPr>
      </w:pPr>
      <w:r>
        <w:rPr>
          <w:rFonts w:ascii="Times New Roman" w:hAnsi="Times New Roman"/>
          <w:sz w:val="24"/>
          <w:szCs w:val="24"/>
        </w:rPr>
        <w:t xml:space="preserve">27. Институциите докладват контрагента във връзка с RWEA след техниките за редуциране на кредитния риск (РКР) и техния ефект на заместване. Институциите докладват контрагента във връзка с LRE в съответствие с първоначалния контрагент, т.е. без да вземат предвид РКР или ефекта на заместване, приложим за RWEA.  </w:t>
      </w:r>
    </w:p>
    <w:tbl>
      <w:tblPr>
        <w:tblW w:w="896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firstRow="1" w:lastRow="1" w:firstColumn="1" w:lastColumn="1" w:noHBand="0" w:noVBand="0"/>
      </w:tblPr>
      <w:tblGrid>
        <w:gridCol w:w="1559"/>
        <w:gridCol w:w="7406"/>
      </w:tblGrid>
      <w:tr w:rsidR="002A54FF" w:rsidRPr="00E75BB8" w14:paraId="69CF6F62" w14:textId="77777777" w:rsidTr="000B66BC">
        <w:trPr>
          <w:trHeight w:val="297"/>
        </w:trPr>
        <w:tc>
          <w:tcPr>
            <w:tcW w:w="1559" w:type="dxa"/>
            <w:shd w:val="clear" w:color="auto" w:fill="D9D9D9" w:themeFill="background1" w:themeFillShade="D9"/>
          </w:tcPr>
          <w:p w14:paraId="5F424E32"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sz w:val="24"/>
                <w:szCs w:val="24"/>
              </w:rPr>
              <w:t>Ред и колона</w:t>
            </w:r>
          </w:p>
        </w:tc>
        <w:tc>
          <w:tcPr>
            <w:tcW w:w="7406" w:type="dxa"/>
            <w:shd w:val="clear" w:color="auto" w:fill="D9D9D9" w:themeFill="background1" w:themeFillShade="D9"/>
          </w:tcPr>
          <w:p w14:paraId="0DBEBFC4" w14:textId="77777777" w:rsidR="00F4754B" w:rsidRPr="000B66BC" w:rsidRDefault="00F4754B" w:rsidP="000B66BC">
            <w:pPr>
              <w:pStyle w:val="BodyText1"/>
              <w:spacing w:after="240"/>
              <w:rPr>
                <w:rFonts w:ascii="Times New Roman" w:hAnsi="Times New Roman"/>
                <w:b/>
                <w:bCs/>
                <w:i/>
                <w:sz w:val="24"/>
                <w:szCs w:val="24"/>
              </w:rPr>
            </w:pPr>
            <w:r>
              <w:rPr>
                <w:rFonts w:ascii="Times New Roman" w:hAnsi="Times New Roman"/>
                <w:b/>
                <w:bCs/>
                <w:sz w:val="24"/>
                <w:szCs w:val="24"/>
              </w:rPr>
              <w:t>Препратки към правни норми и указания</w:t>
            </w:r>
          </w:p>
        </w:tc>
      </w:tr>
      <w:tr w:rsidR="002A54FF" w:rsidRPr="00E75BB8" w14:paraId="7949D943" w14:textId="77777777" w:rsidTr="000B66BC">
        <w:trPr>
          <w:trHeight w:val="445"/>
        </w:trPr>
        <w:tc>
          <w:tcPr>
            <w:tcW w:w="1559" w:type="dxa"/>
            <w:shd w:val="clear" w:color="auto" w:fill="FFFFFF"/>
          </w:tcPr>
          <w:p w14:paraId="55F0F0BF" w14:textId="2E63969B"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{0010;0010}</w:t>
            </w:r>
          </w:p>
        </w:tc>
        <w:tc>
          <w:tcPr>
            <w:tcW w:w="7406" w:type="dxa"/>
            <w:shd w:val="clear" w:color="auto" w:fill="FFFFFF"/>
          </w:tcPr>
          <w:p w14:paraId="1750A9AE" w14:textId="2B686C42"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Задбалансови позиции  — Стойност на експозицията с оглед на отношението на ливъридж</w:t>
            </w:r>
          </w:p>
          <w:p w14:paraId="158DBAF4" w14:textId="79CDE72A"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Стойността на експозицията с оглед на отношението на ливъридж, изчислена като сбора на {LRCalc;0150;0010}, {LRCalc;0160;0010}, {LRCalc;0170;0010} и {LRCalc;0180;0010}, без съответните вътрешногрупови експозиции (индивидуална основа), изключени в съответствие с член 429а, параграф 1, буква в) от РКИ.</w:t>
            </w:r>
          </w:p>
        </w:tc>
      </w:tr>
      <w:tr w:rsidR="002A54FF" w:rsidRPr="00E75BB8" w14:paraId="5C714FF5" w14:textId="77777777" w:rsidTr="000B66BC">
        <w:trPr>
          <w:trHeight w:val="1179"/>
        </w:trPr>
        <w:tc>
          <w:tcPr>
            <w:tcW w:w="1559" w:type="dxa"/>
            <w:shd w:val="clear" w:color="auto" w:fill="FFFFFF"/>
          </w:tcPr>
          <w:p w14:paraId="2120C924" w14:textId="781A037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{0010;0020}</w:t>
            </w:r>
          </w:p>
        </w:tc>
        <w:tc>
          <w:tcPr>
            <w:tcW w:w="7406" w:type="dxa"/>
            <w:shd w:val="clear" w:color="auto" w:fill="FFFFFF"/>
          </w:tcPr>
          <w:p w14:paraId="01D12FD7" w14:textId="094E74CB"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Задбалансови позиции — RWEA</w:t>
            </w:r>
          </w:p>
          <w:p w14:paraId="672047D9" w14:textId="24A19AA0"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Рисково претеглената стойност на експозицията на задбалансовите позиции — с изключение на СФЦК и дериватите — по стандартизирания подход и вътрешнорейтинговия подход. </w:t>
            </w:r>
            <w:r>
              <w:rPr>
                <w:rFonts w:ascii="Times New Roman" w:hAnsi="Times New Roman"/>
                <w:sz w:val="24"/>
                <w:szCs w:val="24"/>
              </w:rPr>
              <w:t>При експозициите по стандартизирания подход институциите определят рисково претегления размер на експозициите в съответствие с глава 2, дял II, част 3 от РКИ.</w:t>
            </w:r>
            <w:r>
              <w:rPr>
                <w:rFonts w:ascii="Times New Roman" w:hAnsi="Times New Roman"/>
                <w:bCs/>
                <w:sz w:val="24"/>
                <w:szCs w:val="24"/>
              </w:rPr>
              <w:t xml:space="preserve"> </w:t>
            </w:r>
            <w:r>
              <w:rPr>
                <w:rFonts w:ascii="Times New Roman" w:hAnsi="Times New Roman"/>
                <w:sz w:val="24"/>
                <w:szCs w:val="24"/>
              </w:rPr>
              <w:t>При експозициите по вътрешнорейтинговия подход институциите определят рисково претегления размер на експозициите в съответствие с глава 3, дял II, част 3 от РКИ.</w:t>
            </w:r>
          </w:p>
        </w:tc>
      </w:tr>
      <w:tr w:rsidR="002A54FF" w:rsidRPr="00E75BB8" w14:paraId="3A2B982B" w14:textId="77777777" w:rsidTr="000B66BC">
        <w:trPr>
          <w:trHeight w:val="741"/>
        </w:trPr>
        <w:tc>
          <w:tcPr>
            <w:tcW w:w="1559" w:type="dxa"/>
            <w:shd w:val="clear" w:color="auto" w:fill="FFFFFF"/>
          </w:tcPr>
          <w:p w14:paraId="02155B13" w14:textId="2421AAB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{0020;0010}</w:t>
            </w:r>
          </w:p>
        </w:tc>
        <w:tc>
          <w:tcPr>
            <w:tcW w:w="7406" w:type="dxa"/>
            <w:shd w:val="clear" w:color="auto" w:fill="FFFFFF"/>
          </w:tcPr>
          <w:p w14:paraId="08539F0E" w14:textId="34DD4FEA"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в т.ч.: </w:t>
            </w:r>
            <w:r>
              <w:rPr>
                <w:rFonts w:ascii="Times New Roman" w:hAnsi="Times New Roman"/>
                <w:b/>
                <w:sz w:val="24"/>
                <w:szCs w:val="24"/>
              </w:rPr>
              <w:t>Търговско финансиране — Стойност на експозицията с оглед на отношението на ливъридж</w:t>
            </w:r>
          </w:p>
          <w:p w14:paraId="645ACACC" w14:textId="77777777" w:rsidR="00F21A85" w:rsidRDefault="00F4754B" w:rsidP="00F21A85">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Стойността на експозицията с оглед на отношението на ливъридж на задбалансовите позиции, свързани с търговско финансиране.</w:t>
            </w:r>
          </w:p>
          <w:p w14:paraId="133382BF" w14:textId="754E9FF1" w:rsidR="002509B1" w:rsidRPr="000B66BC" w:rsidRDefault="00F4754B" w:rsidP="00F21A85">
            <w:pPr>
              <w:pStyle w:val="BodyText1"/>
              <w:spacing w:after="240" w:line="240" w:lineRule="auto"/>
              <w:rPr>
                <w:rFonts w:ascii="Times New Roman" w:hAnsi="Times New Roman"/>
                <w:bCs/>
                <w:sz w:val="24"/>
                <w:szCs w:val="24"/>
              </w:rPr>
            </w:pPr>
            <w:r>
              <w:rPr>
                <w:rFonts w:ascii="Times New Roman" w:hAnsi="Times New Roman"/>
                <w:bCs/>
                <w:sz w:val="24"/>
                <w:szCs w:val="24"/>
              </w:rPr>
              <w:t>С оглед на докладването в LR4, „задбалансови позиции, свързани с търговско финансиране“, са издадените и потвърдени акредитиви за внос и износ, които са краткосрочни и самоликвидиращи се, както и сходните сделки.</w:t>
            </w:r>
          </w:p>
        </w:tc>
      </w:tr>
      <w:tr w:rsidR="002A54FF" w:rsidRPr="00E75BB8" w14:paraId="76EF75CF" w14:textId="77777777" w:rsidTr="000B66BC">
        <w:trPr>
          <w:trHeight w:val="1038"/>
        </w:trPr>
        <w:tc>
          <w:tcPr>
            <w:tcW w:w="1559" w:type="dxa"/>
            <w:shd w:val="clear" w:color="auto" w:fill="FFFFFF"/>
          </w:tcPr>
          <w:p w14:paraId="35797C75" w14:textId="0565FF1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{0020;0020}</w:t>
            </w:r>
          </w:p>
        </w:tc>
        <w:tc>
          <w:tcPr>
            <w:tcW w:w="7406" w:type="dxa"/>
            <w:shd w:val="clear" w:color="auto" w:fill="FFFFFF"/>
          </w:tcPr>
          <w:p w14:paraId="249BC5D0" w14:textId="48587F9F"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в т.ч.: Търговско финансиране — RWEA</w:t>
            </w:r>
          </w:p>
          <w:p w14:paraId="6D7F09A8" w14:textId="77777777" w:rsidR="006918E9" w:rsidRDefault="00F4754B" w:rsidP="006918E9">
            <w:pPr>
              <w:pStyle w:val="BodyText1"/>
              <w:spacing w:after="240" w:line="240" w:lineRule="auto"/>
              <w:rPr>
                <w:rFonts w:ascii="Times New Roman" w:hAnsi="Times New Roman"/>
                <w:bCs/>
                <w:sz w:val="24"/>
                <w:szCs w:val="24"/>
              </w:rPr>
            </w:pPr>
            <w:r>
              <w:rPr>
                <w:rFonts w:ascii="Times New Roman" w:hAnsi="Times New Roman"/>
                <w:bCs/>
                <w:sz w:val="24"/>
                <w:szCs w:val="24"/>
              </w:rPr>
              <w:t>Рисково претеглената стойност на експозицията на задбалансовите позиции — с изключение на СФЦК и дериватите — свързани с търговско финансиране.</w:t>
            </w:r>
          </w:p>
          <w:p w14:paraId="38C84AEF" w14:textId="78316124"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С оглед на докладването в LR4, „задбалансови позиции, свързани с търговско финансиране“, са издадените и потвърдени акредитиви за внос и износ, които са краткосрочни и самоликвидиращи се, както и сходните сделки.</w:t>
            </w:r>
          </w:p>
        </w:tc>
      </w:tr>
      <w:tr w:rsidR="002A54FF" w:rsidRPr="00E75BB8" w14:paraId="277256CF" w14:textId="77777777" w:rsidTr="000B66BC">
        <w:trPr>
          <w:trHeight w:val="1030"/>
        </w:trPr>
        <w:tc>
          <w:tcPr>
            <w:tcW w:w="1559" w:type="dxa"/>
            <w:shd w:val="clear" w:color="auto" w:fill="FFFFFF"/>
          </w:tcPr>
          <w:p w14:paraId="5B876EDF" w14:textId="3902F51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{0030;0010}</w:t>
            </w:r>
          </w:p>
        </w:tc>
        <w:tc>
          <w:tcPr>
            <w:tcW w:w="7406" w:type="dxa"/>
            <w:shd w:val="clear" w:color="auto" w:fill="FFFFFF"/>
          </w:tcPr>
          <w:p w14:paraId="48F51CF2" w14:textId="4EB6A65B" w:rsidR="002509B1"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в т.ч.: </w:t>
            </w:r>
            <w:r>
              <w:rPr>
                <w:rFonts w:ascii="Times New Roman" w:hAnsi="Times New Roman"/>
                <w:b/>
                <w:sz w:val="24"/>
                <w:szCs w:val="24"/>
              </w:rPr>
              <w:t>В рамките на официална схема за застраховане на експортни кредити — Стойност на експозицията с оглед на отношението на ливъридж</w:t>
            </w:r>
          </w:p>
          <w:p w14:paraId="6B70A020" w14:textId="3C72A663"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Стойността на експозицията с оглед на отношението на ливъридж на задбалансовите позиции, свързани с търговско финансиране по линия на официална схема за застраховане на експортни кредити.</w:t>
            </w:r>
          </w:p>
          <w:p w14:paraId="71BE2A86" w14:textId="52B3D7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С оглед на докладването в LR4, „официална схема за застраховане на експортни кредити“ е официалното подпомагане, предоставено от правителството или друг субект като агенция за експортно кредитиране, под формата, наред с другото, на пряко кредитиране/финансиране, рефинансиране, лихвени субсидии (където за целия срок на кредита е гарантиран фиксиран лихвен процент), финансиране по помощни програми (кредити и безвъзмездни средства), застраховане и гаранции при експортно кредитиране.</w:t>
            </w:r>
          </w:p>
        </w:tc>
      </w:tr>
      <w:tr w:rsidR="002A54FF" w:rsidRPr="00E75BB8" w14:paraId="46968C9B" w14:textId="77777777" w:rsidTr="000B66BC">
        <w:trPr>
          <w:trHeight w:val="601"/>
        </w:trPr>
        <w:tc>
          <w:tcPr>
            <w:tcW w:w="1559" w:type="dxa"/>
            <w:shd w:val="clear" w:color="auto" w:fill="FFFFFF"/>
          </w:tcPr>
          <w:p w14:paraId="68790E0D" w14:textId="23854C8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{0030;0020}</w:t>
            </w:r>
          </w:p>
        </w:tc>
        <w:tc>
          <w:tcPr>
            <w:tcW w:w="7406" w:type="dxa"/>
            <w:shd w:val="clear" w:color="auto" w:fill="FFFFFF"/>
          </w:tcPr>
          <w:p w14:paraId="071CF42C" w14:textId="4BD5D1B3" w:rsidR="00F4754B" w:rsidRPr="000B66BC" w:rsidRDefault="005E7B7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в т.ч.: В рамките на официална схема за застраховане на експортни кредити — RWEA</w:t>
            </w:r>
          </w:p>
          <w:p w14:paraId="0E7BC811" w14:textId="6F1A953F" w:rsidR="001F28E7"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Рисково претеглената стойност на експозицията на задбалансовите позиции — с изключение на СФЦК и деривати — свързани с търговско финансиране по линия на официална схема за застраховане на експортни кредити.</w:t>
            </w:r>
          </w:p>
          <w:p w14:paraId="2D3ADF55" w14:textId="478E84F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 xml:space="preserve">С оглед на докладването в LR4, „официална схема за застраховане на експортни кредити“ е официалното подпомагане, предоставено от правителството или друг субект като агенция за експортно кредитиране, под формата, наред с другото, на пряко кредитиране/финансиране, рефинансиране, лихвени субсидии (където за целия срок на кредита е гарантиран фиксиран лихвен процент), </w:t>
            </w:r>
            <w:r>
              <w:rPr>
                <w:rFonts w:ascii="Times New Roman" w:hAnsi="Times New Roman"/>
                <w:sz w:val="24"/>
                <w:szCs w:val="24"/>
              </w:rPr>
              <w:lastRenderedPageBreak/>
              <w:t>финансиране по помощни програми (кредити и безвъзмездни средства), застраховане и гаранции при експортно кредитиране.</w:t>
            </w:r>
          </w:p>
        </w:tc>
      </w:tr>
      <w:tr w:rsidR="002A54FF" w:rsidRPr="00E75BB8" w14:paraId="46D6302F" w14:textId="77777777" w:rsidTr="000B66BC">
        <w:trPr>
          <w:trHeight w:val="71"/>
        </w:trPr>
        <w:tc>
          <w:tcPr>
            <w:tcW w:w="1559" w:type="dxa"/>
            <w:shd w:val="clear" w:color="auto" w:fill="FFFFFF"/>
          </w:tcPr>
          <w:p w14:paraId="189CF026" w14:textId="3E532BF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{0040;0010}</w:t>
            </w:r>
          </w:p>
        </w:tc>
        <w:tc>
          <w:tcPr>
            <w:tcW w:w="7406" w:type="dxa"/>
            <w:shd w:val="clear" w:color="auto" w:fill="FFFFFF"/>
          </w:tcPr>
          <w:p w14:paraId="70B328B5" w14:textId="418FD16C"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Деривати и СФЦК, предмет на договорно споразумение за кръстосано нетиране на продукти — Стойност на експозицията с оглед на отношението на ливъридж</w:t>
            </w:r>
          </w:p>
          <w:p w14:paraId="04D3A7BA" w14:textId="2951A72A" w:rsidR="002509B1" w:rsidRPr="000B66BC" w:rsidRDefault="00F4754B" w:rsidP="00F21A85">
            <w:pPr>
              <w:pStyle w:val="BodyText1"/>
              <w:spacing w:after="240" w:line="240" w:lineRule="auto"/>
              <w:rPr>
                <w:rFonts w:ascii="Times New Roman" w:hAnsi="Times New Roman"/>
                <w:b/>
                <w:bCs/>
                <w:sz w:val="24"/>
                <w:szCs w:val="24"/>
                <w:u w:val="single"/>
              </w:rPr>
            </w:pPr>
            <w:r>
              <w:rPr>
                <w:rFonts w:ascii="Times New Roman" w:hAnsi="Times New Roman"/>
                <w:bCs/>
                <w:sz w:val="24"/>
                <w:szCs w:val="24"/>
              </w:rPr>
              <w:t>Стойността на експозицията с оглед на отношението на ливъридж на дериватите и СФЦК, ако са предмет на определеното в член 272, точка 25 от РКИ договорно споразумение за кръстосано нетиране на продукти.</w:t>
            </w:r>
          </w:p>
        </w:tc>
      </w:tr>
      <w:tr w:rsidR="002A54FF" w:rsidRPr="00E75BB8" w14:paraId="71AC64BB" w14:textId="77777777" w:rsidTr="000B66BC">
        <w:trPr>
          <w:trHeight w:val="71"/>
        </w:trPr>
        <w:tc>
          <w:tcPr>
            <w:tcW w:w="1559" w:type="dxa"/>
            <w:shd w:val="clear" w:color="auto" w:fill="FFFFFF"/>
          </w:tcPr>
          <w:p w14:paraId="22035BF5" w14:textId="02E9D93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{0040;0020}</w:t>
            </w:r>
          </w:p>
        </w:tc>
        <w:tc>
          <w:tcPr>
            <w:tcW w:w="7406" w:type="dxa"/>
            <w:shd w:val="clear" w:color="auto" w:fill="FFFFFF"/>
          </w:tcPr>
          <w:p w14:paraId="6A93DC52" w14:textId="5A4C870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Деривати и СФЦК, предмет на договорно споразумение за кръстосано нетиране на продукти — RWEA</w:t>
            </w:r>
          </w:p>
          <w:p w14:paraId="2D88BC4B" w14:textId="1DBA453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Рисково претеглената стойност на експозицията към кредитен риск и кредитен риск от контрагента, според изчисленията по част трета, дял II от РКИ, на дериватите и СФЦК, в т.ч. и задбалансовите, ако са предмет на определеното в член 272, точка 25 от РКИ договорно споразумение за кръстосано нетиране на продукти.</w:t>
            </w:r>
          </w:p>
        </w:tc>
      </w:tr>
      <w:tr w:rsidR="002A54FF" w:rsidRPr="00E75BB8" w14:paraId="6FAD68FE" w14:textId="77777777" w:rsidTr="000B66BC">
        <w:trPr>
          <w:trHeight w:val="71"/>
        </w:trPr>
        <w:tc>
          <w:tcPr>
            <w:tcW w:w="1559" w:type="dxa"/>
            <w:shd w:val="clear" w:color="auto" w:fill="FFFFFF"/>
          </w:tcPr>
          <w:p w14:paraId="7DA151D1" w14:textId="1DC2294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{0050;0010}</w:t>
            </w:r>
          </w:p>
        </w:tc>
        <w:tc>
          <w:tcPr>
            <w:tcW w:w="7406" w:type="dxa"/>
            <w:shd w:val="clear" w:color="auto" w:fill="FFFFFF"/>
          </w:tcPr>
          <w:p w14:paraId="37A53F91" w14:textId="1692A4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Деривати, които не са предмет на договорно споразумение за кръстосано нетиране на продукти — Стойност на експозицията с оглед на отношението на ливъридж</w:t>
            </w:r>
          </w:p>
          <w:p w14:paraId="48BC0234" w14:textId="0A29047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szCs w:val="24"/>
              </w:rPr>
              <w:t>Стойността на експозицията с оглед на отношението на ливъридж на деривати, ако не са предмет на определеното в член 272, точка 25 от РКИ договорно споразумение за кръстосано нетиране на продукти.</w:t>
            </w:r>
          </w:p>
        </w:tc>
      </w:tr>
      <w:tr w:rsidR="002A54FF" w:rsidRPr="00E75BB8" w14:paraId="109BE50A" w14:textId="77777777" w:rsidTr="000B66BC">
        <w:trPr>
          <w:trHeight w:val="71"/>
        </w:trPr>
        <w:tc>
          <w:tcPr>
            <w:tcW w:w="1559" w:type="dxa"/>
            <w:shd w:val="clear" w:color="auto" w:fill="FFFFFF"/>
          </w:tcPr>
          <w:p w14:paraId="6AA1CBE3" w14:textId="7C7D547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{0050;0020}</w:t>
            </w:r>
          </w:p>
        </w:tc>
        <w:tc>
          <w:tcPr>
            <w:tcW w:w="7406" w:type="dxa"/>
            <w:shd w:val="clear" w:color="auto" w:fill="FFFFFF"/>
          </w:tcPr>
          <w:p w14:paraId="128CF8E8" w14:textId="0277DB7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Деривати, които не са предмет на договорно споразумение за кръстосано нетиране на продукти — RWEA</w:t>
            </w:r>
          </w:p>
          <w:p w14:paraId="328E1A83" w14:textId="431AD295"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szCs w:val="24"/>
              </w:rPr>
              <w:t>Рисково претеглената стойност на експозицията към кредитен риск и кредитен риск от контрагента по деривати, според изчисленията по част трета, дял II от РКИ, на дериватите, в т.ч. и задбалансовите, ако не са предмет на определеното в член 272, точка 25 от РКИ договорно споразумение за кръстосано нетиране на продукти.</w:t>
            </w:r>
          </w:p>
        </w:tc>
      </w:tr>
      <w:tr w:rsidR="002A54FF" w:rsidRPr="00E75BB8" w14:paraId="250886B1" w14:textId="77777777" w:rsidTr="000B66BC">
        <w:trPr>
          <w:trHeight w:val="71"/>
        </w:trPr>
        <w:tc>
          <w:tcPr>
            <w:tcW w:w="1559" w:type="dxa"/>
            <w:shd w:val="clear" w:color="auto" w:fill="FFFFFF"/>
          </w:tcPr>
          <w:p w14:paraId="47AE751E" w14:textId="7CC2059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{0060;0010}</w:t>
            </w:r>
          </w:p>
        </w:tc>
        <w:tc>
          <w:tcPr>
            <w:tcW w:w="7406" w:type="dxa"/>
            <w:shd w:val="clear" w:color="auto" w:fill="FFFFFF"/>
          </w:tcPr>
          <w:p w14:paraId="62FDB809" w14:textId="5F25550B"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СФЦК, които не са предмет на договорно споразумение за кръстосано нетиране на продукти — Стойност на експозицията с оглед на отношението на ливъридж</w:t>
            </w:r>
          </w:p>
          <w:p w14:paraId="621A4651" w14:textId="46DFD1F4" w:rsidR="000A486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sz w:val="24"/>
                <w:szCs w:val="24"/>
              </w:rPr>
              <w:t>Стойността на експозицията с оглед на отношението на ливъридж на СФЦК, ако не са предмет на определеното в член 272, точка 25 от РКИ договорно споразумение за кръстосано нетиране на продукти.</w:t>
            </w:r>
          </w:p>
        </w:tc>
      </w:tr>
      <w:tr w:rsidR="002A54FF" w:rsidRPr="00E75BB8" w14:paraId="02CE5A4B" w14:textId="77777777" w:rsidTr="000B66BC">
        <w:trPr>
          <w:trHeight w:val="71"/>
        </w:trPr>
        <w:tc>
          <w:tcPr>
            <w:tcW w:w="1559" w:type="dxa"/>
            <w:shd w:val="clear" w:color="auto" w:fill="FFFFFF"/>
          </w:tcPr>
          <w:p w14:paraId="5323F20A" w14:textId="5C57C5D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{0060;0020}</w:t>
            </w:r>
          </w:p>
        </w:tc>
        <w:tc>
          <w:tcPr>
            <w:tcW w:w="7406" w:type="dxa"/>
            <w:shd w:val="clear" w:color="auto" w:fill="FFFFFF"/>
          </w:tcPr>
          <w:p w14:paraId="25095D40" w14:textId="2E4D9B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СФЦК, които не са предмет на договорно споразумение за кръстосано нетиране на продукти — RWEA</w:t>
            </w:r>
          </w:p>
          <w:p w14:paraId="0358DACB" w14:textId="66B61E47" w:rsidR="002509B1" w:rsidRPr="000B66BC" w:rsidRDefault="00F4754B" w:rsidP="00F21A85">
            <w:pPr>
              <w:pStyle w:val="BodyText1"/>
              <w:spacing w:after="240" w:line="240" w:lineRule="auto"/>
              <w:rPr>
                <w:rFonts w:ascii="Times New Roman" w:hAnsi="Times New Roman"/>
                <w:b/>
                <w:bCs/>
                <w:sz w:val="24"/>
                <w:szCs w:val="24"/>
              </w:rPr>
            </w:pPr>
            <w:r>
              <w:rPr>
                <w:rFonts w:ascii="Times New Roman" w:hAnsi="Times New Roman"/>
                <w:sz w:val="24"/>
                <w:szCs w:val="24"/>
              </w:rPr>
              <w:lastRenderedPageBreak/>
              <w:t>Рисково претеглената стойност на експозицията към кредитен риск и кредитен риск от контрагента по СФЦК, според изчисленията по част трета, дял II от РКИ, на дериватите, в т.ч. и задбалансовите, ако не са предмет на определеното в член 272, точка 25 от РКИ договорно споразумение за кръстосано нетиране на продукти.</w:t>
            </w:r>
            <w:r>
              <w:rPr>
                <w:rFonts w:ascii="Times New Roman" w:hAnsi="Times New Roman"/>
                <w:bCs/>
                <w:sz w:val="24"/>
                <w:szCs w:val="24"/>
              </w:rPr>
              <w:t xml:space="preserve"> </w:t>
            </w:r>
          </w:p>
        </w:tc>
      </w:tr>
      <w:tr w:rsidR="002A54FF" w:rsidRPr="00E75BB8" w14:paraId="53E747C0" w14:textId="77777777" w:rsidTr="000B66BC">
        <w:trPr>
          <w:trHeight w:val="71"/>
        </w:trPr>
        <w:tc>
          <w:tcPr>
            <w:tcW w:w="1559" w:type="dxa"/>
            <w:shd w:val="clear" w:color="auto" w:fill="FFFFFF"/>
          </w:tcPr>
          <w:p w14:paraId="416A99BB" w14:textId="71684C56" w:rsidR="00465521" w:rsidRPr="000B66BC" w:rsidRDefault="00465521" w:rsidP="000B66BC">
            <w:pPr>
              <w:pStyle w:val="BodyText1"/>
              <w:spacing w:after="240"/>
              <w:rPr>
                <w:rFonts w:ascii="Times New Roman" w:hAnsi="Times New Roman"/>
                <w:bCs/>
                <w:sz w:val="24"/>
                <w:szCs w:val="24"/>
              </w:rPr>
            </w:pPr>
            <w:r>
              <w:rPr>
                <w:rFonts w:ascii="Times New Roman" w:hAnsi="Times New Roman"/>
                <w:bCs/>
                <w:sz w:val="24"/>
                <w:szCs w:val="24"/>
              </w:rPr>
              <w:lastRenderedPageBreak/>
              <w:t>{0065;0010}</w:t>
            </w:r>
          </w:p>
        </w:tc>
        <w:tc>
          <w:tcPr>
            <w:tcW w:w="7406" w:type="dxa"/>
            <w:shd w:val="clear" w:color="auto" w:fill="FFFFFF"/>
          </w:tcPr>
          <w:p w14:paraId="40B65940" w14:textId="26A29B28" w:rsidR="004968DF" w:rsidRPr="000B66BC" w:rsidRDefault="004968DF" w:rsidP="000B66BC">
            <w:pPr>
              <w:pStyle w:val="BodyText1"/>
              <w:spacing w:after="240" w:line="240" w:lineRule="auto"/>
              <w:rPr>
                <w:rFonts w:ascii="Times New Roman" w:hAnsi="Times New Roman"/>
                <w:b/>
                <w:bCs/>
                <w:sz w:val="24"/>
                <w:szCs w:val="24"/>
              </w:rPr>
            </w:pPr>
            <w:r>
              <w:rPr>
                <w:rFonts w:ascii="Times New Roman" w:hAnsi="Times New Roman"/>
                <w:b/>
                <w:sz w:val="24"/>
                <w:szCs w:val="24"/>
              </w:rPr>
              <w:t>Размер на експозициите, произтичащи от допълнително третиране за кредитни деривати — Стойност на експозицията с оглед на отношението на ливъридж</w:t>
            </w:r>
          </w:p>
          <w:p w14:paraId="1E879EE4" w14:textId="47270A39" w:rsidR="00EC2C14" w:rsidRPr="000B66BC" w:rsidRDefault="000D3973" w:rsidP="000B66BC">
            <w:pPr>
              <w:pStyle w:val="BodyText1"/>
              <w:spacing w:after="240" w:line="240" w:lineRule="auto"/>
              <w:rPr>
                <w:rFonts w:ascii="Times New Roman" w:hAnsi="Times New Roman"/>
                <w:b/>
                <w:bCs/>
                <w:sz w:val="24"/>
                <w:szCs w:val="24"/>
              </w:rPr>
            </w:pPr>
            <w:r>
              <w:rPr>
                <w:rFonts w:ascii="Times New Roman" w:hAnsi="Times New Roman"/>
                <w:sz w:val="24"/>
                <w:szCs w:val="24"/>
              </w:rPr>
              <w:t>Стойността в това поле е равна на разликата между {LRCalc;0130;0010} и {LRCalc;0140;0010}, без съответните вътрешногрупови експозиции (индивидуална основа), изключени по силата на член 429а, параграф 1, буква в) от РКИ.</w:t>
            </w:r>
          </w:p>
        </w:tc>
      </w:tr>
      <w:tr w:rsidR="002A54FF" w:rsidRPr="00E75BB8" w14:paraId="07289AF9" w14:textId="77777777" w:rsidTr="000B66BC">
        <w:trPr>
          <w:trHeight w:val="71"/>
        </w:trPr>
        <w:tc>
          <w:tcPr>
            <w:tcW w:w="1559" w:type="dxa"/>
            <w:shd w:val="clear" w:color="auto" w:fill="FFFFFF"/>
          </w:tcPr>
          <w:p w14:paraId="6AB8700E" w14:textId="3A0BBEE5" w:rsidR="00F4754B" w:rsidRPr="000B66BC" w:rsidRDefault="00F4754B" w:rsidP="000B66BC">
            <w:pPr>
              <w:pStyle w:val="BodyText1"/>
              <w:spacing w:after="240"/>
              <w:rPr>
                <w:rFonts w:ascii="Times New Roman" w:hAnsi="Times New Roman"/>
                <w:sz w:val="24"/>
                <w:szCs w:val="24"/>
              </w:rPr>
            </w:pPr>
            <w:r>
              <w:rPr>
                <w:rFonts w:ascii="Times New Roman" w:hAnsi="Times New Roman"/>
                <w:sz w:val="24"/>
                <w:szCs w:val="24"/>
              </w:rPr>
              <w:t>{0070;0010}</w:t>
            </w:r>
          </w:p>
        </w:tc>
        <w:tc>
          <w:tcPr>
            <w:tcW w:w="7406" w:type="dxa"/>
            <w:shd w:val="clear" w:color="auto" w:fill="FFFFFF"/>
          </w:tcPr>
          <w:p w14:paraId="330EEA74" w14:textId="3FC00B7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Други активи от търговския портфейл — Стойност на експозицията с оглед на отношението на ливъридж</w:t>
            </w:r>
          </w:p>
          <w:p w14:paraId="1E037EEA" w14:textId="4585B1FF"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Стойността на експозицията с оглед на отношението на ливъридж, докладвана в {LRCalc;0190;0010}, с изключение на позициите от банковия портфейл.</w:t>
            </w:r>
          </w:p>
        </w:tc>
      </w:tr>
      <w:tr w:rsidR="002A54FF" w:rsidRPr="00E75BB8" w14:paraId="57915034" w14:textId="77777777" w:rsidTr="000B66BC">
        <w:trPr>
          <w:trHeight w:val="71"/>
        </w:trPr>
        <w:tc>
          <w:tcPr>
            <w:tcW w:w="1559" w:type="dxa"/>
            <w:shd w:val="clear" w:color="auto" w:fill="FFFFFF"/>
          </w:tcPr>
          <w:p w14:paraId="3BCDEC45" w14:textId="088A2CCB" w:rsidR="00F4754B" w:rsidRPr="000B66BC" w:rsidRDefault="00F4754B" w:rsidP="000B66BC">
            <w:pPr>
              <w:pStyle w:val="BodyText1"/>
              <w:spacing w:after="240"/>
              <w:rPr>
                <w:rFonts w:ascii="Times New Roman" w:hAnsi="Times New Roman"/>
                <w:bCs/>
                <w:sz w:val="24"/>
                <w:szCs w:val="24"/>
              </w:rPr>
            </w:pPr>
            <w:r>
              <w:rPr>
                <w:rFonts w:ascii="Times New Roman" w:hAnsi="Times New Roman"/>
                <w:sz w:val="24"/>
                <w:szCs w:val="24"/>
              </w:rPr>
              <w:t>{0070;0020}</w:t>
            </w:r>
          </w:p>
        </w:tc>
        <w:tc>
          <w:tcPr>
            <w:tcW w:w="7406" w:type="dxa"/>
            <w:shd w:val="clear" w:color="auto" w:fill="FFFFFF"/>
          </w:tcPr>
          <w:p w14:paraId="6FF1BCA1" w14:textId="350A599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Други активи от търговския портфейл — RWEA</w:t>
            </w:r>
          </w:p>
          <w:p w14:paraId="17C0B94C" w14:textId="5BB3815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Капиталовите изисквания, умножени по 12,5, за позициите, предмет на част трета, дял IV от РКИ.</w:t>
            </w:r>
          </w:p>
        </w:tc>
      </w:tr>
      <w:tr w:rsidR="002A54FF" w:rsidRPr="00E75BB8" w14:paraId="30AD6972" w14:textId="77777777" w:rsidTr="000B66BC">
        <w:trPr>
          <w:trHeight w:val="71"/>
        </w:trPr>
        <w:tc>
          <w:tcPr>
            <w:tcW w:w="1559" w:type="dxa"/>
            <w:shd w:val="clear" w:color="auto" w:fill="FFFFFF"/>
          </w:tcPr>
          <w:p w14:paraId="7CBED28C" w14:textId="1FF4044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{0080;0010}</w:t>
            </w:r>
          </w:p>
        </w:tc>
        <w:tc>
          <w:tcPr>
            <w:tcW w:w="7406" w:type="dxa"/>
            <w:shd w:val="clear" w:color="auto" w:fill="FFFFFF"/>
          </w:tcPr>
          <w:p w14:paraId="02FC2330" w14:textId="10761471"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Покрити облигации — Стойност на експозицията с оглед на отношението на ливъридж — експозиции по стандартизирания подход</w:t>
            </w:r>
          </w:p>
          <w:p w14:paraId="7DABED3A" w14:textId="62C07FD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Стойността на експозицията с оглед на отношението на ливъридж на активите, които представляват експозиции по стандартизирания подход под формата на покрити облигации по смисъла на член 129 от РКИ. </w:t>
            </w:r>
          </w:p>
          <w:p w14:paraId="1426D45B" w14:textId="0DF44122"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56ECC5B8" w14:textId="77777777" w:rsidTr="000B66BC">
        <w:trPr>
          <w:trHeight w:val="71"/>
        </w:trPr>
        <w:tc>
          <w:tcPr>
            <w:tcW w:w="1559" w:type="dxa"/>
            <w:shd w:val="clear" w:color="auto" w:fill="FFFFFF"/>
          </w:tcPr>
          <w:p w14:paraId="07B311B6" w14:textId="2F59A0E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{0080;0020}</w:t>
            </w:r>
          </w:p>
        </w:tc>
        <w:tc>
          <w:tcPr>
            <w:tcW w:w="7406" w:type="dxa"/>
            <w:shd w:val="clear" w:color="auto" w:fill="FFFFFF"/>
          </w:tcPr>
          <w:p w14:paraId="7BBB17AE"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Покрити облигации — Стойност на експозицията с оглед на отношението на ливъридж — експозиции по вътрешнорейтинговия подход</w:t>
            </w:r>
          </w:p>
          <w:p w14:paraId="31EFC20D" w14:textId="6E735E69"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Стойността на експозицията с оглед на отношението на ливъридж на активите, които представляват експозиции по вътрешнорейтинговия подход под формата на покрити облигации по смисъла на член 161, параграф 1, буква г) от РКИ.</w:t>
            </w:r>
          </w:p>
          <w:p w14:paraId="69149D8B" w14:textId="5AF9D0A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Докладваните от институциите стойности са нето от експозициите в неизпълнение по вътрешнорейтинговия подход.</w:t>
            </w:r>
          </w:p>
        </w:tc>
      </w:tr>
      <w:tr w:rsidR="002A54FF" w:rsidRPr="00E75BB8" w14:paraId="1CBCAE59" w14:textId="77777777" w:rsidTr="000B66BC">
        <w:trPr>
          <w:trHeight w:val="71"/>
        </w:trPr>
        <w:tc>
          <w:tcPr>
            <w:tcW w:w="1559" w:type="dxa"/>
            <w:shd w:val="clear" w:color="auto" w:fill="FFFFFF"/>
          </w:tcPr>
          <w:p w14:paraId="546A1715" w14:textId="2259578F"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{0080;0030}</w:t>
            </w:r>
          </w:p>
        </w:tc>
        <w:tc>
          <w:tcPr>
            <w:tcW w:w="7406" w:type="dxa"/>
            <w:shd w:val="clear" w:color="auto" w:fill="FFFFFF"/>
          </w:tcPr>
          <w:p w14:paraId="05046869" w14:textId="5880D72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Покрити облигации — RWEA — експозиции по стандартизирания подход</w:t>
            </w:r>
          </w:p>
          <w:p w14:paraId="6C4B05A8" w14:textId="3CC6E09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Рисково претеглената стойност на експозициите на активите, които представляват експозиции под формата на покрити облигации по смисъла на член 129 от РКИ.</w:t>
            </w:r>
          </w:p>
          <w:p w14:paraId="44B63283" w14:textId="34A33B6E"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49349ECB" w14:textId="77777777" w:rsidTr="000B66BC">
        <w:trPr>
          <w:trHeight w:val="71"/>
        </w:trPr>
        <w:tc>
          <w:tcPr>
            <w:tcW w:w="1559" w:type="dxa"/>
            <w:shd w:val="clear" w:color="auto" w:fill="FFFFFF"/>
          </w:tcPr>
          <w:p w14:paraId="0D794F3F" w14:textId="2F016AE6"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{0080;0040}</w:t>
            </w:r>
          </w:p>
        </w:tc>
        <w:tc>
          <w:tcPr>
            <w:tcW w:w="7406" w:type="dxa"/>
            <w:shd w:val="clear" w:color="auto" w:fill="FFFFFF"/>
          </w:tcPr>
          <w:p w14:paraId="513DAEE1" w14:textId="752BA960"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Покрити облигации — RWEA — експозиции по вътрешнорейтинговия подход</w:t>
            </w:r>
          </w:p>
          <w:p w14:paraId="466ABC6A" w14:textId="52C506D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Рисково претеглената стойност на експозициите на активите, които представляват експозиции по вътрешнорейтинговия подход под формата на покрити облигации по смисъла на член 161, параграф 1, буква г) от РКИ.</w:t>
            </w:r>
          </w:p>
          <w:p w14:paraId="64310FB6" w14:textId="6BA4916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00C56CBD" w14:textId="77777777" w:rsidTr="000B66BC">
        <w:trPr>
          <w:trHeight w:val="71"/>
        </w:trPr>
        <w:tc>
          <w:tcPr>
            <w:tcW w:w="1559" w:type="dxa"/>
            <w:shd w:val="clear" w:color="auto" w:fill="FFFFFF"/>
          </w:tcPr>
          <w:p w14:paraId="02BCBE3F" w14:textId="6D5D74E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{0090,0010}</w:t>
            </w:r>
          </w:p>
        </w:tc>
        <w:tc>
          <w:tcPr>
            <w:tcW w:w="7406" w:type="dxa"/>
            <w:shd w:val="clear" w:color="auto" w:fill="FFFFFF"/>
          </w:tcPr>
          <w:p w14:paraId="7C0C026C" w14:textId="236A8C03"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Експозиции, третирани като към държави — Стойност на експозицията с оглед на отношението на ливъридж — експозиции по стандартизирания подход</w:t>
            </w:r>
          </w:p>
          <w:p w14:paraId="0909B157" w14:textId="2673F0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Това е сборът на полетата от {0100,0010} до {0130,0010}.</w:t>
            </w:r>
          </w:p>
          <w:p w14:paraId="144D9E7A" w14:textId="795F478B"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312BA98B" w14:textId="77777777" w:rsidTr="000B66BC">
        <w:trPr>
          <w:trHeight w:val="71"/>
        </w:trPr>
        <w:tc>
          <w:tcPr>
            <w:tcW w:w="1559" w:type="dxa"/>
            <w:shd w:val="clear" w:color="auto" w:fill="FFFFFF"/>
          </w:tcPr>
          <w:p w14:paraId="30E94DE7" w14:textId="72315A8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{0090;0020}</w:t>
            </w:r>
          </w:p>
        </w:tc>
        <w:tc>
          <w:tcPr>
            <w:tcW w:w="7406" w:type="dxa"/>
            <w:shd w:val="clear" w:color="auto" w:fill="FFFFFF"/>
          </w:tcPr>
          <w:p w14:paraId="015E5616"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Експозиции, третирани като към държави — Стойност на експозицията с оглед на отношението на ливъридж — експозиции по вътрешнорейтинговия подход</w:t>
            </w:r>
          </w:p>
          <w:p w14:paraId="361C00EC" w14:textId="191A9CA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Това е сборът на полетата от {0100,0020} до {0130,0020}.</w:t>
            </w:r>
          </w:p>
          <w:p w14:paraId="4CE96745" w14:textId="2CF889E3"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0C1D3372" w14:textId="77777777" w:rsidTr="000B66BC">
        <w:trPr>
          <w:trHeight w:val="71"/>
        </w:trPr>
        <w:tc>
          <w:tcPr>
            <w:tcW w:w="1559" w:type="dxa"/>
            <w:shd w:val="clear" w:color="auto" w:fill="FFFFFF"/>
          </w:tcPr>
          <w:p w14:paraId="73140D6A" w14:textId="181D4B9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{0090;0030}</w:t>
            </w:r>
          </w:p>
        </w:tc>
        <w:tc>
          <w:tcPr>
            <w:tcW w:w="7406" w:type="dxa"/>
            <w:shd w:val="clear" w:color="auto" w:fill="FFFFFF"/>
          </w:tcPr>
          <w:p w14:paraId="63538621" w14:textId="36E91980"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Експозиции, третирани като към държави — RWEA — експозиции по стандартизирания подход</w:t>
            </w:r>
          </w:p>
          <w:p w14:paraId="2FE3A5A6" w14:textId="0A48A5C7"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Това е сборът на полетата от {0100,0030} до {0130,0030}.</w:t>
            </w:r>
          </w:p>
          <w:p w14:paraId="576656CF" w14:textId="7109E0FD"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6675B4A2" w14:textId="77777777" w:rsidTr="000B66BC">
        <w:trPr>
          <w:trHeight w:val="71"/>
        </w:trPr>
        <w:tc>
          <w:tcPr>
            <w:tcW w:w="1559" w:type="dxa"/>
            <w:shd w:val="clear" w:color="auto" w:fill="FFFFFF"/>
          </w:tcPr>
          <w:p w14:paraId="574B53A3" w14:textId="5AEDFC5A"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{0090;0040}</w:t>
            </w:r>
          </w:p>
        </w:tc>
        <w:tc>
          <w:tcPr>
            <w:tcW w:w="7406" w:type="dxa"/>
            <w:shd w:val="clear" w:color="auto" w:fill="FFFFFF"/>
          </w:tcPr>
          <w:p w14:paraId="7FD46908" w14:textId="76F6E5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Експозиции, третирани като към държави — RWEA — експозиции по вътрешнорейтинговия подход</w:t>
            </w:r>
          </w:p>
          <w:p w14:paraId="0EE39545" w14:textId="4A51FB5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Това е сборът на полетата от {0100,0040} до {0130,0040}.</w:t>
            </w:r>
          </w:p>
          <w:p w14:paraId="21E4ED70" w14:textId="10D77DF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7DDC06EC" w14:textId="77777777" w:rsidTr="000B66BC">
        <w:trPr>
          <w:trHeight w:val="71"/>
        </w:trPr>
        <w:tc>
          <w:tcPr>
            <w:tcW w:w="1559" w:type="dxa"/>
            <w:shd w:val="clear" w:color="auto" w:fill="FFFFFF"/>
          </w:tcPr>
          <w:p w14:paraId="4C9F879D" w14:textId="3D24C7C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{0100;0010}</w:t>
            </w:r>
          </w:p>
        </w:tc>
        <w:tc>
          <w:tcPr>
            <w:tcW w:w="7406" w:type="dxa"/>
            <w:shd w:val="clear" w:color="auto" w:fill="FFFFFF"/>
          </w:tcPr>
          <w:p w14:paraId="1F2266EE"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szCs w:val="24"/>
              </w:rPr>
              <w:t>Централни правителства и централни банки — Стойност на експозицията с оглед на отношението на ливъридж — експозиции по стандартизирания подход</w:t>
            </w:r>
          </w:p>
          <w:p w14:paraId="6613A997" w14:textId="36083EA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Стойността на експозицията с оглед на отношението на ливъридж на активите, които представляват експозиции по стандартизирания подход към централни правителства или централни банки по смисъла на член 114 от РКИ.</w:t>
            </w:r>
          </w:p>
          <w:p w14:paraId="7F55138D" w14:textId="75576E6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0B4E6569" w14:textId="77777777" w:rsidTr="000B66BC">
        <w:trPr>
          <w:trHeight w:val="71"/>
        </w:trPr>
        <w:tc>
          <w:tcPr>
            <w:tcW w:w="1559" w:type="dxa"/>
            <w:shd w:val="clear" w:color="auto" w:fill="FFFFFF"/>
          </w:tcPr>
          <w:p w14:paraId="7D0291ED" w14:textId="3AD0608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{0100;0020}</w:t>
            </w:r>
          </w:p>
        </w:tc>
        <w:tc>
          <w:tcPr>
            <w:tcW w:w="7406" w:type="dxa"/>
            <w:shd w:val="clear" w:color="auto" w:fill="FFFFFF"/>
          </w:tcPr>
          <w:p w14:paraId="66A53D96" w14:textId="77777777"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sz w:val="24"/>
                <w:szCs w:val="24"/>
              </w:rPr>
              <w:t>Централни правителства и централни банки — Стойност на експозицията с оглед на отношението на ливъридж — експозиции по вътрешнорейтинговия подход</w:t>
            </w:r>
          </w:p>
          <w:p w14:paraId="517FD145" w14:textId="3633E71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Стойността на експозицията с оглед на отношението на ливъридж на активите, които представляват експозиции по вътрешнорейтинговия подход към централни правителства или централни банки по смисъла на член 147, параграф 2, буква а) от РКИ. </w:t>
            </w:r>
          </w:p>
          <w:p w14:paraId="0885AD1A" w14:textId="0035770A"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73380BA6" w14:textId="77777777" w:rsidTr="000B66BC">
        <w:trPr>
          <w:trHeight w:val="71"/>
        </w:trPr>
        <w:tc>
          <w:tcPr>
            <w:tcW w:w="1559" w:type="dxa"/>
            <w:shd w:val="clear" w:color="auto" w:fill="FFFFFF"/>
          </w:tcPr>
          <w:p w14:paraId="59953201" w14:textId="4A0778FE"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{0100;0030}</w:t>
            </w:r>
          </w:p>
        </w:tc>
        <w:tc>
          <w:tcPr>
            <w:tcW w:w="7406" w:type="dxa"/>
            <w:shd w:val="clear" w:color="auto" w:fill="FFFFFF"/>
          </w:tcPr>
          <w:p w14:paraId="26718359" w14:textId="1E245CA7" w:rsidR="002509B1"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Централни правителства и централни банки — RWEA — експозиции по стандартизирания подход</w:t>
            </w:r>
          </w:p>
          <w:p w14:paraId="1057171E" w14:textId="740337F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Рисково претеглената стойност на експозициите на активите, които представляват експозиции по стандартизирания подход към централни правителства или централни банки по смисъла на член 114 от РКИ.</w:t>
            </w:r>
          </w:p>
          <w:p w14:paraId="47506B7A" w14:textId="150E5BC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4C792316" w14:textId="77777777" w:rsidTr="000B66BC">
        <w:trPr>
          <w:trHeight w:val="71"/>
        </w:trPr>
        <w:tc>
          <w:tcPr>
            <w:tcW w:w="1559" w:type="dxa"/>
            <w:shd w:val="clear" w:color="auto" w:fill="FFFFFF"/>
          </w:tcPr>
          <w:p w14:paraId="4823C176" w14:textId="2320977D"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{0100;0040}</w:t>
            </w:r>
          </w:p>
        </w:tc>
        <w:tc>
          <w:tcPr>
            <w:tcW w:w="7406" w:type="dxa"/>
            <w:shd w:val="clear" w:color="auto" w:fill="FFFFFF"/>
          </w:tcPr>
          <w:p w14:paraId="1EC1A3E9" w14:textId="34606682"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b/>
                <w:bCs/>
                <w:sz w:val="24"/>
                <w:szCs w:val="24"/>
              </w:rPr>
              <w:t>Централни правителства и централни банки — RWEA — експозиции по вътрешнорейтинговия подход</w:t>
            </w:r>
          </w:p>
          <w:p w14:paraId="47A75B9C" w14:textId="3A875AB8"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Рисково претеглената стойност на експозициите на активите, които представляват експозиции по вътрешнорейтинговия подход към централни правителства или централни банки по смисъла на член 147, параграф 2, буква а) от РКИ.</w:t>
            </w:r>
          </w:p>
          <w:p w14:paraId="58C303E4" w14:textId="75B02A1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Докладваните от институциите стойности са нето от експозициите в неизпълнение по вътрешнорейтинговия подход.</w:t>
            </w:r>
          </w:p>
        </w:tc>
      </w:tr>
      <w:tr w:rsidR="002A54FF" w:rsidRPr="00E75BB8" w14:paraId="7B8E2851" w14:textId="77777777" w:rsidTr="000B66BC">
        <w:trPr>
          <w:trHeight w:val="71"/>
        </w:trPr>
        <w:tc>
          <w:tcPr>
            <w:tcW w:w="1559" w:type="dxa"/>
            <w:shd w:val="clear" w:color="auto" w:fill="FFFFFF"/>
          </w:tcPr>
          <w:p w14:paraId="5E43D3FD" w14:textId="0F5E5E7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{0110;0010}</w:t>
            </w:r>
          </w:p>
        </w:tc>
        <w:tc>
          <w:tcPr>
            <w:tcW w:w="7406" w:type="dxa"/>
            <w:shd w:val="clear" w:color="auto" w:fill="FFFFFF"/>
          </w:tcPr>
          <w:p w14:paraId="0A9C6204" w14:textId="024ADD9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Регионални правителства и местни органи на властта, третирани като държави — Стойност на експозицията с оглед на отношението на ливъридж — експозиции по стандартизирания подход</w:t>
            </w:r>
          </w:p>
          <w:p w14:paraId="5294E5EC" w14:textId="0D23B6CF"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Стойността на експозицията с оглед на отношението на ливъридж на активите, които представляват експозиции по стандартизирания подход към регионални правителства и местни органи на властта, третирани като към държави, попадащи в обхвата на член 115, параграфи 2 и 4 от РКИ.</w:t>
            </w:r>
          </w:p>
          <w:p w14:paraId="42456706" w14:textId="2E28EB95" w:rsidR="002509B1"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1964D3AE" w14:textId="77777777" w:rsidTr="000B66BC">
        <w:trPr>
          <w:trHeight w:val="71"/>
        </w:trPr>
        <w:tc>
          <w:tcPr>
            <w:tcW w:w="1559" w:type="dxa"/>
            <w:shd w:val="clear" w:color="auto" w:fill="FFFFFF"/>
          </w:tcPr>
          <w:p w14:paraId="17ADB526" w14:textId="2E03421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{0110;0020}</w:t>
            </w:r>
          </w:p>
        </w:tc>
        <w:tc>
          <w:tcPr>
            <w:tcW w:w="7406" w:type="dxa"/>
            <w:shd w:val="clear" w:color="auto" w:fill="FFFFFF"/>
          </w:tcPr>
          <w:p w14:paraId="7E0B20E2"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Регионални правителства и местни органи на властта, третирани като държави — Стойност на експозицията с оглед на отношението на ливъридж — експозиции по вътрешнорейтинговия подход</w:t>
            </w:r>
          </w:p>
          <w:p w14:paraId="02346C27" w14:textId="72E28F6E"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Стойността на експозицията с оглед на отношението на ливъридж на активите, които представляват експозиции по вътрешнорейтинговия подход към регионални правителства и местни органи на властта, попадащи в обхвата на член 147, параграф 3, буква а) от РКИ.</w:t>
            </w:r>
          </w:p>
          <w:p w14:paraId="3496D48C" w14:textId="78A5578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2038F08C" w14:textId="77777777" w:rsidTr="000B66BC">
        <w:trPr>
          <w:trHeight w:val="71"/>
        </w:trPr>
        <w:tc>
          <w:tcPr>
            <w:tcW w:w="1559" w:type="dxa"/>
            <w:shd w:val="clear" w:color="auto" w:fill="FFFFFF"/>
          </w:tcPr>
          <w:p w14:paraId="4C19855D" w14:textId="4D9B42F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{0110;0030}</w:t>
            </w:r>
          </w:p>
        </w:tc>
        <w:tc>
          <w:tcPr>
            <w:tcW w:w="7406" w:type="dxa"/>
            <w:shd w:val="clear" w:color="auto" w:fill="FFFFFF"/>
          </w:tcPr>
          <w:p w14:paraId="0A1E21BF" w14:textId="5863EAF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Регионални правителства и местни органи на властта, третирани като държави — RWEA — експозиции по стандартизирания подход</w:t>
            </w:r>
          </w:p>
          <w:p w14:paraId="38C283FD" w14:textId="7A1B88C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Рисково претеглената стойност на експозициите на активите, които представляват експозиции по стандартизирания подход към регионални правителства и местни органи на властта, третирани като към държави, попадащи в обхвата на член 115, параграфи 2 и 4 от РКИ.</w:t>
            </w:r>
          </w:p>
          <w:p w14:paraId="6D7AEF3D" w14:textId="0D5AC65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5BE41E62" w14:textId="77777777" w:rsidTr="000B66BC">
        <w:trPr>
          <w:trHeight w:val="71"/>
        </w:trPr>
        <w:tc>
          <w:tcPr>
            <w:tcW w:w="1559" w:type="dxa"/>
            <w:shd w:val="clear" w:color="auto" w:fill="FFFFFF"/>
          </w:tcPr>
          <w:p w14:paraId="4370E83A" w14:textId="1FE6323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{0110;0040}</w:t>
            </w:r>
          </w:p>
        </w:tc>
        <w:tc>
          <w:tcPr>
            <w:tcW w:w="7406" w:type="dxa"/>
            <w:shd w:val="clear" w:color="auto" w:fill="FFFFFF"/>
          </w:tcPr>
          <w:p w14:paraId="0A1135F8" w14:textId="6E787456"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Регионални правителства и местни органи на властта, третирани като държави — RWEA — експозиции по вътрешнорейтинговия подход</w:t>
            </w:r>
          </w:p>
          <w:p w14:paraId="099D799F" w14:textId="7F8E67AE"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Рисково претеглената стойност на експозициите на активите, които представляват експозиции по вътрешнорейтинговия подход към </w:t>
            </w:r>
            <w:r>
              <w:rPr>
                <w:rFonts w:ascii="Times New Roman" w:hAnsi="Times New Roman"/>
                <w:bCs/>
                <w:sz w:val="24"/>
                <w:szCs w:val="24"/>
              </w:rPr>
              <w:lastRenderedPageBreak/>
              <w:t xml:space="preserve">регионални правителства и местни органи на властта, попадащи в обхвата на член 147, параграф 3, буква а) от РКИ. </w:t>
            </w:r>
          </w:p>
          <w:p w14:paraId="77DFB307" w14:textId="152C7BA5"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4E6380BD" w14:textId="77777777" w:rsidTr="000B66BC">
        <w:trPr>
          <w:trHeight w:val="71"/>
        </w:trPr>
        <w:tc>
          <w:tcPr>
            <w:tcW w:w="1559" w:type="dxa"/>
            <w:shd w:val="clear" w:color="auto" w:fill="FFFFFF"/>
          </w:tcPr>
          <w:p w14:paraId="596E85C5" w14:textId="5E9760D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{0120;0010}</w:t>
            </w:r>
          </w:p>
        </w:tc>
        <w:tc>
          <w:tcPr>
            <w:tcW w:w="7406" w:type="dxa"/>
            <w:shd w:val="clear" w:color="auto" w:fill="FFFFFF"/>
          </w:tcPr>
          <w:p w14:paraId="4E16BD03" w14:textId="66901F1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Многостранни банки за развитие и международни организации, третирани като държави — Стойност на експозицията с оглед на отношението на ливъридж — експозиции по стандартизирания подход</w:t>
            </w:r>
          </w:p>
          <w:p w14:paraId="595E0D3B" w14:textId="420681E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Стойността на експозицията с оглед на отношението на ливъридж на активите, които представляват експозиции по стандартизирания подход към многостранни банки за развитие и международни организации, попадащи в обхвата на член 117, параграф 2 и член 118 от РКИ. </w:t>
            </w:r>
          </w:p>
          <w:p w14:paraId="4013B069" w14:textId="0EB1BFF4"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26302257" w14:textId="77777777" w:rsidTr="000B66BC">
        <w:trPr>
          <w:trHeight w:val="71"/>
        </w:trPr>
        <w:tc>
          <w:tcPr>
            <w:tcW w:w="1559" w:type="dxa"/>
            <w:shd w:val="clear" w:color="auto" w:fill="FFFFFF"/>
          </w:tcPr>
          <w:p w14:paraId="5A4EAF45" w14:textId="12E4FA7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{0120;0020}</w:t>
            </w:r>
          </w:p>
        </w:tc>
        <w:tc>
          <w:tcPr>
            <w:tcW w:w="7406" w:type="dxa"/>
            <w:shd w:val="clear" w:color="auto" w:fill="FFFFFF"/>
          </w:tcPr>
          <w:p w14:paraId="76A1CB53" w14:textId="541DA8FD"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Многостранни банки за развитие и международни организации, третирани като държави — Стойност на експозицията с оглед на отношението на ливъридж — експозиции по вътрешнорейтинговия подход</w:t>
            </w:r>
          </w:p>
          <w:p w14:paraId="3802319A" w14:textId="10E8D85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Стойността на експозицията с оглед на отношението на ливъридж на активите, които представляват експозиции по вътрешнорейтинговия подход към многостранни банки за развитие и международни организации, попадащи в обхвата на член 147, параграф 3, букви б) и в) от РКИ.</w:t>
            </w:r>
          </w:p>
          <w:p w14:paraId="4070105A" w14:textId="4FC040B2"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3B2553E8" w14:textId="77777777" w:rsidTr="000B66BC">
        <w:trPr>
          <w:trHeight w:val="71"/>
        </w:trPr>
        <w:tc>
          <w:tcPr>
            <w:tcW w:w="1559" w:type="dxa"/>
            <w:shd w:val="clear" w:color="auto" w:fill="FFFFFF"/>
          </w:tcPr>
          <w:p w14:paraId="1FA22EB0" w14:textId="05DF8D9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{0120;0030}</w:t>
            </w:r>
          </w:p>
        </w:tc>
        <w:tc>
          <w:tcPr>
            <w:tcW w:w="7406" w:type="dxa"/>
            <w:shd w:val="clear" w:color="auto" w:fill="FFFFFF"/>
          </w:tcPr>
          <w:p w14:paraId="297278EC" w14:textId="1D7EC442"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Многостранни банки за развитие и международни организации, третирани като държави — RWEA — експозиции по стандартизирания подход</w:t>
            </w:r>
          </w:p>
          <w:p w14:paraId="37FB9B14" w14:textId="233BD86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Рисково претеглената стойност на експозициите на активите, които представляват експозиции по стандартизирания подход към многостранни банки за развитие и международни организации, попадащи в обхвата на член 117, параграф 2 и член 118 от РКИ.</w:t>
            </w:r>
          </w:p>
          <w:p w14:paraId="21D9C9F4" w14:textId="49EA3C70"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57DE532D" w14:textId="77777777" w:rsidTr="000B66BC">
        <w:trPr>
          <w:trHeight w:val="71"/>
        </w:trPr>
        <w:tc>
          <w:tcPr>
            <w:tcW w:w="1559" w:type="dxa"/>
            <w:shd w:val="clear" w:color="auto" w:fill="FFFFFF"/>
          </w:tcPr>
          <w:p w14:paraId="2210C2F3" w14:textId="0756556E"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{1020;0040}</w:t>
            </w:r>
          </w:p>
        </w:tc>
        <w:tc>
          <w:tcPr>
            <w:tcW w:w="7406" w:type="dxa"/>
            <w:shd w:val="clear" w:color="auto" w:fill="FFFFFF"/>
          </w:tcPr>
          <w:p w14:paraId="25AE3663" w14:textId="3A1D7E0A"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Многостранни банки за развитие и международни организации, третирани като държави — RWEA — експозиции по вътрешнорейтинговия подход</w:t>
            </w:r>
          </w:p>
          <w:p w14:paraId="0A7C504F" w14:textId="187907F2"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Рисково претеглената стойност на експозициите на активите, които представляват експозиции по вътрешнорейтинговия подход към многостранни банки за развитие и международни организации, попадащи в обхвата на член 147, параграф 3, букви б) и в) от РКИ.</w:t>
            </w:r>
          </w:p>
          <w:p w14:paraId="4B60B3CB" w14:textId="76329F3C" w:rsidR="002509B1" w:rsidRPr="000B66BC" w:rsidRDefault="009C4E79"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231E48A1" w14:textId="77777777" w:rsidTr="000B66BC">
        <w:trPr>
          <w:trHeight w:val="71"/>
        </w:trPr>
        <w:tc>
          <w:tcPr>
            <w:tcW w:w="1559" w:type="dxa"/>
            <w:shd w:val="clear" w:color="auto" w:fill="FFFFFF"/>
          </w:tcPr>
          <w:p w14:paraId="0729DCCA" w14:textId="1813ABC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{0130;0010}</w:t>
            </w:r>
          </w:p>
        </w:tc>
        <w:tc>
          <w:tcPr>
            <w:tcW w:w="7406" w:type="dxa"/>
            <w:shd w:val="clear" w:color="auto" w:fill="FFFFFF"/>
          </w:tcPr>
          <w:p w14:paraId="03377C61" w14:textId="0F13B636"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Субекти от публичния сектор, третирани като държави — Стойност на експозицията с оглед на отношението на ливъридж — експозиции по стандартизирания подход</w:t>
            </w:r>
          </w:p>
          <w:p w14:paraId="7D8203A3" w14:textId="02420160"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Стойността на експозицията с оглед на отношението на ливъридж на активите, които представляват експозиции по стандартизирания подход към субекти от публичния сектор, попадащи в обхвата на член 116, параграф 4 от РКИ.</w:t>
            </w:r>
          </w:p>
          <w:p w14:paraId="4AA47B62" w14:textId="393B657D"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3CE3539B" w14:textId="77777777" w:rsidTr="000B66BC">
        <w:trPr>
          <w:trHeight w:val="71"/>
        </w:trPr>
        <w:tc>
          <w:tcPr>
            <w:tcW w:w="1559" w:type="dxa"/>
            <w:shd w:val="clear" w:color="auto" w:fill="FFFFFF"/>
          </w:tcPr>
          <w:p w14:paraId="5BD4FCC9" w14:textId="4A185F0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{0130;0020}</w:t>
            </w:r>
          </w:p>
        </w:tc>
        <w:tc>
          <w:tcPr>
            <w:tcW w:w="7406" w:type="dxa"/>
            <w:shd w:val="clear" w:color="auto" w:fill="FFFFFF"/>
          </w:tcPr>
          <w:p w14:paraId="3B63499B" w14:textId="36B14D4C"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Субекти от публичния сектор, третирани като държави — Стойност на експозицията с оглед на отношението на ливъридж — експозиции по вътрешнорейтинговия подход</w:t>
            </w:r>
          </w:p>
          <w:p w14:paraId="6B0B91A7" w14:textId="4AEF21C5"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Стойността на експозицията с оглед на отношението на ливъридж на активите, които представляват експозиции по вътрешнорейтинговия подход към субекти от публичния сектор, попадащи в обхвата на член 147, параграф 3, буква а) от РКИ.</w:t>
            </w:r>
          </w:p>
          <w:p w14:paraId="359554CF" w14:textId="52EF4F24"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66BBD644" w14:textId="77777777" w:rsidTr="000B66BC">
        <w:trPr>
          <w:trHeight w:val="71"/>
        </w:trPr>
        <w:tc>
          <w:tcPr>
            <w:tcW w:w="1559" w:type="dxa"/>
            <w:shd w:val="clear" w:color="auto" w:fill="FFFFFF"/>
          </w:tcPr>
          <w:p w14:paraId="780B22F1" w14:textId="38F1137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{0130;0030}</w:t>
            </w:r>
          </w:p>
        </w:tc>
        <w:tc>
          <w:tcPr>
            <w:tcW w:w="7406" w:type="dxa"/>
            <w:shd w:val="clear" w:color="auto" w:fill="FFFFFF"/>
          </w:tcPr>
          <w:p w14:paraId="1DD3711A" w14:textId="41BC0A58"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Субекти от публичния сектор, третирани като държави — RWEA — експозиции по стандартизирания подход</w:t>
            </w:r>
          </w:p>
          <w:p w14:paraId="53A6C1B8" w14:textId="65E5ABE1"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Рисково претеглената стойност на експозициите на активите, които представляват експозиции по стандартизирания подход към субекти от публичния сектор, попадащи в обхвата на член 116, параграф 4 от РКИ.</w:t>
            </w:r>
          </w:p>
          <w:p w14:paraId="432B1470" w14:textId="36FFD5B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6BE8DD32" w14:textId="77777777" w:rsidTr="000B66BC">
        <w:trPr>
          <w:trHeight w:val="71"/>
        </w:trPr>
        <w:tc>
          <w:tcPr>
            <w:tcW w:w="1559" w:type="dxa"/>
            <w:shd w:val="clear" w:color="auto" w:fill="FFFFFF"/>
          </w:tcPr>
          <w:p w14:paraId="4F17D6C7" w14:textId="60A1BB8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{0130;0040}</w:t>
            </w:r>
          </w:p>
        </w:tc>
        <w:tc>
          <w:tcPr>
            <w:tcW w:w="7406" w:type="dxa"/>
            <w:shd w:val="clear" w:color="auto" w:fill="FFFFFF"/>
          </w:tcPr>
          <w:p w14:paraId="60977598" w14:textId="37A519F1"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bCs/>
                <w:sz w:val="24"/>
                <w:szCs w:val="24"/>
              </w:rPr>
              <w:t>Субекти от публичния сектор, третирани като държави — RWEA — експозиции по вътрешнорейтинговия подход</w:t>
            </w:r>
          </w:p>
          <w:p w14:paraId="0EAECD4A" w14:textId="08F6B311"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Рисково претеглената стойност на експозициите на активите, които представляват експозиции по вътрешнорейтинговия подход към субекти от публичния сектор, попадащи в обхвата на член 147, параграф 3, буква а) от РКИ.</w:t>
            </w:r>
          </w:p>
          <w:p w14:paraId="05B42B2C" w14:textId="7B404A8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Докладваните от институциите стойности са нето от експозициите в неизпълнение по вътрешнорейтинговия подход.</w:t>
            </w:r>
          </w:p>
        </w:tc>
      </w:tr>
      <w:tr w:rsidR="002A54FF" w:rsidRPr="00E75BB8" w14:paraId="35BDD4D3" w14:textId="77777777" w:rsidTr="000B66BC">
        <w:trPr>
          <w:trHeight w:val="71"/>
        </w:trPr>
        <w:tc>
          <w:tcPr>
            <w:tcW w:w="1559" w:type="dxa"/>
            <w:shd w:val="clear" w:color="auto" w:fill="FFFFFF"/>
          </w:tcPr>
          <w:p w14:paraId="5F7AB96E" w14:textId="4B2E707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{0140;0010}</w:t>
            </w:r>
          </w:p>
        </w:tc>
        <w:tc>
          <w:tcPr>
            <w:tcW w:w="7406" w:type="dxa"/>
            <w:shd w:val="clear" w:color="auto" w:fill="FFFFFF"/>
          </w:tcPr>
          <w:p w14:paraId="68676BE2" w14:textId="6C78BF9D"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Експозиции към регионални правителства, многостранни банки за развитие, международни организации и субекти от публичния сектор, които не са третирани като към държави — Стойност на експозицията с оглед на отношението на ливъридж — експозиции по стандартизирания подход</w:t>
            </w:r>
          </w:p>
          <w:p w14:paraId="16F7D104" w14:textId="442558D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Това е сборът на полетата от {0150,0010} до {0170,0010}.</w:t>
            </w:r>
          </w:p>
          <w:p w14:paraId="56668309" w14:textId="21D6A0F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2401556C" w14:textId="77777777" w:rsidTr="000B66BC">
        <w:trPr>
          <w:trHeight w:val="71"/>
        </w:trPr>
        <w:tc>
          <w:tcPr>
            <w:tcW w:w="1559" w:type="dxa"/>
            <w:shd w:val="clear" w:color="auto" w:fill="FFFFFF"/>
          </w:tcPr>
          <w:p w14:paraId="4E9A7359" w14:textId="71A72E6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{0140;0020}</w:t>
            </w:r>
          </w:p>
        </w:tc>
        <w:tc>
          <w:tcPr>
            <w:tcW w:w="7406" w:type="dxa"/>
            <w:shd w:val="clear" w:color="auto" w:fill="FFFFFF"/>
          </w:tcPr>
          <w:p w14:paraId="16480F3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Експозиции към регионални правителства, многостранни банки за развитие, международни организации и субекти от публичния сектор, които не са третирани като към държави — Стойност на експозицията с оглед на отношението на ливъридж — експозиции по вътрешнорейтинговия подход</w:t>
            </w:r>
          </w:p>
          <w:p w14:paraId="01EFE154" w14:textId="371562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Това е сборът на полетата от {0150,0020} до {0170,0020}.</w:t>
            </w:r>
          </w:p>
          <w:p w14:paraId="4BA214B6" w14:textId="386C4F7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32DCABED" w14:textId="77777777" w:rsidTr="000B66BC">
        <w:trPr>
          <w:trHeight w:val="71"/>
        </w:trPr>
        <w:tc>
          <w:tcPr>
            <w:tcW w:w="1559" w:type="dxa"/>
            <w:shd w:val="clear" w:color="auto" w:fill="FFFFFF"/>
          </w:tcPr>
          <w:p w14:paraId="6236D8C3" w14:textId="2D8D1C9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{0140;0030}</w:t>
            </w:r>
          </w:p>
        </w:tc>
        <w:tc>
          <w:tcPr>
            <w:tcW w:w="7406" w:type="dxa"/>
            <w:shd w:val="clear" w:color="auto" w:fill="FFFFFF"/>
          </w:tcPr>
          <w:p w14:paraId="6D26AA72" w14:textId="198DF3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Експозиции към регионални правителства, многостранни банки за развитие, международни организации и субекти от публичния сектор, които не са третирани като към държави — RWEA — експозиции по стандартизирания подход</w:t>
            </w:r>
          </w:p>
          <w:p w14:paraId="001A76CB" w14:textId="449CD51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Това е сборът на полетата от {0150,0030} до {0170,0030}.</w:t>
            </w:r>
          </w:p>
          <w:p w14:paraId="0666DA98" w14:textId="42DCAEA8"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19788CFC" w14:textId="77777777" w:rsidTr="000B66BC">
        <w:trPr>
          <w:trHeight w:val="71"/>
        </w:trPr>
        <w:tc>
          <w:tcPr>
            <w:tcW w:w="1559" w:type="dxa"/>
            <w:shd w:val="clear" w:color="auto" w:fill="FFFFFF"/>
          </w:tcPr>
          <w:p w14:paraId="56BC83A9" w14:textId="067E360C"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{0140;0040}</w:t>
            </w:r>
          </w:p>
        </w:tc>
        <w:tc>
          <w:tcPr>
            <w:tcW w:w="7406" w:type="dxa"/>
            <w:shd w:val="clear" w:color="auto" w:fill="FFFFFF"/>
          </w:tcPr>
          <w:p w14:paraId="28502CF8" w14:textId="2725454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Експозиции към регионални правителства, многостранни банки за развитие, международни организации и субекти от публичния сектор, които не са третирани като към държави — RWEA — експозиции по вътрешнорейтинговия подход</w:t>
            </w:r>
          </w:p>
          <w:p w14:paraId="26D9E4F6" w14:textId="3F28B51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Това е сборът на полетата от {0150,0040} до {0170,0040}.</w:t>
            </w:r>
          </w:p>
          <w:p w14:paraId="6B0E2A45" w14:textId="73754F98"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7FF2685B" w14:textId="77777777" w:rsidTr="000B66BC">
        <w:trPr>
          <w:trHeight w:val="71"/>
        </w:trPr>
        <w:tc>
          <w:tcPr>
            <w:tcW w:w="1559" w:type="dxa"/>
            <w:shd w:val="clear" w:color="auto" w:fill="FFFFFF"/>
          </w:tcPr>
          <w:p w14:paraId="40C55306" w14:textId="22F0579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{0150;0010}</w:t>
            </w:r>
          </w:p>
        </w:tc>
        <w:tc>
          <w:tcPr>
            <w:tcW w:w="7406" w:type="dxa"/>
            <w:shd w:val="clear" w:color="auto" w:fill="FFFFFF"/>
          </w:tcPr>
          <w:p w14:paraId="6E882A95" w14:textId="42A5BAAA"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Регионални правителства и местни органи на властта, които не са третирани като държави — Стойност на експозицията с оглед на отношението на ливъридж — експозиции по стандартизирания подход</w:t>
            </w:r>
          </w:p>
          <w:p w14:paraId="5997608A" w14:textId="4001C2D8"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Стойността на експозицията с оглед на отношението на ливъридж на активите, които представляват експозиции по стандартизирания подход към регионални правителства и местни органи на властта, които не са третирани като държави, попадащи в обхвата на член 115, параграфи 1, 3 и 5 от РКИ.</w:t>
            </w:r>
          </w:p>
          <w:p w14:paraId="2E409DCC" w14:textId="6CDA3B78"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1422BA43" w14:textId="77777777" w:rsidTr="000B66BC">
        <w:trPr>
          <w:trHeight w:val="71"/>
        </w:trPr>
        <w:tc>
          <w:tcPr>
            <w:tcW w:w="1559" w:type="dxa"/>
            <w:shd w:val="clear" w:color="auto" w:fill="FFFFFF"/>
          </w:tcPr>
          <w:p w14:paraId="119A75AE" w14:textId="3BC5962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{0150;0020}</w:t>
            </w:r>
          </w:p>
        </w:tc>
        <w:tc>
          <w:tcPr>
            <w:tcW w:w="7406" w:type="dxa"/>
            <w:shd w:val="clear" w:color="auto" w:fill="FFFFFF"/>
          </w:tcPr>
          <w:p w14:paraId="6DA1492F" w14:textId="77777777"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Регионални правителства и местни органи на властта, които не са третирани като държави — Стойност на експозицията с оглед на отношението на ливъридж — експозиции по вътрешнорейтинговия подход</w:t>
            </w:r>
          </w:p>
          <w:p w14:paraId="05330C07" w14:textId="0B2863D5"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Стойността на експозицията с оглед на отношението на ливъридж на активите, които представляват експозиции по вътрешнорейтинговия подход към регионални правителства и местни органи на властта, които не са третирани като държави, попадащи в обхвата на член 147, параграф 4, буква а) от РКИ.</w:t>
            </w:r>
          </w:p>
          <w:p w14:paraId="64866D79" w14:textId="278A91F6" w:rsidR="00F4754B" w:rsidRPr="000B66BC" w:rsidDel="00F559E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 xml:space="preserve">Докладваните от институциите стойности са нето от експозициите в неизпълнение по вътрешнорейтинговия подход. </w:t>
            </w:r>
          </w:p>
        </w:tc>
      </w:tr>
      <w:tr w:rsidR="002A54FF" w:rsidRPr="00E75BB8" w14:paraId="49B34BA3" w14:textId="77777777" w:rsidTr="000B66BC">
        <w:trPr>
          <w:trHeight w:val="71"/>
        </w:trPr>
        <w:tc>
          <w:tcPr>
            <w:tcW w:w="1559" w:type="dxa"/>
            <w:shd w:val="clear" w:color="auto" w:fill="FFFFFF"/>
          </w:tcPr>
          <w:p w14:paraId="1350671F" w14:textId="6CF3F1D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{0150;0030}</w:t>
            </w:r>
          </w:p>
        </w:tc>
        <w:tc>
          <w:tcPr>
            <w:tcW w:w="7406" w:type="dxa"/>
            <w:shd w:val="clear" w:color="auto" w:fill="FFFFFF"/>
          </w:tcPr>
          <w:p w14:paraId="0E90CE61" w14:textId="6590FBE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Регионални правителства и местни органи на власт, които не са третирани като държави — RWEA — експозиции по стандартизирания подход</w:t>
            </w:r>
            <w:r>
              <w:rPr>
                <w:rFonts w:ascii="Times New Roman" w:hAnsi="Times New Roman"/>
                <w:b/>
                <w:bCs/>
                <w:sz w:val="24"/>
                <w:szCs w:val="24"/>
              </w:rPr>
              <w:t xml:space="preserve"> </w:t>
            </w:r>
          </w:p>
          <w:p w14:paraId="0C1281BF" w14:textId="0A0E4AF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Рисково претеглената стойност на експозициите на активите, които представляват експозиции по стандартизирания подход към регионални правителства и местни органи на властта, които не са третирани като държави, попадащи в обхвата на член 115, параграфи 1, 3 и 5 от РКИ.</w:t>
            </w:r>
          </w:p>
          <w:p w14:paraId="594F13B1" w14:textId="615E628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218100D8" w14:textId="77777777" w:rsidTr="000B66BC">
        <w:trPr>
          <w:trHeight w:val="71"/>
        </w:trPr>
        <w:tc>
          <w:tcPr>
            <w:tcW w:w="1559" w:type="dxa"/>
            <w:shd w:val="clear" w:color="auto" w:fill="FFFFFF"/>
          </w:tcPr>
          <w:p w14:paraId="7E6979FD" w14:textId="4EA4998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{0150;0040}</w:t>
            </w:r>
          </w:p>
        </w:tc>
        <w:tc>
          <w:tcPr>
            <w:tcW w:w="7406" w:type="dxa"/>
            <w:shd w:val="clear" w:color="auto" w:fill="FFFFFF"/>
          </w:tcPr>
          <w:p w14:paraId="2F79CD95" w14:textId="1BA3728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Регионални правителства и местни органи на власт, които не са третирани като държави — RWEA — експозиции по вътрешнорейтинговия подход</w:t>
            </w:r>
          </w:p>
          <w:p w14:paraId="51863919" w14:textId="7CF5F65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Рисково претеглената стойност на експозициите на активите, които представляват експозиции по вътрешнорейтинговия подход към регионални правителства и местни органи на властта, които не са третирани като държави, попадащи в обхвата на член 147, параграф 4, буква а) от РКИ.</w:t>
            </w:r>
          </w:p>
          <w:p w14:paraId="2CE67E1E" w14:textId="02F8044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237E8E2D" w14:textId="77777777" w:rsidTr="000B66BC">
        <w:trPr>
          <w:trHeight w:val="71"/>
        </w:trPr>
        <w:tc>
          <w:tcPr>
            <w:tcW w:w="1559" w:type="dxa"/>
            <w:shd w:val="clear" w:color="auto" w:fill="FFFFFF"/>
          </w:tcPr>
          <w:p w14:paraId="6D0A1DEE" w14:textId="580C324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{0160;0010}</w:t>
            </w:r>
          </w:p>
        </w:tc>
        <w:tc>
          <w:tcPr>
            <w:tcW w:w="7406" w:type="dxa"/>
            <w:shd w:val="clear" w:color="auto" w:fill="FFFFFF"/>
          </w:tcPr>
          <w:p w14:paraId="382B2DE5"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 xml:space="preserve">Многостранни банки за развитие, които </w:t>
            </w:r>
            <w:r>
              <w:rPr>
                <w:rFonts w:ascii="Times New Roman" w:hAnsi="Times New Roman"/>
                <w:b/>
                <w:sz w:val="24"/>
                <w:szCs w:val="24"/>
                <w:u w:val="single"/>
              </w:rPr>
              <w:t>не</w:t>
            </w:r>
            <w:r>
              <w:rPr>
                <w:rFonts w:ascii="Times New Roman" w:hAnsi="Times New Roman"/>
                <w:b/>
                <w:sz w:val="24"/>
                <w:szCs w:val="24"/>
              </w:rPr>
              <w:t xml:space="preserve"> са третирани като държави — Стойност на експозицията с оглед на отношението на ливъридж — експозиции по стандартизирания подход</w:t>
            </w:r>
          </w:p>
          <w:p w14:paraId="07928584" w14:textId="7FC9EDB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Стойността на експозицията с оглед на отношението на ливъридж на активите, които представляват експозиции по стандартизирания подход към многостранни банки за развитие, попадащи в обхвата на член 117, параграфи 1 и 3 от РКИ. </w:t>
            </w:r>
          </w:p>
          <w:p w14:paraId="01E4041D" w14:textId="00B0727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62B19F9C" w14:textId="77777777" w:rsidTr="000B66BC">
        <w:trPr>
          <w:trHeight w:val="71"/>
        </w:trPr>
        <w:tc>
          <w:tcPr>
            <w:tcW w:w="1559" w:type="dxa"/>
            <w:shd w:val="clear" w:color="auto" w:fill="FFFFFF"/>
          </w:tcPr>
          <w:p w14:paraId="49210C52" w14:textId="06EBFC79"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{0160;0020}</w:t>
            </w:r>
          </w:p>
        </w:tc>
        <w:tc>
          <w:tcPr>
            <w:tcW w:w="7406" w:type="dxa"/>
            <w:shd w:val="clear" w:color="auto" w:fill="FFFFFF"/>
          </w:tcPr>
          <w:p w14:paraId="13E28A92"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 xml:space="preserve">Многостранни банки за развитие, които </w:t>
            </w:r>
            <w:r>
              <w:rPr>
                <w:rFonts w:ascii="Times New Roman" w:hAnsi="Times New Roman"/>
                <w:b/>
                <w:sz w:val="24"/>
                <w:szCs w:val="24"/>
                <w:u w:val="single"/>
              </w:rPr>
              <w:t>не</w:t>
            </w:r>
            <w:r>
              <w:rPr>
                <w:rFonts w:ascii="Times New Roman" w:hAnsi="Times New Roman"/>
                <w:b/>
                <w:sz w:val="24"/>
                <w:szCs w:val="24"/>
              </w:rPr>
              <w:t xml:space="preserve"> са третирани като държави — Стойност на експозицията с оглед на отношението на ливъридж — експозиции по вътрешнорейтинговия подход</w:t>
            </w:r>
          </w:p>
          <w:p w14:paraId="6D2C0352" w14:textId="0C246E57"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Стойността на експозицията с оглед на отношението на ливъридж на активите, които представляват експозиции по вътрешнорейтинговия подход към многостранни банки за развитие, които не са третирани като държави, попадащи в обхвата на член 147, параграф 4, буква в) от РКИ.</w:t>
            </w:r>
          </w:p>
          <w:p w14:paraId="74CFCB27" w14:textId="063441C0" w:rsidR="009C4E79" w:rsidRPr="000B66BC" w:rsidDel="009A4B38"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3B7489DB" w14:textId="77777777" w:rsidTr="000B66BC">
        <w:trPr>
          <w:trHeight w:val="71"/>
        </w:trPr>
        <w:tc>
          <w:tcPr>
            <w:tcW w:w="1559" w:type="dxa"/>
            <w:shd w:val="clear" w:color="auto" w:fill="FFFFFF"/>
          </w:tcPr>
          <w:p w14:paraId="53451B08" w14:textId="0717E11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{0160;0030}</w:t>
            </w:r>
          </w:p>
        </w:tc>
        <w:tc>
          <w:tcPr>
            <w:tcW w:w="7406" w:type="dxa"/>
            <w:shd w:val="clear" w:color="auto" w:fill="FFFFFF"/>
          </w:tcPr>
          <w:p w14:paraId="1D2AE94F" w14:textId="3A23504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Многостранни банки за развитие, които не са третирани като държави — RWEA — експозиции по стандартизирания подход</w:t>
            </w:r>
          </w:p>
          <w:p w14:paraId="4B127308" w14:textId="6CA9C60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Рисково претеглената стойност на експозициите на активите, които представляват експозиции по стандартизирания подход към многостранни банки за развитие, попадащи в обхвата на член 117, параграфи 1 и 3 от РКИ.</w:t>
            </w:r>
          </w:p>
          <w:p w14:paraId="6288F6E5" w14:textId="481F4915"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44D6EB6F" w14:textId="77777777" w:rsidTr="000B66BC">
        <w:trPr>
          <w:trHeight w:val="71"/>
        </w:trPr>
        <w:tc>
          <w:tcPr>
            <w:tcW w:w="1559" w:type="dxa"/>
            <w:shd w:val="clear" w:color="auto" w:fill="FFFFFF"/>
          </w:tcPr>
          <w:p w14:paraId="00D96829" w14:textId="555FD61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{0160;0040}</w:t>
            </w:r>
          </w:p>
        </w:tc>
        <w:tc>
          <w:tcPr>
            <w:tcW w:w="7406" w:type="dxa"/>
            <w:shd w:val="clear" w:color="auto" w:fill="FFFFFF"/>
          </w:tcPr>
          <w:p w14:paraId="00619AFE" w14:textId="73438BF5"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Многостранни банки за развитие, които не са третирани като държави — RWEA — експозиции по вътрешнорейтинговия подход</w:t>
            </w:r>
          </w:p>
          <w:p w14:paraId="466ECD88" w14:textId="015D345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Рисково претеглената стойност на експозициите на активите, които представляват експозиции по вътрешнорейтинговия подход към многостранни банки за развитие, които не са третирани като държави, попадащи в обхвата на член 147, параграф 4, буква в) от РКИ.</w:t>
            </w:r>
          </w:p>
          <w:p w14:paraId="72DDDF92" w14:textId="6FAD844E"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533E38AC" w14:textId="77777777" w:rsidTr="000B66BC">
        <w:trPr>
          <w:trHeight w:val="71"/>
        </w:trPr>
        <w:tc>
          <w:tcPr>
            <w:tcW w:w="1559" w:type="dxa"/>
            <w:shd w:val="clear" w:color="auto" w:fill="FFFFFF"/>
          </w:tcPr>
          <w:p w14:paraId="0412E3DC" w14:textId="71F1E57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{0170;0010}</w:t>
            </w:r>
          </w:p>
        </w:tc>
        <w:tc>
          <w:tcPr>
            <w:tcW w:w="7406" w:type="dxa"/>
            <w:shd w:val="clear" w:color="auto" w:fill="FFFFFF"/>
          </w:tcPr>
          <w:p w14:paraId="63BC1CED"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Субекти от публичния сектор, които не са третирани като държави — Стойност на експозицията с оглед на отношението на ливъридж — експозиции по стандартизирания подход</w:t>
            </w:r>
          </w:p>
          <w:p w14:paraId="3FF6AAF1" w14:textId="6320BCE2"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Стойността на експозицията с оглед на отношението на ливъридж на активите, които представляват експозиции по стандартизирания подход към субекти от публичния сектор, попадащи в обхвата на член 116, параграфи 1, 2, 3 и 5 от РКИ.</w:t>
            </w:r>
          </w:p>
          <w:p w14:paraId="7DF5A169" w14:textId="79FB274E" w:rsidR="000A486B" w:rsidRPr="000B66BC" w:rsidRDefault="00086A8A" w:rsidP="000B66BC">
            <w:pPr>
              <w:pStyle w:val="BodyText1"/>
              <w:spacing w:after="240" w:line="240" w:lineRule="auto"/>
              <w:rPr>
                <w:rFonts w:ascii="Times New Roman" w:hAnsi="Times New Roman"/>
                <w:sz w:val="24"/>
                <w:szCs w:val="24"/>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3A5C3310" w14:textId="77777777" w:rsidTr="000B66BC">
        <w:trPr>
          <w:trHeight w:val="71"/>
        </w:trPr>
        <w:tc>
          <w:tcPr>
            <w:tcW w:w="1559" w:type="dxa"/>
            <w:shd w:val="clear" w:color="auto" w:fill="FFFFFF"/>
          </w:tcPr>
          <w:p w14:paraId="1510FE52" w14:textId="0733B660"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{0170;0020}</w:t>
            </w:r>
          </w:p>
        </w:tc>
        <w:tc>
          <w:tcPr>
            <w:tcW w:w="7406" w:type="dxa"/>
            <w:shd w:val="clear" w:color="auto" w:fill="FFFFFF"/>
          </w:tcPr>
          <w:p w14:paraId="426AE44C" w14:textId="331FC92F" w:rsidR="002509B1"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Субекти от публичния сектор, които не са третирани като държави — Стойност на експозицията с оглед на отношението на ливъридж — експозиции по вътрешнорейтинговия подход</w:t>
            </w:r>
          </w:p>
          <w:p w14:paraId="19C4FD72" w14:textId="6575CEA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Стойността на експозицията с оглед на отношението на ливъридж на активите, които представляват експозиции по вътрешнорейтинговия подход към субекти от публичния сектор, които не са третирани като държави, попадащи в обхвата на член 147, параграф 4, буква б) от РКИ.</w:t>
            </w:r>
          </w:p>
          <w:p w14:paraId="21D9C4B6" w14:textId="738536C0" w:rsidR="009C4E79" w:rsidRPr="000B66BC" w:rsidDel="00973F19"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1BE427F7" w14:textId="77777777" w:rsidTr="000B66BC">
        <w:trPr>
          <w:trHeight w:val="71"/>
        </w:trPr>
        <w:tc>
          <w:tcPr>
            <w:tcW w:w="1559" w:type="dxa"/>
            <w:shd w:val="clear" w:color="auto" w:fill="FFFFFF"/>
          </w:tcPr>
          <w:p w14:paraId="7E1FC872" w14:textId="1CF85BB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{0170;0030}</w:t>
            </w:r>
          </w:p>
        </w:tc>
        <w:tc>
          <w:tcPr>
            <w:tcW w:w="7406" w:type="dxa"/>
            <w:shd w:val="clear" w:color="auto" w:fill="FFFFFF"/>
          </w:tcPr>
          <w:p w14:paraId="2459C33D" w14:textId="7EE3423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Субекти от публичния сектор, които не са третирани като държави — RWEA — експозиции по стандартизирания подход</w:t>
            </w:r>
          </w:p>
          <w:p w14:paraId="7ED0D977" w14:textId="5892676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Рисково претеглената стойност на експозициите на активите, които представляват експозиции по стандартизирания подход към субекти от публичния сектор, попадащи в обхвата на член 116, параграфи 1, 2, 3 и 5 от РКИ. </w:t>
            </w:r>
          </w:p>
          <w:p w14:paraId="2E4EB0DF" w14:textId="0395937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6C878C4C" w14:textId="77777777" w:rsidTr="000B66BC">
        <w:trPr>
          <w:trHeight w:val="71"/>
        </w:trPr>
        <w:tc>
          <w:tcPr>
            <w:tcW w:w="1559" w:type="dxa"/>
            <w:shd w:val="clear" w:color="auto" w:fill="FFFFFF"/>
          </w:tcPr>
          <w:p w14:paraId="1ADDF71D" w14:textId="4FD509A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{0170;0040}</w:t>
            </w:r>
          </w:p>
        </w:tc>
        <w:tc>
          <w:tcPr>
            <w:tcW w:w="7406" w:type="dxa"/>
            <w:shd w:val="clear" w:color="auto" w:fill="FFFFFF"/>
          </w:tcPr>
          <w:p w14:paraId="505DD8D8" w14:textId="3ADF1093"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Субекти от публичния сектор, които не са третирани като държави — RWEA — експозиции по вътрешнорейтинговия подход</w:t>
            </w:r>
          </w:p>
          <w:p w14:paraId="3B167735" w14:textId="1C46124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Рисково претеглената стойност на експозициите на активите, които представляват експозиции по вътрешнорейтинговия подход към субекти от публичния сектор, които не са третирани като държави, попадащи в обхвата на член 147, параграф 4, буква б) от РКИ. </w:t>
            </w:r>
          </w:p>
          <w:p w14:paraId="786F9A83" w14:textId="4738A29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4C6FA863" w14:textId="77777777" w:rsidTr="000B66BC">
        <w:trPr>
          <w:trHeight w:val="71"/>
        </w:trPr>
        <w:tc>
          <w:tcPr>
            <w:tcW w:w="1559" w:type="dxa"/>
            <w:shd w:val="clear" w:color="auto" w:fill="FFFFFF"/>
          </w:tcPr>
          <w:p w14:paraId="271E316D" w14:textId="22F0A69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{0180;0010}</w:t>
            </w:r>
          </w:p>
        </w:tc>
        <w:tc>
          <w:tcPr>
            <w:tcW w:w="7406" w:type="dxa"/>
            <w:shd w:val="clear" w:color="auto" w:fill="FFFFFF"/>
          </w:tcPr>
          <w:p w14:paraId="4C5AF924"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Институции — Стойност на експозицията с оглед на отношението на ливъридж — експозиции по стандартизирания подход</w:t>
            </w:r>
          </w:p>
          <w:p w14:paraId="285DE0DE" w14:textId="62C2181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Стойността на експозицията с оглед на отношението на ливъридж на активите, които представляват експозиции по стандартизирания подход към институции, попадащи в обхвата на членове 119—121 от РКИ.</w:t>
            </w:r>
          </w:p>
          <w:p w14:paraId="718668CE" w14:textId="4B228AF6"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7F4516FE" w14:textId="77777777" w:rsidTr="000B66BC">
        <w:trPr>
          <w:trHeight w:val="71"/>
        </w:trPr>
        <w:tc>
          <w:tcPr>
            <w:tcW w:w="1559" w:type="dxa"/>
            <w:shd w:val="clear" w:color="auto" w:fill="FFFFFF"/>
          </w:tcPr>
          <w:p w14:paraId="729BBA0D" w14:textId="3387B1D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{0180;0020}</w:t>
            </w:r>
          </w:p>
        </w:tc>
        <w:tc>
          <w:tcPr>
            <w:tcW w:w="7406" w:type="dxa"/>
            <w:shd w:val="clear" w:color="auto" w:fill="FFFFFF"/>
          </w:tcPr>
          <w:p w14:paraId="5B3D67A0"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sz w:val="24"/>
                <w:szCs w:val="24"/>
              </w:rPr>
              <w:t>Институции — Стойност на експозицията с оглед на отношението на ливъридж — експозиции по вътрешнорейтинговия подход</w:t>
            </w:r>
          </w:p>
          <w:p w14:paraId="50027CF2" w14:textId="0739D517"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Стойност на експозицията с оглед на отношението на ливъридж на активи, които представляват експозиции по вътрешнорейтинговия подход към институции, попадащи в обхвата на член 147, параграф 2, буква б) от РКИ, и които не са експозиции под формата на покрити облигации по член 161, параграф 1, буква г) от РКИ и не попадат в обхвата на член 147, параграф 4, букви а)—в) от РКИ.</w:t>
            </w:r>
          </w:p>
          <w:p w14:paraId="74D3DFFE" w14:textId="50B07F0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63DBCD42" w14:textId="77777777" w:rsidTr="000B66BC">
        <w:trPr>
          <w:trHeight w:val="71"/>
        </w:trPr>
        <w:tc>
          <w:tcPr>
            <w:tcW w:w="1559" w:type="dxa"/>
            <w:shd w:val="clear" w:color="auto" w:fill="FFFFFF"/>
          </w:tcPr>
          <w:p w14:paraId="18901B11" w14:textId="0DF0567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{0180;0030}</w:t>
            </w:r>
          </w:p>
        </w:tc>
        <w:tc>
          <w:tcPr>
            <w:tcW w:w="7406" w:type="dxa"/>
            <w:shd w:val="clear" w:color="auto" w:fill="FFFFFF"/>
          </w:tcPr>
          <w:p w14:paraId="6B6B1A57" w14:textId="58330F9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Институции — RWEA — експозиции по стандартизирания подход</w:t>
            </w:r>
          </w:p>
          <w:p w14:paraId="7CE29C3B" w14:textId="1E06788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Рисково претеглената стойност на експозициите на активите, които представляват експозиции по стандартизирания подход към институции, попадащи в обхвата на членове 119—121 от РКИ.</w:t>
            </w:r>
          </w:p>
          <w:p w14:paraId="6FA68F7E" w14:textId="7949A67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1EFD30DA" w14:textId="77777777" w:rsidTr="000B66BC">
        <w:trPr>
          <w:trHeight w:val="71"/>
        </w:trPr>
        <w:tc>
          <w:tcPr>
            <w:tcW w:w="1559" w:type="dxa"/>
            <w:shd w:val="clear" w:color="auto" w:fill="FFFFFF"/>
          </w:tcPr>
          <w:p w14:paraId="025E39D1" w14:textId="03E4A4D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{0180;0040}</w:t>
            </w:r>
          </w:p>
        </w:tc>
        <w:tc>
          <w:tcPr>
            <w:tcW w:w="7406" w:type="dxa"/>
            <w:shd w:val="clear" w:color="auto" w:fill="FFFFFF"/>
          </w:tcPr>
          <w:p w14:paraId="73DCBC6C" w14:textId="7593C5D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Институции — RWEA — експозиции по вътрешнорейтинговия подход</w:t>
            </w:r>
          </w:p>
          <w:p w14:paraId="5E814575" w14:textId="1984B0A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Рисково претеглената стойност на експозициите на активите, които представляват експозиции по вътрешнорейтинговия подход към институции, попадащи в обхвата на член 147, параграф 2, буква б) от РКИ, и които не са експозиции под формата на покрити облигации по член 161, параграф 1, буква г) от РКИ и не попадат в обхвата на член 147, параграф 4, букви а)—в) от РКИ.</w:t>
            </w:r>
          </w:p>
          <w:p w14:paraId="1830B0D9" w14:textId="127A9738"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3B7F5DF8" w14:textId="77777777" w:rsidTr="000B66BC">
        <w:trPr>
          <w:trHeight w:val="71"/>
        </w:trPr>
        <w:tc>
          <w:tcPr>
            <w:tcW w:w="1559" w:type="dxa"/>
            <w:shd w:val="clear" w:color="auto" w:fill="FFFFFF"/>
          </w:tcPr>
          <w:p w14:paraId="7247E1A0" w14:textId="091D4A6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{0190;0010}</w:t>
            </w:r>
          </w:p>
        </w:tc>
        <w:tc>
          <w:tcPr>
            <w:tcW w:w="7406" w:type="dxa"/>
            <w:shd w:val="clear" w:color="auto" w:fill="FFFFFF"/>
          </w:tcPr>
          <w:p w14:paraId="1DB57456" w14:textId="040805EE"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Обезпечени с ипотеки върху недвижим имот — Стойност на експозицията с оглед на отношението на ливъридж — експозиции по стандартизирания подход</w:t>
            </w:r>
          </w:p>
          <w:p w14:paraId="17D67F5E" w14:textId="42D832F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Стойността на експозицията с оглед на отношението на ливъридж на активите, които представляват експозиции по стандартизирания </w:t>
            </w:r>
            <w:r>
              <w:rPr>
                <w:rFonts w:ascii="Times New Roman" w:hAnsi="Times New Roman"/>
                <w:bCs/>
                <w:sz w:val="24"/>
                <w:szCs w:val="24"/>
              </w:rPr>
              <w:lastRenderedPageBreak/>
              <w:t>подход, обезпечени с ипотека върху недвижим имот, попадащи в обхвата на член 124 от РКИ.</w:t>
            </w:r>
          </w:p>
          <w:p w14:paraId="4640B57D" w14:textId="7B28B7DF" w:rsidR="000A486B"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56FBD004" w14:textId="77777777" w:rsidTr="000B66BC">
        <w:trPr>
          <w:trHeight w:val="71"/>
        </w:trPr>
        <w:tc>
          <w:tcPr>
            <w:tcW w:w="1559" w:type="dxa"/>
            <w:shd w:val="clear" w:color="auto" w:fill="FFFFFF"/>
          </w:tcPr>
          <w:p w14:paraId="2044B99B" w14:textId="7BA570D9"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{0190;0020}</w:t>
            </w:r>
          </w:p>
        </w:tc>
        <w:tc>
          <w:tcPr>
            <w:tcW w:w="7406" w:type="dxa"/>
            <w:shd w:val="clear" w:color="auto" w:fill="FFFFFF"/>
          </w:tcPr>
          <w:p w14:paraId="65802FBC" w14:textId="6422ED68"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Обезпечени с ипотеки върху недвижим имот — Стойност на експозицията с оглед на отношението на ливъридж — експозиции по вътрешнорейтинговия подход</w:t>
            </w:r>
          </w:p>
          <w:p w14:paraId="763AB99D" w14:textId="2AFA9150"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Стойността на експозицията с оглед на отношението на ливъридж на активите, които представляват експозиции по вътрешнорейтинговия подход към предприятие, попадащи в обхвата на член 147, параграф 2, буква в), или експозиции на дребно, попадащи в обхвата на член 147, параграф 2, буква г) от РКИ, ако тези експозиции са обезпечени с ипотеки върху недвижим имот в съответствие с член 199, параграф 1, буква а) от РКИ.</w:t>
            </w:r>
          </w:p>
          <w:p w14:paraId="1A4EAAD1" w14:textId="69A57E6E"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502C4EF4" w14:textId="77777777" w:rsidTr="000B66BC">
        <w:trPr>
          <w:trHeight w:val="71"/>
        </w:trPr>
        <w:tc>
          <w:tcPr>
            <w:tcW w:w="1559" w:type="dxa"/>
            <w:shd w:val="clear" w:color="auto" w:fill="FFFFFF"/>
          </w:tcPr>
          <w:p w14:paraId="15681D38" w14:textId="06E026C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{0190;0030}</w:t>
            </w:r>
          </w:p>
        </w:tc>
        <w:tc>
          <w:tcPr>
            <w:tcW w:w="7406" w:type="dxa"/>
            <w:shd w:val="clear" w:color="auto" w:fill="FFFFFF"/>
          </w:tcPr>
          <w:p w14:paraId="660D9FEE" w14:textId="0CF03009"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Обезпечени с ипотеки върху недвижим имот — RWEA — експозиции по стандартизирания подход</w:t>
            </w:r>
          </w:p>
          <w:p w14:paraId="7FD54199" w14:textId="756F7639"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Рисково претеглената стойност на експозициите на активите, които представляват експозиции по стандартизирания подход, обезпечени с ипотеки върху недвижим имот, попадащи в обхвата на член 124 от РКИ.</w:t>
            </w:r>
          </w:p>
          <w:p w14:paraId="19AB0004" w14:textId="5017684F" w:rsidR="00086A8A"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523C1CD0" w14:textId="77777777" w:rsidTr="000B66BC">
        <w:trPr>
          <w:trHeight w:val="71"/>
        </w:trPr>
        <w:tc>
          <w:tcPr>
            <w:tcW w:w="1559" w:type="dxa"/>
            <w:shd w:val="clear" w:color="auto" w:fill="FFFFFF"/>
          </w:tcPr>
          <w:p w14:paraId="4EDDB4A4" w14:textId="1F5C859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{0190;0040}</w:t>
            </w:r>
          </w:p>
        </w:tc>
        <w:tc>
          <w:tcPr>
            <w:tcW w:w="7406" w:type="dxa"/>
            <w:shd w:val="clear" w:color="auto" w:fill="FFFFFF"/>
          </w:tcPr>
          <w:p w14:paraId="2A67D4CA" w14:textId="4683836A" w:rsidR="00F4754B" w:rsidRPr="000B66BC" w:rsidRDefault="00F4754B" w:rsidP="000B66BC">
            <w:pPr>
              <w:pStyle w:val="BodyText1"/>
              <w:tabs>
                <w:tab w:val="left" w:pos="6382"/>
              </w:tabs>
              <w:spacing w:after="240" w:line="240" w:lineRule="auto"/>
              <w:rPr>
                <w:rFonts w:ascii="Times New Roman" w:hAnsi="Times New Roman"/>
                <w:b/>
                <w:bCs/>
                <w:sz w:val="24"/>
                <w:szCs w:val="24"/>
              </w:rPr>
            </w:pPr>
            <w:r>
              <w:rPr>
                <w:rFonts w:ascii="Times New Roman" w:hAnsi="Times New Roman"/>
                <w:b/>
                <w:bCs/>
                <w:sz w:val="24"/>
                <w:szCs w:val="24"/>
              </w:rPr>
              <w:t>Обезпечени с ипотеки върху недвижим имот — RWEA — експозиции по вътрешнорейтинговия подход</w:t>
            </w:r>
            <w:r>
              <w:tab/>
            </w:r>
          </w:p>
          <w:p w14:paraId="7F2995F6" w14:textId="2D09856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Рисково претеглената стойност на експозициите на активите, които представляват експозиции по вътрешнорейтинговия подход към предприятие, попадащи в обхвата на член 147, параграф 2, буква в), или експозиции на дребно, попадащи в обхвата на член 147, параграф 2, буква г) от РКИ, ако тези експозиции са обезпечени с ипотеки върху недвижим имот в съответствие с член 199, параграф 1, буква а) от РКИ.</w:t>
            </w:r>
          </w:p>
          <w:p w14:paraId="7586DF94" w14:textId="6150818F"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79F6725D" w14:textId="77777777" w:rsidTr="000B66BC">
        <w:trPr>
          <w:trHeight w:val="71"/>
        </w:trPr>
        <w:tc>
          <w:tcPr>
            <w:tcW w:w="1559" w:type="dxa"/>
            <w:shd w:val="clear" w:color="auto" w:fill="FFFFFF"/>
          </w:tcPr>
          <w:p w14:paraId="672A2EB4" w14:textId="70F516D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{0200;0010}</w:t>
            </w:r>
          </w:p>
        </w:tc>
        <w:tc>
          <w:tcPr>
            <w:tcW w:w="7406" w:type="dxa"/>
            <w:shd w:val="clear" w:color="auto" w:fill="FFFFFF"/>
          </w:tcPr>
          <w:p w14:paraId="584E92BF"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в т.ч.: </w:t>
            </w:r>
            <w:r>
              <w:rPr>
                <w:rFonts w:ascii="Times New Roman" w:hAnsi="Times New Roman"/>
                <w:b/>
                <w:sz w:val="24"/>
                <w:szCs w:val="24"/>
              </w:rPr>
              <w:t>Обезпечени с ипотеки върху жилищни имоти — Стойност на експозицията с оглед на отношението на ливъридж — експозиции по стандартизирания подход</w:t>
            </w:r>
          </w:p>
          <w:p w14:paraId="6D68CB80" w14:textId="6887386B"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Стойността на експозицията с оглед на отношението на ливъридж на активите, които представляват експозиции по стандартизирания подход, напълно и изцяло обезпечени с ипотека върху жилищен имот, попадащи в обхвата на член 125 от РКИ.</w:t>
            </w:r>
          </w:p>
          <w:p w14:paraId="76AD85E4" w14:textId="268C492C"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29B94991" w14:textId="77777777" w:rsidTr="000B66BC">
        <w:trPr>
          <w:trHeight w:val="71"/>
        </w:trPr>
        <w:tc>
          <w:tcPr>
            <w:tcW w:w="1559" w:type="dxa"/>
            <w:shd w:val="clear" w:color="auto" w:fill="FFFFFF"/>
          </w:tcPr>
          <w:p w14:paraId="7E8E4168" w14:textId="098FD08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{0200;0020}</w:t>
            </w:r>
          </w:p>
        </w:tc>
        <w:tc>
          <w:tcPr>
            <w:tcW w:w="7406" w:type="dxa"/>
            <w:shd w:val="clear" w:color="auto" w:fill="FFFFFF"/>
          </w:tcPr>
          <w:p w14:paraId="32703B14"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в т.ч.: </w:t>
            </w:r>
            <w:r>
              <w:rPr>
                <w:rFonts w:ascii="Times New Roman" w:hAnsi="Times New Roman"/>
                <w:b/>
                <w:sz w:val="24"/>
                <w:szCs w:val="24"/>
              </w:rPr>
              <w:t>Обезпечени с ипотеки върху жилищни имоти — Стойност на експозицията с оглед на отношението на ливъридж — експозиции по вътрешнорейтинговия подход</w:t>
            </w:r>
          </w:p>
          <w:p w14:paraId="225F5A50" w14:textId="6EDFF0D4"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Стойността на експозицията с оглед на отношението на ливъридж на активите, които представляват експозиции по вътрешнорейтинговия подход към предприятия, попадащи в обхвата на член 147, параграф 2, буква в), или експозиции на дребно, попадащи в обхвата на член 147, параграф 2, буква г) от РКИ, ако тези експозиции са обезпечени с ипотеки върху жилищен имот в съответствие с член 199, параграф 1, буква а) от РКИ.</w:t>
            </w:r>
          </w:p>
          <w:p w14:paraId="3F187E7D" w14:textId="2026D8AC" w:rsidR="004B064A" w:rsidRPr="000B66BC" w:rsidDel="003A59D6"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14374F64" w14:textId="77777777" w:rsidTr="000B66BC">
        <w:trPr>
          <w:trHeight w:val="71"/>
        </w:trPr>
        <w:tc>
          <w:tcPr>
            <w:tcW w:w="1559" w:type="dxa"/>
            <w:shd w:val="clear" w:color="auto" w:fill="FFFFFF"/>
          </w:tcPr>
          <w:p w14:paraId="44481671" w14:textId="4931896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{0200;0030}</w:t>
            </w:r>
          </w:p>
        </w:tc>
        <w:tc>
          <w:tcPr>
            <w:tcW w:w="7406" w:type="dxa"/>
            <w:shd w:val="clear" w:color="auto" w:fill="FFFFFF"/>
          </w:tcPr>
          <w:p w14:paraId="1C91D3EE" w14:textId="0C703C50"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в т.ч.: Обезпечени с ипотеки върху жилищни имоти — RWEA — експозиции по стандартизирания подход</w:t>
            </w:r>
          </w:p>
          <w:p w14:paraId="2432C156" w14:textId="0D530871"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Рисково претеглената стойност на експозициите на активите, които представляват експозиции по стандартизирания подход, напълно и изцяло обезпечени с ипотека върху жилищен имот, попадащи в обхвата на член 125 от РКИ.</w:t>
            </w:r>
          </w:p>
          <w:p w14:paraId="26D9FFCE" w14:textId="4577953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0D3A4E36" w14:textId="77777777" w:rsidTr="000B66BC">
        <w:trPr>
          <w:trHeight w:val="71"/>
        </w:trPr>
        <w:tc>
          <w:tcPr>
            <w:tcW w:w="1559" w:type="dxa"/>
            <w:shd w:val="clear" w:color="auto" w:fill="FFFFFF"/>
          </w:tcPr>
          <w:p w14:paraId="28ED62BB" w14:textId="034112B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{0200;0040}</w:t>
            </w:r>
          </w:p>
        </w:tc>
        <w:tc>
          <w:tcPr>
            <w:tcW w:w="7406" w:type="dxa"/>
            <w:shd w:val="clear" w:color="auto" w:fill="FFFFFF"/>
          </w:tcPr>
          <w:p w14:paraId="35F16AA3" w14:textId="7277D856"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в т.ч.: Обезпечени с ипотеки върху жилищни имоти — RWEA — експозиции по вътрешнорейтинговия подход</w:t>
            </w:r>
          </w:p>
          <w:p w14:paraId="17020383" w14:textId="17A53C39"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Рисково претеглената стойност на експозициите на активите, които представляват експозиции по вътрешнорейтинговия подход към предприятия, попадащи в обхвата на член 147, параграф 2, буква в), или експозиции на дребно, попадащи в обхвата на член 147, параграф 2, буква г) от РКИ, ако тези експозиции са обезпечени с ипотеки върху жилищен имот в съответствие с член 199, параграф 1, буква а) от РКИ.</w:t>
            </w:r>
          </w:p>
          <w:p w14:paraId="434D72CF" w14:textId="69DE627D" w:rsidR="004250C0"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18D713C4" w14:textId="77777777" w:rsidTr="000B66BC">
        <w:trPr>
          <w:trHeight w:val="71"/>
        </w:trPr>
        <w:tc>
          <w:tcPr>
            <w:tcW w:w="1559" w:type="dxa"/>
            <w:shd w:val="clear" w:color="auto" w:fill="FFFFFF"/>
          </w:tcPr>
          <w:p w14:paraId="10D72D62" w14:textId="3E23070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{0210;0010}</w:t>
            </w:r>
          </w:p>
        </w:tc>
        <w:tc>
          <w:tcPr>
            <w:tcW w:w="7406" w:type="dxa"/>
            <w:shd w:val="clear" w:color="auto" w:fill="FFFFFF"/>
          </w:tcPr>
          <w:p w14:paraId="29F4D22F" w14:textId="0AFB67CF"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Експозиции на дребно — Стойност на експозицията с оглед на отношението на ливъридж — експозиции по стандартизирания подход</w:t>
            </w:r>
          </w:p>
          <w:p w14:paraId="1C50F3CF" w14:textId="3904223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Стойността на експозицията с оглед на отношението на ливъридж на активите, които представляват експозиции на дребно по стандартизирания подход, попадащи в обхвата на член 123 от РКИ.</w:t>
            </w:r>
          </w:p>
          <w:p w14:paraId="467BDCEC" w14:textId="6EA2353B"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29E5C489" w14:textId="77777777" w:rsidTr="000B66BC">
        <w:trPr>
          <w:trHeight w:val="71"/>
        </w:trPr>
        <w:tc>
          <w:tcPr>
            <w:tcW w:w="1559" w:type="dxa"/>
            <w:shd w:val="clear" w:color="auto" w:fill="FFFFFF"/>
          </w:tcPr>
          <w:p w14:paraId="0E1E0B5E" w14:textId="70EE57D3"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{0210;0020}</w:t>
            </w:r>
          </w:p>
        </w:tc>
        <w:tc>
          <w:tcPr>
            <w:tcW w:w="7406" w:type="dxa"/>
            <w:shd w:val="clear" w:color="auto" w:fill="FFFFFF"/>
          </w:tcPr>
          <w:p w14:paraId="31A6BB5D" w14:textId="22D5A816"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Експозиции на дребно — Стойност на експозицията с оглед на отношението на ливъридж — експозиции по вътрешнорейтинговия подход</w:t>
            </w:r>
          </w:p>
          <w:p w14:paraId="2F48B2D6" w14:textId="34AA586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Стойността на експозицията с оглед на отношението на ливъридж на активите, които представляват експозиции на дребно по вътрешнорейтинговия подход, попадащи в обхвата на член 147, параграф 2, буква г), ако тези експозиции не са обезпечени с ипотеки върху недвижим имот в съответствие с член 199, параграф 1, буква а) от РКИ.</w:t>
            </w:r>
          </w:p>
          <w:p w14:paraId="3E24EEB1" w14:textId="56A3B7C1" w:rsidR="002509B1"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2494CE48" w14:textId="77777777" w:rsidTr="000B66BC">
        <w:trPr>
          <w:trHeight w:val="71"/>
        </w:trPr>
        <w:tc>
          <w:tcPr>
            <w:tcW w:w="1559" w:type="dxa"/>
            <w:shd w:val="clear" w:color="auto" w:fill="FFFFFF"/>
          </w:tcPr>
          <w:p w14:paraId="6EB17324" w14:textId="4693281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{0210;0030}</w:t>
            </w:r>
          </w:p>
        </w:tc>
        <w:tc>
          <w:tcPr>
            <w:tcW w:w="7406" w:type="dxa"/>
            <w:shd w:val="clear" w:color="auto" w:fill="FFFFFF"/>
          </w:tcPr>
          <w:p w14:paraId="289B0ED6" w14:textId="3F634A7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Експозиции на дребно — RWEA — експозиции по стандартизирания подход</w:t>
            </w:r>
          </w:p>
          <w:p w14:paraId="078B0D1B" w14:textId="61CD5542"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Рисково претеглената стойност на експозициите на активите, които представляват експозиции на дребно по стандартизирания подход, попадащи в обхвата на член 123 от РКИ.</w:t>
            </w:r>
          </w:p>
          <w:p w14:paraId="32C0AC0A" w14:textId="1D4C9F45"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076433D7" w14:textId="77777777" w:rsidTr="000B66BC">
        <w:trPr>
          <w:trHeight w:val="71"/>
        </w:trPr>
        <w:tc>
          <w:tcPr>
            <w:tcW w:w="1559" w:type="dxa"/>
            <w:shd w:val="clear" w:color="auto" w:fill="FFFFFF"/>
          </w:tcPr>
          <w:p w14:paraId="7BBA610A" w14:textId="7E09D9E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{0210;0040}</w:t>
            </w:r>
          </w:p>
        </w:tc>
        <w:tc>
          <w:tcPr>
            <w:tcW w:w="7406" w:type="dxa"/>
            <w:shd w:val="clear" w:color="auto" w:fill="FFFFFF"/>
          </w:tcPr>
          <w:p w14:paraId="3829C860" w14:textId="1B4CBE35"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Експозиции на дребно — RWEA — експозиции по вътрешнорейтинговия подход</w:t>
            </w:r>
          </w:p>
          <w:p w14:paraId="270C61EF" w14:textId="1F86C8D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Рисково претеглената стойност на експозициите на активите, които представляват експозиции на дребно по вътрешнорейтинговия подход, попадащи в обхвата на член 147, параграф 2, буква г), ако тези експозиции не са обезпечени с ипотеки върху недвижим имот в съответствие с член 199, параграф 1, буква а) от РКИ.</w:t>
            </w:r>
            <w:r>
              <w:rPr>
                <w:rFonts w:ascii="Times New Roman" w:hAnsi="Times New Roman"/>
                <w:bCs/>
                <w:sz w:val="24"/>
                <w:szCs w:val="24"/>
              </w:rPr>
              <w:t xml:space="preserve"> </w:t>
            </w:r>
          </w:p>
          <w:p w14:paraId="46460615" w14:textId="10D3075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0AAA69A4" w14:textId="77777777" w:rsidTr="000B66BC">
        <w:trPr>
          <w:trHeight w:val="71"/>
        </w:trPr>
        <w:tc>
          <w:tcPr>
            <w:tcW w:w="1559" w:type="dxa"/>
            <w:shd w:val="clear" w:color="auto" w:fill="FFFFFF"/>
          </w:tcPr>
          <w:p w14:paraId="2A257B46" w14:textId="42862C0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{0220;0010}</w:t>
            </w:r>
          </w:p>
        </w:tc>
        <w:tc>
          <w:tcPr>
            <w:tcW w:w="7406" w:type="dxa"/>
            <w:shd w:val="clear" w:color="auto" w:fill="FFFFFF"/>
          </w:tcPr>
          <w:p w14:paraId="7AF700CC" w14:textId="77777777" w:rsidR="00F4754B" w:rsidRPr="000B66BC" w:rsidRDefault="00920DD9" w:rsidP="000B66BC">
            <w:pPr>
              <w:pStyle w:val="BodyText1"/>
              <w:spacing w:after="240" w:line="240" w:lineRule="auto"/>
              <w:rPr>
                <w:rFonts w:ascii="Times New Roman" w:hAnsi="Times New Roman"/>
                <w:b/>
                <w:sz w:val="24"/>
                <w:szCs w:val="24"/>
              </w:rPr>
            </w:pPr>
            <w:r>
              <w:rPr>
                <w:rFonts w:ascii="Times New Roman" w:hAnsi="Times New Roman"/>
                <w:b/>
                <w:bCs/>
                <w:sz w:val="24"/>
                <w:szCs w:val="24"/>
              </w:rPr>
              <w:t xml:space="preserve">в т.ч.: </w:t>
            </w:r>
            <w:r>
              <w:rPr>
                <w:rFonts w:ascii="Times New Roman" w:hAnsi="Times New Roman"/>
                <w:b/>
                <w:sz w:val="24"/>
                <w:szCs w:val="24"/>
              </w:rPr>
              <w:t>МСП на дребно — Стойност на експозицията с оглед на отношението на ливъридж — експозиции по стандартизирания подход</w:t>
            </w:r>
          </w:p>
          <w:p w14:paraId="30054418" w14:textId="0ACC7EE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Стойността на експозицията с оглед на отношението на ливъридж на активите, които представляват експозиции към малки и средни предприятия по стандартизирания подход, попадащи в обхвата на член 123 от РКИ.</w:t>
            </w:r>
          </w:p>
          <w:p w14:paraId="55120FDB" w14:textId="4D9F9464"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С оглед на докладването на това поле институциите използват термина „малко и средно предприятие“, както е определен в член 501, параграф 2, буква б) от РКИ.</w:t>
            </w:r>
          </w:p>
          <w:p w14:paraId="4231C6F4" w14:textId="7E0CACE5" w:rsidR="002509B1" w:rsidRPr="000B66BC" w:rsidRDefault="00086A8A"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7C0D9518" w14:textId="77777777" w:rsidTr="000B66BC">
        <w:trPr>
          <w:trHeight w:val="71"/>
        </w:trPr>
        <w:tc>
          <w:tcPr>
            <w:tcW w:w="1559" w:type="dxa"/>
            <w:shd w:val="clear" w:color="auto" w:fill="FFFFFF"/>
          </w:tcPr>
          <w:p w14:paraId="46A37ABD" w14:textId="2C88404B"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{0220;0020}</w:t>
            </w:r>
          </w:p>
        </w:tc>
        <w:tc>
          <w:tcPr>
            <w:tcW w:w="7406" w:type="dxa"/>
            <w:shd w:val="clear" w:color="auto" w:fill="FFFFFF"/>
          </w:tcPr>
          <w:p w14:paraId="08A88D6A" w14:textId="77777777"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в т.ч.: </w:t>
            </w:r>
            <w:r>
              <w:rPr>
                <w:rFonts w:ascii="Times New Roman" w:hAnsi="Times New Roman"/>
                <w:b/>
                <w:sz w:val="24"/>
                <w:szCs w:val="24"/>
              </w:rPr>
              <w:t>МСП на дребно — Стойност на експозицията с оглед на отношението на ливъридж — експозиции по вътрешнорейтинговия подход</w:t>
            </w:r>
          </w:p>
          <w:p w14:paraId="781E0C73" w14:textId="2963C04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Стойността на експозицията с оглед на отношението на ливъридж на активите, които представляват експозиции на дребно по вътрешнорейтинговия подход, попадащи в обхвата на член 147, параграф 2, буква г), ако това са експозиции към малки и средни предприятия и не са обезпечени с ипотеки върху недвижим имот в съответствие с член 199, параграф 1, буква а) от РКИ.</w:t>
            </w:r>
            <w:r>
              <w:rPr>
                <w:rFonts w:ascii="Times New Roman" w:hAnsi="Times New Roman"/>
                <w:bCs/>
                <w:sz w:val="24"/>
                <w:szCs w:val="24"/>
              </w:rPr>
              <w:t xml:space="preserve"> </w:t>
            </w:r>
          </w:p>
          <w:p w14:paraId="33D07FA1" w14:textId="2ECC7D0E"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С оглед на докладването на това поле институциите използват термина „малко и средно предприятие“, както е определен в член 501, параграф 2, буква б) от РКИ.</w:t>
            </w:r>
          </w:p>
          <w:p w14:paraId="04884D64" w14:textId="75E640A6" w:rsidR="002509B1" w:rsidRPr="000B66BC" w:rsidDel="00EC6E42"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7A8F06D1" w14:textId="77777777" w:rsidTr="000B66BC">
        <w:trPr>
          <w:trHeight w:val="71"/>
        </w:trPr>
        <w:tc>
          <w:tcPr>
            <w:tcW w:w="1559" w:type="dxa"/>
            <w:shd w:val="clear" w:color="auto" w:fill="FFFFFF"/>
          </w:tcPr>
          <w:p w14:paraId="301DBA86" w14:textId="0C22B55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{0220;0030}</w:t>
            </w:r>
          </w:p>
        </w:tc>
        <w:tc>
          <w:tcPr>
            <w:tcW w:w="7406" w:type="dxa"/>
            <w:shd w:val="clear" w:color="auto" w:fill="FFFFFF"/>
          </w:tcPr>
          <w:p w14:paraId="54B8F22A" w14:textId="1D4B13D9" w:rsidR="002509B1"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в т.ч.: МСП на дребно — RWEA — експозиции по стандартизирания подход</w:t>
            </w:r>
          </w:p>
          <w:p w14:paraId="6A3FD743" w14:textId="644522E7"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Рисково претеглената стойност на експозициите на активите, които представляват експозиции на дребно по стандартизирания подход към малки и средни предприятия, попадащи в обхвата на член 123 от РКИ.</w:t>
            </w:r>
          </w:p>
          <w:p w14:paraId="550AD4D7" w14:textId="58216A19" w:rsidR="00086A8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С оглед на докладването на това поле институциите използват термина „малко и средно предприятие“, както е определен в член 501, параграф 2, буква б) от РКИ.</w:t>
            </w:r>
          </w:p>
          <w:p w14:paraId="1B6B32F8" w14:textId="14F01D19"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0291C492" w14:textId="77777777" w:rsidTr="000B66BC">
        <w:trPr>
          <w:trHeight w:val="71"/>
        </w:trPr>
        <w:tc>
          <w:tcPr>
            <w:tcW w:w="1559" w:type="dxa"/>
            <w:shd w:val="clear" w:color="auto" w:fill="FFFFFF"/>
          </w:tcPr>
          <w:p w14:paraId="5C057F01" w14:textId="210C1BD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{0220;0040}</w:t>
            </w:r>
          </w:p>
        </w:tc>
        <w:tc>
          <w:tcPr>
            <w:tcW w:w="7406" w:type="dxa"/>
            <w:shd w:val="clear" w:color="auto" w:fill="FFFFFF"/>
          </w:tcPr>
          <w:p w14:paraId="59E62599" w14:textId="6893B06F" w:rsidR="00F4754B" w:rsidRPr="000B66BC" w:rsidRDefault="00920DD9"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в т.ч.: МСП на дребно — RWEA — експозиции по вътрешнорейтинговия подход</w:t>
            </w:r>
          </w:p>
          <w:p w14:paraId="4092922E" w14:textId="5A98FDA8" w:rsidR="00BB532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 xml:space="preserve">Рисково претеглената стойност на експозициите на активите, които представляват експозиции на дребно по вътрешнорейтинговия подход, попадащи в обхвата на член 147, параграф 2, буква г), ако това </w:t>
            </w:r>
            <w:r>
              <w:rPr>
                <w:rFonts w:ascii="Times New Roman" w:hAnsi="Times New Roman"/>
                <w:sz w:val="24"/>
                <w:szCs w:val="24"/>
              </w:rPr>
              <w:lastRenderedPageBreak/>
              <w:t>са експозиции към малки и средни предприятия и не са обезпечени с ипотеки върху недвижим имот в съответствие с член 199, параграф 1, буква а) от РКИ.</w:t>
            </w:r>
          </w:p>
          <w:p w14:paraId="51FEC3D4" w14:textId="740F3816" w:rsidR="004B653A" w:rsidRPr="000B66BC" w:rsidRDefault="004B653A" w:rsidP="000B66BC">
            <w:pPr>
              <w:pStyle w:val="BodyText1"/>
              <w:spacing w:after="240" w:line="240" w:lineRule="auto"/>
              <w:rPr>
                <w:rFonts w:ascii="Times New Roman" w:hAnsi="Times New Roman"/>
                <w:bCs/>
                <w:sz w:val="24"/>
                <w:szCs w:val="24"/>
              </w:rPr>
            </w:pPr>
            <w:r>
              <w:rPr>
                <w:rFonts w:ascii="Times New Roman" w:hAnsi="Times New Roman"/>
                <w:bCs/>
                <w:sz w:val="24"/>
                <w:szCs w:val="24"/>
              </w:rPr>
              <w:t>С оглед на докладването на това поле институциите използват термина „малко и средно предприятие“, както е определен в член 501, параграф 2, буква б) от РКИ.</w:t>
            </w:r>
          </w:p>
          <w:p w14:paraId="15449195" w14:textId="06E7A313"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22E0911F" w14:textId="77777777" w:rsidTr="000B66BC">
        <w:trPr>
          <w:trHeight w:val="71"/>
        </w:trPr>
        <w:tc>
          <w:tcPr>
            <w:tcW w:w="1559" w:type="dxa"/>
            <w:shd w:val="clear" w:color="auto" w:fill="FFFFFF"/>
          </w:tcPr>
          <w:p w14:paraId="2D2EB46F" w14:textId="6C0287C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{0230;0010}</w:t>
            </w:r>
          </w:p>
        </w:tc>
        <w:tc>
          <w:tcPr>
            <w:tcW w:w="7406" w:type="dxa"/>
            <w:shd w:val="clear" w:color="auto" w:fill="FFFFFF"/>
          </w:tcPr>
          <w:p w14:paraId="73CCE449" w14:textId="775C5A7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Предприятия — Стойност на експозицията с оглед на отношението на ливъридж — експозиции по стандартизирания подход</w:t>
            </w:r>
          </w:p>
          <w:p w14:paraId="4918C822" w14:textId="3B8F07B4" w:rsidR="00F4754B" w:rsidRPr="000B66BC" w:rsidRDefault="00F4754B" w:rsidP="000B66BC">
            <w:pPr>
              <w:pStyle w:val="BodyText1"/>
              <w:spacing w:after="240" w:line="240" w:lineRule="auto"/>
              <w:rPr>
                <w:rFonts w:ascii="Times New Roman" w:hAnsi="Times New Roman"/>
                <w:sz w:val="24"/>
                <w:szCs w:val="24"/>
              </w:rPr>
            </w:pPr>
            <w:r>
              <w:rPr>
                <w:rFonts w:ascii="Times New Roman" w:hAnsi="Times New Roman"/>
                <w:sz w:val="24"/>
                <w:szCs w:val="24"/>
              </w:rPr>
              <w:t>Това е сборът от {0240,0010} и {0250,0010}.</w:t>
            </w:r>
          </w:p>
          <w:p w14:paraId="0E0CFA07" w14:textId="6CB7CDA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12DD0BFF" w14:textId="77777777" w:rsidTr="000B66BC">
        <w:trPr>
          <w:trHeight w:val="71"/>
        </w:trPr>
        <w:tc>
          <w:tcPr>
            <w:tcW w:w="1559" w:type="dxa"/>
            <w:shd w:val="clear" w:color="auto" w:fill="FFFFFF"/>
          </w:tcPr>
          <w:p w14:paraId="1C2C1D0B" w14:textId="454CE52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{0230;0020}</w:t>
            </w:r>
          </w:p>
        </w:tc>
        <w:tc>
          <w:tcPr>
            <w:tcW w:w="7406" w:type="dxa"/>
            <w:shd w:val="clear" w:color="auto" w:fill="FFFFFF"/>
          </w:tcPr>
          <w:p w14:paraId="6362ED1C" w14:textId="48ECB6BB"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Предприятия — Стойност на експозицията с оглед на отношението на ливъридж — експозиции по вътрешнорейтинговия подход</w:t>
            </w:r>
          </w:p>
          <w:p w14:paraId="3219ACC2" w14:textId="4FF4B098"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Това е сборът от {0240,0020} и {0250,0020}.</w:t>
            </w:r>
          </w:p>
          <w:p w14:paraId="4E2F97BD" w14:textId="057F74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1AA657CC" w14:textId="77777777" w:rsidTr="000B66BC">
        <w:trPr>
          <w:trHeight w:val="71"/>
        </w:trPr>
        <w:tc>
          <w:tcPr>
            <w:tcW w:w="1559" w:type="dxa"/>
            <w:shd w:val="clear" w:color="auto" w:fill="FFFFFF"/>
          </w:tcPr>
          <w:p w14:paraId="4522036A" w14:textId="1BC453B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{0230;0030}</w:t>
            </w:r>
          </w:p>
        </w:tc>
        <w:tc>
          <w:tcPr>
            <w:tcW w:w="7406" w:type="dxa"/>
            <w:shd w:val="clear" w:color="auto" w:fill="FFFFFF"/>
          </w:tcPr>
          <w:p w14:paraId="44E9C1D0" w14:textId="47E5782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Предприятия — RWEA — експозиции по стандартизирания подход</w:t>
            </w:r>
          </w:p>
          <w:p w14:paraId="327E6857" w14:textId="7197BBC3"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Това е сборът от {0240,0030} и {0250,0030}..</w:t>
            </w:r>
          </w:p>
          <w:p w14:paraId="730ED24A" w14:textId="291AC1EA"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0C1B4712" w14:textId="77777777" w:rsidTr="000B66BC">
        <w:trPr>
          <w:trHeight w:val="71"/>
        </w:trPr>
        <w:tc>
          <w:tcPr>
            <w:tcW w:w="1559" w:type="dxa"/>
            <w:shd w:val="clear" w:color="auto" w:fill="FFFFFF"/>
          </w:tcPr>
          <w:p w14:paraId="7A82EAC6" w14:textId="7CFA6BC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{0230;0040}</w:t>
            </w:r>
          </w:p>
        </w:tc>
        <w:tc>
          <w:tcPr>
            <w:tcW w:w="7406" w:type="dxa"/>
            <w:shd w:val="clear" w:color="auto" w:fill="FFFFFF"/>
          </w:tcPr>
          <w:p w14:paraId="0B759A94" w14:textId="0A1DE6F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Предприятия — RWEA — експозиции по вътрешнорейтинговия подход</w:t>
            </w:r>
          </w:p>
          <w:p w14:paraId="1D494120" w14:textId="6A9832C6"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Това е сборът от {0240,0040} и {0250,0040}.</w:t>
            </w:r>
          </w:p>
          <w:p w14:paraId="1F4A9AA4" w14:textId="53069870"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5D9FF2D4" w14:textId="77777777" w:rsidTr="000B66BC">
        <w:trPr>
          <w:trHeight w:val="71"/>
        </w:trPr>
        <w:tc>
          <w:tcPr>
            <w:tcW w:w="1559" w:type="dxa"/>
            <w:shd w:val="clear" w:color="auto" w:fill="FFFFFF"/>
          </w:tcPr>
          <w:p w14:paraId="0D822794" w14:textId="69E077E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{0240;0010}</w:t>
            </w:r>
          </w:p>
        </w:tc>
        <w:tc>
          <w:tcPr>
            <w:tcW w:w="7406" w:type="dxa"/>
            <w:shd w:val="clear" w:color="auto" w:fill="FFFFFF"/>
          </w:tcPr>
          <w:p w14:paraId="6E90DECA" w14:textId="3F12F294"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Финансови — Стойност на експозицията с оглед на отношението на ливъридж — експозиции по стандартизирания подход</w:t>
            </w:r>
          </w:p>
          <w:p w14:paraId="7CAB4F9A" w14:textId="3AFB92C6"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Стойността на експозицията с оглед на отношението на ливъридж на активите, които представляват експозиции към финансови </w:t>
            </w:r>
            <w:r>
              <w:rPr>
                <w:rFonts w:ascii="Times New Roman" w:hAnsi="Times New Roman"/>
                <w:bCs/>
                <w:sz w:val="24"/>
                <w:szCs w:val="24"/>
              </w:rPr>
              <w:lastRenderedPageBreak/>
              <w:t>предприятия по стандартизирания подход, попадащи в обхвата на член 122 от РКИ.</w:t>
            </w:r>
          </w:p>
          <w:p w14:paraId="48ACEE9F" w14:textId="4298D835"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С оглед на докладването в LR4, „финансови предприятия“ означава регулирани или нерегулирани предприятия, различни от институциите, посочени в {0180;0010}, чиято основна дейност е придобиване на дялови участия или извършване на една или повече от дейностите, изброени в приложение I към Директива 2013/36/ЕС, както и предприятията, определени в член 4, параграф 1, точка 27 от РКИ, различни от институциите, посочени в {0180;0010}. </w:t>
            </w:r>
          </w:p>
          <w:p w14:paraId="34C751F5" w14:textId="603A8953"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3897B4FD" w14:textId="77777777" w:rsidTr="000B66BC">
        <w:trPr>
          <w:trHeight w:val="71"/>
        </w:trPr>
        <w:tc>
          <w:tcPr>
            <w:tcW w:w="1559" w:type="dxa"/>
            <w:shd w:val="clear" w:color="auto" w:fill="FFFFFF"/>
          </w:tcPr>
          <w:p w14:paraId="5C338C26" w14:textId="03E777A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{0240;0020}</w:t>
            </w:r>
          </w:p>
        </w:tc>
        <w:tc>
          <w:tcPr>
            <w:tcW w:w="7406" w:type="dxa"/>
            <w:shd w:val="clear" w:color="auto" w:fill="FFFFFF"/>
          </w:tcPr>
          <w:p w14:paraId="4094858A"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Финансови — Стойност на експозицията с оглед на отношението на ливъридж — експозиции по вътрешнорейтинговия подход</w:t>
            </w:r>
          </w:p>
          <w:p w14:paraId="058EB000" w14:textId="40B3155C"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Стойността на експозицията с оглед на отношението на ливъридж на активите, които представляват експозиции към финансови предприятия по вътрешнорейтинговия подход, попадащи в обхвата на член 147, параграф 2, буква в), ако тези експозиции не са обезпечени с ипотеки върху недвижим имот в съответствие с член 199, параграф 1, буква а) от РКИ.</w:t>
            </w:r>
          </w:p>
          <w:p w14:paraId="07B8C8CE" w14:textId="744B3DCC"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С оглед на докладването в LR4, „финансови предприятия“ означава регулирани или нерегулирани предприятия, различни от институциите, посочени в {0180;0010}, чиято основна дейност е придобиване на дялови участия или извършване на една или повече от дейностите, изброени в приложение I към Директива 2013/36/ЕС, както и предприятията, определени в член 4, параграф 1, точка 27 от РКИ, различни от институциите, посочени в {0180;0010}. </w:t>
            </w:r>
          </w:p>
          <w:p w14:paraId="51655C6D" w14:textId="31474CF4"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7E381EEB" w14:textId="77777777" w:rsidTr="000B66BC">
        <w:trPr>
          <w:trHeight w:val="71"/>
        </w:trPr>
        <w:tc>
          <w:tcPr>
            <w:tcW w:w="1559" w:type="dxa"/>
            <w:shd w:val="clear" w:color="auto" w:fill="FFFFFF"/>
          </w:tcPr>
          <w:p w14:paraId="2F071D43" w14:textId="5D1456F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{0240;0030}</w:t>
            </w:r>
          </w:p>
        </w:tc>
        <w:tc>
          <w:tcPr>
            <w:tcW w:w="7406" w:type="dxa"/>
            <w:shd w:val="clear" w:color="auto" w:fill="FFFFFF"/>
          </w:tcPr>
          <w:p w14:paraId="3EFA5487" w14:textId="705A4662"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Финансови — RWEA — експозиции по стандартизирания подход</w:t>
            </w:r>
          </w:p>
          <w:p w14:paraId="08FF6980" w14:textId="17600103" w:rsidR="008A5C87"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Рисково претеглената стойност на експозициите на активите, които представляват експозиции към финансови предприятия по стандартизирания подход, попадащи в обхвата на член 122 от РКИ.</w:t>
            </w:r>
          </w:p>
          <w:p w14:paraId="4DE325F6" w14:textId="45BD44A6"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С оглед на докладването в LR4, „финансови предприятия“ означава регулирани или нерегулирани предприятия, различни от институциите, посочени в {0180;0010}, чиято основна дейност е придобиване на дялови участия или извършване на една или повече от дейностите, изброени в приложение I към Директива 2013/36/ЕС, както и предприятията, определени в член 4, параграф 1, точка 27 от РКИ, различни от институциите, посочени в {0180;0010}. </w:t>
            </w:r>
          </w:p>
          <w:p w14:paraId="6B38D45F" w14:textId="591397C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lastRenderedPageBreak/>
              <w:t>Докладваните от институциите стойности са нето от експозициите в неизпълнение по стандартизирания подход.</w:t>
            </w:r>
          </w:p>
        </w:tc>
      </w:tr>
      <w:tr w:rsidR="002A54FF" w:rsidRPr="00E75BB8" w14:paraId="7E13A8B7" w14:textId="77777777" w:rsidTr="000B66BC">
        <w:trPr>
          <w:trHeight w:val="71"/>
        </w:trPr>
        <w:tc>
          <w:tcPr>
            <w:tcW w:w="1559" w:type="dxa"/>
            <w:shd w:val="clear" w:color="auto" w:fill="FFFFFF"/>
          </w:tcPr>
          <w:p w14:paraId="4A07187A" w14:textId="59A5E64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{0240;0040}</w:t>
            </w:r>
          </w:p>
        </w:tc>
        <w:tc>
          <w:tcPr>
            <w:tcW w:w="7406" w:type="dxa"/>
            <w:shd w:val="clear" w:color="auto" w:fill="FFFFFF"/>
          </w:tcPr>
          <w:p w14:paraId="0D42EAF2" w14:textId="4C7FF3C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Финансови — RWEA — експозиции по вътрешнорейтинговия подход</w:t>
            </w:r>
          </w:p>
          <w:p w14:paraId="2E63CDE0" w14:textId="5FB3406E" w:rsidR="008A5C87"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Рисково претеглената стойност на експозициите на активите, които представляват експозиции към финансови предприятия по вътрешнорейтинговия подход, попадащи в обхвата на член 147, параграф 2, буква в), ако тези експозиции не са обезпечени с ипотеки върху недвижим имот в съответствие с член 199, параграф 1, буква а) от РКИ.</w:t>
            </w:r>
          </w:p>
          <w:p w14:paraId="717CB3D1" w14:textId="7ABB9533"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С оглед на докладването в LR4, „финансови предприятия“ означава регулирани или нерегулирани предприятия, различни от институциите, посочени в {0180;0010}, чиято основна дейност е придобиване на дялови участия или извършване на една или повече от дейностите, изброени в приложение I към Директива 2013/36/ЕС, както и предприятията, определени в член 4, параграф 1, точка 27 от РКИ, различни от институциите, посочени в {0180;0010}.</w:t>
            </w:r>
          </w:p>
          <w:p w14:paraId="46CE9414" w14:textId="0957AC2F"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1D9775DE" w14:textId="77777777" w:rsidTr="000B66BC">
        <w:trPr>
          <w:trHeight w:val="71"/>
        </w:trPr>
        <w:tc>
          <w:tcPr>
            <w:tcW w:w="1559" w:type="dxa"/>
            <w:shd w:val="clear" w:color="auto" w:fill="FFFFFF"/>
          </w:tcPr>
          <w:p w14:paraId="533C726F" w14:textId="47DF85C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{0250;0010}</w:t>
            </w:r>
          </w:p>
        </w:tc>
        <w:tc>
          <w:tcPr>
            <w:tcW w:w="7406" w:type="dxa"/>
            <w:shd w:val="clear" w:color="auto" w:fill="FFFFFF"/>
          </w:tcPr>
          <w:p w14:paraId="50FEF333" w14:textId="081F5C0C"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szCs w:val="24"/>
              </w:rPr>
              <w:t>Нефинансови — Стойност на експозицията с оглед на отношението на ливъридж — експозиции по стандартизирания подход</w:t>
            </w:r>
          </w:p>
          <w:p w14:paraId="79750DB3" w14:textId="037534DC"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Стойността на експозицията с оглед на отношението на ливъридж на активите, които представляват експозиции към нефинансови предприятия по стандартизирания подход, попадащи в обхвата на член 122 от РКИ.</w:t>
            </w:r>
          </w:p>
          <w:p w14:paraId="1A9B7F32" w14:textId="42798EB9"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Това е сборът от {0260,0010} и {0270,0010}.</w:t>
            </w:r>
          </w:p>
          <w:p w14:paraId="69CDF75C" w14:textId="4C652EE4"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47291240" w14:textId="77777777" w:rsidTr="000B66BC">
        <w:trPr>
          <w:trHeight w:val="71"/>
        </w:trPr>
        <w:tc>
          <w:tcPr>
            <w:tcW w:w="1559" w:type="dxa"/>
            <w:shd w:val="clear" w:color="auto" w:fill="FFFFFF"/>
          </w:tcPr>
          <w:p w14:paraId="56917946" w14:textId="5C766701"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{0250;0020}</w:t>
            </w:r>
          </w:p>
        </w:tc>
        <w:tc>
          <w:tcPr>
            <w:tcW w:w="7406" w:type="dxa"/>
            <w:shd w:val="clear" w:color="auto" w:fill="FFFFFF"/>
          </w:tcPr>
          <w:p w14:paraId="25E6520A" w14:textId="3CB20E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sz w:val="24"/>
                <w:szCs w:val="24"/>
              </w:rPr>
              <w:t>Нефинансови — Стойност на експозицията с оглед на отношението на ливъридж — експозиции по вътрешнорейтинговия подход</w:t>
            </w:r>
          </w:p>
          <w:p w14:paraId="1615C090" w14:textId="75F7E6C4"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Стойността на експозицията с оглед на отношението на ливъридж на активите, които представляват експозиции към нефинансови предприятия по вътрешнорейтинговия подход, попадащи в обхвата на член 147, параграф 2, буква в), ако тези експозиции не са обезпечени с ипотеки върху недвижим имот в съответствие с член 199, параграф 1, буква а) от РКИ.</w:t>
            </w:r>
          </w:p>
          <w:p w14:paraId="5B891D71" w14:textId="425CD8A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lastRenderedPageBreak/>
              <w:t>Това е сборът от {0260,0020} и {0270,0020}.</w:t>
            </w:r>
          </w:p>
          <w:p w14:paraId="4A94BD25" w14:textId="7EF0446C"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1569EBB2" w14:textId="77777777" w:rsidTr="000B66BC">
        <w:trPr>
          <w:trHeight w:val="71"/>
        </w:trPr>
        <w:tc>
          <w:tcPr>
            <w:tcW w:w="1559" w:type="dxa"/>
            <w:shd w:val="clear" w:color="auto" w:fill="FFFFFF"/>
          </w:tcPr>
          <w:p w14:paraId="0DAE0AFA" w14:textId="313B4AD3"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{0250;0030}</w:t>
            </w:r>
          </w:p>
        </w:tc>
        <w:tc>
          <w:tcPr>
            <w:tcW w:w="7406" w:type="dxa"/>
            <w:shd w:val="clear" w:color="auto" w:fill="FFFFFF"/>
          </w:tcPr>
          <w:p w14:paraId="68E7D79C" w14:textId="33D6CD05"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Нефинансови — RWEA — експозиции по стандартизирания подход</w:t>
            </w:r>
          </w:p>
          <w:p w14:paraId="49E48609" w14:textId="627DE78E"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Рисково претеглената стойност на експозициите на активите, които представляват експозиции към нефинансови предприятия по стандартизирания подход, попадащи в обхвата на член 122 от РКИ.</w:t>
            </w:r>
            <w:r>
              <w:rPr>
                <w:rFonts w:ascii="Times New Roman" w:hAnsi="Times New Roman"/>
                <w:bCs/>
                <w:sz w:val="24"/>
                <w:szCs w:val="24"/>
              </w:rPr>
              <w:t xml:space="preserve"> </w:t>
            </w:r>
          </w:p>
          <w:p w14:paraId="11F55E3D" w14:textId="2D4C4F8A"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Това е сборът от {0260,0030} и {0270,0030}.</w:t>
            </w:r>
          </w:p>
          <w:p w14:paraId="153E6308" w14:textId="63943BB8" w:rsidR="002509B1" w:rsidRPr="000B66BC" w:rsidDel="00504CFF"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727F0C04" w14:textId="77777777" w:rsidTr="000B66BC">
        <w:trPr>
          <w:trHeight w:val="71"/>
        </w:trPr>
        <w:tc>
          <w:tcPr>
            <w:tcW w:w="1559" w:type="dxa"/>
            <w:shd w:val="clear" w:color="auto" w:fill="FFFFFF"/>
          </w:tcPr>
          <w:p w14:paraId="1B83D193" w14:textId="507086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{0250;0040}</w:t>
            </w:r>
          </w:p>
        </w:tc>
        <w:tc>
          <w:tcPr>
            <w:tcW w:w="7406" w:type="dxa"/>
            <w:shd w:val="clear" w:color="auto" w:fill="FFFFFF"/>
          </w:tcPr>
          <w:p w14:paraId="2B0BB9F0" w14:textId="041EA5D1" w:rsidR="00F4754B" w:rsidRPr="000B66BC" w:rsidRDefault="00CD1DA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Нефинансови — RWEA — експозиции по вътрешнорейтинговия подход</w:t>
            </w:r>
          </w:p>
          <w:p w14:paraId="4DD9CC03" w14:textId="48C3F2D6"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Рисково претеглената стойност на експозициите на активите, които представляват експозиции към нефинансови предприятия по вътрешнорейтинговия подход, попадащи в обхвата на член 147, параграф 2, буква в), ако тези експозиции не са обезпечени с ипотеки върху недвижим имот в съответствие с член 199, параграф 1, буква а) от РКИ.</w:t>
            </w:r>
          </w:p>
          <w:p w14:paraId="072F6C8B" w14:textId="7E5B0C7D"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Това е сборът от {0260,0040} и {0270,0040}.</w:t>
            </w:r>
          </w:p>
          <w:p w14:paraId="2B36DB12" w14:textId="48954611" w:rsidR="002509B1"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49E58870" w14:textId="77777777" w:rsidTr="000B66BC">
        <w:trPr>
          <w:trHeight w:val="71"/>
        </w:trPr>
        <w:tc>
          <w:tcPr>
            <w:tcW w:w="1559" w:type="dxa"/>
            <w:shd w:val="clear" w:color="auto" w:fill="FFFFFF"/>
          </w:tcPr>
          <w:p w14:paraId="0EFCE46D" w14:textId="4434901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{0260;0010}</w:t>
            </w:r>
          </w:p>
        </w:tc>
        <w:tc>
          <w:tcPr>
            <w:tcW w:w="7406" w:type="dxa"/>
            <w:shd w:val="clear" w:color="auto" w:fill="FFFFFF"/>
          </w:tcPr>
          <w:p w14:paraId="16D3DD87" w14:textId="77777777" w:rsidR="00F4754B" w:rsidRPr="000B66BC" w:rsidRDefault="00F4754B" w:rsidP="000B66BC">
            <w:pPr>
              <w:pStyle w:val="BodyText1"/>
              <w:spacing w:after="240" w:line="240" w:lineRule="auto"/>
              <w:rPr>
                <w:rFonts w:ascii="Times New Roman" w:hAnsi="Times New Roman"/>
                <w:b/>
                <w:sz w:val="24"/>
                <w:szCs w:val="24"/>
              </w:rPr>
            </w:pPr>
            <w:r>
              <w:rPr>
                <w:rFonts w:ascii="Times New Roman" w:hAnsi="Times New Roman"/>
                <w:b/>
                <w:sz w:val="24"/>
                <w:szCs w:val="24"/>
              </w:rPr>
              <w:t>Експозиции към МСП — Стойност на експозицията с оглед на отношението на ливъридж — експозиции по стандартизирания подход</w:t>
            </w:r>
          </w:p>
          <w:p w14:paraId="1237A324" w14:textId="05FB0CAD"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Стойността на експозицията с оглед на отношението на ливъридж на активите, които представляват експозиции към малки и средни предприятия по стандартизирания подход, попадащи в обхвата на член 122 от РКИ. </w:t>
            </w:r>
          </w:p>
          <w:p w14:paraId="5E29251B" w14:textId="483A3107"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С оглед на докладването на това поле институциите използват термина „малко и средно предприятие“, както е определен в член 501, параграф 2, буква б) от РКИ.</w:t>
            </w:r>
          </w:p>
          <w:p w14:paraId="5FAEA464" w14:textId="7B77BBC5"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13131DF5" w14:textId="77777777" w:rsidTr="000B66BC">
        <w:trPr>
          <w:trHeight w:val="71"/>
        </w:trPr>
        <w:tc>
          <w:tcPr>
            <w:tcW w:w="1559" w:type="dxa"/>
            <w:shd w:val="clear" w:color="auto" w:fill="FFFFFF"/>
          </w:tcPr>
          <w:p w14:paraId="05B0110D" w14:textId="74C0B697"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{0260;0020}</w:t>
            </w:r>
          </w:p>
        </w:tc>
        <w:tc>
          <w:tcPr>
            <w:tcW w:w="7406" w:type="dxa"/>
            <w:shd w:val="clear" w:color="auto" w:fill="FFFFFF"/>
          </w:tcPr>
          <w:p w14:paraId="4E8AC377"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Експозиции към МСП — Стойност на експозицията с оглед на отношението на ливъридж — експозиции по вътрешнорейтинговия подход</w:t>
            </w:r>
          </w:p>
          <w:p w14:paraId="16526905" w14:textId="3B6B79CA"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Стойността на експозицията с оглед на отношението на ливъридж на активите, които представляват експозиции към предприятия по вътрешнорейтинговия подход, попадащи в обхвата на член 147, параграф 2, буква в), ако това са експозиции към малки и средни предприятия и не са обезпечени с ипотеки върху недвижим имот в съответствие с член 199, параграф 1, буква а) от РКИ.</w:t>
            </w:r>
          </w:p>
          <w:p w14:paraId="729394D8" w14:textId="74E87EFA" w:rsidR="002509B1" w:rsidRPr="000B66BC" w:rsidRDefault="004F39F5"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С оглед на докладването на това поле институциите използват термина „малко и средно предприятие“, както е определен в член 501, параграф 2, буква б) от РКИ.</w:t>
            </w:r>
          </w:p>
          <w:p w14:paraId="542463BD" w14:textId="165C2619" w:rsidR="009C4E79" w:rsidRPr="000B66BC" w:rsidDel="00504CFF"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50044CAE" w14:textId="77777777" w:rsidTr="000B66BC">
        <w:trPr>
          <w:trHeight w:val="71"/>
        </w:trPr>
        <w:tc>
          <w:tcPr>
            <w:tcW w:w="1559" w:type="dxa"/>
            <w:shd w:val="clear" w:color="auto" w:fill="FFFFFF"/>
          </w:tcPr>
          <w:p w14:paraId="5F7100BE" w14:textId="2ACB4AD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{0260;0030}</w:t>
            </w:r>
          </w:p>
        </w:tc>
        <w:tc>
          <w:tcPr>
            <w:tcW w:w="7406" w:type="dxa"/>
            <w:shd w:val="clear" w:color="auto" w:fill="FFFFFF"/>
          </w:tcPr>
          <w:p w14:paraId="0D365078" w14:textId="540263EE"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Експозиции към МСП — RWEA — експозиции по стандартизирания подход</w:t>
            </w:r>
          </w:p>
          <w:p w14:paraId="47967B81" w14:textId="66A7A88F"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Рисково претеглената стойност на експозициите на активите, които представляват експозиции към малки и средни предприятия по стандартизирания подход, попадащи в обхвата на член 122 от РКИ.</w:t>
            </w:r>
          </w:p>
          <w:p w14:paraId="4E35047C" w14:textId="447EFD69" w:rsidR="00086A8A"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С оглед на докладването на това поле институциите използват термина „малко и средно предприятие“, както е определен в член 501, параграф 2, буква б) от РКИ.</w:t>
            </w:r>
          </w:p>
          <w:p w14:paraId="2B25463D" w14:textId="56CC7FBB"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3DB0057C" w14:textId="77777777" w:rsidTr="000B66BC">
        <w:trPr>
          <w:trHeight w:val="71"/>
        </w:trPr>
        <w:tc>
          <w:tcPr>
            <w:tcW w:w="1559" w:type="dxa"/>
            <w:shd w:val="clear" w:color="auto" w:fill="FFFFFF"/>
          </w:tcPr>
          <w:p w14:paraId="4FFE83BB" w14:textId="4650F9FB"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{0260;0040}</w:t>
            </w:r>
          </w:p>
        </w:tc>
        <w:tc>
          <w:tcPr>
            <w:tcW w:w="7406" w:type="dxa"/>
            <w:shd w:val="clear" w:color="auto" w:fill="FFFFFF"/>
          </w:tcPr>
          <w:p w14:paraId="72107293" w14:textId="2B92F95D"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Експозиции към МСП — RWEA — експозиции по вътрешнорейтинговия подход</w:t>
            </w:r>
          </w:p>
          <w:p w14:paraId="61D071ED" w14:textId="7E4D19EC" w:rsidR="00FA71D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Рисково претеглената стойност на експозициите на активите, които представляват експозиции към предприятия по вътрешнорейтинговия подход, попадащи в обхвата на член 147, параграф 2, буква в), ако това са експозиции към малки и средни предприятия и не са обезпечени с ипотеки върху недвижим имот в съответствие с член 199, параграф 1, буква а) от РКИ.</w:t>
            </w:r>
          </w:p>
          <w:p w14:paraId="14AF8756" w14:textId="6A7B57D1" w:rsidR="004F39F5" w:rsidRPr="000B66BC" w:rsidRDefault="004F39F5" w:rsidP="000B66BC">
            <w:pPr>
              <w:pStyle w:val="BodyText1"/>
              <w:spacing w:after="240" w:line="240" w:lineRule="auto"/>
              <w:rPr>
                <w:rFonts w:ascii="Times New Roman" w:hAnsi="Times New Roman"/>
                <w:bCs/>
                <w:sz w:val="24"/>
                <w:szCs w:val="24"/>
              </w:rPr>
            </w:pPr>
            <w:r>
              <w:rPr>
                <w:rFonts w:ascii="Times New Roman" w:hAnsi="Times New Roman"/>
                <w:bCs/>
                <w:sz w:val="24"/>
                <w:szCs w:val="24"/>
              </w:rPr>
              <w:t>С оглед на докладването на това поле институциите използват термина „малко и средно предприятие“, както е определен в член 501, параграф 2, буква б) от РКИ.</w:t>
            </w:r>
          </w:p>
          <w:p w14:paraId="0EF08F24" w14:textId="18E4DC92"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447B232E" w14:textId="77777777" w:rsidTr="000B66BC">
        <w:trPr>
          <w:trHeight w:val="71"/>
        </w:trPr>
        <w:tc>
          <w:tcPr>
            <w:tcW w:w="1559" w:type="dxa"/>
            <w:shd w:val="clear" w:color="auto" w:fill="FFFFFF"/>
          </w:tcPr>
          <w:p w14:paraId="24CF42BC" w14:textId="0762963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{0270;0010}</w:t>
            </w:r>
          </w:p>
        </w:tc>
        <w:tc>
          <w:tcPr>
            <w:tcW w:w="7406" w:type="dxa"/>
            <w:shd w:val="clear" w:color="auto" w:fill="FFFFFF"/>
          </w:tcPr>
          <w:p w14:paraId="368904F3" w14:textId="1EEE993E" w:rsidR="002509B1" w:rsidRPr="000B66BC" w:rsidRDefault="00BE6AC4" w:rsidP="000B66BC">
            <w:pPr>
              <w:pStyle w:val="BodyText1"/>
              <w:spacing w:after="240" w:line="240" w:lineRule="auto"/>
              <w:rPr>
                <w:rFonts w:ascii="Times New Roman" w:hAnsi="Times New Roman"/>
                <w:b/>
                <w:sz w:val="24"/>
                <w:szCs w:val="24"/>
              </w:rPr>
            </w:pPr>
            <w:r>
              <w:rPr>
                <w:rFonts w:ascii="Times New Roman" w:hAnsi="Times New Roman"/>
                <w:b/>
                <w:sz w:val="24"/>
                <w:szCs w:val="24"/>
              </w:rPr>
              <w:t>Експозиции, различни от експозиции към МСП — Стойност на експозицията с оглед на отношението на ливъридж — експозиции по стандартизирания подход</w:t>
            </w:r>
          </w:p>
          <w:p w14:paraId="41FBC40B" w14:textId="4279AEF3"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Стойността на експозицията с оглед на отношението на ливъридж на активите, които представляват експозиции към предприятия по стандартизирания подход, попадащи в обхвата на член 122 от РКИ, които не са докладвани в {0230;0040} и {0250;0040}.</w:t>
            </w:r>
          </w:p>
          <w:p w14:paraId="01FC3B49" w14:textId="5139686F"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7B64328B" w14:textId="77777777" w:rsidTr="000B66BC">
        <w:trPr>
          <w:trHeight w:val="71"/>
        </w:trPr>
        <w:tc>
          <w:tcPr>
            <w:tcW w:w="1559" w:type="dxa"/>
            <w:shd w:val="clear" w:color="auto" w:fill="FFFFFF"/>
          </w:tcPr>
          <w:p w14:paraId="43017660" w14:textId="3B06C10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{0270;0020}</w:t>
            </w:r>
          </w:p>
        </w:tc>
        <w:tc>
          <w:tcPr>
            <w:tcW w:w="7406" w:type="dxa"/>
            <w:shd w:val="clear" w:color="auto" w:fill="FFFFFF"/>
          </w:tcPr>
          <w:p w14:paraId="2A27297A" w14:textId="77777777"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sz w:val="24"/>
                <w:szCs w:val="24"/>
              </w:rPr>
              <w:t>Експозиции, различни от експозиции към МСП — Стойност на експозицията с оглед на отношението на ливъридж — експозиции по вътрешнорейтинговия подход</w:t>
            </w:r>
          </w:p>
          <w:p w14:paraId="585E711E" w14:textId="1495F63C" w:rsidR="009C4E79"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Стойността на експозицията с оглед на отношението на ливъридж на активите, които представляват експозиции към предприятия по вътрешнорейтинговия подход, попадащи в обхвата на член 147, параграф 2, буква в) от РКИ, ако тези експозиции не са обезпечени с ипотека върху недвижим имот в съответствие с член 199, параграф 1, буква а) от РКИ и не са докладвани в {0230;0040} и {0250;0040}.</w:t>
            </w:r>
          </w:p>
          <w:p w14:paraId="714190FD" w14:textId="58141E55"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44BE393C" w14:textId="77777777" w:rsidTr="000B66BC">
        <w:trPr>
          <w:trHeight w:val="71"/>
        </w:trPr>
        <w:tc>
          <w:tcPr>
            <w:tcW w:w="1559" w:type="dxa"/>
            <w:shd w:val="clear" w:color="auto" w:fill="FFFFFF"/>
          </w:tcPr>
          <w:p w14:paraId="4DF3E96B" w14:textId="78C7DD34"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{0270;0030}</w:t>
            </w:r>
          </w:p>
        </w:tc>
        <w:tc>
          <w:tcPr>
            <w:tcW w:w="7406" w:type="dxa"/>
            <w:shd w:val="clear" w:color="auto" w:fill="FFFFFF"/>
          </w:tcPr>
          <w:p w14:paraId="214E8F81" w14:textId="267DF9F2" w:rsidR="00F4754B"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Експозиции, различни от експозиции към МСП — RWEA — експозиции по стандартизирания подход</w:t>
            </w:r>
          </w:p>
          <w:p w14:paraId="10BEA73F" w14:textId="16DC881C"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Рисково претеглената стойност на експозициите на активите, които представляват експозиции към предприятия по стандартизирания подход, попадащи в обхвата на член 122 от РКИ, които не са докладвани в {0230;0040} и {0250;0040}.</w:t>
            </w:r>
          </w:p>
          <w:p w14:paraId="3BF86EC4" w14:textId="255E5CDC"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4284B6D9" w14:textId="77777777" w:rsidTr="000B66BC">
        <w:trPr>
          <w:trHeight w:val="71"/>
        </w:trPr>
        <w:tc>
          <w:tcPr>
            <w:tcW w:w="1559" w:type="dxa"/>
            <w:shd w:val="clear" w:color="auto" w:fill="FFFFFF"/>
          </w:tcPr>
          <w:p w14:paraId="50A67914" w14:textId="4063927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{0270;0040}</w:t>
            </w:r>
          </w:p>
        </w:tc>
        <w:tc>
          <w:tcPr>
            <w:tcW w:w="7406" w:type="dxa"/>
            <w:shd w:val="clear" w:color="auto" w:fill="FFFFFF"/>
          </w:tcPr>
          <w:p w14:paraId="4D405A64" w14:textId="301D30BA" w:rsidR="002509B1" w:rsidRPr="000B66BC" w:rsidRDefault="00BE6AC4"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Експозиции, различни от експозиции към МСП — RWEA — експозиции по вътрешнорейтинговия подход</w:t>
            </w:r>
          </w:p>
          <w:p w14:paraId="66C72176" w14:textId="6AE30A03" w:rsidR="002509B1" w:rsidRPr="000B66BC" w:rsidRDefault="00F4754B"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Рисково претеглената стойност на експозициите на активите, които представляват експозиции към предприятия по вътрешнорейтинговия подход, попадащи в обхвата на член 147, параграф 2, буква в) от РКИ, ако тези експозиции не са обезпечени с ипотека върху недвижим имот в съответствие с член 199, параграф 1, буква а) от РКИ и не са докладвани в {0230;0040} и {0250;0040}.</w:t>
            </w:r>
          </w:p>
          <w:p w14:paraId="56E24BD9" w14:textId="23040902"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4078E02E" w14:textId="77777777" w:rsidTr="000B66BC">
        <w:trPr>
          <w:trHeight w:val="71"/>
        </w:trPr>
        <w:tc>
          <w:tcPr>
            <w:tcW w:w="1559" w:type="dxa"/>
            <w:shd w:val="clear" w:color="auto" w:fill="FFFFFF"/>
          </w:tcPr>
          <w:p w14:paraId="78678416" w14:textId="11F0757A"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{0280;0010}</w:t>
            </w:r>
          </w:p>
        </w:tc>
        <w:tc>
          <w:tcPr>
            <w:tcW w:w="7406" w:type="dxa"/>
            <w:shd w:val="clear" w:color="auto" w:fill="FFFFFF"/>
          </w:tcPr>
          <w:p w14:paraId="3643375B"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Експозиции в неизпълнение — Стойност на експозицията с оглед на отношението на ливъридж — експозиции по стандартизирания подход</w:t>
            </w:r>
          </w:p>
          <w:p w14:paraId="19F3FE8B" w14:textId="181846DB"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Институциите докладват стойността на експозицията с оглед на отношението на ливъридж на активите, които представляват експозиции в неизпълнение по стандартизирания подход и като такива попадат в обхвата на член 127 от РКИ.</w:t>
            </w:r>
          </w:p>
        </w:tc>
      </w:tr>
      <w:tr w:rsidR="002A54FF" w:rsidRPr="00E75BB8" w14:paraId="6208DB18" w14:textId="77777777" w:rsidTr="000B66BC">
        <w:trPr>
          <w:trHeight w:val="71"/>
        </w:trPr>
        <w:tc>
          <w:tcPr>
            <w:tcW w:w="1559" w:type="dxa"/>
            <w:shd w:val="clear" w:color="auto" w:fill="FFFFFF"/>
          </w:tcPr>
          <w:p w14:paraId="783D1BB3" w14:textId="6E8DA484"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{0280;0020}</w:t>
            </w:r>
          </w:p>
        </w:tc>
        <w:tc>
          <w:tcPr>
            <w:tcW w:w="7406" w:type="dxa"/>
            <w:shd w:val="clear" w:color="auto" w:fill="FFFFFF"/>
          </w:tcPr>
          <w:p w14:paraId="5B5C9DCF"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Експозиции в неизпълнение — Стойност на експозицията с оглед на отношението на ливъридж — експозиции по вътрешнорейтинговия подход</w:t>
            </w:r>
          </w:p>
          <w:p w14:paraId="35C502CA" w14:textId="3230D6A0" w:rsidR="002509B1" w:rsidRPr="000B66BC" w:rsidRDefault="00FC5086" w:rsidP="000B66BC">
            <w:pPr>
              <w:pStyle w:val="BodyText1"/>
              <w:spacing w:after="240" w:line="240" w:lineRule="auto"/>
              <w:rPr>
                <w:rFonts w:ascii="Times New Roman" w:hAnsi="Times New Roman"/>
                <w:bCs/>
                <w:sz w:val="24"/>
                <w:szCs w:val="24"/>
              </w:rPr>
            </w:pPr>
            <w:r>
              <w:rPr>
                <w:rFonts w:ascii="Times New Roman" w:hAnsi="Times New Roman"/>
                <w:bCs/>
                <w:sz w:val="24"/>
                <w:szCs w:val="24"/>
              </w:rPr>
              <w:t>Институциите докладват стойността на експозицията с оглед на отношението на ливъридж на активите, които попадат в категориите експозиции, изброени в член 147, параграф 2 от РКИ, ако е настъпило неизпълнение по смисъла на член 178 от РКИ.</w:t>
            </w:r>
          </w:p>
        </w:tc>
      </w:tr>
      <w:tr w:rsidR="002A54FF" w:rsidRPr="00E75BB8" w14:paraId="3AD252C0" w14:textId="77777777" w:rsidTr="000B66BC">
        <w:trPr>
          <w:trHeight w:val="71"/>
        </w:trPr>
        <w:tc>
          <w:tcPr>
            <w:tcW w:w="1559" w:type="dxa"/>
            <w:shd w:val="clear" w:color="auto" w:fill="FFFFFF"/>
          </w:tcPr>
          <w:p w14:paraId="08CA0E26" w14:textId="78C5E6F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{0280;0030}</w:t>
            </w:r>
          </w:p>
        </w:tc>
        <w:tc>
          <w:tcPr>
            <w:tcW w:w="7406" w:type="dxa"/>
            <w:shd w:val="clear" w:color="auto" w:fill="FFFFFF"/>
          </w:tcPr>
          <w:p w14:paraId="327CD6C9" w14:textId="16A698EF" w:rsidR="002509B1"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Експозиции в неизпълнение — RWEA — експозиции по стандартизирания подход</w:t>
            </w:r>
          </w:p>
          <w:p w14:paraId="4ECD736F" w14:textId="623DFAA3"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Институциите докладват рисково претеглената стойност на експозициите на активите, които представляват експозиции в неизпълнение и като такива попадат в обхвата на член 127 от РКИ.</w:t>
            </w:r>
          </w:p>
        </w:tc>
      </w:tr>
      <w:tr w:rsidR="002A54FF" w:rsidRPr="00E75BB8" w14:paraId="1E9BD77A" w14:textId="77777777" w:rsidTr="000B66BC">
        <w:trPr>
          <w:trHeight w:val="71"/>
        </w:trPr>
        <w:tc>
          <w:tcPr>
            <w:tcW w:w="1559" w:type="dxa"/>
            <w:shd w:val="clear" w:color="auto" w:fill="FFFFFF"/>
          </w:tcPr>
          <w:p w14:paraId="31BD5908" w14:textId="24179E5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{0280;0040}</w:t>
            </w:r>
          </w:p>
        </w:tc>
        <w:tc>
          <w:tcPr>
            <w:tcW w:w="7406" w:type="dxa"/>
            <w:shd w:val="clear" w:color="auto" w:fill="FFFFFF"/>
          </w:tcPr>
          <w:p w14:paraId="480D541C" w14:textId="3923716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Експозиции в неизпълнение — RWEA — експозиции по вътрешнорейтинговия подход</w:t>
            </w:r>
          </w:p>
          <w:p w14:paraId="5EF9576D" w14:textId="62CAC8F8" w:rsidR="002509B1" w:rsidRPr="000B66BC" w:rsidRDefault="00FC5086"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Институциите докладват рисково претеглената стойност на експозициите на активите, които попадат в категориите експозиции, изброени в член 147, параграф 2 от РКИ, ако е настъпило неизпълнение по смисъла на член 178 от РКИ.</w:t>
            </w:r>
          </w:p>
        </w:tc>
      </w:tr>
      <w:tr w:rsidR="002A54FF" w:rsidRPr="00E75BB8" w14:paraId="3AEBEAE6" w14:textId="77777777" w:rsidTr="000B66BC">
        <w:trPr>
          <w:trHeight w:val="71"/>
        </w:trPr>
        <w:tc>
          <w:tcPr>
            <w:tcW w:w="1559" w:type="dxa"/>
            <w:shd w:val="clear" w:color="auto" w:fill="FFFFFF"/>
          </w:tcPr>
          <w:p w14:paraId="5BA625DB" w14:textId="374E40D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{0290;0010}</w:t>
            </w:r>
          </w:p>
          <w:p w14:paraId="100727CA" w14:textId="77777777" w:rsidR="00F4754B" w:rsidRPr="000B66BC" w:rsidRDefault="00F4754B" w:rsidP="000B66BC">
            <w:pPr>
              <w:pStyle w:val="BodyText1"/>
              <w:spacing w:after="240"/>
              <w:rPr>
                <w:rFonts w:ascii="Times New Roman" w:hAnsi="Times New Roman"/>
                <w:sz w:val="24"/>
                <w:szCs w:val="24"/>
              </w:rPr>
            </w:pPr>
          </w:p>
        </w:tc>
        <w:tc>
          <w:tcPr>
            <w:tcW w:w="7406" w:type="dxa"/>
            <w:shd w:val="clear" w:color="auto" w:fill="FFFFFF"/>
          </w:tcPr>
          <w:p w14:paraId="7D8E3311" w14:textId="44E51481"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Други експозиции — Стойност на експозицията с оглед на отношението на ливъридж — експозиции по стандартизирания подход</w:t>
            </w:r>
          </w:p>
          <w:p w14:paraId="59E2187D" w14:textId="188CC7CF"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Стойността на експозицията с оглед на отношението на ливъридж на активите, които попадат в категориите експозиции, изброени в член 112, букви к), м), н), о), п) и р) от РКИ. </w:t>
            </w:r>
          </w:p>
          <w:p w14:paraId="243415E4" w14:textId="6BDA1162" w:rsidR="002509B1"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bCs/>
                <w:sz w:val="24"/>
                <w:szCs w:val="24"/>
              </w:rPr>
              <w:t>Институциите докладват тук активите, които са приспаднати от собствените средства (напр. нематериални активи), но не попадат в никоя друга категория, дори ако подобна категоризация не се изисква за определяне на капиталовите изисквания, основани на риска, в колони *; 0030} и {*; 0040}.</w:t>
            </w:r>
          </w:p>
          <w:p w14:paraId="7B7E64BF" w14:textId="27D9DDDB"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72E20088" w14:textId="77777777" w:rsidTr="000B66BC">
        <w:trPr>
          <w:trHeight w:val="71"/>
        </w:trPr>
        <w:tc>
          <w:tcPr>
            <w:tcW w:w="1559" w:type="dxa"/>
            <w:shd w:val="clear" w:color="auto" w:fill="FFFFFF"/>
          </w:tcPr>
          <w:p w14:paraId="079F489C" w14:textId="033B0F9E"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{0290;0020}</w:t>
            </w:r>
          </w:p>
        </w:tc>
        <w:tc>
          <w:tcPr>
            <w:tcW w:w="7406" w:type="dxa"/>
            <w:shd w:val="clear" w:color="auto" w:fill="FFFFFF"/>
          </w:tcPr>
          <w:p w14:paraId="04B12DFD" w14:textId="7640F749"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Други експозиции — Стойност на експозицията с оглед на отношението на ливъридж — експозиции по вътрешнорейтинговия подход</w:t>
            </w:r>
          </w:p>
          <w:p w14:paraId="509BE205" w14:textId="6C20DAC5" w:rsidR="00482670"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Стойността на експозицията с оглед на отношението на ливъридж на активите, които попадат в категориите експозиции, изброени в член 147, параграф 2, букви д), е) и ж) от РКИ.</w:t>
            </w:r>
          </w:p>
          <w:p w14:paraId="71F126DD" w14:textId="4375AAF5" w:rsidR="00BB388D" w:rsidRPr="000B66BC" w:rsidRDefault="00482670" w:rsidP="000B66BC">
            <w:pPr>
              <w:pStyle w:val="BodyText1"/>
              <w:spacing w:after="240" w:line="240" w:lineRule="auto"/>
              <w:rPr>
                <w:rFonts w:ascii="Times New Roman" w:hAnsi="Times New Roman"/>
                <w:bCs/>
                <w:sz w:val="24"/>
                <w:szCs w:val="24"/>
              </w:rPr>
            </w:pPr>
            <w:r>
              <w:rPr>
                <w:rFonts w:ascii="Times New Roman" w:hAnsi="Times New Roman"/>
                <w:bCs/>
                <w:sz w:val="24"/>
                <w:szCs w:val="24"/>
              </w:rPr>
              <w:t>Институциите докладват тук активите, които са приспаднати от собствените средства (напр. нематериални активи), но не попадат в никоя друга категория, дори ако подобна категоризация не се изисква за определяне на капиталовите изисквания, основани на риска, в колони *; 0030} и {*; 0040}.</w:t>
            </w:r>
          </w:p>
          <w:p w14:paraId="2C772C0F" w14:textId="142C485B"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6B7AB21E" w14:textId="77777777" w:rsidTr="000B66BC">
        <w:trPr>
          <w:trHeight w:val="71"/>
        </w:trPr>
        <w:tc>
          <w:tcPr>
            <w:tcW w:w="1559" w:type="dxa"/>
            <w:shd w:val="clear" w:color="auto" w:fill="FFFFFF"/>
          </w:tcPr>
          <w:p w14:paraId="633B4D60" w14:textId="1DECF162"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{0290;0030}</w:t>
            </w:r>
          </w:p>
        </w:tc>
        <w:tc>
          <w:tcPr>
            <w:tcW w:w="7406" w:type="dxa"/>
            <w:shd w:val="clear" w:color="auto" w:fill="FFFFFF"/>
          </w:tcPr>
          <w:p w14:paraId="75145255" w14:textId="3F615415"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Други експозиции — RWEA — експозиции по стандартизирания подход</w:t>
            </w:r>
          </w:p>
          <w:p w14:paraId="61F5D6CA" w14:textId="01E08C4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Рисково претеглената стойност на експозицията на активите, които попадат в категориите експозиции, изброени в член 112, букви к), м), н), о), п) и р) от РКИ.</w:t>
            </w:r>
          </w:p>
          <w:p w14:paraId="1A7DE9B0" w14:textId="1E7127C7"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7C5A4860" w14:textId="77777777" w:rsidTr="000B66BC">
        <w:trPr>
          <w:trHeight w:val="71"/>
        </w:trPr>
        <w:tc>
          <w:tcPr>
            <w:tcW w:w="1559" w:type="dxa"/>
            <w:shd w:val="clear" w:color="auto" w:fill="FFFFFF"/>
          </w:tcPr>
          <w:p w14:paraId="5D10170B" w14:textId="0353A1D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{0290;0040}</w:t>
            </w:r>
          </w:p>
        </w:tc>
        <w:tc>
          <w:tcPr>
            <w:tcW w:w="7406" w:type="dxa"/>
            <w:shd w:val="clear" w:color="auto" w:fill="FFFFFF"/>
          </w:tcPr>
          <w:p w14:paraId="4D50DB6F" w14:textId="4232608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
                <w:bCs/>
                <w:sz w:val="24"/>
                <w:szCs w:val="24"/>
              </w:rPr>
              <w:t>Други експозиции — RWEA — експозиции по вътрешнорейтинговия подход</w:t>
            </w:r>
          </w:p>
          <w:p w14:paraId="047D3368" w14:textId="760FBD6E" w:rsidR="00BB388D"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Рисково претеглената стойност на експозицията на активите, които попадат в категориите експозиции, изброени в член 147, параграф 2, букви д), е) и ж) от РКИ.</w:t>
            </w:r>
          </w:p>
          <w:p w14:paraId="2891CC60" w14:textId="54E32862" w:rsidR="002509B1" w:rsidRPr="000B66BC" w:rsidRDefault="00BB388D"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1F3D2776" w14:textId="77777777" w:rsidTr="000B66BC">
        <w:trPr>
          <w:trHeight w:val="71"/>
        </w:trPr>
        <w:tc>
          <w:tcPr>
            <w:tcW w:w="1559" w:type="dxa"/>
            <w:shd w:val="clear" w:color="auto" w:fill="FFFFFF"/>
          </w:tcPr>
          <w:p w14:paraId="2E979259" w14:textId="01C67E6D"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{0300;0010}</w:t>
            </w:r>
          </w:p>
        </w:tc>
        <w:tc>
          <w:tcPr>
            <w:tcW w:w="7406" w:type="dxa"/>
            <w:shd w:val="clear" w:color="auto" w:fill="FFFFFF"/>
          </w:tcPr>
          <w:p w14:paraId="3D18A2F9" w14:textId="29912885"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в т.ч.: </w:t>
            </w:r>
            <w:r>
              <w:rPr>
                <w:rFonts w:ascii="Times New Roman" w:hAnsi="Times New Roman"/>
                <w:b/>
                <w:sz w:val="24"/>
                <w:szCs w:val="24"/>
              </w:rPr>
              <w:t>Секюритизиращи експозиции — Стойност на експозицията с оглед на отношението на ливъридж — експозиции по стандартизирания подход</w:t>
            </w:r>
          </w:p>
          <w:p w14:paraId="7530F6A8" w14:textId="40CC45E4"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Стойността на експозицията с оглед на отношението на ливъридж на активите, които представляват експозиции към секюритизации по стандартизирания подход, попадащи в обхвата на член 112, буква м) от РКИ.</w:t>
            </w:r>
          </w:p>
          <w:p w14:paraId="2DE0AC42" w14:textId="77A211EB" w:rsidR="009C4E79"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54158C66" w14:textId="77777777" w:rsidTr="000B66BC">
        <w:trPr>
          <w:trHeight w:val="71"/>
        </w:trPr>
        <w:tc>
          <w:tcPr>
            <w:tcW w:w="1559" w:type="dxa"/>
            <w:shd w:val="clear" w:color="auto" w:fill="FFFFFF"/>
          </w:tcPr>
          <w:p w14:paraId="081F9849" w14:textId="6C8F235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lastRenderedPageBreak/>
              <w:t>{0300;0020}</w:t>
            </w:r>
          </w:p>
        </w:tc>
        <w:tc>
          <w:tcPr>
            <w:tcW w:w="7406" w:type="dxa"/>
            <w:shd w:val="clear" w:color="auto" w:fill="FFFFFF"/>
          </w:tcPr>
          <w:p w14:paraId="12C4E302" w14:textId="1F965943"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в т.ч.: </w:t>
            </w:r>
            <w:r>
              <w:rPr>
                <w:rFonts w:ascii="Times New Roman" w:hAnsi="Times New Roman"/>
                <w:b/>
                <w:sz w:val="24"/>
                <w:szCs w:val="24"/>
              </w:rPr>
              <w:t>Секюритизиращи експозиции — Стойност на експозицията с оглед на отношението на ливъридж — експозиции по вътрешнорейтинговия подход</w:t>
            </w:r>
          </w:p>
          <w:p w14:paraId="52AFEF6A" w14:textId="65EB209A" w:rsidR="009C4E79"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Стойността на експозицията с оглед на отношението на ливъридж на активите, които представляват експозиции към секюритизации по вътрешнорейтинговия подход, попадащи в обхвата на член 147, параграф 2, буква е) от РКИ.</w:t>
            </w:r>
          </w:p>
          <w:p w14:paraId="5A4CEC64" w14:textId="084E95CE" w:rsidR="002509B1" w:rsidRPr="000B66BC" w:rsidDel="00B9734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2D8DCA0F" w14:textId="77777777" w:rsidTr="000B66BC">
        <w:trPr>
          <w:trHeight w:val="71"/>
        </w:trPr>
        <w:tc>
          <w:tcPr>
            <w:tcW w:w="1559" w:type="dxa"/>
            <w:shd w:val="clear" w:color="auto" w:fill="FFFFFF"/>
          </w:tcPr>
          <w:p w14:paraId="59B7F740" w14:textId="00300309"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{0300;0030}</w:t>
            </w:r>
          </w:p>
        </w:tc>
        <w:tc>
          <w:tcPr>
            <w:tcW w:w="7406" w:type="dxa"/>
            <w:shd w:val="clear" w:color="auto" w:fill="FFFFFF"/>
          </w:tcPr>
          <w:p w14:paraId="0195360F" w14:textId="4CF1300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в т.ч.: Секюритизиращи експозиции — RWEA — експозиции по стандартизирания подход</w:t>
            </w:r>
          </w:p>
          <w:p w14:paraId="583F2964" w14:textId="49D5BBD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Рисково претеглената стойност на експозициите на активите, които представляват експозиции към секюритизации по стандартизирания подход, попадащи в обхвата на член 112, буква м) от РКИ. </w:t>
            </w:r>
          </w:p>
          <w:p w14:paraId="34AEB620" w14:textId="279486FE"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4AF9EC67" w14:textId="77777777" w:rsidTr="000B66BC">
        <w:trPr>
          <w:trHeight w:val="71"/>
        </w:trPr>
        <w:tc>
          <w:tcPr>
            <w:tcW w:w="1559" w:type="dxa"/>
            <w:shd w:val="clear" w:color="auto" w:fill="FFFFFF"/>
          </w:tcPr>
          <w:p w14:paraId="338D7286" w14:textId="4155BC0C"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{0300;0040}</w:t>
            </w:r>
          </w:p>
        </w:tc>
        <w:tc>
          <w:tcPr>
            <w:tcW w:w="7406" w:type="dxa"/>
            <w:shd w:val="clear" w:color="auto" w:fill="FFFFFF"/>
          </w:tcPr>
          <w:p w14:paraId="546F46AF" w14:textId="111BE038"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в т.ч.: Секюритизиращи експозиции — RWEA — експозиции по вътрешнорейтинговия подход</w:t>
            </w:r>
          </w:p>
          <w:p w14:paraId="745FCC52" w14:textId="080B8E3A"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Рисково претеглената стойност на експозициите на активите, които представляват експозиции към секюритизации по вътрешнорейтинговия подход, попадащи в обхвата на член 147, параграф 2, буква е) от РКИ. </w:t>
            </w:r>
          </w:p>
          <w:p w14:paraId="6DCC2024" w14:textId="3E5BF347"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19980126" w14:textId="77777777" w:rsidTr="000B66BC">
        <w:trPr>
          <w:trHeight w:val="71"/>
        </w:trPr>
        <w:tc>
          <w:tcPr>
            <w:tcW w:w="1559" w:type="dxa"/>
            <w:shd w:val="clear" w:color="auto" w:fill="FFFFFF"/>
          </w:tcPr>
          <w:p w14:paraId="70EF17D6" w14:textId="2BA73667"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{0310;0010}</w:t>
            </w:r>
          </w:p>
        </w:tc>
        <w:tc>
          <w:tcPr>
            <w:tcW w:w="7406" w:type="dxa"/>
            <w:shd w:val="clear" w:color="auto" w:fill="FFFFFF"/>
          </w:tcPr>
          <w:p w14:paraId="1F726694" w14:textId="75DDDC08"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Търговско финансиране (поясняваща позиция) — Стойност на експозицията с оглед на отношението на ливъридж — експозиции по стандартизирания подход</w:t>
            </w:r>
          </w:p>
          <w:p w14:paraId="40329EE0" w14:textId="6890CB13" w:rsidR="002509B1"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Стойност на експозицията с оглед на отношението на ливъридж на балансовите позиции, свързани с кредитиране на износител или вносител на стоки или услуги посредством импортни и експортни кредити и сходни трансакции.</w:t>
            </w:r>
          </w:p>
          <w:p w14:paraId="07887909" w14:textId="376C2A24" w:rsidR="00086A8A"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7849841B" w14:textId="77777777" w:rsidTr="000B66BC">
        <w:trPr>
          <w:trHeight w:val="71"/>
        </w:trPr>
        <w:tc>
          <w:tcPr>
            <w:tcW w:w="1559" w:type="dxa"/>
            <w:shd w:val="clear" w:color="auto" w:fill="FFFFFF"/>
          </w:tcPr>
          <w:p w14:paraId="7770CF17" w14:textId="209AA225"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{0310;0020}</w:t>
            </w:r>
          </w:p>
        </w:tc>
        <w:tc>
          <w:tcPr>
            <w:tcW w:w="7406" w:type="dxa"/>
            <w:shd w:val="clear" w:color="auto" w:fill="FFFFFF"/>
          </w:tcPr>
          <w:p w14:paraId="3DC59FB7" w14:textId="38AD74C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sz w:val="24"/>
                <w:szCs w:val="24"/>
              </w:rPr>
              <w:t>Търговско финансиране (поясняваща позиция) — Стойност на експозицията с оглед на отношението на ливъридж — експозиции по вътрешнорейтинговия подход</w:t>
            </w:r>
          </w:p>
          <w:p w14:paraId="0A442979" w14:textId="3B301CAB" w:rsidR="00BE6AC4"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Стойност на експозицията с оглед на отношението на ливъридж на балансовите позиции, свързани с кредитиране на износител или </w:t>
            </w:r>
            <w:r>
              <w:rPr>
                <w:rFonts w:ascii="Times New Roman" w:hAnsi="Times New Roman"/>
                <w:bCs/>
                <w:sz w:val="24"/>
                <w:szCs w:val="24"/>
              </w:rPr>
              <w:lastRenderedPageBreak/>
              <w:t>вносител на стоки или услуги посредством импортни и експортни кредити и сходни трансакции.</w:t>
            </w:r>
          </w:p>
          <w:p w14:paraId="009892EF" w14:textId="4CD440BB" w:rsidR="009C4E79" w:rsidRPr="000B66BC" w:rsidRDefault="009C4E79" w:rsidP="000B66BC">
            <w:pPr>
              <w:pStyle w:val="BodyText1"/>
              <w:spacing w:after="240" w:line="240" w:lineRule="auto"/>
              <w:rPr>
                <w:rFonts w:ascii="Times New Roman" w:hAnsi="Times New Roman"/>
                <w:bCs/>
                <w:sz w:val="24"/>
                <w:szCs w:val="24"/>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0944BE23" w14:textId="77777777" w:rsidTr="000B66BC">
        <w:trPr>
          <w:trHeight w:val="71"/>
        </w:trPr>
        <w:tc>
          <w:tcPr>
            <w:tcW w:w="1559" w:type="dxa"/>
            <w:shd w:val="clear" w:color="auto" w:fill="FFFFFF"/>
          </w:tcPr>
          <w:p w14:paraId="375E033C" w14:textId="2994690F"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{0310;0030}</w:t>
            </w:r>
          </w:p>
        </w:tc>
        <w:tc>
          <w:tcPr>
            <w:tcW w:w="7406" w:type="dxa"/>
            <w:shd w:val="clear" w:color="auto" w:fill="FFFFFF"/>
          </w:tcPr>
          <w:p w14:paraId="2CAEEABE" w14:textId="362B2A0C"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Търговско финансиране (поясняваща позиция) — RWEA — експозиции по стандартизирания подход</w:t>
            </w:r>
          </w:p>
          <w:p w14:paraId="08DFF23E" w14:textId="3FC89434" w:rsidR="00086A8A"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Рисково претеглената стойност на балансовите позиции, свързани с кредитиране на износител или вносител на стоки или услуги посредством импортни и експортни кредити и сходни трансакции.</w:t>
            </w:r>
          </w:p>
          <w:p w14:paraId="1392FEC6" w14:textId="0CEA5EB1"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2EAEC41E" w14:textId="77777777" w:rsidTr="000B66BC">
        <w:trPr>
          <w:trHeight w:val="71"/>
        </w:trPr>
        <w:tc>
          <w:tcPr>
            <w:tcW w:w="1559" w:type="dxa"/>
            <w:shd w:val="clear" w:color="auto" w:fill="FFFFFF"/>
          </w:tcPr>
          <w:p w14:paraId="2D3EEDC7" w14:textId="50ACD0A0"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{0310;0040}</w:t>
            </w:r>
          </w:p>
        </w:tc>
        <w:tc>
          <w:tcPr>
            <w:tcW w:w="7406" w:type="dxa"/>
            <w:shd w:val="clear" w:color="auto" w:fill="FFFFFF"/>
          </w:tcPr>
          <w:p w14:paraId="6234B372" w14:textId="0FE9A0F4"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Търговско финансиране (поясняваща позиция) — RWEA — експозиции по вътрешнорейтинговия подход</w:t>
            </w:r>
          </w:p>
          <w:p w14:paraId="7C41D05F" w14:textId="163F70F0"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Рисково претеглената стойност на балансовите позиции, свързани с кредитиране на износител или вносител на стоки или услуги посредством импортни и експортни кредити и сходни трансакции.</w:t>
            </w:r>
          </w:p>
          <w:p w14:paraId="69D1BF8F" w14:textId="1ADC695A" w:rsidR="009C4E79"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0F47267B" w14:textId="77777777" w:rsidTr="000B66BC">
        <w:trPr>
          <w:trHeight w:val="71"/>
        </w:trPr>
        <w:tc>
          <w:tcPr>
            <w:tcW w:w="1559" w:type="dxa"/>
            <w:shd w:val="clear" w:color="auto" w:fill="FFFFFF"/>
          </w:tcPr>
          <w:p w14:paraId="01A66D59" w14:textId="16BAA6D6"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{0320;0010}</w:t>
            </w:r>
          </w:p>
        </w:tc>
        <w:tc>
          <w:tcPr>
            <w:tcW w:w="7406" w:type="dxa"/>
            <w:shd w:val="clear" w:color="auto" w:fill="FFFFFF"/>
          </w:tcPr>
          <w:p w14:paraId="68BD9684" w14:textId="77777777"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в т.ч.: </w:t>
            </w:r>
            <w:r>
              <w:rPr>
                <w:rFonts w:ascii="Times New Roman" w:hAnsi="Times New Roman"/>
                <w:b/>
                <w:sz w:val="24"/>
                <w:szCs w:val="24"/>
              </w:rPr>
              <w:t>В рамките на официална схема за застраховане на експортни кредити — Стойност на експозицията с оглед на отношението на ливъридж — експозиции по стандартизирания подход</w:t>
            </w:r>
          </w:p>
          <w:p w14:paraId="77C2AA79" w14:textId="008650ED" w:rsidR="00FC5086"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Стойност на експозицията с оглед на отношението на ливъридж на балансовите позиции, свързани с търговско финансиране в рамките на официална схема за застраховане на експортни кредити.</w:t>
            </w:r>
          </w:p>
          <w:p w14:paraId="724169CB" w14:textId="4B72375C"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С оглед на докладването в LR4, „официална схема за застраховане на експортни кредити“ е официалното подпомагане, предоставено от правителството или друг субект като агенция за експортно кредитиране, под формата, наред с другото, на пряко кредитиране/финансиране, рефинансиране, лихвени субсидии (където за целия срок на кредита е гарантиран фиксиран лихвен процент), финансиране по помощни програми (кредити и безвъзмездни средства), застраховане и гаранции при експортно кредитиране. </w:t>
            </w:r>
          </w:p>
          <w:p w14:paraId="6749A4E0" w14:textId="3BDB38AA" w:rsidR="002509B1" w:rsidRPr="000B66BC" w:rsidRDefault="00086A8A" w:rsidP="000B66BC">
            <w:pPr>
              <w:pStyle w:val="BodyText1"/>
              <w:spacing w:after="240" w:line="240" w:lineRule="auto"/>
              <w:rPr>
                <w:rFonts w:ascii="Times New Roman" w:hAnsi="Times New Roman"/>
                <w:bCs/>
                <w:sz w:val="24"/>
                <w:szCs w:val="24"/>
              </w:rPr>
            </w:pPr>
            <w:r>
              <w:rPr>
                <w:rFonts w:ascii="Times New Roman" w:hAnsi="Times New Roman"/>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324D0C14" w14:textId="77777777" w:rsidTr="000B66BC">
        <w:trPr>
          <w:trHeight w:val="71"/>
        </w:trPr>
        <w:tc>
          <w:tcPr>
            <w:tcW w:w="1559" w:type="dxa"/>
            <w:shd w:val="clear" w:color="auto" w:fill="FFFFFF"/>
          </w:tcPr>
          <w:p w14:paraId="379BEEE3" w14:textId="251ACAEF"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{0320;0020}</w:t>
            </w:r>
          </w:p>
        </w:tc>
        <w:tc>
          <w:tcPr>
            <w:tcW w:w="7406" w:type="dxa"/>
            <w:shd w:val="clear" w:color="auto" w:fill="FFFFFF"/>
          </w:tcPr>
          <w:p w14:paraId="487C59EC" w14:textId="64199DCF" w:rsidR="002509B1"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 xml:space="preserve">в т.ч.: В рамките на официална схема за застраховане на експортни кредити — Стойност на експозицията с оглед на </w:t>
            </w:r>
            <w:r>
              <w:rPr>
                <w:rFonts w:ascii="Times New Roman" w:hAnsi="Times New Roman"/>
                <w:b/>
                <w:bCs/>
                <w:sz w:val="24"/>
                <w:szCs w:val="24"/>
              </w:rPr>
              <w:lastRenderedPageBreak/>
              <w:t>отношението на ливъридж — експозиции по вътрешнорейтинговия подход</w:t>
            </w:r>
          </w:p>
          <w:p w14:paraId="28C477A6" w14:textId="45C80184" w:rsidR="00FC5086"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 xml:space="preserve">Размер на експозицията с оглед на отношението на ливъридж на балансовите позиции, свързани с търговско финансиране в рамките на официална схема за застраховане на експортни кредити. </w:t>
            </w:r>
          </w:p>
          <w:p w14:paraId="453591E6" w14:textId="24EEED56"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С оглед на докладването в LR4, „официална схема за застраховане на експортни кредити“ е официалното подпомагане, предоставено от правителството или друг субект като агенция за експортно кредитиране, под формата, наред с другото, на пряко кредитиране/финансиране, рефинансиране, лихвени субсидии (където за целия срок на кредита е гарантиран фиксиран лихвен процент), финансиране по помощни програми (кредити и безвъзмездни средства), застраховане и гаранции при експортно кредитиране.</w:t>
            </w:r>
          </w:p>
          <w:p w14:paraId="121B09A0" w14:textId="7D13C18C" w:rsidR="002509B1" w:rsidRPr="000B66BC" w:rsidDel="00600AB1"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r w:rsidR="002A54FF" w:rsidRPr="00E75BB8" w14:paraId="5958CABD" w14:textId="77777777" w:rsidTr="000B66BC">
        <w:trPr>
          <w:trHeight w:val="71"/>
        </w:trPr>
        <w:tc>
          <w:tcPr>
            <w:tcW w:w="1559" w:type="dxa"/>
            <w:shd w:val="clear" w:color="auto" w:fill="FFFFFF"/>
          </w:tcPr>
          <w:p w14:paraId="50D523A5" w14:textId="2D5719F5"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lastRenderedPageBreak/>
              <w:t>{0320;0030}</w:t>
            </w:r>
          </w:p>
        </w:tc>
        <w:tc>
          <w:tcPr>
            <w:tcW w:w="7406" w:type="dxa"/>
            <w:shd w:val="clear" w:color="auto" w:fill="FFFFFF"/>
          </w:tcPr>
          <w:p w14:paraId="1BC55C9E" w14:textId="018B97B0"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в т.ч.: В рамките на официална схема за застраховане на експортни кредити — RWEA — експозиции по стандартизирания подход</w:t>
            </w:r>
          </w:p>
          <w:p w14:paraId="5BDA0B92" w14:textId="79F518BC"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Рисково претеглената стойност на балансовите позиции, свързани с търговско финансиране в рамките на официална схема за застраховане на експортни кредити.</w:t>
            </w:r>
            <w:r>
              <w:rPr>
                <w:rFonts w:ascii="Times New Roman" w:hAnsi="Times New Roman"/>
                <w:bCs/>
                <w:sz w:val="24"/>
                <w:szCs w:val="24"/>
              </w:rPr>
              <w:t xml:space="preserve"> </w:t>
            </w:r>
          </w:p>
          <w:p w14:paraId="04A05DE3" w14:textId="09DF700B" w:rsidR="00F4754B"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С оглед на докладването в LR4, „официална схема за застраховане на експортни кредити“ е официалното подпомагане, предоставено от правителството или друг субект като агенция за експортно кредитиране, под формата, наред с другото, на пряко кредитиране/финансиране, рефинансиране, лихвени субсидии (където за целия срок на кредита е гарантиран фиксиран лихвен процент), финансиране по помощни програми (кредити и безвъзмездни средства), застраховане и гаранции при експортно кредитиране. </w:t>
            </w:r>
          </w:p>
          <w:p w14:paraId="4F35ADC9" w14:textId="4AC2CE52" w:rsidR="002509B1" w:rsidRPr="000B66BC" w:rsidRDefault="00086A8A" w:rsidP="000B66BC">
            <w:pPr>
              <w:pStyle w:val="BodyText1"/>
              <w:spacing w:after="240" w:line="240" w:lineRule="auto"/>
              <w:rPr>
                <w:rFonts w:ascii="Times New Roman" w:hAnsi="Times New Roman"/>
                <w:b/>
                <w:bCs/>
                <w:sz w:val="24"/>
                <w:szCs w:val="24"/>
                <w:u w:val="single"/>
              </w:rPr>
            </w:pPr>
            <w:r>
              <w:rPr>
                <w:rFonts w:ascii="Times New Roman" w:hAnsi="Times New Roman"/>
                <w:sz w:val="24"/>
                <w:szCs w:val="24"/>
              </w:rPr>
              <w:t>Докладваните от институциите стойности са нето от експозициите в неизпълнение по стандартизирания подход.</w:t>
            </w:r>
          </w:p>
        </w:tc>
      </w:tr>
      <w:tr w:rsidR="002A54FF" w:rsidRPr="00E75BB8" w14:paraId="50DFFA63" w14:textId="77777777" w:rsidTr="000B66BC">
        <w:trPr>
          <w:trHeight w:val="71"/>
        </w:trPr>
        <w:tc>
          <w:tcPr>
            <w:tcW w:w="1559" w:type="dxa"/>
            <w:shd w:val="clear" w:color="auto" w:fill="FFFFFF"/>
          </w:tcPr>
          <w:p w14:paraId="3E66A2E1" w14:textId="52C5C768" w:rsidR="00F4754B" w:rsidRPr="000B66BC" w:rsidRDefault="00F4754B" w:rsidP="000B66BC">
            <w:pPr>
              <w:pStyle w:val="BodyText1"/>
              <w:spacing w:after="240"/>
              <w:rPr>
                <w:rFonts w:ascii="Times New Roman" w:hAnsi="Times New Roman"/>
                <w:sz w:val="24"/>
                <w:szCs w:val="24"/>
              </w:rPr>
            </w:pPr>
            <w:r>
              <w:rPr>
                <w:rFonts w:ascii="Times New Roman" w:hAnsi="Times New Roman"/>
                <w:bCs/>
                <w:sz w:val="24"/>
                <w:szCs w:val="24"/>
              </w:rPr>
              <w:t>{0320;0040}</w:t>
            </w:r>
          </w:p>
        </w:tc>
        <w:tc>
          <w:tcPr>
            <w:tcW w:w="7406" w:type="dxa"/>
            <w:shd w:val="clear" w:color="auto" w:fill="FFFFFF"/>
          </w:tcPr>
          <w:p w14:paraId="02837300" w14:textId="087FB5C1" w:rsidR="00F4754B" w:rsidRPr="000B66BC" w:rsidRDefault="005A052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в т.ч.: В рамките на официална схема за застраховане на експортни кредити — RWEA — експозиции по вътрешнорейтинговия подход</w:t>
            </w:r>
          </w:p>
          <w:p w14:paraId="7E51B295" w14:textId="2E71FA87" w:rsidR="005E0E4A" w:rsidRDefault="00F4754B" w:rsidP="000B66BC">
            <w:pPr>
              <w:pStyle w:val="BodyText1"/>
              <w:spacing w:after="240" w:line="240" w:lineRule="auto"/>
              <w:rPr>
                <w:rFonts w:ascii="Times New Roman" w:hAnsi="Times New Roman"/>
                <w:bCs/>
                <w:sz w:val="24"/>
                <w:szCs w:val="24"/>
              </w:rPr>
            </w:pPr>
            <w:r>
              <w:rPr>
                <w:rFonts w:ascii="Times New Roman" w:hAnsi="Times New Roman"/>
                <w:sz w:val="24"/>
                <w:szCs w:val="24"/>
              </w:rPr>
              <w:t>Рисково претеглената стойност на балансовите позиции, свързани с търговско финансиране в рамките на официална схема за застраховане на експортни кредити.</w:t>
            </w:r>
            <w:r>
              <w:rPr>
                <w:rFonts w:ascii="Times New Roman" w:hAnsi="Times New Roman"/>
                <w:bCs/>
                <w:sz w:val="24"/>
                <w:szCs w:val="24"/>
              </w:rPr>
              <w:t xml:space="preserve"> </w:t>
            </w:r>
          </w:p>
          <w:p w14:paraId="22173B42" w14:textId="69585F6C" w:rsidR="009C4E79" w:rsidRPr="000B66BC" w:rsidRDefault="00C90B14" w:rsidP="000B66BC">
            <w:pPr>
              <w:pStyle w:val="BodyText1"/>
              <w:spacing w:after="240" w:line="240" w:lineRule="auto"/>
              <w:rPr>
                <w:rFonts w:ascii="Times New Roman" w:hAnsi="Times New Roman"/>
                <w:sz w:val="24"/>
                <w:szCs w:val="24"/>
              </w:rPr>
            </w:pPr>
            <w:r>
              <w:rPr>
                <w:rFonts w:ascii="Times New Roman" w:hAnsi="Times New Roman"/>
                <w:sz w:val="24"/>
                <w:szCs w:val="24"/>
              </w:rPr>
              <w:t xml:space="preserve">С оглед на докладването в LR4, „официална схема за застраховане на експортни кредити“ е официалното подпомагане, предоставено от правителството или друг субект като агенция за експортно </w:t>
            </w:r>
            <w:r>
              <w:rPr>
                <w:rFonts w:ascii="Times New Roman" w:hAnsi="Times New Roman"/>
                <w:sz w:val="24"/>
                <w:szCs w:val="24"/>
              </w:rPr>
              <w:lastRenderedPageBreak/>
              <w:t xml:space="preserve">кредитиране, под формата, наред с другото, на пряко кредитиране/финансиране, рефинансиране, лихвени субсидии (където за целия срок на кредита е гарантиран фиксиран лихвен процент), финансиране по помощни програми (кредити и безвъзмездни средства), застраховане и гаранции при експортно кредитиране. </w:t>
            </w:r>
          </w:p>
          <w:p w14:paraId="16D3A7FB" w14:textId="65A4E59B" w:rsidR="002509B1" w:rsidRPr="000B66BC" w:rsidRDefault="009C4E79" w:rsidP="000B66BC">
            <w:pPr>
              <w:pStyle w:val="BodyText1"/>
              <w:spacing w:after="240" w:line="240" w:lineRule="auto"/>
              <w:rPr>
                <w:rFonts w:ascii="Times New Roman" w:hAnsi="Times New Roman"/>
                <w:b/>
                <w:bCs/>
                <w:sz w:val="24"/>
                <w:szCs w:val="24"/>
                <w:u w:val="single"/>
              </w:rPr>
            </w:pPr>
            <w:r>
              <w:rPr>
                <w:rFonts w:ascii="Times New Roman" w:hAnsi="Times New Roman"/>
                <w:bCs/>
                <w:sz w:val="24"/>
                <w:szCs w:val="24"/>
              </w:rPr>
              <w:t>Докладваните от институциите стойности са нето от експозициите в неизпълнение по вътрешнорейтинговия подход.</w:t>
            </w:r>
          </w:p>
        </w:tc>
      </w:tr>
    </w:tbl>
    <w:p w14:paraId="6F5938BB" w14:textId="71A3874E" w:rsidR="004C0459" w:rsidRPr="000B66BC" w:rsidRDefault="004C0459" w:rsidP="000B66BC">
      <w:pPr>
        <w:pStyle w:val="BodyText1"/>
        <w:spacing w:after="240"/>
        <w:ind w:left="720"/>
        <w:rPr>
          <w:rFonts w:ascii="Times New Roman" w:hAnsi="Times New Roman"/>
          <w:b/>
          <w:sz w:val="24"/>
          <w:szCs w:val="24"/>
        </w:rPr>
      </w:pPr>
      <w:bookmarkStart w:id="75" w:name="_Toc351048511"/>
      <w:bookmarkStart w:id="76" w:name="_Toc359414290"/>
      <w:bookmarkStart w:id="77" w:name="_Toc423089075"/>
      <w:bookmarkEnd w:id="74"/>
    </w:p>
    <w:p w14:paraId="3B957644" w14:textId="7AA08C09" w:rsidR="00217D1F" w:rsidRPr="000B66BC" w:rsidRDefault="005F4574" w:rsidP="000B66BC">
      <w:pPr>
        <w:pStyle w:val="BodyText1"/>
        <w:spacing w:after="240"/>
        <w:ind w:left="357" w:hanging="357"/>
        <w:outlineLvl w:val="1"/>
        <w:rPr>
          <w:rFonts w:ascii="Times New Roman" w:hAnsi="Times New Roman"/>
          <w:b/>
          <w:sz w:val="24"/>
          <w:szCs w:val="24"/>
        </w:rPr>
      </w:pPr>
      <w:bookmarkStart w:id="78" w:name="_Toc58840526"/>
      <w:r>
        <w:rPr>
          <w:rFonts w:ascii="Times New Roman" w:hAnsi="Times New Roman"/>
          <w:b/>
          <w:sz w:val="24"/>
          <w:szCs w:val="24"/>
        </w:rPr>
        <w:t>6.</w:t>
      </w:r>
      <w:r>
        <w:tab/>
      </w:r>
      <w:r>
        <w:rPr>
          <w:rFonts w:ascii="Times New Roman" w:hAnsi="Times New Roman"/>
          <w:b/>
          <w:sz w:val="24"/>
          <w:szCs w:val="24"/>
        </w:rPr>
        <w:t>C 44.00 – Обща информация</w:t>
      </w:r>
      <w:bookmarkEnd w:id="75"/>
      <w:bookmarkEnd w:id="76"/>
      <w:r>
        <w:rPr>
          <w:rFonts w:ascii="Times New Roman" w:hAnsi="Times New Roman"/>
          <w:b/>
          <w:sz w:val="24"/>
          <w:szCs w:val="24"/>
        </w:rPr>
        <w:t xml:space="preserve"> (LR5)</w:t>
      </w:r>
      <w:bookmarkEnd w:id="77"/>
      <w:bookmarkEnd w:id="78"/>
    </w:p>
    <w:p w14:paraId="0762DA75" w14:textId="1CF4EE9B" w:rsidR="00F4754B"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28.</w:t>
      </w:r>
      <w:r>
        <w:tab/>
      </w:r>
      <w:r>
        <w:rPr>
          <w:rFonts w:ascii="Times New Roman" w:hAnsi="Times New Roman"/>
          <w:sz w:val="24"/>
          <w:szCs w:val="24"/>
        </w:rPr>
        <w:t>Тук се събира допълнителна информация за целите на категоризирането на дейностите на институцията и избраните от нея регулаторни варианти.</w:t>
      </w:r>
    </w:p>
    <w:tbl>
      <w:tblPr>
        <w:tblW w:w="90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7308"/>
      </w:tblGrid>
      <w:tr w:rsidR="00F4754B" w:rsidRPr="00E75BB8" w14:paraId="01020A4D" w14:textId="77777777" w:rsidTr="000B66BC">
        <w:tc>
          <w:tcPr>
            <w:tcW w:w="1730" w:type="dxa"/>
            <w:shd w:val="clear" w:color="auto" w:fill="D9D9D9" w:themeFill="background1" w:themeFillShade="D9"/>
          </w:tcPr>
          <w:p w14:paraId="609E7AEC" w14:textId="77777777" w:rsidR="00F4754B" w:rsidRPr="000B66BC" w:rsidRDefault="00F4754B" w:rsidP="000B66BC">
            <w:pPr>
              <w:pStyle w:val="BodyText1"/>
              <w:spacing w:after="240"/>
              <w:rPr>
                <w:rFonts w:ascii="Times New Roman" w:hAnsi="Times New Roman"/>
                <w:b/>
                <w:sz w:val="24"/>
                <w:szCs w:val="24"/>
              </w:rPr>
            </w:pPr>
            <w:r>
              <w:rPr>
                <w:rFonts w:ascii="Times New Roman" w:hAnsi="Times New Roman"/>
                <w:b/>
                <w:sz w:val="24"/>
                <w:szCs w:val="24"/>
              </w:rPr>
              <w:t xml:space="preserve">Ред </w:t>
            </w:r>
          </w:p>
          <w:p w14:paraId="3ADE932A"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szCs w:val="24"/>
              </w:rPr>
              <w:t>и колона</w:t>
            </w:r>
          </w:p>
        </w:tc>
        <w:tc>
          <w:tcPr>
            <w:tcW w:w="7308" w:type="dxa"/>
            <w:shd w:val="clear" w:color="auto" w:fill="D9D9D9" w:themeFill="background1" w:themeFillShade="D9"/>
          </w:tcPr>
          <w:p w14:paraId="07C08D86" w14:textId="77777777" w:rsidR="00F4754B" w:rsidRPr="000B66BC" w:rsidRDefault="00F4754B" w:rsidP="000B66BC">
            <w:pPr>
              <w:pStyle w:val="BodyText1"/>
              <w:spacing w:after="240"/>
              <w:rPr>
                <w:rFonts w:ascii="Times New Roman" w:hAnsi="Times New Roman"/>
                <w:b/>
                <w:bCs/>
                <w:sz w:val="24"/>
                <w:szCs w:val="24"/>
              </w:rPr>
            </w:pPr>
            <w:r>
              <w:rPr>
                <w:rFonts w:ascii="Times New Roman" w:hAnsi="Times New Roman"/>
                <w:b/>
                <w:sz w:val="24"/>
                <w:szCs w:val="24"/>
              </w:rPr>
              <w:t>Указания</w:t>
            </w:r>
          </w:p>
        </w:tc>
      </w:tr>
      <w:tr w:rsidR="00F4754B" w:rsidRPr="00E75BB8" w14:paraId="55A6FD39" w14:textId="77777777" w:rsidTr="000B66BC">
        <w:tc>
          <w:tcPr>
            <w:tcW w:w="1730" w:type="dxa"/>
          </w:tcPr>
          <w:p w14:paraId="4651DD6D" w14:textId="2C8898E2"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308" w:type="dxa"/>
          </w:tcPr>
          <w:p w14:paraId="4DA873F1"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Дружествена структура на институцията</w:t>
            </w:r>
          </w:p>
          <w:p w14:paraId="64CCC795"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Институцията класифицира дружествената си структура в съответствие с представените по-долу категории:</w:t>
            </w:r>
          </w:p>
          <w:p w14:paraId="1F1192E5"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Акционерно дружество;</w:t>
            </w:r>
          </w:p>
          <w:p w14:paraId="003D2706"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Взаимоспомагателно дружество/кооперация;</w:t>
            </w:r>
          </w:p>
          <w:p w14:paraId="6192BE9A" w14:textId="31FF6E20"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Други неакционерни дружества.</w:t>
            </w:r>
          </w:p>
        </w:tc>
      </w:tr>
      <w:tr w:rsidR="00F4754B" w:rsidRPr="00E75BB8" w14:paraId="0E805489" w14:textId="77777777" w:rsidTr="000B66BC">
        <w:tc>
          <w:tcPr>
            <w:tcW w:w="1730" w:type="dxa"/>
          </w:tcPr>
          <w:p w14:paraId="024D6767" w14:textId="451206B8"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{0020;0010}</w:t>
            </w:r>
          </w:p>
        </w:tc>
        <w:tc>
          <w:tcPr>
            <w:tcW w:w="7308" w:type="dxa"/>
          </w:tcPr>
          <w:p w14:paraId="6E8478E9"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Третиране на деривати</w:t>
            </w:r>
          </w:p>
          <w:p w14:paraId="32814C5E"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Институцията уточнява регулаторното третиране на дериватите в съответствие с представените по-долу категории:</w:t>
            </w:r>
          </w:p>
          <w:p w14:paraId="255B888B" w14:textId="77777777"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bCs/>
                <w:sz w:val="24"/>
                <w:szCs w:val="24"/>
              </w:rPr>
              <w:t>- Стандартизиран подход за кредитния риск от контрагента (SA-CCR);</w:t>
            </w:r>
          </w:p>
          <w:p w14:paraId="43920088" w14:textId="080D2445" w:rsidR="00B04A5F" w:rsidRPr="000B66BC" w:rsidRDefault="00B04A5F" w:rsidP="000B66BC">
            <w:pPr>
              <w:pStyle w:val="BodyText1"/>
              <w:spacing w:after="240" w:line="240" w:lineRule="auto"/>
              <w:rPr>
                <w:rFonts w:ascii="Times New Roman" w:hAnsi="Times New Roman"/>
                <w:bCs/>
                <w:sz w:val="24"/>
                <w:szCs w:val="24"/>
              </w:rPr>
            </w:pPr>
            <w:r>
              <w:rPr>
                <w:rFonts w:ascii="Times New Roman" w:hAnsi="Times New Roman"/>
                <w:bCs/>
                <w:sz w:val="24"/>
                <w:szCs w:val="24"/>
              </w:rPr>
              <w:t>-      Опростен стандартизиран подход за кредитния риск от контрагента;</w:t>
            </w:r>
          </w:p>
          <w:p w14:paraId="7A9DB046" w14:textId="7690E86C" w:rsidR="00BE6AC4"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Метод на първоначалната експозиция.</w:t>
            </w:r>
          </w:p>
        </w:tc>
      </w:tr>
      <w:tr w:rsidR="00F4754B" w:rsidRPr="00E75BB8" w14:paraId="0E0C8448" w14:textId="77777777" w:rsidTr="000B66BC">
        <w:tc>
          <w:tcPr>
            <w:tcW w:w="1730" w:type="dxa"/>
          </w:tcPr>
          <w:p w14:paraId="6C37BCD8" w14:textId="7BBC71D1" w:rsidR="00F4754B" w:rsidRPr="000B66BC" w:rsidRDefault="00F4754B" w:rsidP="000B66BC">
            <w:pPr>
              <w:pStyle w:val="BodyText1"/>
              <w:spacing w:after="240"/>
              <w:rPr>
                <w:rFonts w:ascii="Times New Roman" w:hAnsi="Times New Roman"/>
                <w:bCs/>
                <w:sz w:val="24"/>
                <w:szCs w:val="24"/>
              </w:rPr>
            </w:pPr>
            <w:r>
              <w:rPr>
                <w:rFonts w:ascii="Times New Roman" w:hAnsi="Times New Roman"/>
                <w:bCs/>
                <w:sz w:val="24"/>
                <w:szCs w:val="24"/>
              </w:rPr>
              <w:t>{0040;0010}</w:t>
            </w:r>
          </w:p>
        </w:tc>
        <w:tc>
          <w:tcPr>
            <w:tcW w:w="7308" w:type="dxa"/>
          </w:tcPr>
          <w:p w14:paraId="3154A9B3" w14:textId="77777777" w:rsidR="00F4754B" w:rsidRPr="000B66BC" w:rsidRDefault="00F4754B"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Вид институция</w:t>
            </w:r>
          </w:p>
          <w:p w14:paraId="2C15E916" w14:textId="77777777" w:rsidR="00F4754B" w:rsidRPr="000B66BC" w:rsidRDefault="00F4754B" w:rsidP="000B66BC">
            <w:pPr>
              <w:pStyle w:val="BodyText1"/>
              <w:spacing w:after="240" w:line="240" w:lineRule="auto"/>
              <w:rPr>
                <w:rFonts w:ascii="Times New Roman" w:hAnsi="Times New Roman"/>
                <w:bCs/>
                <w:sz w:val="24"/>
                <w:szCs w:val="24"/>
              </w:rPr>
            </w:pPr>
            <w:r>
              <w:rPr>
                <w:rFonts w:ascii="Times New Roman" w:hAnsi="Times New Roman"/>
                <w:bCs/>
                <w:sz w:val="24"/>
                <w:szCs w:val="24"/>
              </w:rPr>
              <w:t>Видът на институцията се класифицира в съответствие с представените по-долу категории:</w:t>
            </w:r>
          </w:p>
          <w:p w14:paraId="5F9BB21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lastRenderedPageBreak/>
              <w:t>-</w:t>
            </w:r>
            <w:r>
              <w:tab/>
            </w:r>
            <w:r>
              <w:rPr>
                <w:rFonts w:ascii="Times New Roman" w:hAnsi="Times New Roman"/>
                <w:bCs/>
                <w:sz w:val="24"/>
                <w:szCs w:val="24"/>
              </w:rPr>
              <w:t>Универсално банкиране (на дребно/търговско и инвестиционно банкиране);</w:t>
            </w:r>
          </w:p>
          <w:p w14:paraId="730C89BA"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Банкиране на дребно/търговско банкиране;</w:t>
            </w:r>
          </w:p>
          <w:p w14:paraId="430C8F32" w14:textId="77777777" w:rsidR="00F4754B"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Инвестиционно банкиране;</w:t>
            </w:r>
          </w:p>
          <w:p w14:paraId="53DE36EC" w14:textId="5929A7F1" w:rsidR="00875832" w:rsidRPr="000B66BC" w:rsidRDefault="00500508"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Специализиран заемодател;</w:t>
            </w:r>
          </w:p>
          <w:p w14:paraId="5E1BA609" w14:textId="30316771" w:rsidR="005D66B3" w:rsidRPr="000B66BC" w:rsidRDefault="00546848" w:rsidP="000B66BC">
            <w:pPr>
              <w:pStyle w:val="BodyText1"/>
              <w:spacing w:after="240" w:line="240" w:lineRule="auto"/>
              <w:ind w:left="360" w:hanging="360"/>
              <w:rPr>
                <w:rFonts w:ascii="Times New Roman" w:hAnsi="Times New Roman"/>
                <w:color w:val="auto"/>
                <w:sz w:val="24"/>
                <w:szCs w:val="24"/>
              </w:rPr>
            </w:pPr>
            <w:r>
              <w:rPr>
                <w:rFonts w:ascii="Times New Roman" w:hAnsi="Times New Roman"/>
                <w:bCs/>
                <w:sz w:val="24"/>
                <w:szCs w:val="24"/>
              </w:rPr>
              <w:t>-     Публични кредитни институции за развитие</w:t>
            </w:r>
            <w:r>
              <w:rPr>
                <w:rFonts w:ascii="Times New Roman" w:hAnsi="Times New Roman"/>
                <w:color w:val="auto"/>
                <w:sz w:val="24"/>
                <w:szCs w:val="24"/>
              </w:rPr>
              <w:t>;</w:t>
            </w:r>
          </w:p>
          <w:p w14:paraId="55C552F6" w14:textId="725A2101" w:rsidR="00BE6AC4" w:rsidRPr="000B66BC" w:rsidRDefault="00875832" w:rsidP="000B66BC">
            <w:pPr>
              <w:pStyle w:val="BodyText1"/>
              <w:spacing w:after="240" w:line="240" w:lineRule="auto"/>
              <w:ind w:left="360" w:hanging="360"/>
              <w:rPr>
                <w:rFonts w:ascii="Times New Roman" w:hAnsi="Times New Roman"/>
                <w:bCs/>
                <w:sz w:val="24"/>
                <w:szCs w:val="24"/>
              </w:rPr>
            </w:pPr>
            <w:r>
              <w:rPr>
                <w:rFonts w:ascii="Times New Roman" w:hAnsi="Times New Roman"/>
                <w:bCs/>
                <w:sz w:val="24"/>
                <w:szCs w:val="24"/>
              </w:rPr>
              <w:t>-</w:t>
            </w:r>
            <w:r>
              <w:tab/>
            </w:r>
            <w:r>
              <w:rPr>
                <w:rFonts w:ascii="Times New Roman" w:hAnsi="Times New Roman"/>
                <w:bCs/>
                <w:sz w:val="24"/>
                <w:szCs w:val="24"/>
              </w:rPr>
              <w:t>Друг вид стопанска дейност.</w:t>
            </w:r>
          </w:p>
        </w:tc>
      </w:tr>
      <w:tr w:rsidR="006316AD" w:rsidRPr="00E75BB8" w14:paraId="46E27CC1" w14:textId="77777777" w:rsidTr="000B66BC">
        <w:tc>
          <w:tcPr>
            <w:tcW w:w="1730" w:type="dxa"/>
          </w:tcPr>
          <w:p w14:paraId="113B7AA0" w14:textId="48CFB31B" w:rsidR="006316AD" w:rsidRPr="000B66BC" w:rsidRDefault="006316AD" w:rsidP="000B66BC">
            <w:pPr>
              <w:pStyle w:val="BodyText1"/>
              <w:spacing w:after="240"/>
              <w:rPr>
                <w:rFonts w:ascii="Times New Roman" w:hAnsi="Times New Roman"/>
                <w:bCs/>
                <w:sz w:val="24"/>
                <w:szCs w:val="24"/>
              </w:rPr>
            </w:pPr>
            <w:r>
              <w:rPr>
                <w:rFonts w:ascii="Times New Roman" w:hAnsi="Times New Roman"/>
                <w:bCs/>
                <w:sz w:val="24"/>
                <w:szCs w:val="24"/>
              </w:rPr>
              <w:lastRenderedPageBreak/>
              <w:t>{0070;0010}</w:t>
            </w:r>
          </w:p>
        </w:tc>
        <w:tc>
          <w:tcPr>
            <w:tcW w:w="7308" w:type="dxa"/>
          </w:tcPr>
          <w:p w14:paraId="31DC1601" w14:textId="77777777" w:rsidR="006316AD" w:rsidRPr="000B66BC" w:rsidRDefault="006316A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Институция с публично подразделение за развитие</w:t>
            </w:r>
          </w:p>
          <w:p w14:paraId="6D39363C" w14:textId="06B12418" w:rsidR="006316AD" w:rsidRPr="000B66BC" w:rsidRDefault="006316AD" w:rsidP="000B66BC">
            <w:pPr>
              <w:pStyle w:val="BodyText1"/>
              <w:spacing w:after="240" w:line="240" w:lineRule="auto"/>
              <w:rPr>
                <w:rFonts w:ascii="Times New Roman" w:hAnsi="Times New Roman"/>
                <w:bCs/>
                <w:sz w:val="24"/>
                <w:szCs w:val="24"/>
              </w:rPr>
            </w:pPr>
            <w:r>
              <w:rPr>
                <w:rFonts w:ascii="Times New Roman" w:hAnsi="Times New Roman"/>
                <w:sz w:val="24"/>
                <w:szCs w:val="24"/>
              </w:rPr>
              <w:t>Институциите, които не са публични кредитни институции за развитие , посочват дали имат публично подразделение за развитие.</w:t>
            </w:r>
          </w:p>
        </w:tc>
      </w:tr>
      <w:tr w:rsidR="003A13D1" w:rsidRPr="00E75BB8" w14:paraId="2CDC3E13" w14:textId="77777777" w:rsidTr="000B66BC">
        <w:tc>
          <w:tcPr>
            <w:tcW w:w="1730" w:type="dxa"/>
          </w:tcPr>
          <w:p w14:paraId="79D8D3BF" w14:textId="5989EBFA"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{0080;0010},</w:t>
            </w:r>
          </w:p>
          <w:p w14:paraId="0E404C36" w14:textId="3C546BDB"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{00090;0010},</w:t>
            </w:r>
          </w:p>
          <w:p w14:paraId="53B876FA" w14:textId="06E5D9AE" w:rsidR="003A13D1"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{0100;0010}</w:t>
            </w:r>
          </w:p>
        </w:tc>
        <w:tc>
          <w:tcPr>
            <w:tcW w:w="7308" w:type="dxa"/>
          </w:tcPr>
          <w:p w14:paraId="66B939F9" w14:textId="6DF6B901" w:rsidR="003A13D1" w:rsidRPr="000B66BC" w:rsidRDefault="003A13D1"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Субект, гарантиращ публичната кредитна институция/подразделение за развитие в съответствие с член 429а, параграф 2, буква г) от РКИ: Централно правителство, регионално правителство, местен орган на власт</w:t>
            </w:r>
          </w:p>
          <w:p w14:paraId="5D4C6A0E" w14:textId="404D2BB3" w:rsidR="00092325" w:rsidRPr="000B66BC" w:rsidRDefault="00092325" w:rsidP="000B66BC">
            <w:pPr>
              <w:pStyle w:val="BodyText1"/>
              <w:spacing w:after="240" w:line="240" w:lineRule="auto"/>
              <w:rPr>
                <w:rFonts w:ascii="Times New Roman" w:hAnsi="Times New Roman"/>
                <w:bCs/>
                <w:sz w:val="24"/>
                <w:szCs w:val="24"/>
              </w:rPr>
            </w:pPr>
            <w:r>
              <w:rPr>
                <w:rFonts w:ascii="Times New Roman" w:hAnsi="Times New Roman"/>
                <w:sz w:val="24"/>
                <w:szCs w:val="24"/>
              </w:rPr>
              <w:t>Институциите, които са публична кредитна институция за развитие или имат публично подразделение за развитие, докладват дали се ползват от гаранциите на централно правителство, регионално правителство или местен орган на власт.</w:t>
            </w:r>
          </w:p>
          <w:p w14:paraId="493FBA55" w14:textId="6B923AA1" w:rsidR="003B054D" w:rsidRPr="000B66BC" w:rsidRDefault="00092325"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Институциите посочват „TRUE“ в реда, съответстващ на приложимия вид доставчик на защита, а в противен случай — „FALSE“.</w:t>
            </w:r>
          </w:p>
        </w:tc>
      </w:tr>
      <w:tr w:rsidR="00872B4A" w:rsidRPr="00E75BB8" w14:paraId="7B661A02" w14:textId="77777777" w:rsidTr="000B66BC">
        <w:tc>
          <w:tcPr>
            <w:tcW w:w="1730" w:type="dxa"/>
          </w:tcPr>
          <w:p w14:paraId="184627A9" w14:textId="01E80B34" w:rsidR="00872B4A" w:rsidRPr="000B66BC" w:rsidRDefault="008551A7" w:rsidP="000B66BC">
            <w:pPr>
              <w:pStyle w:val="BodyText1"/>
              <w:spacing w:after="240"/>
              <w:rPr>
                <w:rFonts w:ascii="Times New Roman" w:hAnsi="Times New Roman"/>
                <w:bCs/>
                <w:sz w:val="24"/>
                <w:szCs w:val="24"/>
              </w:rPr>
            </w:pPr>
            <w:r>
              <w:rPr>
                <w:rFonts w:ascii="Times New Roman" w:hAnsi="Times New Roman"/>
                <w:bCs/>
                <w:sz w:val="24"/>
                <w:szCs w:val="24"/>
              </w:rPr>
              <w:t>{0080;0010}</w:t>
            </w:r>
          </w:p>
        </w:tc>
        <w:tc>
          <w:tcPr>
            <w:tcW w:w="7308" w:type="dxa"/>
          </w:tcPr>
          <w:p w14:paraId="763F7485" w14:textId="7D0968A1" w:rsidR="00B04A5F" w:rsidRPr="000B66BC" w:rsidRDefault="00B132DC" w:rsidP="000B66BC">
            <w:pPr>
              <w:pStyle w:val="BodyText1"/>
              <w:spacing w:after="240" w:line="240" w:lineRule="auto"/>
              <w:rPr>
                <w:rFonts w:ascii="Times New Roman" w:hAnsi="Times New Roman"/>
                <w:b/>
                <w:bCs/>
                <w:sz w:val="24"/>
                <w:szCs w:val="24"/>
              </w:rPr>
            </w:pPr>
            <w:r>
              <w:rPr>
                <w:rFonts w:ascii="Times New Roman" w:hAnsi="Times New Roman"/>
                <w:b/>
                <w:sz w:val="24"/>
                <w:szCs w:val="24"/>
              </w:rPr>
              <w:t>Централно правителство, което гарантира публичната кредитна институция/подразделение за развитие</w:t>
            </w:r>
          </w:p>
        </w:tc>
      </w:tr>
      <w:tr w:rsidR="00B132DC" w:rsidRPr="00E75BB8" w14:paraId="355B1E3D" w14:textId="77777777" w:rsidTr="000B66BC">
        <w:tc>
          <w:tcPr>
            <w:tcW w:w="1730" w:type="dxa"/>
          </w:tcPr>
          <w:p w14:paraId="1700BD22" w14:textId="1957DAF2" w:rsidR="00B132DC"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{0090;0010}</w:t>
            </w:r>
          </w:p>
        </w:tc>
        <w:tc>
          <w:tcPr>
            <w:tcW w:w="7308" w:type="dxa"/>
          </w:tcPr>
          <w:p w14:paraId="12648551" w14:textId="723AC193" w:rsidR="00B132DC" w:rsidRPr="000B66BC" w:rsidRDefault="000A5B0A" w:rsidP="000B66BC">
            <w:pPr>
              <w:pStyle w:val="BodyText1"/>
              <w:spacing w:after="240" w:line="240" w:lineRule="auto"/>
              <w:rPr>
                <w:rFonts w:ascii="Times New Roman" w:hAnsi="Times New Roman"/>
                <w:b/>
                <w:bCs/>
                <w:sz w:val="24"/>
                <w:szCs w:val="24"/>
              </w:rPr>
            </w:pPr>
            <w:r>
              <w:rPr>
                <w:rFonts w:ascii="Times New Roman" w:hAnsi="Times New Roman"/>
                <w:b/>
                <w:sz w:val="24"/>
                <w:szCs w:val="24"/>
              </w:rPr>
              <w:t>Регионално правителство, което гарантира публичната кредитна институция/подразделение за развитие</w:t>
            </w:r>
          </w:p>
        </w:tc>
      </w:tr>
      <w:tr w:rsidR="00B132DC" w:rsidRPr="00E75BB8" w14:paraId="261210F5" w14:textId="77777777" w:rsidTr="000B66BC">
        <w:tc>
          <w:tcPr>
            <w:tcW w:w="1730" w:type="dxa"/>
          </w:tcPr>
          <w:p w14:paraId="03A3CB47" w14:textId="5C79DC97" w:rsidR="00B132DC" w:rsidRPr="000B66BC" w:rsidRDefault="003A13D1" w:rsidP="000B66BC">
            <w:pPr>
              <w:pStyle w:val="BodyText1"/>
              <w:spacing w:after="240"/>
              <w:rPr>
                <w:rFonts w:ascii="Times New Roman" w:hAnsi="Times New Roman"/>
                <w:bCs/>
                <w:sz w:val="24"/>
                <w:szCs w:val="24"/>
              </w:rPr>
            </w:pPr>
            <w:r>
              <w:rPr>
                <w:rFonts w:ascii="Times New Roman" w:hAnsi="Times New Roman"/>
                <w:bCs/>
                <w:sz w:val="24"/>
                <w:szCs w:val="24"/>
              </w:rPr>
              <w:t>{0100;0010}</w:t>
            </w:r>
          </w:p>
        </w:tc>
        <w:tc>
          <w:tcPr>
            <w:tcW w:w="7308" w:type="dxa"/>
          </w:tcPr>
          <w:p w14:paraId="3DBA105A" w14:textId="07763F33" w:rsidR="00B132DC"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sz w:val="24"/>
                <w:szCs w:val="24"/>
              </w:rPr>
              <w:t>Местен орган на власт, който гарантира публичната кредитна институция/подразделение за развитие</w:t>
            </w:r>
          </w:p>
        </w:tc>
      </w:tr>
      <w:tr w:rsidR="003B054D" w:rsidRPr="00E75BB8" w14:paraId="34258127" w14:textId="77777777" w:rsidTr="000B66BC">
        <w:tc>
          <w:tcPr>
            <w:tcW w:w="1730" w:type="dxa"/>
          </w:tcPr>
          <w:p w14:paraId="35F9E1F6" w14:textId="4B3A5235" w:rsidR="003B054D"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{0110;0010};</w:t>
            </w:r>
          </w:p>
          <w:p w14:paraId="4E5E6B84" w14:textId="41699235" w:rsidR="00F966CA"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{0120;0010};</w:t>
            </w:r>
          </w:p>
          <w:p w14:paraId="174F75EE" w14:textId="42C2EAF1" w:rsidR="00F966CA"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308" w:type="dxa"/>
          </w:tcPr>
          <w:p w14:paraId="5E6BF02B" w14:textId="58A39281"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Вид на гаранцията, получена в съответствие с член 429а, параграф 2, буква г) от РКИ</w:t>
            </w:r>
          </w:p>
          <w:p w14:paraId="6AD424FF" w14:textId="63E03310"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sz w:val="24"/>
                <w:szCs w:val="24"/>
              </w:rPr>
              <w:t>Институциите, които са публична кредитна институция за развитие или имат публично подразделение за развитие, докладват вида на получената защита.</w:t>
            </w:r>
          </w:p>
          <w:p w14:paraId="70381FB6" w14:textId="2B13E154" w:rsidR="003B054D" w:rsidRPr="000B66BC" w:rsidRDefault="003B054D" w:rsidP="000B66BC">
            <w:pPr>
              <w:pStyle w:val="BodyText1"/>
              <w:spacing w:after="240" w:line="240" w:lineRule="auto"/>
              <w:rPr>
                <w:rFonts w:ascii="Times New Roman" w:hAnsi="Times New Roman"/>
                <w:b/>
                <w:bCs/>
                <w:sz w:val="24"/>
                <w:szCs w:val="24"/>
              </w:rPr>
            </w:pPr>
            <w:r>
              <w:rPr>
                <w:rFonts w:ascii="Times New Roman" w:hAnsi="Times New Roman"/>
                <w:bCs/>
                <w:sz w:val="24"/>
                <w:szCs w:val="24"/>
              </w:rPr>
              <w:t>Институциите посочват „TRUE“ в реда, съответстващ на приложимия вид защита, а в противен случай — „FALSE“.</w:t>
            </w:r>
          </w:p>
        </w:tc>
      </w:tr>
      <w:tr w:rsidR="004D70D0" w:rsidRPr="00E75BB8" w14:paraId="049655D5" w14:textId="77777777" w:rsidTr="000B66BC">
        <w:tc>
          <w:tcPr>
            <w:tcW w:w="1730" w:type="dxa"/>
          </w:tcPr>
          <w:p w14:paraId="1DD88EB6" w14:textId="02D4AA7C"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lastRenderedPageBreak/>
              <w:t>{0110;0010}</w:t>
            </w:r>
          </w:p>
        </w:tc>
        <w:tc>
          <w:tcPr>
            <w:tcW w:w="7308" w:type="dxa"/>
          </w:tcPr>
          <w:p w14:paraId="29D5A7E2" w14:textId="34B8184D" w:rsidR="004D70D0"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Задължение за защита на жизнеспособността на кредитните институции</w:t>
            </w:r>
          </w:p>
        </w:tc>
      </w:tr>
      <w:tr w:rsidR="004D70D0" w:rsidRPr="00E75BB8" w14:paraId="4796D2E1" w14:textId="77777777" w:rsidTr="000B66BC">
        <w:tc>
          <w:tcPr>
            <w:tcW w:w="1730" w:type="dxa"/>
          </w:tcPr>
          <w:p w14:paraId="16677FDC" w14:textId="37E0FCCD"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{0120;0010}</w:t>
            </w:r>
          </w:p>
        </w:tc>
        <w:tc>
          <w:tcPr>
            <w:tcW w:w="7308" w:type="dxa"/>
          </w:tcPr>
          <w:p w14:paraId="01E19ED4" w14:textId="2C530F26" w:rsidR="00F966C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Пряко гарантиране на капиталовите изисквания, изискванията за финансиране или предоставените насърчителни заеми на кредитните институции</w:t>
            </w:r>
          </w:p>
        </w:tc>
      </w:tr>
      <w:tr w:rsidR="004D70D0" w:rsidRPr="00E75BB8" w14:paraId="5FD34A30" w14:textId="77777777" w:rsidTr="000B66BC">
        <w:tc>
          <w:tcPr>
            <w:tcW w:w="1730" w:type="dxa"/>
          </w:tcPr>
          <w:p w14:paraId="0024CD7F" w14:textId="224F79CB" w:rsidR="004D70D0" w:rsidRPr="000B66BC" w:rsidRDefault="00F966CA" w:rsidP="000B66BC">
            <w:pPr>
              <w:pStyle w:val="BodyText1"/>
              <w:spacing w:after="240"/>
              <w:rPr>
                <w:rFonts w:ascii="Times New Roman" w:hAnsi="Times New Roman"/>
                <w:bCs/>
                <w:sz w:val="24"/>
                <w:szCs w:val="24"/>
              </w:rPr>
            </w:pPr>
            <w:r>
              <w:rPr>
                <w:rFonts w:ascii="Times New Roman" w:hAnsi="Times New Roman"/>
                <w:bCs/>
                <w:sz w:val="24"/>
                <w:szCs w:val="24"/>
              </w:rPr>
              <w:t>{0130;0010}</w:t>
            </w:r>
          </w:p>
        </w:tc>
        <w:tc>
          <w:tcPr>
            <w:tcW w:w="7308" w:type="dxa"/>
          </w:tcPr>
          <w:p w14:paraId="6809ECEE" w14:textId="15891213" w:rsidR="002C169A" w:rsidRPr="000B66BC" w:rsidRDefault="004D70D0" w:rsidP="000B66BC">
            <w:pPr>
              <w:pStyle w:val="BodyText1"/>
              <w:spacing w:after="240" w:line="240" w:lineRule="auto"/>
              <w:rPr>
                <w:rFonts w:ascii="Times New Roman" w:hAnsi="Times New Roman"/>
                <w:b/>
                <w:bCs/>
                <w:sz w:val="24"/>
                <w:szCs w:val="24"/>
              </w:rPr>
            </w:pPr>
            <w:r>
              <w:rPr>
                <w:rFonts w:ascii="Times New Roman" w:hAnsi="Times New Roman"/>
                <w:b/>
                <w:bCs/>
                <w:sz w:val="24"/>
                <w:szCs w:val="24"/>
              </w:rPr>
              <w:t>Непряко гарантиране на капиталовите изисквания, изискванията за финансиране или предоставените насърчителни заеми на кредитните институции</w:t>
            </w:r>
          </w:p>
        </w:tc>
      </w:tr>
    </w:tbl>
    <w:p w14:paraId="47D20A93" w14:textId="77777777" w:rsidR="00565261" w:rsidRPr="000B66BC" w:rsidRDefault="00565261" w:rsidP="000B66BC">
      <w:pPr>
        <w:pStyle w:val="BodyText1"/>
        <w:spacing w:after="240"/>
        <w:ind w:left="567"/>
        <w:rPr>
          <w:rFonts w:ascii="Times New Roman" w:hAnsi="Times New Roman"/>
          <w:sz w:val="24"/>
          <w:szCs w:val="24"/>
        </w:rPr>
      </w:pPr>
    </w:p>
    <w:p w14:paraId="0E59FFDF" w14:textId="35DCDD76" w:rsidR="00700DB7" w:rsidRPr="000B66BC" w:rsidRDefault="005F4574" w:rsidP="000B66BC">
      <w:pPr>
        <w:pStyle w:val="BodyText1"/>
        <w:spacing w:after="240"/>
        <w:ind w:left="357" w:hanging="357"/>
        <w:outlineLvl w:val="1"/>
        <w:rPr>
          <w:rFonts w:ascii="Times New Roman" w:hAnsi="Times New Roman"/>
          <w:b/>
          <w:sz w:val="24"/>
          <w:szCs w:val="24"/>
        </w:rPr>
      </w:pPr>
      <w:bookmarkStart w:id="79" w:name="_Toc58840527"/>
      <w:r>
        <w:rPr>
          <w:rFonts w:ascii="Times New Roman" w:hAnsi="Times New Roman"/>
          <w:b/>
          <w:sz w:val="24"/>
          <w:szCs w:val="24"/>
        </w:rPr>
        <w:t>7.</w:t>
      </w:r>
      <w:r>
        <w:tab/>
      </w:r>
      <w:r>
        <w:rPr>
          <w:rFonts w:ascii="Times New Roman" w:hAnsi="Times New Roman"/>
          <w:b/>
          <w:sz w:val="24"/>
          <w:szCs w:val="24"/>
        </w:rPr>
        <w:t>C 48.00 Променливост на отношението на ливъридж (LR6)</w:t>
      </w:r>
      <w:bookmarkEnd w:id="79"/>
    </w:p>
    <w:p w14:paraId="4D3787F1" w14:textId="2C3256EB" w:rsidR="00700DB7" w:rsidRPr="000B66BC" w:rsidRDefault="00143C6A"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29.</w:t>
      </w:r>
      <w:r>
        <w:tab/>
      </w:r>
      <w:r>
        <w:rPr>
          <w:rFonts w:ascii="Times New Roman" w:hAnsi="Times New Roman"/>
          <w:sz w:val="24"/>
          <w:szCs w:val="24"/>
        </w:rPr>
        <w:t xml:space="preserve">Събира се информация за целите на наблюдението на променливостта на отношението на ливъридж. Информацията се докладва само от големи институции. </w:t>
      </w:r>
    </w:p>
    <w:p w14:paraId="16B16093" w14:textId="5ABFB2E9" w:rsidR="000472E7" w:rsidRPr="000B66BC" w:rsidRDefault="005F4574" w:rsidP="000B66BC">
      <w:pPr>
        <w:pStyle w:val="BodyText1"/>
        <w:spacing w:after="240"/>
        <w:ind w:left="357" w:hanging="357"/>
        <w:outlineLvl w:val="1"/>
        <w:rPr>
          <w:rFonts w:ascii="Times New Roman" w:hAnsi="Times New Roman"/>
          <w:b/>
          <w:sz w:val="24"/>
          <w:szCs w:val="24"/>
        </w:rPr>
      </w:pPr>
      <w:bookmarkStart w:id="80" w:name="_Toc58840528"/>
      <w:r>
        <w:rPr>
          <w:rFonts w:ascii="Times New Roman" w:hAnsi="Times New Roman"/>
          <w:b/>
          <w:sz w:val="24"/>
          <w:szCs w:val="24"/>
        </w:rPr>
        <w:t>8.</w:t>
      </w:r>
      <w:r>
        <w:tab/>
      </w:r>
      <w:r>
        <w:rPr>
          <w:rFonts w:ascii="Times New Roman" w:hAnsi="Times New Roman"/>
          <w:b/>
          <w:sz w:val="24"/>
          <w:szCs w:val="24"/>
        </w:rPr>
        <w:t>C 48.01 Променливост на отношението на ливъридж: Средна стойност за периода на докладване</w:t>
      </w:r>
      <w:bookmarkEnd w:id="80"/>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0A7DE43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83A63B"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bCs/>
                <w:sz w:val="24"/>
                <w:szCs w:val="24"/>
              </w:rPr>
              <w:t xml:space="preserve">Ред </w:t>
            </w:r>
          </w:p>
          <w:p w14:paraId="188CF35D"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bCs/>
                <w:sz w:val="24"/>
                <w:szCs w:val="24"/>
              </w:rPr>
              <w:t>и колона</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260E6A9"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szCs w:val="24"/>
              </w:rPr>
              <w:t>Указания</w:t>
            </w:r>
          </w:p>
        </w:tc>
      </w:tr>
      <w:tr w:rsidR="001D7541" w:rsidRPr="00E75BB8" w14:paraId="7E8A2B67"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AA917E1"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6405DCEA"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Средна стойност за периода на докладване — стойност на експозицията към СФЦК</w:t>
            </w:r>
          </w:p>
          <w:p w14:paraId="27CD001D" w14:textId="4B020038"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Институциите докладват средната стойност на дневните стойности за отчетното тримесечие на стойността на експозицията към СФЦК, нетно от изключената част от експозициите към ЦК по сделки, обект на клиринг за клиенти съгласно определението в редове 0010 и 0050 от образец C47.00.</w:t>
            </w:r>
          </w:p>
        </w:tc>
      </w:tr>
      <w:tr w:rsidR="001D7541" w:rsidRPr="00E75BB8" w14:paraId="4C36FCA0"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15B00A94"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1D92827F"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 xml:space="preserve">Средна стойност за периода на докладване — корекции за сделки, осчетоводени като продажба на СФЦК </w:t>
            </w:r>
          </w:p>
          <w:p w14:paraId="53B119C8" w14:textId="5C8C9F92"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szCs w:val="24"/>
              </w:rPr>
              <w:t>Институциите докладват средната стойност на дневните стойности за отчетното тримесечие на корекциите за сделки, осчетоводени като продажба на СФЦК съгласно определението в ред 0230 от образец C47.00.</w:t>
            </w:r>
          </w:p>
        </w:tc>
      </w:tr>
    </w:tbl>
    <w:p w14:paraId="74866056" w14:textId="69DED7CA" w:rsidR="000472E7" w:rsidRPr="000B66BC" w:rsidRDefault="000472E7" w:rsidP="000B66BC">
      <w:pPr>
        <w:pStyle w:val="BodyText1"/>
        <w:spacing w:after="240"/>
        <w:ind w:left="567"/>
        <w:rPr>
          <w:rFonts w:ascii="Times New Roman" w:hAnsi="Times New Roman"/>
          <w:sz w:val="24"/>
          <w:szCs w:val="24"/>
        </w:rPr>
      </w:pPr>
    </w:p>
    <w:p w14:paraId="622AB7C1" w14:textId="0B8B7A60" w:rsidR="001D7541" w:rsidRPr="000B66BC" w:rsidRDefault="005F4574" w:rsidP="000B66BC">
      <w:pPr>
        <w:pStyle w:val="BodyText1"/>
        <w:spacing w:after="240"/>
        <w:ind w:left="357" w:hanging="357"/>
        <w:outlineLvl w:val="1"/>
        <w:rPr>
          <w:rFonts w:ascii="Times New Roman" w:hAnsi="Times New Roman"/>
          <w:b/>
          <w:sz w:val="24"/>
          <w:szCs w:val="24"/>
        </w:rPr>
      </w:pPr>
      <w:bookmarkStart w:id="81" w:name="_Toc58840529"/>
      <w:r>
        <w:rPr>
          <w:rFonts w:ascii="Times New Roman" w:hAnsi="Times New Roman"/>
          <w:b/>
          <w:sz w:val="24"/>
          <w:szCs w:val="24"/>
        </w:rPr>
        <w:t>9.</w:t>
      </w:r>
      <w:r>
        <w:tab/>
      </w:r>
      <w:r>
        <w:rPr>
          <w:rFonts w:ascii="Times New Roman" w:hAnsi="Times New Roman"/>
          <w:b/>
          <w:sz w:val="24"/>
          <w:szCs w:val="24"/>
        </w:rPr>
        <w:t>C 48.02 Променливост на отношението на ливъридж: Дневни стойности за периода на докладване</w:t>
      </w:r>
      <w:bookmarkEnd w:id="81"/>
    </w:p>
    <w:p w14:paraId="1BD85257" w14:textId="38D419A9" w:rsidR="001D7541" w:rsidRPr="000B66BC" w:rsidRDefault="00FA475C" w:rsidP="000B66BC">
      <w:pPr>
        <w:pStyle w:val="BodyText1"/>
        <w:spacing w:after="240" w:line="240" w:lineRule="auto"/>
        <w:ind w:left="720" w:hanging="360"/>
        <w:rPr>
          <w:rFonts w:ascii="Times New Roman" w:hAnsi="Times New Roman"/>
          <w:sz w:val="24"/>
          <w:szCs w:val="24"/>
        </w:rPr>
      </w:pPr>
      <w:r>
        <w:rPr>
          <w:rFonts w:ascii="Times New Roman" w:hAnsi="Times New Roman"/>
          <w:sz w:val="24"/>
          <w:szCs w:val="24"/>
        </w:rPr>
        <w:t>30.</w:t>
      </w:r>
      <w:r>
        <w:tab/>
      </w:r>
      <w:r>
        <w:rPr>
          <w:rFonts w:ascii="Times New Roman" w:hAnsi="Times New Roman"/>
          <w:sz w:val="24"/>
          <w:szCs w:val="24"/>
        </w:rPr>
        <w:t xml:space="preserve">Докладват се дневните стойности за тримесечието. </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8"/>
        <w:gridCol w:w="7420"/>
      </w:tblGrid>
      <w:tr w:rsidR="001D7541" w:rsidRPr="00E75BB8" w14:paraId="2AC7E93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46FA717" w14:textId="77777777" w:rsidR="001D7541" w:rsidRPr="000B66BC" w:rsidRDefault="001D7541" w:rsidP="000B66BC">
            <w:pPr>
              <w:pStyle w:val="BodyText1"/>
              <w:spacing w:after="240"/>
              <w:rPr>
                <w:rFonts w:ascii="Times New Roman" w:hAnsi="Times New Roman"/>
                <w:b/>
                <w:bCs/>
                <w:sz w:val="24"/>
                <w:szCs w:val="24"/>
              </w:rPr>
            </w:pPr>
            <w:r>
              <w:rPr>
                <w:rFonts w:ascii="Times New Roman" w:hAnsi="Times New Roman"/>
                <w:b/>
                <w:bCs/>
                <w:sz w:val="24"/>
                <w:szCs w:val="24"/>
              </w:rPr>
              <w:lastRenderedPageBreak/>
              <w:t xml:space="preserve">Ред </w:t>
            </w:r>
          </w:p>
          <w:p w14:paraId="4A69CF6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
                <w:bCs/>
                <w:sz w:val="24"/>
                <w:szCs w:val="24"/>
              </w:rPr>
              <w:t>и колона</w:t>
            </w:r>
          </w:p>
        </w:tc>
        <w:tc>
          <w:tcPr>
            <w:tcW w:w="74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846AF82" w14:textId="77777777" w:rsidR="001D7541" w:rsidRPr="000B66BC" w:rsidRDefault="00697380" w:rsidP="000B66BC">
            <w:pPr>
              <w:pStyle w:val="BodyText1"/>
              <w:spacing w:after="240" w:line="240" w:lineRule="auto"/>
              <w:rPr>
                <w:rFonts w:ascii="Times New Roman" w:hAnsi="Times New Roman"/>
                <w:b/>
                <w:color w:val="auto"/>
                <w:sz w:val="24"/>
                <w:szCs w:val="24"/>
              </w:rPr>
            </w:pPr>
            <w:r>
              <w:rPr>
                <w:rFonts w:ascii="Times New Roman" w:hAnsi="Times New Roman"/>
                <w:b/>
                <w:sz w:val="24"/>
                <w:szCs w:val="24"/>
              </w:rPr>
              <w:t>Указания</w:t>
            </w:r>
          </w:p>
        </w:tc>
      </w:tr>
      <w:tr w:rsidR="001D7541" w:rsidRPr="00E75BB8" w14:paraId="07392E1F"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5249C3E8"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{0010;0010}</w:t>
            </w:r>
          </w:p>
        </w:tc>
        <w:tc>
          <w:tcPr>
            <w:tcW w:w="7420" w:type="dxa"/>
            <w:tcBorders>
              <w:top w:val="single" w:sz="4" w:space="0" w:color="auto"/>
              <w:left w:val="single" w:sz="4" w:space="0" w:color="auto"/>
              <w:bottom w:val="single" w:sz="4" w:space="0" w:color="auto"/>
              <w:right w:val="single" w:sz="4" w:space="0" w:color="auto"/>
            </w:tcBorders>
            <w:vAlign w:val="center"/>
          </w:tcPr>
          <w:p w14:paraId="1CDDBEFA" w14:textId="7EF262DA"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Референтна дата в рамките на периода на докладване</w:t>
            </w:r>
          </w:p>
          <w:p w14:paraId="11691437" w14:textId="6CB0BDCD" w:rsidR="001D7541" w:rsidRPr="000B66BC" w:rsidRDefault="005E0E4A" w:rsidP="000B66BC">
            <w:pPr>
              <w:pStyle w:val="BodyText1"/>
              <w:spacing w:after="240" w:line="240" w:lineRule="auto"/>
              <w:rPr>
                <w:rFonts w:ascii="Times New Roman" w:hAnsi="Times New Roman"/>
                <w:b/>
                <w:color w:val="auto"/>
                <w:sz w:val="24"/>
                <w:szCs w:val="24"/>
              </w:rPr>
            </w:pPr>
            <w:r>
              <w:rPr>
                <w:rFonts w:ascii="Times New Roman" w:hAnsi="Times New Roman"/>
                <w:color w:val="auto"/>
                <w:sz w:val="24"/>
                <w:szCs w:val="24"/>
              </w:rPr>
              <w:t>Институциите посочват датата, за която се отнася докладваната дневна стойност. Докладва се всеки ден от отчетното тримесечие.</w:t>
            </w:r>
          </w:p>
        </w:tc>
      </w:tr>
      <w:tr w:rsidR="001D7541" w:rsidRPr="00E75BB8" w14:paraId="1251FDD1"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37AAFEDA" w14:textId="77777777" w:rsidR="001D7541" w:rsidRPr="000B66BC" w:rsidRDefault="001D7541" w:rsidP="000B66BC">
            <w:pPr>
              <w:pStyle w:val="BodyText1"/>
              <w:spacing w:after="240"/>
              <w:rPr>
                <w:rFonts w:ascii="Times New Roman" w:hAnsi="Times New Roman"/>
                <w:bCs/>
                <w:color w:val="auto"/>
                <w:sz w:val="24"/>
                <w:szCs w:val="24"/>
              </w:rPr>
            </w:pPr>
            <w:r>
              <w:rPr>
                <w:rFonts w:ascii="Times New Roman" w:hAnsi="Times New Roman"/>
                <w:bCs/>
                <w:color w:val="auto"/>
                <w:sz w:val="24"/>
                <w:szCs w:val="24"/>
              </w:rPr>
              <w:t>{0010;0020}</w:t>
            </w:r>
          </w:p>
        </w:tc>
        <w:tc>
          <w:tcPr>
            <w:tcW w:w="7420" w:type="dxa"/>
            <w:tcBorders>
              <w:top w:val="single" w:sz="4" w:space="0" w:color="auto"/>
              <w:left w:val="single" w:sz="4" w:space="0" w:color="auto"/>
              <w:bottom w:val="single" w:sz="4" w:space="0" w:color="auto"/>
              <w:right w:val="single" w:sz="4" w:space="0" w:color="auto"/>
            </w:tcBorders>
            <w:vAlign w:val="center"/>
          </w:tcPr>
          <w:p w14:paraId="35FFD5C0" w14:textId="77777777" w:rsidR="001D7541" w:rsidRPr="000B66BC" w:rsidRDefault="001D7541"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Стойност на експозицията към СФЦК</w:t>
            </w:r>
          </w:p>
          <w:p w14:paraId="56D707C5" w14:textId="5C4FBC5B" w:rsidR="001D7541"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color w:val="auto"/>
                <w:sz w:val="24"/>
                <w:szCs w:val="24"/>
              </w:rPr>
              <w:t>Институциите докладват дневните стойности за отчетното тримесечие на стойността на експозицията към СФЦК, нетно от изключената част от експозициите към ЦК по сделки, обект на клиринг за клиенти съгласно определението в редове 0010 и 0050 от образец C47.00.</w:t>
            </w:r>
          </w:p>
        </w:tc>
      </w:tr>
      <w:tr w:rsidR="001D7541" w:rsidRPr="00E75BB8" w14:paraId="324DD469" w14:textId="77777777" w:rsidTr="000B66BC">
        <w:trPr>
          <w:trHeight w:val="304"/>
        </w:trPr>
        <w:tc>
          <w:tcPr>
            <w:tcW w:w="1588" w:type="dxa"/>
            <w:tcBorders>
              <w:top w:val="single" w:sz="4" w:space="0" w:color="auto"/>
              <w:left w:val="single" w:sz="4" w:space="0" w:color="auto"/>
              <w:bottom w:val="single" w:sz="4" w:space="0" w:color="auto"/>
              <w:right w:val="single" w:sz="4" w:space="0" w:color="auto"/>
            </w:tcBorders>
          </w:tcPr>
          <w:p w14:paraId="6E82E7F5" w14:textId="77777777" w:rsidR="001D7541" w:rsidRPr="000B66BC" w:rsidRDefault="001D7541" w:rsidP="000B66BC">
            <w:pPr>
              <w:pStyle w:val="BodyText1"/>
              <w:spacing w:after="240"/>
              <w:rPr>
                <w:rFonts w:ascii="Times New Roman" w:hAnsi="Times New Roman"/>
                <w:bCs/>
                <w:sz w:val="24"/>
                <w:szCs w:val="24"/>
              </w:rPr>
            </w:pPr>
            <w:r>
              <w:rPr>
                <w:rFonts w:ascii="Times New Roman" w:hAnsi="Times New Roman"/>
                <w:bCs/>
                <w:sz w:val="24"/>
                <w:szCs w:val="24"/>
              </w:rPr>
              <w:t>{0010;0030}</w:t>
            </w:r>
          </w:p>
        </w:tc>
        <w:tc>
          <w:tcPr>
            <w:tcW w:w="7420" w:type="dxa"/>
            <w:tcBorders>
              <w:top w:val="single" w:sz="4" w:space="0" w:color="auto"/>
              <w:left w:val="single" w:sz="4" w:space="0" w:color="auto"/>
              <w:bottom w:val="single" w:sz="4" w:space="0" w:color="auto"/>
              <w:right w:val="single" w:sz="4" w:space="0" w:color="auto"/>
            </w:tcBorders>
            <w:vAlign w:val="center"/>
          </w:tcPr>
          <w:p w14:paraId="2F098237" w14:textId="77777777" w:rsidR="001D7541" w:rsidRPr="000B66BC" w:rsidRDefault="00640D9C" w:rsidP="000B66BC">
            <w:pPr>
              <w:pStyle w:val="BodyText1"/>
              <w:spacing w:after="240" w:line="240" w:lineRule="auto"/>
              <w:rPr>
                <w:rFonts w:ascii="Times New Roman" w:hAnsi="Times New Roman"/>
                <w:b/>
                <w:color w:val="auto"/>
                <w:sz w:val="24"/>
                <w:szCs w:val="24"/>
              </w:rPr>
            </w:pPr>
            <w:r>
              <w:rPr>
                <w:rFonts w:ascii="Times New Roman" w:hAnsi="Times New Roman"/>
                <w:b/>
                <w:color w:val="auto"/>
                <w:sz w:val="24"/>
                <w:szCs w:val="24"/>
              </w:rPr>
              <w:t>Корекции за сделки, осчетоводени като продажба на СФЦК</w:t>
            </w:r>
          </w:p>
          <w:p w14:paraId="757C080D" w14:textId="4E51B80D" w:rsidR="00926849" w:rsidRPr="000B66BC" w:rsidRDefault="005E0E4A" w:rsidP="000B66BC">
            <w:pPr>
              <w:pStyle w:val="BodyText1"/>
              <w:spacing w:after="240" w:line="240" w:lineRule="auto"/>
              <w:rPr>
                <w:rFonts w:ascii="Times New Roman" w:hAnsi="Times New Roman"/>
                <w:color w:val="auto"/>
                <w:sz w:val="24"/>
                <w:szCs w:val="24"/>
                <w:u w:val="single"/>
              </w:rPr>
            </w:pPr>
            <w:r>
              <w:rPr>
                <w:rFonts w:ascii="Times New Roman" w:hAnsi="Times New Roman"/>
                <w:sz w:val="24"/>
                <w:szCs w:val="24"/>
              </w:rPr>
              <w:t>Институциите докладват дневните стойности за отчетното тримесечие на корекциите за сделки, осчетоводени като продажба на СФЦК съгласно определението в ред 0230 от образец C 47.00.</w:t>
            </w:r>
          </w:p>
        </w:tc>
      </w:tr>
    </w:tbl>
    <w:p w14:paraId="49B21AC1" w14:textId="77777777" w:rsidR="0009615C" w:rsidRPr="000B66BC" w:rsidRDefault="0009615C" w:rsidP="000B66BC">
      <w:pPr>
        <w:pStyle w:val="BodyText1"/>
        <w:spacing w:after="240"/>
        <w:rPr>
          <w:rFonts w:ascii="Times New Roman" w:hAnsi="Times New Roman"/>
          <w:sz w:val="24"/>
          <w:szCs w:val="24"/>
        </w:rPr>
      </w:pPr>
    </w:p>
    <w:sectPr w:rsidR="0009615C" w:rsidRPr="000B66BC" w:rsidSect="005315D3">
      <w:footerReference w:type="default" r:id="rId16"/>
      <w:headerReference w:type="first" r:id="rId17"/>
      <w:footerReference w:type="first" r:id="rId18"/>
      <w:pgSz w:w="11906" w:h="16838" w:code="9"/>
      <w:pgMar w:top="1522" w:right="1418" w:bottom="1560" w:left="1418" w:header="851" w:footer="141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937872" w14:textId="77777777" w:rsidR="00D11CF8" w:rsidRDefault="00D11CF8">
      <w:r>
        <w:separator/>
      </w:r>
    </w:p>
  </w:endnote>
  <w:endnote w:type="continuationSeparator" w:id="0">
    <w:p w14:paraId="5FA72A43" w14:textId="77777777" w:rsidR="00D11CF8" w:rsidRDefault="00D11CF8">
      <w:r>
        <w:continuationSeparator/>
      </w:r>
    </w:p>
  </w:endnote>
  <w:endnote w:type="continuationNotice" w:id="1">
    <w:p w14:paraId="37556CA5" w14:textId="77777777" w:rsidR="00D11CF8" w:rsidRDefault="00D11C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4BDAE" w14:textId="77777777" w:rsidR="00D11CF8" w:rsidRDefault="00D11C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C160F" w14:textId="2B225E98" w:rsidR="00D11CF8" w:rsidRPr="00A772B4" w:rsidRDefault="00D11CF8">
    <w:pPr>
      <w:pStyle w:val="Footer"/>
      <w:jc w:val="right"/>
      <w:rPr>
        <w:rFonts w:ascii="Times New Roman" w:hAnsi="Times New Roman"/>
      </w:rPr>
    </w:pPr>
    <w:r>
      <w:rPr>
        <w:rFonts w:ascii="Times New Roman" w:hAnsi="Times New Roman"/>
      </w:rPr>
      <w:fldChar w:fldCharType="begin"/>
    </w:r>
    <w:r>
      <w:rPr>
        <w:rFonts w:ascii="Times New Roman" w:hAnsi="Times New Roman"/>
      </w:rPr>
      <w:instrText xml:space="preserve"> PAGE   \* MERGEFORMAT </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p w14:paraId="2D971917" w14:textId="77777777" w:rsidR="00D11CF8" w:rsidRDefault="00D11CF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305317"/>
      <w:docPartObj>
        <w:docPartGallery w:val="Page Numbers (Bottom of Page)"/>
        <w:docPartUnique/>
      </w:docPartObj>
    </w:sdtPr>
    <w:sdtEndPr>
      <w:rPr>
        <w:noProof/>
      </w:rPr>
    </w:sdtEndPr>
    <w:sdtContent>
      <w:p w14:paraId="5677655A" w14:textId="5D30B71C" w:rsidR="00D11CF8" w:rsidRDefault="00D11CF8">
        <w:pPr>
          <w:pStyle w:val="Footer"/>
          <w:jc w:val="center"/>
        </w:pPr>
        <w:r>
          <w:fldChar w:fldCharType="begin"/>
        </w:r>
        <w:r>
          <w:instrText xml:space="preserve"> PAGE   \* MERGEFORMAT </w:instrText>
        </w:r>
        <w:r>
          <w:fldChar w:fldCharType="separate"/>
        </w:r>
        <w:r w:rsidR="00692F00">
          <w:rPr>
            <w:noProof/>
          </w:rPr>
          <w:t>1</w:t>
        </w:r>
        <w:r>
          <w:fldChar w:fldCharType="end"/>
        </w:r>
      </w:p>
    </w:sdtContent>
  </w:sdt>
  <w:p w14:paraId="3D7804EA" w14:textId="77777777" w:rsidR="00D11CF8" w:rsidRDefault="00D11CF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rPr>
      <w:id w:val="17201704"/>
      <w:docPartObj>
        <w:docPartGallery w:val="Page Numbers (Bottom of Page)"/>
        <w:docPartUnique/>
      </w:docPartObj>
    </w:sdtPr>
    <w:sdtEndPr/>
    <w:sdtContent>
      <w:p w14:paraId="3FFD22B5" w14:textId="4A1985BF" w:rsidR="00D11CF8" w:rsidRPr="009A78F0" w:rsidRDefault="00D11CF8" w:rsidP="009A78F0">
        <w:pPr>
          <w:pStyle w:val="Footer"/>
          <w:spacing w:line="240" w:lineRule="auto"/>
          <w:jc w:val="center"/>
          <w:rPr>
            <w:rFonts w:ascii="Times New Roman" w:hAnsi="Times New Roman"/>
            <w:sz w:val="20"/>
          </w:rPr>
        </w:pPr>
        <w:r>
          <w:rPr>
            <w:rFonts w:ascii="Times New Roman" w:hAnsi="Times New Roman"/>
            <w:sz w:val="20"/>
          </w:rPr>
          <w:fldChar w:fldCharType="begin"/>
        </w:r>
        <w:r>
          <w:rPr>
            <w:rFonts w:ascii="Times New Roman" w:hAnsi="Times New Roman"/>
            <w:sz w:val="20"/>
          </w:rPr>
          <w:instrText xml:space="preserve"> PAGE   \* MERGEFORMAT </w:instrText>
        </w:r>
        <w:r>
          <w:rPr>
            <w:rFonts w:ascii="Times New Roman" w:hAnsi="Times New Roman"/>
            <w:sz w:val="20"/>
          </w:rPr>
          <w:fldChar w:fldCharType="separate"/>
        </w:r>
        <w:r w:rsidR="00692F00">
          <w:rPr>
            <w:rFonts w:ascii="Times New Roman" w:hAnsi="Times New Roman"/>
            <w:noProof/>
            <w:sz w:val="20"/>
          </w:rPr>
          <w:t>21</w:t>
        </w:r>
        <w:r>
          <w:rPr>
            <w:rFonts w:ascii="Times New Roman" w:hAnsi="Times New Roman"/>
            <w:sz w:val="20"/>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01700"/>
      <w:docPartObj>
        <w:docPartGallery w:val="Page Numbers (Bottom of Page)"/>
        <w:docPartUnique/>
      </w:docPartObj>
    </w:sdtPr>
    <w:sdtEndPr/>
    <w:sdtContent>
      <w:p w14:paraId="58D08035" w14:textId="77777777" w:rsidR="00D11CF8" w:rsidRDefault="00D11CF8">
        <w:pPr>
          <w:pStyle w:val="Footer"/>
          <w:jc w:val="right"/>
        </w:pPr>
        <w:r>
          <w:fldChar w:fldCharType="begin"/>
        </w:r>
        <w:r>
          <w:instrText xml:space="preserve"> PAGE   \* MERGEFORMAT </w:instrText>
        </w:r>
        <w:r>
          <w:fldChar w:fldCharType="separate"/>
        </w:r>
        <w:r>
          <w:t>44</w:t>
        </w:r>
        <w:r>
          <w:fldChar w:fldCharType="end"/>
        </w:r>
      </w:p>
    </w:sdtContent>
  </w:sdt>
  <w:p w14:paraId="51D344E0" w14:textId="77777777" w:rsidR="00D11CF8" w:rsidRDefault="00D11C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8B045" w14:textId="77777777" w:rsidR="00D11CF8" w:rsidRPr="004D223F" w:rsidRDefault="00D11CF8" w:rsidP="00C7701D">
      <w:r>
        <w:continuationSeparator/>
      </w:r>
    </w:p>
  </w:footnote>
  <w:footnote w:type="continuationSeparator" w:id="0">
    <w:p w14:paraId="7AD75631" w14:textId="77777777" w:rsidR="00D11CF8" w:rsidRDefault="00D11CF8">
      <w:r>
        <w:continuationSeparator/>
      </w:r>
    </w:p>
  </w:footnote>
  <w:footnote w:type="continuationNotice" w:id="1">
    <w:p w14:paraId="0E3C9440" w14:textId="77777777" w:rsidR="00D11CF8" w:rsidRDefault="00D11CF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359B9" w14:textId="77777777" w:rsidR="00D11CF8" w:rsidRDefault="00D11C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F71AD" w14:textId="77777777" w:rsidR="00D11CF8" w:rsidRPr="00B93D0F" w:rsidRDefault="00D11CF8" w:rsidP="00B93D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32A18" w14:textId="6DF5D568" w:rsidR="00D11CF8" w:rsidRPr="000B66BC" w:rsidRDefault="00D11CF8" w:rsidP="000B66B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B18FA" w14:textId="77777777" w:rsidR="00D11CF8" w:rsidRDefault="00D11CF8">
    <w:pPr>
      <w:pStyle w:val="Header"/>
      <w:tabs>
        <w:tab w:val="clear" w:pos="8306"/>
        <w:tab w:val="right" w:pos="9072"/>
      </w:tabs>
      <w:jc w:val="right"/>
      <w:rPr>
        <w:noProof/>
      </w:rPr>
    </w:pPr>
    <w:r>
      <w:rPr>
        <w:noProof/>
        <w:lang w:eastAsia="bg-BG"/>
      </w:rPr>
      <mc:AlternateContent>
        <mc:Choice Requires="wps">
          <w:drawing>
            <wp:anchor distT="4294967294" distB="4294967294" distL="114300" distR="114300" simplePos="0" relativeHeight="251695616" behindDoc="1" locked="1" layoutInCell="0" allowOverlap="1" wp14:anchorId="724668FC" wp14:editId="123690D9">
              <wp:simplePos x="0" y="0"/>
              <wp:positionH relativeFrom="page">
                <wp:posOffset>896620</wp:posOffset>
              </wp:positionH>
              <wp:positionV relativeFrom="page">
                <wp:posOffset>542289</wp:posOffset>
              </wp:positionV>
              <wp:extent cx="5760085" cy="0"/>
              <wp:effectExtent l="0" t="0" r="12065" b="19050"/>
              <wp:wrapNone/>
              <wp:docPr id="1"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6008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3F08CA3" id="_x0000_t32" coordsize="21600,21600" o:spt="32" o:oned="t" path="m,l21600,21600e" filled="f">
              <v:path arrowok="t" fillok="f" o:connecttype="none"/>
              <o:lock v:ext="edit" shapetype="t"/>
            </v:shapetype>
            <v:shape id="AutoShape 29" o:spid="_x0000_s1026" type="#_x0000_t32" style="position:absolute;margin-left:70.6pt;margin-top:42.7pt;width:453.55pt;height:0;flip:x;z-index:-251620864;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" o:allowincell="f" strokecolor="#48748f [3204]">
              <w10:wrap anchorx="page" anchory="page"/>
              <w10:anchorlock/>
            </v:shape>
          </w:pict>
        </mc:Fallback>
      </mc:AlternateContent>
    </w:r>
  </w:p>
  <w:p w14:paraId="530A286E" w14:textId="77777777" w:rsidR="00D11CF8" w:rsidRDefault="00D11CF8">
    <w:pPr>
      <w:pStyle w:val="Header"/>
      <w:tabs>
        <w:tab w:val="clear" w:pos="8306"/>
        <w:tab w:val="right" w:pos="9072"/>
      </w:tabs>
      <w:jc w:val="right"/>
      <w:rPr>
        <w:rFonts w:ascii="Verdana" w:hAnsi="Verdana"/>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2CE6"/>
    <w:multiLevelType w:val="hybridMultilevel"/>
    <w:tmpl w:val="3CFA92B4"/>
    <w:lvl w:ilvl="0" w:tplc="98C2D1E8">
      <w:start w:val="1"/>
      <w:numFmt w:val="decimal"/>
      <w:pStyle w:val="Numberedparagraphs"/>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szCs w:val="28"/>
      </w:rPr>
    </w:lvl>
    <w:lvl w:ilvl="1" w:tplc="FBC0B1D0" w:tentative="1">
      <w:start w:val="1"/>
      <w:numFmt w:val="bullet"/>
      <w:lvlText w:val="o"/>
      <w:lvlJc w:val="left"/>
      <w:pPr>
        <w:tabs>
          <w:tab w:val="num" w:pos="1440"/>
        </w:tabs>
        <w:ind w:left="1440" w:hanging="360"/>
      </w:pPr>
      <w:rPr>
        <w:rFonts w:ascii="Courier New" w:hAnsi="Courier New" w:cs="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cs="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cs="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5653A"/>
    <w:multiLevelType w:val="hybridMultilevel"/>
    <w:tmpl w:val="3A6CBD14"/>
    <w:lvl w:ilvl="0" w:tplc="52202DE0">
      <w:start w:val="1"/>
      <w:numFmt w:val="lowerRoman"/>
      <w:lvlText w:val="%1)"/>
      <w:lvlJc w:val="left"/>
      <w:pPr>
        <w:ind w:left="1080" w:hanging="72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 w15:restartNumberingAfterBreak="0">
    <w:nsid w:val="08FA148C"/>
    <w:multiLevelType w:val="hybridMultilevel"/>
    <w:tmpl w:val="471C8442"/>
    <w:lvl w:ilvl="0" w:tplc="5B788052">
      <w:start w:val="1"/>
      <w:numFmt w:val="bullet"/>
      <w:pStyle w:val="ListBullet"/>
      <w:lvlText w:val=""/>
      <w:lvlJc w:val="left"/>
      <w:pPr>
        <w:ind w:left="4904" w:hanging="360"/>
      </w:pPr>
      <w:rPr>
        <w:rFonts w:ascii="Symbol" w:hAnsi="Symbol" w:hint="default"/>
        <w:b w:val="0"/>
        <w:i w:val="0"/>
        <w:caps w:val="0"/>
        <w:strike w:val="0"/>
        <w:dstrike w:val="0"/>
        <w:vanish w:val="0"/>
        <w:color w:val="48748F" w:themeColor="accent1"/>
        <w:sz w:val="26"/>
        <w:vertAlign w:val="baseline"/>
      </w:rPr>
    </w:lvl>
    <w:lvl w:ilvl="1" w:tplc="A6848682">
      <w:start w:val="1"/>
      <w:numFmt w:val="bullet"/>
      <w:lvlText w:val="–"/>
      <w:lvlJc w:val="left"/>
      <w:pPr>
        <w:tabs>
          <w:tab w:val="num" w:pos="8819"/>
        </w:tabs>
        <w:ind w:left="8771" w:hanging="312"/>
      </w:pPr>
      <w:rPr>
        <w:rFonts w:hint="default"/>
      </w:rPr>
    </w:lvl>
    <w:lvl w:ilvl="2" w:tplc="993055DA">
      <w:start w:val="1"/>
      <w:numFmt w:val="bullet"/>
      <w:lvlText w:val=""/>
      <w:lvlJc w:val="left"/>
      <w:pPr>
        <w:tabs>
          <w:tab w:val="num" w:pos="9539"/>
        </w:tabs>
        <w:ind w:left="9539" w:hanging="360"/>
      </w:pPr>
      <w:rPr>
        <w:rFonts w:ascii="Wingdings" w:hAnsi="Wingdings" w:hint="default"/>
      </w:rPr>
    </w:lvl>
    <w:lvl w:ilvl="3" w:tplc="22C2BE88">
      <w:start w:val="1"/>
      <w:numFmt w:val="bullet"/>
      <w:lvlText w:val=""/>
      <w:lvlJc w:val="left"/>
      <w:pPr>
        <w:tabs>
          <w:tab w:val="num" w:pos="10259"/>
        </w:tabs>
        <w:ind w:left="10259" w:hanging="360"/>
      </w:pPr>
      <w:rPr>
        <w:rFonts w:ascii="Symbol" w:hAnsi="Symbol" w:hint="default"/>
      </w:rPr>
    </w:lvl>
    <w:lvl w:ilvl="4" w:tplc="FD0073C0">
      <w:start w:val="1"/>
      <w:numFmt w:val="bullet"/>
      <w:lvlText w:val="o"/>
      <w:lvlJc w:val="left"/>
      <w:pPr>
        <w:tabs>
          <w:tab w:val="num" w:pos="10979"/>
        </w:tabs>
        <w:ind w:left="10979" w:hanging="360"/>
      </w:pPr>
      <w:rPr>
        <w:rFonts w:ascii="Courier New" w:hAnsi="Courier New" w:hint="default"/>
      </w:rPr>
    </w:lvl>
    <w:lvl w:ilvl="5" w:tplc="FBD6D0BE">
      <w:start w:val="1"/>
      <w:numFmt w:val="bullet"/>
      <w:lvlText w:val=""/>
      <w:lvlJc w:val="left"/>
      <w:pPr>
        <w:tabs>
          <w:tab w:val="num" w:pos="11699"/>
        </w:tabs>
        <w:ind w:left="11699" w:hanging="360"/>
      </w:pPr>
      <w:rPr>
        <w:rFonts w:ascii="Wingdings" w:hAnsi="Wingdings" w:hint="default"/>
      </w:rPr>
    </w:lvl>
    <w:lvl w:ilvl="6" w:tplc="C00E4D52">
      <w:start w:val="1"/>
      <w:numFmt w:val="bullet"/>
      <w:lvlText w:val=""/>
      <w:lvlJc w:val="left"/>
      <w:pPr>
        <w:tabs>
          <w:tab w:val="num" w:pos="12419"/>
        </w:tabs>
        <w:ind w:left="12419" w:hanging="360"/>
      </w:pPr>
      <w:rPr>
        <w:rFonts w:ascii="Symbol" w:hAnsi="Symbol" w:hint="default"/>
      </w:rPr>
    </w:lvl>
    <w:lvl w:ilvl="7" w:tplc="CE60E00E">
      <w:start w:val="1"/>
      <w:numFmt w:val="bullet"/>
      <w:lvlText w:val="o"/>
      <w:lvlJc w:val="left"/>
      <w:pPr>
        <w:tabs>
          <w:tab w:val="num" w:pos="13139"/>
        </w:tabs>
        <w:ind w:left="13139" w:hanging="360"/>
      </w:pPr>
      <w:rPr>
        <w:rFonts w:ascii="Courier New" w:hAnsi="Courier New" w:hint="default"/>
      </w:rPr>
    </w:lvl>
    <w:lvl w:ilvl="8" w:tplc="FA3C6548" w:tentative="1">
      <w:start w:val="1"/>
      <w:numFmt w:val="bullet"/>
      <w:lvlText w:val=""/>
      <w:lvlJc w:val="left"/>
      <w:pPr>
        <w:tabs>
          <w:tab w:val="num" w:pos="13859"/>
        </w:tabs>
        <w:ind w:left="13859" w:hanging="360"/>
      </w:pPr>
      <w:rPr>
        <w:rFonts w:ascii="Wingdings" w:hAnsi="Wingdings" w:hint="default"/>
      </w:rPr>
    </w:lvl>
  </w:abstractNum>
  <w:abstractNum w:abstractNumId="4" w15:restartNumberingAfterBreak="0">
    <w:nsid w:val="0F69728D"/>
    <w:multiLevelType w:val="hybridMultilevel"/>
    <w:tmpl w:val="CE6A6630"/>
    <w:lvl w:ilvl="0" w:tplc="F3F0C370">
      <w:start w:val="12"/>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6" w15:restartNumberingAfterBreak="0">
    <w:nsid w:val="15A47C61"/>
    <w:multiLevelType w:val="hybridMultilevel"/>
    <w:tmpl w:val="32DA3AF4"/>
    <w:lvl w:ilvl="0" w:tplc="E834CCA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361"/>
        </w:tabs>
        <w:ind w:left="1361" w:hanging="567"/>
      </w:pPr>
      <w:rPr>
        <w:rFonts w:hint="default"/>
      </w:rPr>
    </w:lvl>
    <w:lvl w:ilvl="3">
      <w:start w:val="1"/>
      <w:numFmt w:val="decimal"/>
      <w:lvlText w:val="%1.%2.%3.%4"/>
      <w:lvlJc w:val="left"/>
      <w:pPr>
        <w:tabs>
          <w:tab w:val="num" w:pos="2098"/>
        </w:tabs>
        <w:ind w:left="2098" w:hanging="737"/>
      </w:pPr>
      <w:rPr>
        <w:rFonts w:hint="default"/>
      </w:rPr>
    </w:lvl>
    <w:lvl w:ilvl="4">
      <w:start w:val="1"/>
      <w:numFmt w:val="decimal"/>
      <w:lvlText w:val="%1.%2.%3.%4.%5"/>
      <w:lvlJc w:val="left"/>
      <w:pPr>
        <w:tabs>
          <w:tab w:val="num" w:pos="3062"/>
        </w:tabs>
        <w:ind w:left="3062" w:hanging="964"/>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1ECB0E46"/>
    <w:multiLevelType w:val="multilevel"/>
    <w:tmpl w:val="34364CAC"/>
    <w:lvl w:ilvl="0">
      <w:start w:val="1"/>
      <w:numFmt w:val="decimal"/>
      <w:pStyle w:val="Numberedheadinglevel1"/>
      <w:lvlText w:val="%1."/>
      <w:lvlJc w:val="left"/>
      <w:pPr>
        <w:ind w:left="567" w:hanging="567"/>
      </w:pPr>
      <w:rPr>
        <w:rFonts w:ascii="Arial" w:hAnsi="Arial" w:hint="default"/>
        <w:b w:val="0"/>
        <w:i w:val="0"/>
        <w:caps w:val="0"/>
        <w:strike w:val="0"/>
        <w:dstrike w:val="0"/>
        <w:vanish w:val="0"/>
        <w:color w:val="48748F" w:themeColor="accent1"/>
        <w:sz w:val="28"/>
        <w:u w:val="none"/>
        <w:vertAlign w:val="baseline"/>
      </w:rPr>
    </w:lvl>
    <w:lvl w:ilvl="1">
      <w:start w:val="1"/>
      <w:numFmt w:val="decimal"/>
      <w:pStyle w:val="Numberedheadinglevel2"/>
      <w:lvlText w:val="%1.%2"/>
      <w:lvlJc w:val="left"/>
      <w:pPr>
        <w:tabs>
          <w:tab w:val="num" w:pos="227"/>
        </w:tabs>
        <w:ind w:left="567" w:hanging="567"/>
      </w:pPr>
      <w:rPr>
        <w:rFonts w:ascii="Arial" w:hAnsi="Arial" w:hint="default"/>
        <w:b w:val="0"/>
        <w:i w:val="0"/>
        <w:caps w:val="0"/>
        <w:strike w:val="0"/>
        <w:dstrike w:val="0"/>
        <w:vanish w:val="0"/>
        <w:color w:val="48748F" w:themeColor="accent1"/>
        <w:sz w:val="24"/>
        <w:u w:val="none"/>
        <w:vertAlign w:val="baseline"/>
      </w:rPr>
    </w:lvl>
    <w:lvl w:ilvl="2">
      <w:start w:val="1"/>
      <w:numFmt w:val="decimal"/>
      <w:pStyle w:val="Numberedheadinglevel3"/>
      <w:lvlText w:val="%1.%2.%3"/>
      <w:lvlJc w:val="left"/>
      <w:pPr>
        <w:ind w:left="567" w:hanging="567"/>
      </w:pPr>
      <w:rPr>
        <w:rFonts w:ascii="Arial" w:hAnsi="Arial" w:hint="default"/>
        <w:b w:val="0"/>
        <w:i w:val="0"/>
        <w:caps w:val="0"/>
        <w:strike w:val="0"/>
        <w:dstrike w:val="0"/>
        <w:vanish w:val="0"/>
        <w:color w:val="48748F" w:themeColor="accent1"/>
        <w:sz w:val="20"/>
        <w:u w:val="none"/>
        <w:vertAlign w:val="baseline"/>
      </w:rPr>
    </w:lvl>
    <w:lvl w:ilvl="3">
      <w:start w:val="1"/>
      <w:numFmt w:val="decimal"/>
      <w:lvlText w:val="(%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9" w15:restartNumberingAfterBreak="0">
    <w:nsid w:val="1F1B7365"/>
    <w:multiLevelType w:val="hybridMultilevel"/>
    <w:tmpl w:val="60F28E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1E507AF"/>
    <w:multiLevelType w:val="hybridMultilevel"/>
    <w:tmpl w:val="A4CA4E0C"/>
    <w:lvl w:ilvl="0" w:tplc="8DD6C53E">
      <w:start w:val="1"/>
      <w:numFmt w:val="bullet"/>
      <w:pStyle w:val="Bullet2"/>
      <w:lvlText w:val="■"/>
      <w:lvlJc w:val="left"/>
      <w:pPr>
        <w:ind w:left="947" w:hanging="360"/>
      </w:pPr>
      <w:rPr>
        <w:rFonts w:ascii="Arial" w:hAnsi="Arial" w:hint="default"/>
        <w:b w:val="0"/>
        <w:i w:val="0"/>
        <w:caps w:val="0"/>
        <w:strike w:val="0"/>
        <w:dstrike w:val="0"/>
        <w:vanish w:val="0"/>
        <w:color w:val="48748F" w:themeColor="accent1"/>
        <w:sz w:val="20"/>
        <w:vertAlign w:val="baseline"/>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1" w15:restartNumberingAfterBreak="0">
    <w:nsid w:val="25C4782E"/>
    <w:multiLevelType w:val="hybridMultilevel"/>
    <w:tmpl w:val="E9340D3E"/>
    <w:lvl w:ilvl="0" w:tplc="69B0F6B4">
      <w:start w:val="1"/>
      <w:numFmt w:val="decimal"/>
      <w:lvlText w:val="%1."/>
      <w:lvlJc w:val="left"/>
      <w:pPr>
        <w:ind w:left="107" w:hanging="432"/>
      </w:pPr>
      <w:rPr>
        <w:rFonts w:ascii="Times New Roman" w:eastAsia="Cambria" w:hAnsi="Times New Roman" w:cs="Times New Roman" w:hint="default"/>
        <w:w w:val="99"/>
        <w:sz w:val="24"/>
        <w:szCs w:val="24"/>
        <w:lang w:val="en-US" w:eastAsia="en-US" w:bidi="en-US"/>
      </w:rPr>
    </w:lvl>
    <w:lvl w:ilvl="1" w:tplc="769CDF62">
      <w:numFmt w:val="bullet"/>
      <w:lvlText w:val="•"/>
      <w:lvlJc w:val="left"/>
      <w:pPr>
        <w:ind w:left="1032" w:hanging="432"/>
      </w:pPr>
      <w:rPr>
        <w:lang w:val="en-US" w:eastAsia="en-US" w:bidi="en-US"/>
      </w:rPr>
    </w:lvl>
    <w:lvl w:ilvl="2" w:tplc="6D28036C">
      <w:numFmt w:val="bullet"/>
      <w:lvlText w:val="•"/>
      <w:lvlJc w:val="left"/>
      <w:pPr>
        <w:ind w:left="1965" w:hanging="432"/>
      </w:pPr>
      <w:rPr>
        <w:lang w:val="en-US" w:eastAsia="en-US" w:bidi="en-US"/>
      </w:rPr>
    </w:lvl>
    <w:lvl w:ilvl="3" w:tplc="A2FC0E62">
      <w:numFmt w:val="bullet"/>
      <w:lvlText w:val="•"/>
      <w:lvlJc w:val="left"/>
      <w:pPr>
        <w:ind w:left="2897" w:hanging="432"/>
      </w:pPr>
      <w:rPr>
        <w:lang w:val="en-US" w:eastAsia="en-US" w:bidi="en-US"/>
      </w:rPr>
    </w:lvl>
    <w:lvl w:ilvl="4" w:tplc="421C7C0E">
      <w:numFmt w:val="bullet"/>
      <w:lvlText w:val="•"/>
      <w:lvlJc w:val="left"/>
      <w:pPr>
        <w:ind w:left="3830" w:hanging="432"/>
      </w:pPr>
      <w:rPr>
        <w:lang w:val="en-US" w:eastAsia="en-US" w:bidi="en-US"/>
      </w:rPr>
    </w:lvl>
    <w:lvl w:ilvl="5" w:tplc="9D64ABBC">
      <w:numFmt w:val="bullet"/>
      <w:lvlText w:val="•"/>
      <w:lvlJc w:val="left"/>
      <w:pPr>
        <w:ind w:left="4762" w:hanging="432"/>
      </w:pPr>
      <w:rPr>
        <w:lang w:val="en-US" w:eastAsia="en-US" w:bidi="en-US"/>
      </w:rPr>
    </w:lvl>
    <w:lvl w:ilvl="6" w:tplc="E174AD06">
      <w:numFmt w:val="bullet"/>
      <w:lvlText w:val="•"/>
      <w:lvlJc w:val="left"/>
      <w:pPr>
        <w:ind w:left="5695" w:hanging="432"/>
      </w:pPr>
      <w:rPr>
        <w:lang w:val="en-US" w:eastAsia="en-US" w:bidi="en-US"/>
      </w:rPr>
    </w:lvl>
    <w:lvl w:ilvl="7" w:tplc="6A526752">
      <w:numFmt w:val="bullet"/>
      <w:lvlText w:val="•"/>
      <w:lvlJc w:val="left"/>
      <w:pPr>
        <w:ind w:left="6627" w:hanging="432"/>
      </w:pPr>
      <w:rPr>
        <w:lang w:val="en-US" w:eastAsia="en-US" w:bidi="en-US"/>
      </w:rPr>
    </w:lvl>
    <w:lvl w:ilvl="8" w:tplc="203ACF58">
      <w:numFmt w:val="bullet"/>
      <w:lvlText w:val="•"/>
      <w:lvlJc w:val="left"/>
      <w:pPr>
        <w:ind w:left="7560" w:hanging="432"/>
      </w:pPr>
      <w:rPr>
        <w:lang w:val="en-US" w:eastAsia="en-US" w:bidi="en-US"/>
      </w:rPr>
    </w:lvl>
  </w:abstractNum>
  <w:abstractNum w:abstractNumId="12" w15:restartNumberingAfterBreak="0">
    <w:nsid w:val="27AC3B14"/>
    <w:multiLevelType w:val="hybridMultilevel"/>
    <w:tmpl w:val="AB0C77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FF0EEA"/>
    <w:multiLevelType w:val="hybridMultilevel"/>
    <w:tmpl w:val="859EA912"/>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566497"/>
    <w:multiLevelType w:val="hybridMultilevel"/>
    <w:tmpl w:val="8A1E4BD4"/>
    <w:lvl w:ilvl="0" w:tplc="0809001B">
      <w:start w:val="1"/>
      <w:numFmt w:val="lowerRoman"/>
      <w:lvlText w:val="%1."/>
      <w:lvlJc w:val="right"/>
      <w:pPr>
        <w:ind w:left="827" w:hanging="360"/>
      </w:pPr>
    </w:lvl>
    <w:lvl w:ilvl="1" w:tplc="08090019">
      <w:start w:val="1"/>
      <w:numFmt w:val="lowerLetter"/>
      <w:lvlText w:val="%2."/>
      <w:lvlJc w:val="left"/>
      <w:pPr>
        <w:ind w:left="1547" w:hanging="360"/>
      </w:pPr>
    </w:lvl>
    <w:lvl w:ilvl="2" w:tplc="0809001B">
      <w:start w:val="1"/>
      <w:numFmt w:val="lowerRoman"/>
      <w:lvlText w:val="%3."/>
      <w:lvlJc w:val="right"/>
      <w:pPr>
        <w:ind w:left="2267" w:hanging="180"/>
      </w:pPr>
    </w:lvl>
    <w:lvl w:ilvl="3" w:tplc="0809000F">
      <w:start w:val="1"/>
      <w:numFmt w:val="decimal"/>
      <w:lvlText w:val="%4."/>
      <w:lvlJc w:val="left"/>
      <w:pPr>
        <w:ind w:left="2987" w:hanging="360"/>
      </w:pPr>
    </w:lvl>
    <w:lvl w:ilvl="4" w:tplc="08090019">
      <w:start w:val="1"/>
      <w:numFmt w:val="lowerLetter"/>
      <w:lvlText w:val="%5."/>
      <w:lvlJc w:val="left"/>
      <w:pPr>
        <w:ind w:left="3707" w:hanging="360"/>
      </w:pPr>
    </w:lvl>
    <w:lvl w:ilvl="5" w:tplc="0809001B">
      <w:start w:val="1"/>
      <w:numFmt w:val="lowerRoman"/>
      <w:lvlText w:val="%6."/>
      <w:lvlJc w:val="right"/>
      <w:pPr>
        <w:ind w:left="4427" w:hanging="180"/>
      </w:pPr>
    </w:lvl>
    <w:lvl w:ilvl="6" w:tplc="0809000F">
      <w:start w:val="1"/>
      <w:numFmt w:val="decimal"/>
      <w:lvlText w:val="%7."/>
      <w:lvlJc w:val="left"/>
      <w:pPr>
        <w:ind w:left="5147" w:hanging="360"/>
      </w:pPr>
    </w:lvl>
    <w:lvl w:ilvl="7" w:tplc="08090019">
      <w:start w:val="1"/>
      <w:numFmt w:val="lowerLetter"/>
      <w:lvlText w:val="%8."/>
      <w:lvlJc w:val="left"/>
      <w:pPr>
        <w:ind w:left="5867" w:hanging="360"/>
      </w:pPr>
    </w:lvl>
    <w:lvl w:ilvl="8" w:tplc="0809001B">
      <w:start w:val="1"/>
      <w:numFmt w:val="lowerRoman"/>
      <w:lvlText w:val="%9."/>
      <w:lvlJc w:val="right"/>
      <w:pPr>
        <w:ind w:left="6587" w:hanging="180"/>
      </w:pPr>
    </w:lvl>
  </w:abstractNum>
  <w:abstractNum w:abstractNumId="15"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2E1E79A8"/>
    <w:multiLevelType w:val="multilevel"/>
    <w:tmpl w:val="DE889F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3057CB8"/>
    <w:multiLevelType w:val="hybridMultilevel"/>
    <w:tmpl w:val="2698E4A4"/>
    <w:lvl w:ilvl="0" w:tplc="8FD0AD34">
      <w:start w:val="1"/>
      <w:numFmt w:val="decimal"/>
      <w:pStyle w:val="InstructionsText2"/>
      <w:lvlText w:val="%1."/>
      <w:lvlJc w:val="left"/>
      <w:pPr>
        <w:ind w:left="786" w:hanging="360"/>
      </w:pPr>
      <w:rPr>
        <w:rFonts w:ascii="Times New Roman" w:hAnsi="Times New Roman" w:cs="Times New Roman" w:hint="default"/>
        <w:b w:val="0"/>
      </w:rPr>
    </w:lvl>
    <w:lvl w:ilvl="1" w:tplc="1FC8A872">
      <w:start w:val="1"/>
      <w:numFmt w:val="lowerLetter"/>
      <w:lvlText w:val="%2."/>
      <w:lvlJc w:val="left"/>
      <w:pPr>
        <w:ind w:left="1440" w:hanging="360"/>
      </w:pPr>
    </w:lvl>
    <w:lvl w:ilvl="2" w:tplc="CBAE5A34" w:tentative="1">
      <w:start w:val="1"/>
      <w:numFmt w:val="lowerRoman"/>
      <w:lvlText w:val="%3."/>
      <w:lvlJc w:val="right"/>
      <w:pPr>
        <w:ind w:left="2160" w:hanging="180"/>
      </w:pPr>
    </w:lvl>
    <w:lvl w:ilvl="3" w:tplc="D8527F4E" w:tentative="1">
      <w:start w:val="1"/>
      <w:numFmt w:val="decimal"/>
      <w:lvlText w:val="%4."/>
      <w:lvlJc w:val="left"/>
      <w:pPr>
        <w:ind w:left="2880" w:hanging="360"/>
      </w:pPr>
    </w:lvl>
    <w:lvl w:ilvl="4" w:tplc="43D01870" w:tentative="1">
      <w:start w:val="1"/>
      <w:numFmt w:val="lowerLetter"/>
      <w:lvlText w:val="%5."/>
      <w:lvlJc w:val="left"/>
      <w:pPr>
        <w:ind w:left="3600" w:hanging="360"/>
      </w:pPr>
    </w:lvl>
    <w:lvl w:ilvl="5" w:tplc="CF708E5C" w:tentative="1">
      <w:start w:val="1"/>
      <w:numFmt w:val="lowerRoman"/>
      <w:lvlText w:val="%6."/>
      <w:lvlJc w:val="right"/>
      <w:pPr>
        <w:ind w:left="4320" w:hanging="180"/>
      </w:pPr>
    </w:lvl>
    <w:lvl w:ilvl="6" w:tplc="F6940D82" w:tentative="1">
      <w:start w:val="1"/>
      <w:numFmt w:val="decimal"/>
      <w:lvlText w:val="%7."/>
      <w:lvlJc w:val="left"/>
      <w:pPr>
        <w:ind w:left="5040" w:hanging="360"/>
      </w:pPr>
    </w:lvl>
    <w:lvl w:ilvl="7" w:tplc="AD2C2584" w:tentative="1">
      <w:start w:val="1"/>
      <w:numFmt w:val="lowerLetter"/>
      <w:lvlText w:val="%8."/>
      <w:lvlJc w:val="left"/>
      <w:pPr>
        <w:ind w:left="5760" w:hanging="360"/>
      </w:pPr>
    </w:lvl>
    <w:lvl w:ilvl="8" w:tplc="A1220B0E" w:tentative="1">
      <w:start w:val="1"/>
      <w:numFmt w:val="lowerRoman"/>
      <w:lvlText w:val="%9."/>
      <w:lvlJc w:val="right"/>
      <w:pPr>
        <w:ind w:left="6480" w:hanging="180"/>
      </w:pPr>
    </w:lvl>
  </w:abstractNum>
  <w:abstractNum w:abstractNumId="18" w15:restartNumberingAfterBreak="0">
    <w:nsid w:val="345433EA"/>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9" w15:restartNumberingAfterBreak="0">
    <w:nsid w:val="37226525"/>
    <w:multiLevelType w:val="hybridMultilevel"/>
    <w:tmpl w:val="9872E646"/>
    <w:lvl w:ilvl="0" w:tplc="117C22E0">
      <w:start w:val="1"/>
      <w:numFmt w:val="decimal"/>
      <w:pStyle w:val="Nummerierungsart2"/>
      <w:lvlText w:val="%1)"/>
      <w:lvlJc w:val="left"/>
      <w:pPr>
        <w:tabs>
          <w:tab w:val="num" w:pos="360"/>
        </w:tabs>
        <w:ind w:left="360" w:hanging="360"/>
      </w:pPr>
      <w:rPr>
        <w:rFonts w:hint="default"/>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2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2"/>
        <w:szCs w:val="28"/>
      </w:rPr>
    </w:lvl>
    <w:lvl w:ilvl="1">
      <w:start w:val="1"/>
      <w:numFmt w:val="bullet"/>
      <w:lvlText w:val=""/>
      <w:lvlJc w:val="left"/>
      <w:pPr>
        <w:tabs>
          <w:tab w:val="num" w:pos="720"/>
        </w:tabs>
        <w:ind w:left="720" w:hanging="360"/>
      </w:pPr>
      <w:rPr>
        <w:rFonts w:ascii="Symbol" w:hAnsi="Symbol" w:hint="default"/>
        <w:sz w:val="22"/>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42032807"/>
    <w:multiLevelType w:val="hybridMultilevel"/>
    <w:tmpl w:val="BD7270A4"/>
    <w:lvl w:ilvl="0" w:tplc="77C68118">
      <w:start w:val="1"/>
      <mc:AlternateContent>
        <mc:Choice Requires="w14">
          <w:numFmt w:val="custom" w:format="а, й, к, ..."/>
        </mc:Choice>
        <mc:Fallback>
          <w:numFmt w:val="decimal"/>
        </mc:Fallback>
      </mc:AlternateContent>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2" w15:restartNumberingAfterBreak="0">
    <w:nsid w:val="43AE248D"/>
    <w:multiLevelType w:val="hybridMultilevel"/>
    <w:tmpl w:val="5A70F4BE"/>
    <w:lvl w:ilvl="0" w:tplc="13C852F8">
      <w:start w:val="1"/>
      <w:numFmt w:val="bullet"/>
      <w:pStyle w:val="Bullet3"/>
      <w:lvlText w:val="►"/>
      <w:lvlJc w:val="left"/>
      <w:pPr>
        <w:ind w:left="814" w:hanging="360"/>
      </w:pPr>
      <w:rPr>
        <w:rFonts w:ascii="Arial" w:hAnsi="Arial" w:hint="default"/>
        <w:b w:val="0"/>
        <w:i w:val="0"/>
        <w:caps w:val="0"/>
        <w:strike w:val="0"/>
        <w:dstrike w:val="0"/>
        <w:vanish w:val="0"/>
        <w:color w:val="48748F" w:themeColor="accent1"/>
        <w:sz w:val="16"/>
        <w:vertAlign w:val="baseline"/>
      </w:rPr>
    </w:lvl>
    <w:lvl w:ilvl="1" w:tplc="88025A62" w:tentative="1">
      <w:start w:val="1"/>
      <w:numFmt w:val="bullet"/>
      <w:lvlText w:val="o"/>
      <w:lvlJc w:val="left"/>
      <w:pPr>
        <w:ind w:left="2121" w:hanging="360"/>
      </w:pPr>
      <w:rPr>
        <w:rFonts w:ascii="Courier New" w:hAnsi="Courier New" w:cs="Courier New" w:hint="default"/>
      </w:rPr>
    </w:lvl>
    <w:lvl w:ilvl="2" w:tplc="C5DABC22" w:tentative="1">
      <w:start w:val="1"/>
      <w:numFmt w:val="bullet"/>
      <w:lvlText w:val=""/>
      <w:lvlJc w:val="left"/>
      <w:pPr>
        <w:ind w:left="2841" w:hanging="360"/>
      </w:pPr>
      <w:rPr>
        <w:rFonts w:ascii="Wingdings" w:hAnsi="Wingdings" w:hint="default"/>
      </w:rPr>
    </w:lvl>
    <w:lvl w:ilvl="3" w:tplc="0D56E730" w:tentative="1">
      <w:start w:val="1"/>
      <w:numFmt w:val="bullet"/>
      <w:lvlText w:val=""/>
      <w:lvlJc w:val="left"/>
      <w:pPr>
        <w:ind w:left="3561" w:hanging="360"/>
      </w:pPr>
      <w:rPr>
        <w:rFonts w:ascii="Symbol" w:hAnsi="Symbol" w:hint="default"/>
      </w:rPr>
    </w:lvl>
    <w:lvl w:ilvl="4" w:tplc="A970B672" w:tentative="1">
      <w:start w:val="1"/>
      <w:numFmt w:val="bullet"/>
      <w:lvlText w:val="o"/>
      <w:lvlJc w:val="left"/>
      <w:pPr>
        <w:ind w:left="4281" w:hanging="360"/>
      </w:pPr>
      <w:rPr>
        <w:rFonts w:ascii="Courier New" w:hAnsi="Courier New" w:cs="Courier New" w:hint="default"/>
      </w:rPr>
    </w:lvl>
    <w:lvl w:ilvl="5" w:tplc="B6D459CC" w:tentative="1">
      <w:start w:val="1"/>
      <w:numFmt w:val="bullet"/>
      <w:lvlText w:val=""/>
      <w:lvlJc w:val="left"/>
      <w:pPr>
        <w:ind w:left="5001" w:hanging="360"/>
      </w:pPr>
      <w:rPr>
        <w:rFonts w:ascii="Wingdings" w:hAnsi="Wingdings" w:hint="default"/>
      </w:rPr>
    </w:lvl>
    <w:lvl w:ilvl="6" w:tplc="837C8C1A" w:tentative="1">
      <w:start w:val="1"/>
      <w:numFmt w:val="bullet"/>
      <w:lvlText w:val=""/>
      <w:lvlJc w:val="left"/>
      <w:pPr>
        <w:ind w:left="5721" w:hanging="360"/>
      </w:pPr>
      <w:rPr>
        <w:rFonts w:ascii="Symbol" w:hAnsi="Symbol" w:hint="default"/>
      </w:rPr>
    </w:lvl>
    <w:lvl w:ilvl="7" w:tplc="474802D2" w:tentative="1">
      <w:start w:val="1"/>
      <w:numFmt w:val="bullet"/>
      <w:lvlText w:val="o"/>
      <w:lvlJc w:val="left"/>
      <w:pPr>
        <w:ind w:left="6441" w:hanging="360"/>
      </w:pPr>
      <w:rPr>
        <w:rFonts w:ascii="Courier New" w:hAnsi="Courier New" w:cs="Courier New" w:hint="default"/>
      </w:rPr>
    </w:lvl>
    <w:lvl w:ilvl="8" w:tplc="B38C7C80" w:tentative="1">
      <w:start w:val="1"/>
      <w:numFmt w:val="bullet"/>
      <w:lvlText w:val=""/>
      <w:lvlJc w:val="left"/>
      <w:pPr>
        <w:ind w:left="7161" w:hanging="360"/>
      </w:pPr>
      <w:rPr>
        <w:rFonts w:ascii="Wingdings" w:hAnsi="Wingdings" w:hint="default"/>
      </w:rPr>
    </w:lvl>
  </w:abstractNum>
  <w:abstractNum w:abstractNumId="23" w15:restartNumberingAfterBreak="0">
    <w:nsid w:val="452C66B8"/>
    <w:multiLevelType w:val="hybridMultilevel"/>
    <w:tmpl w:val="AD54DB60"/>
    <w:lvl w:ilvl="0" w:tplc="77C68118">
      <w:start w:val="1"/>
      <mc:AlternateContent>
        <mc:Choice Requires="w14">
          <w:numFmt w:val="custom" w:format="а, й, к, ..."/>
        </mc:Choice>
        <mc:Fallback>
          <w:numFmt w:val="decimal"/>
        </mc:Fallback>
      </mc:AlternateContent>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9772236"/>
    <w:multiLevelType w:val="hybridMultilevel"/>
    <w:tmpl w:val="E974A63C"/>
    <w:lvl w:ilvl="0" w:tplc="C10A2D7C">
      <w:start w:val="1"/>
      <w:numFmt w:val="bullet"/>
      <w:pStyle w:val="Aufzhlungszeichen4"/>
      <w:lvlText w:val=""/>
      <w:lvlJc w:val="left"/>
      <w:pPr>
        <w:tabs>
          <w:tab w:val="num" w:pos="357"/>
        </w:tabs>
        <w:ind w:left="357" w:hanging="357"/>
      </w:pPr>
      <w:rPr>
        <w:rFonts w:ascii="Wingdings" w:hAnsi="Wingdings" w:hint="default"/>
        <w:sz w:val="28"/>
        <w:szCs w:val="28"/>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A6957BB"/>
    <w:multiLevelType w:val="hybridMultilevel"/>
    <w:tmpl w:val="D674AD14"/>
    <w:lvl w:ilvl="0" w:tplc="0809000F">
      <w:start w:val="1"/>
      <w:numFmt w:val="decimal"/>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26" w15:restartNumberingAfterBreak="0">
    <w:nsid w:val="4BF419D5"/>
    <w:multiLevelType w:val="hybridMultilevel"/>
    <w:tmpl w:val="4A8A11B2"/>
    <w:lvl w:ilvl="0" w:tplc="DD48D1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0E3E7F"/>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8"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hint="default"/>
        <w:b/>
        <w:color w:val="auto"/>
        <w:sz w:val="20"/>
        <w:u w:val="single"/>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EF30DF1"/>
    <w:multiLevelType w:val="hybridMultilevel"/>
    <w:tmpl w:val="95BE37A4"/>
    <w:lvl w:ilvl="0" w:tplc="DEB4209E">
      <w:start w:val="1"/>
      <w:numFmt w:val="upperRoman"/>
      <w:pStyle w:val="Nummerierungsart3"/>
      <w:lvlText w:val="%1."/>
      <w:lvlJc w:val="left"/>
      <w:pPr>
        <w:tabs>
          <w:tab w:val="num" w:pos="357"/>
        </w:tabs>
        <w:ind w:left="357" w:hanging="357"/>
      </w:pPr>
      <w:rPr>
        <w:rFonts w:hint="default"/>
      </w:rPr>
    </w:lvl>
    <w:lvl w:ilvl="1" w:tplc="B494082A" w:tentative="1">
      <w:start w:val="1"/>
      <w:numFmt w:val="lowerLetter"/>
      <w:lvlText w:val="%2."/>
      <w:lvlJc w:val="left"/>
      <w:pPr>
        <w:tabs>
          <w:tab w:val="num" w:pos="1440"/>
        </w:tabs>
        <w:ind w:left="1440" w:hanging="360"/>
      </w:pPr>
    </w:lvl>
    <w:lvl w:ilvl="2" w:tplc="8CF07C0E" w:tentative="1">
      <w:start w:val="1"/>
      <w:numFmt w:val="lowerRoman"/>
      <w:lvlText w:val="%3."/>
      <w:lvlJc w:val="right"/>
      <w:pPr>
        <w:tabs>
          <w:tab w:val="num" w:pos="2160"/>
        </w:tabs>
        <w:ind w:left="2160" w:hanging="180"/>
      </w:pPr>
    </w:lvl>
    <w:lvl w:ilvl="3" w:tplc="8918E6F8" w:tentative="1">
      <w:start w:val="1"/>
      <w:numFmt w:val="decimal"/>
      <w:lvlText w:val="%4."/>
      <w:lvlJc w:val="left"/>
      <w:pPr>
        <w:tabs>
          <w:tab w:val="num" w:pos="2880"/>
        </w:tabs>
        <w:ind w:left="2880" w:hanging="360"/>
      </w:pPr>
    </w:lvl>
    <w:lvl w:ilvl="4" w:tplc="51743DC4" w:tentative="1">
      <w:start w:val="1"/>
      <w:numFmt w:val="lowerLetter"/>
      <w:lvlText w:val="%5."/>
      <w:lvlJc w:val="left"/>
      <w:pPr>
        <w:tabs>
          <w:tab w:val="num" w:pos="3600"/>
        </w:tabs>
        <w:ind w:left="3600" w:hanging="360"/>
      </w:pPr>
    </w:lvl>
    <w:lvl w:ilvl="5" w:tplc="FD4A9F12" w:tentative="1">
      <w:start w:val="1"/>
      <w:numFmt w:val="lowerRoman"/>
      <w:lvlText w:val="%6."/>
      <w:lvlJc w:val="right"/>
      <w:pPr>
        <w:tabs>
          <w:tab w:val="num" w:pos="4320"/>
        </w:tabs>
        <w:ind w:left="4320" w:hanging="180"/>
      </w:pPr>
    </w:lvl>
    <w:lvl w:ilvl="6" w:tplc="DD78F7AC" w:tentative="1">
      <w:start w:val="1"/>
      <w:numFmt w:val="decimal"/>
      <w:lvlText w:val="%7."/>
      <w:lvlJc w:val="left"/>
      <w:pPr>
        <w:tabs>
          <w:tab w:val="num" w:pos="5040"/>
        </w:tabs>
        <w:ind w:left="5040" w:hanging="360"/>
      </w:pPr>
    </w:lvl>
    <w:lvl w:ilvl="7" w:tplc="233C3CF6" w:tentative="1">
      <w:start w:val="1"/>
      <w:numFmt w:val="lowerLetter"/>
      <w:lvlText w:val="%8."/>
      <w:lvlJc w:val="left"/>
      <w:pPr>
        <w:tabs>
          <w:tab w:val="num" w:pos="5760"/>
        </w:tabs>
        <w:ind w:left="5760" w:hanging="360"/>
      </w:pPr>
    </w:lvl>
    <w:lvl w:ilvl="8" w:tplc="1B20F0A2" w:tentative="1">
      <w:start w:val="1"/>
      <w:numFmt w:val="lowerRoman"/>
      <w:lvlText w:val="%9."/>
      <w:lvlJc w:val="right"/>
      <w:pPr>
        <w:tabs>
          <w:tab w:val="num" w:pos="6480"/>
        </w:tabs>
        <w:ind w:left="6480" w:hanging="180"/>
      </w:pPr>
    </w:lvl>
  </w:abstractNum>
  <w:abstractNum w:abstractNumId="30" w15:restartNumberingAfterBreak="0">
    <w:nsid w:val="50227369"/>
    <w:multiLevelType w:val="hybridMultilevel"/>
    <w:tmpl w:val="88A482EC"/>
    <w:lvl w:ilvl="0" w:tplc="4A2A8390">
      <w:start w:val="1"/>
      <w:numFmt w:val="decimal"/>
      <w:pStyle w:val="numberedparagraph"/>
      <w:lvlText w:val="%1."/>
      <w:lvlJc w:val="left"/>
      <w:pPr>
        <w:tabs>
          <w:tab w:val="num" w:pos="284"/>
        </w:tabs>
        <w:ind w:left="284" w:hanging="284"/>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2054905"/>
    <w:multiLevelType w:val="hybridMultilevel"/>
    <w:tmpl w:val="33709D28"/>
    <w:lvl w:ilvl="0" w:tplc="DBFAA04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28804A2"/>
    <w:multiLevelType w:val="hybridMultilevel"/>
    <w:tmpl w:val="4E90384E"/>
    <w:lvl w:ilvl="0" w:tplc="51E2D758">
      <w:start w:val="1"/>
      <mc:AlternateContent>
        <mc:Choice Requires="w14">
          <w:numFmt w:val="custom" w:format="а, й, к, ..."/>
        </mc:Choice>
        <mc:Fallback>
          <w:numFmt w:val="decimal"/>
        </mc:Fallback>
      </mc:AlternateContent>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53330B4A"/>
    <w:multiLevelType w:val="hybridMultilevel"/>
    <w:tmpl w:val="F2AEAF22"/>
    <w:lvl w:ilvl="0" w:tplc="52202DE0">
      <w:start w:val="1"/>
      <w:numFmt w:val="lowerRoman"/>
      <w:lvlText w:val="%1)"/>
      <w:lvlJc w:val="left"/>
      <w:pPr>
        <w:ind w:left="1080" w:hanging="72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4" w15:restartNumberingAfterBreak="0">
    <w:nsid w:val="57AD5AF7"/>
    <w:multiLevelType w:val="hybridMultilevel"/>
    <w:tmpl w:val="9844D93E"/>
    <w:lvl w:ilvl="0" w:tplc="479A68CA">
      <w:start w:val="429"/>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BA1738F"/>
    <w:multiLevelType w:val="hybridMultilevel"/>
    <w:tmpl w:val="2FE2799E"/>
    <w:lvl w:ilvl="0" w:tplc="B2366634">
      <w:start w:val="1"/>
      <w:numFmt w:val="decimal"/>
      <w:pStyle w:val="Instructionsberschrift3"/>
      <w:lvlText w:val="%1.1.1"/>
      <w:lvlJc w:val="left"/>
      <w:pPr>
        <w:ind w:left="720" w:hanging="360"/>
      </w:pPr>
      <w:rPr>
        <w:rFonts w:hint="default"/>
      </w:rPr>
    </w:lvl>
    <w:lvl w:ilvl="1" w:tplc="04070003" w:tentative="1">
      <w:start w:val="1"/>
      <w:numFmt w:val="lowerLetter"/>
      <w:lvlText w:val="%2."/>
      <w:lvlJc w:val="left"/>
      <w:pPr>
        <w:ind w:left="1440" w:hanging="360"/>
      </w:p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36" w15:restartNumberingAfterBreak="0">
    <w:nsid w:val="5C951B61"/>
    <w:multiLevelType w:val="hybridMultilevel"/>
    <w:tmpl w:val="121C0A42"/>
    <w:lvl w:ilvl="0" w:tplc="04090003">
      <w:start w:val="1"/>
      <w:numFmt w:val="bullet"/>
      <w:pStyle w:val="Aufzhlungszeichen2"/>
      <w:lvlText w:val=""/>
      <w:lvlJc w:val="left"/>
      <w:pPr>
        <w:tabs>
          <w:tab w:val="num" w:pos="357"/>
        </w:tabs>
        <w:ind w:left="357" w:hanging="357"/>
      </w:pPr>
      <w:rPr>
        <w:rFonts w:ascii="Wingdings" w:hAnsi="Wingdings" w:hint="default"/>
        <w:sz w:val="32"/>
        <w:szCs w:val="32"/>
      </w:rPr>
    </w:lvl>
    <w:lvl w:ilvl="1" w:tplc="04090005"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400117E"/>
    <w:multiLevelType w:val="hybridMultilevel"/>
    <w:tmpl w:val="644E74F8"/>
    <w:lvl w:ilvl="0" w:tplc="BE927E64">
      <w:start w:val="1"/>
      <w:numFmt w:val="lowerRoman"/>
      <w:lvlText w:val="(%1)"/>
      <w:lvlJc w:val="left"/>
      <w:pPr>
        <w:ind w:left="753" w:hanging="720"/>
      </w:pPr>
      <w:rPr>
        <w:rFonts w:hint="default"/>
        <w:b w:val="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647057A3"/>
    <w:multiLevelType w:val="hybridMultilevel"/>
    <w:tmpl w:val="13420D26"/>
    <w:lvl w:ilvl="0" w:tplc="754A118C">
      <w:start w:val="1"/>
      <w:numFmt w:val="decimal"/>
      <w:pStyle w:val="Nummerierungsart1"/>
      <w:lvlText w:val="%1."/>
      <w:lvlJc w:val="left"/>
      <w:pPr>
        <w:tabs>
          <w:tab w:val="num" w:pos="357"/>
        </w:tabs>
        <w:ind w:left="357" w:hanging="357"/>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39"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0" w15:restartNumberingAfterBreak="0">
    <w:nsid w:val="651475E2"/>
    <w:multiLevelType w:val="hybridMultilevel"/>
    <w:tmpl w:val="70CA8CA4"/>
    <w:lvl w:ilvl="0" w:tplc="F53C89C4">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6CA2C8C"/>
    <w:multiLevelType w:val="hybridMultilevel"/>
    <w:tmpl w:val="06380258"/>
    <w:lvl w:ilvl="0" w:tplc="91F28F2A">
      <w:start w:val="1"/>
      <w:numFmt w:val="decimal"/>
      <w:pStyle w:val="Instructionsberschrift2"/>
      <w:lvlText w:val="%1."/>
      <w:lvlJc w:val="left"/>
      <w:pPr>
        <w:ind w:left="720" w:hanging="360"/>
      </w:pPr>
      <w:rPr>
        <w:rFonts w:ascii="Times New Roman" w:eastAsia="Times New Roman" w:hAnsi="Times New Roman" w:cs="Times New Roman"/>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2" w15:restartNumberingAfterBreak="0">
    <w:nsid w:val="67A9067D"/>
    <w:multiLevelType w:val="hybridMultilevel"/>
    <w:tmpl w:val="DE807ED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8"/>
        <w:szCs w:val="24"/>
      </w:rPr>
    </w:lvl>
    <w:lvl w:ilvl="2">
      <w:start w:val="1"/>
      <w:numFmt w:val="bullet"/>
      <w:lvlText w:val=""/>
      <w:lvlJc w:val="left"/>
      <w:pPr>
        <w:tabs>
          <w:tab w:val="num" w:pos="1072"/>
        </w:tabs>
        <w:ind w:left="1072" w:hanging="358"/>
      </w:pPr>
      <w:rPr>
        <w:rFonts w:ascii="Symbol" w:hAnsi="Symbol" w:hint="default"/>
        <w:sz w:val="28"/>
        <w:szCs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69FA5EA3"/>
    <w:multiLevelType w:val="multilevel"/>
    <w:tmpl w:val="D29C4EFC"/>
    <w:styleLink w:val="Formatvorlage4"/>
    <w:lvl w:ilvl="0">
      <w:start w:val="1"/>
      <w:numFmt w:val="decimal"/>
      <w:lvlText w:val="%1."/>
      <w:lvlJc w:val="left"/>
      <w:pPr>
        <w:ind w:left="357" w:hanging="357"/>
      </w:pPr>
      <w:rPr>
        <w:rFonts w:hint="default"/>
        <w:u w:val="single"/>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15:restartNumberingAfterBreak="0">
    <w:nsid w:val="6A237D39"/>
    <w:multiLevelType w:val="hybridMultilevel"/>
    <w:tmpl w:val="258CB802"/>
    <w:lvl w:ilvl="0" w:tplc="52202DE0">
      <w:start w:val="1"/>
      <w:numFmt w:val="lowerRoman"/>
      <w:lvlText w:val="%1)"/>
      <w:lvlJc w:val="left"/>
      <w:pPr>
        <w:ind w:left="1080" w:hanging="720"/>
      </w:pPr>
      <w:rPr>
        <w:rFonts w:hint="default"/>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6" w15:restartNumberingAfterBreak="0">
    <w:nsid w:val="6B3C3166"/>
    <w:multiLevelType w:val="hybridMultilevel"/>
    <w:tmpl w:val="E0A0E978"/>
    <w:lvl w:ilvl="0" w:tplc="0809000F">
      <w:start w:val="4"/>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BD76F86"/>
    <w:multiLevelType w:val="hybridMultilevel"/>
    <w:tmpl w:val="EAE63A5E"/>
    <w:lvl w:ilvl="0" w:tplc="52202DE0">
      <w:start w:val="1"/>
      <w:numFmt w:val="lowerRoman"/>
      <w:lvlText w:val="%1)"/>
      <w:lvlJc w:val="left"/>
      <w:pPr>
        <w:ind w:left="1080" w:hanging="720"/>
      </w:pPr>
      <w:rPr>
        <w:rFonts w:hint="default"/>
        <w:b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8" w15:restartNumberingAfterBreak="0">
    <w:nsid w:val="6CB76DF5"/>
    <w:multiLevelType w:val="hybridMultilevel"/>
    <w:tmpl w:val="0128A69C"/>
    <w:lvl w:ilvl="0" w:tplc="1440219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szCs w:val="28"/>
      </w:rPr>
    </w:lvl>
    <w:lvl w:ilvl="1">
      <w:start w:val="1"/>
      <w:numFmt w:val="bullet"/>
      <w:lvlText w:val=""/>
      <w:lvlJc w:val="left"/>
      <w:pPr>
        <w:tabs>
          <w:tab w:val="num" w:pos="720"/>
        </w:tabs>
        <w:ind w:left="720" w:hanging="360"/>
      </w:pPr>
      <w:rPr>
        <w:rFonts w:ascii="Symbol" w:hAnsi="Symbol" w:hint="default"/>
        <w:sz w:val="24"/>
        <w:szCs w:val="24"/>
      </w:rPr>
    </w:lvl>
    <w:lvl w:ilvl="2">
      <w:start w:val="1"/>
      <w:numFmt w:val="bullet"/>
      <w:lvlText w:val=""/>
      <w:lvlJc w:val="left"/>
      <w:pPr>
        <w:tabs>
          <w:tab w:val="num" w:pos="1072"/>
        </w:tabs>
        <w:ind w:left="1072" w:hanging="358"/>
      </w:pPr>
      <w:rPr>
        <w:rFonts w:ascii="Symbol" w:hAnsi="Symbol" w:hint="default"/>
        <w:sz w:val="22"/>
        <w:szCs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0" w15:restartNumberingAfterBreak="0">
    <w:nsid w:val="72377034"/>
    <w:multiLevelType w:val="hybridMultilevel"/>
    <w:tmpl w:val="D348E89A"/>
    <w:lvl w:ilvl="0" w:tplc="55E6AEF8">
      <w:start w:val="1"/>
      <w:numFmt w:val="bullet"/>
      <w:pStyle w:val="Aufzhlungszeichen3"/>
      <w:lvlText w:val=""/>
      <w:lvlJc w:val="left"/>
      <w:pPr>
        <w:tabs>
          <w:tab w:val="num" w:pos="357"/>
        </w:tabs>
        <w:ind w:left="357" w:hanging="357"/>
      </w:pPr>
      <w:rPr>
        <w:rFonts w:ascii="Wingdings" w:hAnsi="Wingdings" w:hint="default"/>
        <w:sz w:val="22"/>
        <w:szCs w:val="22"/>
      </w:rPr>
    </w:lvl>
    <w:lvl w:ilvl="1" w:tplc="FA564310" w:tentative="1">
      <w:start w:val="1"/>
      <w:numFmt w:val="bullet"/>
      <w:lvlText w:val="o"/>
      <w:lvlJc w:val="left"/>
      <w:pPr>
        <w:tabs>
          <w:tab w:val="num" w:pos="1440"/>
        </w:tabs>
        <w:ind w:left="1440" w:hanging="360"/>
      </w:pPr>
      <w:rPr>
        <w:rFonts w:ascii="Courier New" w:hAnsi="Courier New" w:cs="Courier New" w:hint="default"/>
      </w:rPr>
    </w:lvl>
    <w:lvl w:ilvl="2" w:tplc="3C4C9E3E" w:tentative="1">
      <w:start w:val="1"/>
      <w:numFmt w:val="bullet"/>
      <w:lvlText w:val=""/>
      <w:lvlJc w:val="left"/>
      <w:pPr>
        <w:tabs>
          <w:tab w:val="num" w:pos="2160"/>
        </w:tabs>
        <w:ind w:left="2160" w:hanging="360"/>
      </w:pPr>
      <w:rPr>
        <w:rFonts w:ascii="Wingdings" w:hAnsi="Wingdings" w:hint="default"/>
      </w:rPr>
    </w:lvl>
    <w:lvl w:ilvl="3" w:tplc="2550B94C" w:tentative="1">
      <w:start w:val="1"/>
      <w:numFmt w:val="bullet"/>
      <w:lvlText w:val=""/>
      <w:lvlJc w:val="left"/>
      <w:pPr>
        <w:tabs>
          <w:tab w:val="num" w:pos="2880"/>
        </w:tabs>
        <w:ind w:left="2880" w:hanging="360"/>
      </w:pPr>
      <w:rPr>
        <w:rFonts w:ascii="Symbol" w:hAnsi="Symbol" w:hint="default"/>
      </w:rPr>
    </w:lvl>
    <w:lvl w:ilvl="4" w:tplc="2EAE39BE" w:tentative="1">
      <w:start w:val="1"/>
      <w:numFmt w:val="bullet"/>
      <w:lvlText w:val="o"/>
      <w:lvlJc w:val="left"/>
      <w:pPr>
        <w:tabs>
          <w:tab w:val="num" w:pos="3600"/>
        </w:tabs>
        <w:ind w:left="3600" w:hanging="360"/>
      </w:pPr>
      <w:rPr>
        <w:rFonts w:ascii="Courier New" w:hAnsi="Courier New" w:cs="Courier New" w:hint="default"/>
      </w:rPr>
    </w:lvl>
    <w:lvl w:ilvl="5" w:tplc="847E5BB6" w:tentative="1">
      <w:start w:val="1"/>
      <w:numFmt w:val="bullet"/>
      <w:lvlText w:val=""/>
      <w:lvlJc w:val="left"/>
      <w:pPr>
        <w:tabs>
          <w:tab w:val="num" w:pos="4320"/>
        </w:tabs>
        <w:ind w:left="4320" w:hanging="360"/>
      </w:pPr>
      <w:rPr>
        <w:rFonts w:ascii="Wingdings" w:hAnsi="Wingdings" w:hint="default"/>
      </w:rPr>
    </w:lvl>
    <w:lvl w:ilvl="6" w:tplc="D9541758" w:tentative="1">
      <w:start w:val="1"/>
      <w:numFmt w:val="bullet"/>
      <w:lvlText w:val=""/>
      <w:lvlJc w:val="left"/>
      <w:pPr>
        <w:tabs>
          <w:tab w:val="num" w:pos="5040"/>
        </w:tabs>
        <w:ind w:left="5040" w:hanging="360"/>
      </w:pPr>
      <w:rPr>
        <w:rFonts w:ascii="Symbol" w:hAnsi="Symbol" w:hint="default"/>
      </w:rPr>
    </w:lvl>
    <w:lvl w:ilvl="7" w:tplc="D16E1988" w:tentative="1">
      <w:start w:val="1"/>
      <w:numFmt w:val="bullet"/>
      <w:lvlText w:val="o"/>
      <w:lvlJc w:val="left"/>
      <w:pPr>
        <w:tabs>
          <w:tab w:val="num" w:pos="5760"/>
        </w:tabs>
        <w:ind w:left="5760" w:hanging="360"/>
      </w:pPr>
      <w:rPr>
        <w:rFonts w:ascii="Courier New" w:hAnsi="Courier New" w:cs="Courier New" w:hint="default"/>
      </w:rPr>
    </w:lvl>
    <w:lvl w:ilvl="8" w:tplc="B5FE466C"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9B32577"/>
    <w:multiLevelType w:val="hybridMultilevel"/>
    <w:tmpl w:val="D8B63E3E"/>
    <w:lvl w:ilvl="0" w:tplc="2E82B0BA">
      <w:start w:val="1"/>
      <w:numFmt w:val="bullet"/>
      <w:pStyle w:val="Bullet1"/>
      <w:lvlText w:val=""/>
      <w:lvlJc w:val="left"/>
      <w:pPr>
        <w:ind w:left="5264" w:hanging="360"/>
      </w:pPr>
      <w:rPr>
        <w:rFonts w:ascii="Symbol" w:hAnsi="Symbol" w:hint="default"/>
        <w:b w:val="0"/>
        <w:i w:val="0"/>
        <w:caps w:val="0"/>
        <w:strike w:val="0"/>
        <w:dstrike w:val="0"/>
        <w:vanish w:val="0"/>
        <w:color w:val="48748F" w:themeColor="accent1"/>
        <w:sz w:val="26"/>
        <w:vertAlign w:val="baseline"/>
      </w:rPr>
    </w:lvl>
    <w:lvl w:ilvl="1" w:tplc="61F42530" w:tentative="1">
      <w:start w:val="1"/>
      <w:numFmt w:val="bullet"/>
      <w:lvlText w:val="o"/>
      <w:lvlJc w:val="left"/>
      <w:pPr>
        <w:ind w:left="5984" w:hanging="360"/>
      </w:pPr>
      <w:rPr>
        <w:rFonts w:ascii="Courier New" w:hAnsi="Courier New" w:cs="Courier New" w:hint="default"/>
      </w:rPr>
    </w:lvl>
    <w:lvl w:ilvl="2" w:tplc="E45425D8" w:tentative="1">
      <w:start w:val="1"/>
      <w:numFmt w:val="bullet"/>
      <w:lvlText w:val=""/>
      <w:lvlJc w:val="left"/>
      <w:pPr>
        <w:ind w:left="6704" w:hanging="360"/>
      </w:pPr>
      <w:rPr>
        <w:rFonts w:ascii="Wingdings" w:hAnsi="Wingdings" w:hint="default"/>
      </w:rPr>
    </w:lvl>
    <w:lvl w:ilvl="3" w:tplc="32C03EB4" w:tentative="1">
      <w:start w:val="1"/>
      <w:numFmt w:val="bullet"/>
      <w:lvlText w:val=""/>
      <w:lvlJc w:val="left"/>
      <w:pPr>
        <w:ind w:left="7424" w:hanging="360"/>
      </w:pPr>
      <w:rPr>
        <w:rFonts w:ascii="Symbol" w:hAnsi="Symbol" w:hint="default"/>
      </w:rPr>
    </w:lvl>
    <w:lvl w:ilvl="4" w:tplc="E5441FBE" w:tentative="1">
      <w:start w:val="1"/>
      <w:numFmt w:val="bullet"/>
      <w:lvlText w:val="o"/>
      <w:lvlJc w:val="left"/>
      <w:pPr>
        <w:ind w:left="8144" w:hanging="360"/>
      </w:pPr>
      <w:rPr>
        <w:rFonts w:ascii="Courier New" w:hAnsi="Courier New" w:cs="Courier New" w:hint="default"/>
      </w:rPr>
    </w:lvl>
    <w:lvl w:ilvl="5" w:tplc="32D6823A" w:tentative="1">
      <w:start w:val="1"/>
      <w:numFmt w:val="bullet"/>
      <w:lvlText w:val=""/>
      <w:lvlJc w:val="left"/>
      <w:pPr>
        <w:ind w:left="8864" w:hanging="360"/>
      </w:pPr>
      <w:rPr>
        <w:rFonts w:ascii="Wingdings" w:hAnsi="Wingdings" w:hint="default"/>
      </w:rPr>
    </w:lvl>
    <w:lvl w:ilvl="6" w:tplc="86D2AC18" w:tentative="1">
      <w:start w:val="1"/>
      <w:numFmt w:val="bullet"/>
      <w:lvlText w:val=""/>
      <w:lvlJc w:val="left"/>
      <w:pPr>
        <w:ind w:left="9584" w:hanging="360"/>
      </w:pPr>
      <w:rPr>
        <w:rFonts w:ascii="Symbol" w:hAnsi="Symbol" w:hint="default"/>
      </w:rPr>
    </w:lvl>
    <w:lvl w:ilvl="7" w:tplc="A2A4E956" w:tentative="1">
      <w:start w:val="1"/>
      <w:numFmt w:val="bullet"/>
      <w:lvlText w:val="o"/>
      <w:lvlJc w:val="left"/>
      <w:pPr>
        <w:ind w:left="10304" w:hanging="360"/>
      </w:pPr>
      <w:rPr>
        <w:rFonts w:ascii="Courier New" w:hAnsi="Courier New" w:cs="Courier New" w:hint="default"/>
      </w:rPr>
    </w:lvl>
    <w:lvl w:ilvl="8" w:tplc="153A9FE2" w:tentative="1">
      <w:start w:val="1"/>
      <w:numFmt w:val="bullet"/>
      <w:lvlText w:val=""/>
      <w:lvlJc w:val="left"/>
      <w:pPr>
        <w:ind w:left="11024" w:hanging="360"/>
      </w:pPr>
      <w:rPr>
        <w:rFonts w:ascii="Wingdings" w:hAnsi="Wingdings" w:hint="default"/>
      </w:rPr>
    </w:lvl>
  </w:abstractNum>
  <w:abstractNum w:abstractNumId="52" w15:restartNumberingAfterBreak="0">
    <w:nsid w:val="7ED61C3B"/>
    <w:multiLevelType w:val="multilevel"/>
    <w:tmpl w:val="5EF2CF40"/>
    <w:lvl w:ilvl="0">
      <w:numFmt w:val="bullet"/>
      <w:lvlText w:val="-"/>
      <w:lvlJc w:val="left"/>
      <w:pPr>
        <w:ind w:left="357" w:hanging="357"/>
      </w:pPr>
      <w:rPr>
        <w:rFonts w:ascii="Times New Roman" w:eastAsiaTheme="minorHAnsi" w:hAnsi="Times New Roman" w:cs="Times New Roman" w:hint="default"/>
      </w:rPr>
    </w:lvl>
    <w:lvl w:ilvl="1">
      <w:start w:val="1"/>
      <w:numFmt w:val="decimal"/>
      <w:lvlText w:val="%1.%2."/>
      <w:lvlJc w:val="left"/>
      <w:pPr>
        <w:ind w:left="641"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FA52C83"/>
    <w:multiLevelType w:val="hybridMultilevel"/>
    <w:tmpl w:val="BAD28968"/>
    <w:lvl w:ilvl="0" w:tplc="08090001">
      <w:start w:val="1"/>
      <w:numFmt w:val="bullet"/>
      <w:lvlText w:val=""/>
      <w:lvlJc w:val="left"/>
      <w:pPr>
        <w:ind w:left="1080" w:hanging="360"/>
      </w:pPr>
      <w:rPr>
        <w:rFonts w:ascii="Symbol" w:hAnsi="Symbol"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4" w15:restartNumberingAfterBreak="0">
    <w:nsid w:val="7FE66477"/>
    <w:multiLevelType w:val="hybridMultilevel"/>
    <w:tmpl w:val="7122A8F8"/>
    <w:lvl w:ilvl="0" w:tplc="52202DE0">
      <w:start w:val="1"/>
      <w:numFmt w:val="lowerRoman"/>
      <w:lvlText w:val="%1)"/>
      <w:lvlJc w:val="left"/>
      <w:pPr>
        <w:ind w:left="1080" w:hanging="72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0"/>
  </w:num>
  <w:num w:numId="3">
    <w:abstractNumId w:val="22"/>
  </w:num>
  <w:num w:numId="4">
    <w:abstractNumId w:val="8"/>
  </w:num>
  <w:num w:numId="5">
    <w:abstractNumId w:val="3"/>
  </w:num>
  <w:num w:numId="6">
    <w:abstractNumId w:val="51"/>
  </w:num>
  <w:num w:numId="7">
    <w:abstractNumId w:val="1"/>
  </w:num>
  <w:num w:numId="8">
    <w:abstractNumId w:val="36"/>
  </w:num>
  <w:num w:numId="9">
    <w:abstractNumId w:val="50"/>
  </w:num>
  <w:num w:numId="10">
    <w:abstractNumId w:val="24"/>
  </w:num>
  <w:num w:numId="11">
    <w:abstractNumId w:val="43"/>
  </w:num>
  <w:num w:numId="12">
    <w:abstractNumId w:val="20"/>
  </w:num>
  <w:num w:numId="13">
    <w:abstractNumId w:val="49"/>
  </w:num>
  <w:num w:numId="14">
    <w:abstractNumId w:val="7"/>
  </w:num>
  <w:num w:numId="15">
    <w:abstractNumId w:val="38"/>
  </w:num>
  <w:num w:numId="16">
    <w:abstractNumId w:val="19"/>
  </w:num>
  <w:num w:numId="17">
    <w:abstractNumId w:val="29"/>
  </w:num>
  <w:num w:numId="18">
    <w:abstractNumId w:val="15"/>
  </w:num>
  <w:num w:numId="19">
    <w:abstractNumId w:val="41"/>
  </w:num>
  <w:num w:numId="20">
    <w:abstractNumId w:val="35"/>
  </w:num>
  <w:num w:numId="21">
    <w:abstractNumId w:val="17"/>
  </w:num>
  <w:num w:numId="22">
    <w:abstractNumId w:val="28"/>
  </w:num>
  <w:num w:numId="23">
    <w:abstractNumId w:val="44"/>
  </w:num>
  <w:num w:numId="24">
    <w:abstractNumId w:val="5"/>
  </w:num>
  <w:num w:numId="25">
    <w:abstractNumId w:val="32"/>
  </w:num>
  <w:num w:numId="26">
    <w:abstractNumId w:val="16"/>
  </w:num>
  <w:num w:numId="27">
    <w:abstractNumId w:val="45"/>
  </w:num>
  <w:num w:numId="28">
    <w:abstractNumId w:val="54"/>
  </w:num>
  <w:num w:numId="29">
    <w:abstractNumId w:val="47"/>
  </w:num>
  <w:num w:numId="30">
    <w:abstractNumId w:val="33"/>
  </w:num>
  <w:num w:numId="31">
    <w:abstractNumId w:val="33"/>
  </w:num>
  <w:num w:numId="32">
    <w:abstractNumId w:val="2"/>
  </w:num>
  <w:num w:numId="33">
    <w:abstractNumId w:val="18"/>
  </w:num>
  <w:num w:numId="34">
    <w:abstractNumId w:val="37"/>
  </w:num>
  <w:num w:numId="35">
    <w:abstractNumId w:val="9"/>
  </w:num>
  <w:num w:numId="36">
    <w:abstractNumId w:val="11"/>
    <w:lvlOverride w:ilvl="0">
      <w:startOverride w:val="1"/>
    </w:lvlOverride>
    <w:lvlOverride w:ilvl="1"/>
    <w:lvlOverride w:ilvl="2"/>
    <w:lvlOverride w:ilvl="3"/>
    <w:lvlOverride w:ilvl="4"/>
    <w:lvlOverride w:ilvl="5"/>
    <w:lvlOverride w:ilvl="6"/>
    <w:lvlOverride w:ilvl="7"/>
    <w:lvlOverride w:ilvl="8"/>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23"/>
  </w:num>
  <w:num w:numId="40">
    <w:abstractNumId w:val="21"/>
  </w:num>
  <w:num w:numId="41">
    <w:abstractNumId w:val="30"/>
  </w:num>
  <w:num w:numId="42">
    <w:abstractNumId w:val="31"/>
  </w:num>
  <w:num w:numId="43">
    <w:abstractNumId w:val="39"/>
  </w:num>
  <w:num w:numId="44">
    <w:abstractNumId w:val="52"/>
  </w:num>
  <w:num w:numId="45">
    <w:abstractNumId w:val="42"/>
  </w:num>
  <w:num w:numId="46">
    <w:abstractNumId w:val="26"/>
  </w:num>
  <w:num w:numId="47">
    <w:abstractNumId w:val="40"/>
  </w:num>
  <w:num w:numId="48">
    <w:abstractNumId w:val="53"/>
  </w:num>
  <w:num w:numId="49">
    <w:abstractNumId w:val="13"/>
  </w:num>
  <w:num w:numId="50">
    <w:abstractNumId w:val="27"/>
  </w:num>
  <w:num w:numId="51">
    <w:abstractNumId w:val="48"/>
  </w:num>
  <w:num w:numId="52">
    <w:abstractNumId w:val="46"/>
  </w:num>
  <w:num w:numId="53">
    <w:abstractNumId w:val="25"/>
  </w:num>
  <w:num w:numId="54">
    <w:abstractNumId w:val="12"/>
  </w:num>
  <w:num w:numId="55">
    <w:abstractNumId w:val="4"/>
  </w:num>
  <w:num w:numId="56">
    <w:abstractNumId w:val="34"/>
  </w:num>
  <w:num w:numId="57">
    <w:abstractNumId w:val="6"/>
  </w:num>
  <w:num w:numId="58">
    <w:abstractNumId w:val="17"/>
  </w:num>
  <w:num w:numId="59">
    <w:abstractNumId w:val="45"/>
  </w:num>
  <w:num w:numId="60">
    <w:abstractNumId w:val="54"/>
  </w:num>
  <w:num w:numId="61">
    <w:abstractNumId w:val="4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0"/>
  <w:proofState w:spelling="clean"/>
  <w:defaultTabStop w:val="720"/>
  <w:hyphenationZone w:val="425"/>
  <w:drawingGridHorizontalSpacing w:val="90"/>
  <w:drawingGridVerticalSpacing w:val="181"/>
  <w:displayHorizontalDrawingGridEvery w:val="2"/>
  <w:noPunctuationKerning/>
  <w:characterSpacingControl w:val="doNotCompress"/>
  <w:hdrShapeDefaults>
    <o:shapedefaults v:ext="edit" spidmax="57345" fill="f" fillcolor="white" stroke="f">
      <v:fill color="white" on="f"/>
      <v:stroke on="f"/>
      <v:textbox inset="0,0,0,0"/>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4754B"/>
    <w:rsid w:val="000006B9"/>
    <w:rsid w:val="000008C5"/>
    <w:rsid w:val="00000F21"/>
    <w:rsid w:val="00001954"/>
    <w:rsid w:val="00002206"/>
    <w:rsid w:val="00002D30"/>
    <w:rsid w:val="00003BBA"/>
    <w:rsid w:val="0000611B"/>
    <w:rsid w:val="00006CEB"/>
    <w:rsid w:val="0001009B"/>
    <w:rsid w:val="00010563"/>
    <w:rsid w:val="00011618"/>
    <w:rsid w:val="0001167D"/>
    <w:rsid w:val="00011688"/>
    <w:rsid w:val="00011BC9"/>
    <w:rsid w:val="00011E14"/>
    <w:rsid w:val="00012574"/>
    <w:rsid w:val="0001312C"/>
    <w:rsid w:val="0001525B"/>
    <w:rsid w:val="00015C89"/>
    <w:rsid w:val="000163CB"/>
    <w:rsid w:val="000164A2"/>
    <w:rsid w:val="00016AFB"/>
    <w:rsid w:val="00017C5E"/>
    <w:rsid w:val="00020486"/>
    <w:rsid w:val="00022D49"/>
    <w:rsid w:val="000236FF"/>
    <w:rsid w:val="00024D91"/>
    <w:rsid w:val="00026A1A"/>
    <w:rsid w:val="00030988"/>
    <w:rsid w:val="00030A95"/>
    <w:rsid w:val="00030CFF"/>
    <w:rsid w:val="00031FAA"/>
    <w:rsid w:val="00032D3D"/>
    <w:rsid w:val="00032DC0"/>
    <w:rsid w:val="0003735D"/>
    <w:rsid w:val="00037947"/>
    <w:rsid w:val="000448DD"/>
    <w:rsid w:val="00046DCF"/>
    <w:rsid w:val="000472E7"/>
    <w:rsid w:val="0004746E"/>
    <w:rsid w:val="00047A5F"/>
    <w:rsid w:val="000515A8"/>
    <w:rsid w:val="00053DFD"/>
    <w:rsid w:val="000544EF"/>
    <w:rsid w:val="000567CE"/>
    <w:rsid w:val="00057794"/>
    <w:rsid w:val="00057ECF"/>
    <w:rsid w:val="00057FDE"/>
    <w:rsid w:val="00060AEF"/>
    <w:rsid w:val="00060D86"/>
    <w:rsid w:val="00061569"/>
    <w:rsid w:val="00061696"/>
    <w:rsid w:val="00061FBE"/>
    <w:rsid w:val="0006345F"/>
    <w:rsid w:val="00064698"/>
    <w:rsid w:val="00070797"/>
    <w:rsid w:val="000708BE"/>
    <w:rsid w:val="0007247B"/>
    <w:rsid w:val="00072F44"/>
    <w:rsid w:val="0007350B"/>
    <w:rsid w:val="00075B1D"/>
    <w:rsid w:val="0007729E"/>
    <w:rsid w:val="00080B5B"/>
    <w:rsid w:val="00081D1E"/>
    <w:rsid w:val="00082D23"/>
    <w:rsid w:val="00082FFF"/>
    <w:rsid w:val="00083934"/>
    <w:rsid w:val="0008603A"/>
    <w:rsid w:val="00086398"/>
    <w:rsid w:val="00086418"/>
    <w:rsid w:val="000864F6"/>
    <w:rsid w:val="00086A8A"/>
    <w:rsid w:val="00087C56"/>
    <w:rsid w:val="00090312"/>
    <w:rsid w:val="00092325"/>
    <w:rsid w:val="00092348"/>
    <w:rsid w:val="000956D3"/>
    <w:rsid w:val="0009615C"/>
    <w:rsid w:val="000965C1"/>
    <w:rsid w:val="000971AD"/>
    <w:rsid w:val="000A14BE"/>
    <w:rsid w:val="000A1DC4"/>
    <w:rsid w:val="000A2489"/>
    <w:rsid w:val="000A32B5"/>
    <w:rsid w:val="000A359B"/>
    <w:rsid w:val="000A4658"/>
    <w:rsid w:val="000A486B"/>
    <w:rsid w:val="000A599E"/>
    <w:rsid w:val="000A5B0A"/>
    <w:rsid w:val="000A6437"/>
    <w:rsid w:val="000A6584"/>
    <w:rsid w:val="000A715B"/>
    <w:rsid w:val="000A7286"/>
    <w:rsid w:val="000A7330"/>
    <w:rsid w:val="000A78A1"/>
    <w:rsid w:val="000A7B45"/>
    <w:rsid w:val="000B0D11"/>
    <w:rsid w:val="000B108D"/>
    <w:rsid w:val="000B1619"/>
    <w:rsid w:val="000B2DD8"/>
    <w:rsid w:val="000B3EAC"/>
    <w:rsid w:val="000B46C7"/>
    <w:rsid w:val="000B4762"/>
    <w:rsid w:val="000B5580"/>
    <w:rsid w:val="000B5761"/>
    <w:rsid w:val="000B66BC"/>
    <w:rsid w:val="000B74A7"/>
    <w:rsid w:val="000B7D01"/>
    <w:rsid w:val="000C01E8"/>
    <w:rsid w:val="000C04BB"/>
    <w:rsid w:val="000C0B89"/>
    <w:rsid w:val="000C0D0F"/>
    <w:rsid w:val="000C216B"/>
    <w:rsid w:val="000C3F11"/>
    <w:rsid w:val="000C5068"/>
    <w:rsid w:val="000C6AAC"/>
    <w:rsid w:val="000D0106"/>
    <w:rsid w:val="000D1636"/>
    <w:rsid w:val="000D1827"/>
    <w:rsid w:val="000D1E6C"/>
    <w:rsid w:val="000D3973"/>
    <w:rsid w:val="000D44A0"/>
    <w:rsid w:val="000D5823"/>
    <w:rsid w:val="000D5FF7"/>
    <w:rsid w:val="000D6138"/>
    <w:rsid w:val="000D64CA"/>
    <w:rsid w:val="000D6823"/>
    <w:rsid w:val="000D6D58"/>
    <w:rsid w:val="000D77FB"/>
    <w:rsid w:val="000E083F"/>
    <w:rsid w:val="000E2D94"/>
    <w:rsid w:val="000E4713"/>
    <w:rsid w:val="000E4A3F"/>
    <w:rsid w:val="000E4B8D"/>
    <w:rsid w:val="000E5AAE"/>
    <w:rsid w:val="000E62A7"/>
    <w:rsid w:val="000E6617"/>
    <w:rsid w:val="000E6BF5"/>
    <w:rsid w:val="000E715A"/>
    <w:rsid w:val="000F1F74"/>
    <w:rsid w:val="000F26EF"/>
    <w:rsid w:val="000F4A4A"/>
    <w:rsid w:val="000F4B74"/>
    <w:rsid w:val="000F5958"/>
    <w:rsid w:val="000F5F49"/>
    <w:rsid w:val="000F74E8"/>
    <w:rsid w:val="000F7613"/>
    <w:rsid w:val="00100493"/>
    <w:rsid w:val="001005A7"/>
    <w:rsid w:val="00103902"/>
    <w:rsid w:val="00103B23"/>
    <w:rsid w:val="00110007"/>
    <w:rsid w:val="00110BC7"/>
    <w:rsid w:val="0011104F"/>
    <w:rsid w:val="00111F80"/>
    <w:rsid w:val="001120BB"/>
    <w:rsid w:val="001133CE"/>
    <w:rsid w:val="00114345"/>
    <w:rsid w:val="0011649C"/>
    <w:rsid w:val="00117248"/>
    <w:rsid w:val="00117791"/>
    <w:rsid w:val="001227AD"/>
    <w:rsid w:val="00123F45"/>
    <w:rsid w:val="00124715"/>
    <w:rsid w:val="00125BAF"/>
    <w:rsid w:val="00125CA1"/>
    <w:rsid w:val="00127AC7"/>
    <w:rsid w:val="001305CF"/>
    <w:rsid w:val="00130DD7"/>
    <w:rsid w:val="00130EEF"/>
    <w:rsid w:val="00131057"/>
    <w:rsid w:val="00131C70"/>
    <w:rsid w:val="00132069"/>
    <w:rsid w:val="00132855"/>
    <w:rsid w:val="00132A0E"/>
    <w:rsid w:val="00132FD2"/>
    <w:rsid w:val="00133533"/>
    <w:rsid w:val="00134551"/>
    <w:rsid w:val="00136A9C"/>
    <w:rsid w:val="00136C36"/>
    <w:rsid w:val="00136DF0"/>
    <w:rsid w:val="001376F7"/>
    <w:rsid w:val="001407E1"/>
    <w:rsid w:val="00141CCF"/>
    <w:rsid w:val="00141FF2"/>
    <w:rsid w:val="0014246F"/>
    <w:rsid w:val="00142881"/>
    <w:rsid w:val="00142ED4"/>
    <w:rsid w:val="00143338"/>
    <w:rsid w:val="00143A3F"/>
    <w:rsid w:val="00143C6A"/>
    <w:rsid w:val="0014449A"/>
    <w:rsid w:val="00145BAD"/>
    <w:rsid w:val="00146CA4"/>
    <w:rsid w:val="001475A2"/>
    <w:rsid w:val="00151462"/>
    <w:rsid w:val="00151D33"/>
    <w:rsid w:val="0015208B"/>
    <w:rsid w:val="001526B8"/>
    <w:rsid w:val="0015292D"/>
    <w:rsid w:val="00153F16"/>
    <w:rsid w:val="00154FCE"/>
    <w:rsid w:val="001572C1"/>
    <w:rsid w:val="0016100A"/>
    <w:rsid w:val="001612FD"/>
    <w:rsid w:val="001622F5"/>
    <w:rsid w:val="00162ABC"/>
    <w:rsid w:val="00164A3E"/>
    <w:rsid w:val="00164A9A"/>
    <w:rsid w:val="0016680C"/>
    <w:rsid w:val="00166A6F"/>
    <w:rsid w:val="00166C41"/>
    <w:rsid w:val="00167041"/>
    <w:rsid w:val="00167C21"/>
    <w:rsid w:val="00171C3F"/>
    <w:rsid w:val="00171C76"/>
    <w:rsid w:val="001720F3"/>
    <w:rsid w:val="001721BF"/>
    <w:rsid w:val="0017297A"/>
    <w:rsid w:val="00173FAA"/>
    <w:rsid w:val="00174252"/>
    <w:rsid w:val="001753D7"/>
    <w:rsid w:val="0017558C"/>
    <w:rsid w:val="00175A51"/>
    <w:rsid w:val="00180521"/>
    <w:rsid w:val="001807E9"/>
    <w:rsid w:val="001807ED"/>
    <w:rsid w:val="00180FB9"/>
    <w:rsid w:val="00181A8D"/>
    <w:rsid w:val="001849BA"/>
    <w:rsid w:val="00184D76"/>
    <w:rsid w:val="00185539"/>
    <w:rsid w:val="001857D7"/>
    <w:rsid w:val="001865CF"/>
    <w:rsid w:val="00186774"/>
    <w:rsid w:val="0018771D"/>
    <w:rsid w:val="00187E4B"/>
    <w:rsid w:val="00187ECA"/>
    <w:rsid w:val="001905AF"/>
    <w:rsid w:val="00191467"/>
    <w:rsid w:val="001914C6"/>
    <w:rsid w:val="00193425"/>
    <w:rsid w:val="001934AC"/>
    <w:rsid w:val="00193A99"/>
    <w:rsid w:val="001943A2"/>
    <w:rsid w:val="00195426"/>
    <w:rsid w:val="00197F19"/>
    <w:rsid w:val="001A012D"/>
    <w:rsid w:val="001A2ABA"/>
    <w:rsid w:val="001A46E4"/>
    <w:rsid w:val="001A7665"/>
    <w:rsid w:val="001A77D7"/>
    <w:rsid w:val="001A78C1"/>
    <w:rsid w:val="001B1458"/>
    <w:rsid w:val="001B2410"/>
    <w:rsid w:val="001B2D84"/>
    <w:rsid w:val="001B34D0"/>
    <w:rsid w:val="001B3BF0"/>
    <w:rsid w:val="001B7535"/>
    <w:rsid w:val="001C123F"/>
    <w:rsid w:val="001C2254"/>
    <w:rsid w:val="001C2537"/>
    <w:rsid w:val="001C27BF"/>
    <w:rsid w:val="001C50A4"/>
    <w:rsid w:val="001C5613"/>
    <w:rsid w:val="001C597D"/>
    <w:rsid w:val="001C5EE0"/>
    <w:rsid w:val="001C791E"/>
    <w:rsid w:val="001D0DCE"/>
    <w:rsid w:val="001D1678"/>
    <w:rsid w:val="001D1AE1"/>
    <w:rsid w:val="001D36C8"/>
    <w:rsid w:val="001D386D"/>
    <w:rsid w:val="001D39F5"/>
    <w:rsid w:val="001D4A4A"/>
    <w:rsid w:val="001D4EC2"/>
    <w:rsid w:val="001D5CFB"/>
    <w:rsid w:val="001D629F"/>
    <w:rsid w:val="001D6F2F"/>
    <w:rsid w:val="001D7541"/>
    <w:rsid w:val="001D7778"/>
    <w:rsid w:val="001E19C2"/>
    <w:rsid w:val="001E1E08"/>
    <w:rsid w:val="001E4710"/>
    <w:rsid w:val="001E4BA5"/>
    <w:rsid w:val="001E58D0"/>
    <w:rsid w:val="001E5A9A"/>
    <w:rsid w:val="001E5F9C"/>
    <w:rsid w:val="001E7ADE"/>
    <w:rsid w:val="001F0676"/>
    <w:rsid w:val="001F0ECD"/>
    <w:rsid w:val="001F28C3"/>
    <w:rsid w:val="001F28E7"/>
    <w:rsid w:val="001F3810"/>
    <w:rsid w:val="001F3E84"/>
    <w:rsid w:val="001F4281"/>
    <w:rsid w:val="001F6203"/>
    <w:rsid w:val="001F7C68"/>
    <w:rsid w:val="001F7D7C"/>
    <w:rsid w:val="00201339"/>
    <w:rsid w:val="0020137F"/>
    <w:rsid w:val="00201643"/>
    <w:rsid w:val="00201AC3"/>
    <w:rsid w:val="002023F9"/>
    <w:rsid w:val="0020297E"/>
    <w:rsid w:val="002042A7"/>
    <w:rsid w:val="00204A81"/>
    <w:rsid w:val="00205B21"/>
    <w:rsid w:val="00206A85"/>
    <w:rsid w:val="00207482"/>
    <w:rsid w:val="00207901"/>
    <w:rsid w:val="002143BB"/>
    <w:rsid w:val="00214915"/>
    <w:rsid w:val="002149E4"/>
    <w:rsid w:val="00214D62"/>
    <w:rsid w:val="002161E2"/>
    <w:rsid w:val="002162B5"/>
    <w:rsid w:val="002172CC"/>
    <w:rsid w:val="00217B44"/>
    <w:rsid w:val="00217D1F"/>
    <w:rsid w:val="00220AA0"/>
    <w:rsid w:val="00222753"/>
    <w:rsid w:val="0022283C"/>
    <w:rsid w:val="0022597B"/>
    <w:rsid w:val="002262E5"/>
    <w:rsid w:val="002304E0"/>
    <w:rsid w:val="00231EBE"/>
    <w:rsid w:val="002323A0"/>
    <w:rsid w:val="00233A74"/>
    <w:rsid w:val="00235FBA"/>
    <w:rsid w:val="00237588"/>
    <w:rsid w:val="0023791C"/>
    <w:rsid w:val="00237DD1"/>
    <w:rsid w:val="0024092A"/>
    <w:rsid w:val="00240BF0"/>
    <w:rsid w:val="0024218B"/>
    <w:rsid w:val="00242493"/>
    <w:rsid w:val="00242D31"/>
    <w:rsid w:val="00243937"/>
    <w:rsid w:val="0024434F"/>
    <w:rsid w:val="00244966"/>
    <w:rsid w:val="0024511B"/>
    <w:rsid w:val="00245B16"/>
    <w:rsid w:val="00245CB1"/>
    <w:rsid w:val="00245EE3"/>
    <w:rsid w:val="002461BA"/>
    <w:rsid w:val="00247954"/>
    <w:rsid w:val="002509B1"/>
    <w:rsid w:val="00252F75"/>
    <w:rsid w:val="00253D80"/>
    <w:rsid w:val="00254983"/>
    <w:rsid w:val="00255202"/>
    <w:rsid w:val="002573FC"/>
    <w:rsid w:val="00260D4F"/>
    <w:rsid w:val="0026239E"/>
    <w:rsid w:val="0026270F"/>
    <w:rsid w:val="0026336E"/>
    <w:rsid w:val="00264409"/>
    <w:rsid w:val="002662F0"/>
    <w:rsid w:val="002706B3"/>
    <w:rsid w:val="00270DBA"/>
    <w:rsid w:val="002710BE"/>
    <w:rsid w:val="00272017"/>
    <w:rsid w:val="00272210"/>
    <w:rsid w:val="00272715"/>
    <w:rsid w:val="0027305C"/>
    <w:rsid w:val="0027308B"/>
    <w:rsid w:val="002736E3"/>
    <w:rsid w:val="00275254"/>
    <w:rsid w:val="00275423"/>
    <w:rsid w:val="00275435"/>
    <w:rsid w:val="0027548E"/>
    <w:rsid w:val="00276DB0"/>
    <w:rsid w:val="00281660"/>
    <w:rsid w:val="0028217E"/>
    <w:rsid w:val="00286279"/>
    <w:rsid w:val="00287297"/>
    <w:rsid w:val="00287E34"/>
    <w:rsid w:val="002909B6"/>
    <w:rsid w:val="00291B93"/>
    <w:rsid w:val="002925F0"/>
    <w:rsid w:val="00292FC3"/>
    <w:rsid w:val="0029415C"/>
    <w:rsid w:val="002946C4"/>
    <w:rsid w:val="00294990"/>
    <w:rsid w:val="00295D7B"/>
    <w:rsid w:val="00297715"/>
    <w:rsid w:val="00297BC1"/>
    <w:rsid w:val="002A07A2"/>
    <w:rsid w:val="002A2841"/>
    <w:rsid w:val="002A28A2"/>
    <w:rsid w:val="002A29B1"/>
    <w:rsid w:val="002A536D"/>
    <w:rsid w:val="002A54FF"/>
    <w:rsid w:val="002A6ADE"/>
    <w:rsid w:val="002A6B55"/>
    <w:rsid w:val="002B009A"/>
    <w:rsid w:val="002B071B"/>
    <w:rsid w:val="002B0879"/>
    <w:rsid w:val="002B0936"/>
    <w:rsid w:val="002B0A4B"/>
    <w:rsid w:val="002B0AAC"/>
    <w:rsid w:val="002B34A4"/>
    <w:rsid w:val="002B3BEC"/>
    <w:rsid w:val="002B3FF4"/>
    <w:rsid w:val="002B70BC"/>
    <w:rsid w:val="002B7189"/>
    <w:rsid w:val="002B74C8"/>
    <w:rsid w:val="002C07EA"/>
    <w:rsid w:val="002C169A"/>
    <w:rsid w:val="002C1F24"/>
    <w:rsid w:val="002C4B54"/>
    <w:rsid w:val="002C5729"/>
    <w:rsid w:val="002C5782"/>
    <w:rsid w:val="002C5EF2"/>
    <w:rsid w:val="002C6238"/>
    <w:rsid w:val="002C6479"/>
    <w:rsid w:val="002C6D46"/>
    <w:rsid w:val="002C72C2"/>
    <w:rsid w:val="002D0276"/>
    <w:rsid w:val="002D1CE8"/>
    <w:rsid w:val="002D2944"/>
    <w:rsid w:val="002D3764"/>
    <w:rsid w:val="002D378E"/>
    <w:rsid w:val="002E1083"/>
    <w:rsid w:val="002E3728"/>
    <w:rsid w:val="002E3ED1"/>
    <w:rsid w:val="002E3FD6"/>
    <w:rsid w:val="002E6BDF"/>
    <w:rsid w:val="002E6BEF"/>
    <w:rsid w:val="002E721E"/>
    <w:rsid w:val="002F2179"/>
    <w:rsid w:val="002F3BA4"/>
    <w:rsid w:val="00300AA7"/>
    <w:rsid w:val="00300E22"/>
    <w:rsid w:val="0030136E"/>
    <w:rsid w:val="00301469"/>
    <w:rsid w:val="00301BEE"/>
    <w:rsid w:val="003027FE"/>
    <w:rsid w:val="00302FB6"/>
    <w:rsid w:val="003032DF"/>
    <w:rsid w:val="0030524E"/>
    <w:rsid w:val="0030642D"/>
    <w:rsid w:val="00307B4B"/>
    <w:rsid w:val="003113EE"/>
    <w:rsid w:val="00314716"/>
    <w:rsid w:val="00315160"/>
    <w:rsid w:val="00316050"/>
    <w:rsid w:val="003167BD"/>
    <w:rsid w:val="00316905"/>
    <w:rsid w:val="00317861"/>
    <w:rsid w:val="00317BCB"/>
    <w:rsid w:val="00321B6C"/>
    <w:rsid w:val="00321D7D"/>
    <w:rsid w:val="003231FC"/>
    <w:rsid w:val="0032369D"/>
    <w:rsid w:val="003236C2"/>
    <w:rsid w:val="00324840"/>
    <w:rsid w:val="00324993"/>
    <w:rsid w:val="003260D7"/>
    <w:rsid w:val="003264FC"/>
    <w:rsid w:val="0032786A"/>
    <w:rsid w:val="003310AE"/>
    <w:rsid w:val="003335A9"/>
    <w:rsid w:val="00334535"/>
    <w:rsid w:val="0033504B"/>
    <w:rsid w:val="003353A9"/>
    <w:rsid w:val="003355CE"/>
    <w:rsid w:val="003358B6"/>
    <w:rsid w:val="0033642B"/>
    <w:rsid w:val="003371AF"/>
    <w:rsid w:val="003405E7"/>
    <w:rsid w:val="00340711"/>
    <w:rsid w:val="003411F8"/>
    <w:rsid w:val="00341560"/>
    <w:rsid w:val="003418AD"/>
    <w:rsid w:val="0034348F"/>
    <w:rsid w:val="00344611"/>
    <w:rsid w:val="00345499"/>
    <w:rsid w:val="003475AF"/>
    <w:rsid w:val="00350419"/>
    <w:rsid w:val="00350D74"/>
    <w:rsid w:val="00352D4B"/>
    <w:rsid w:val="00354188"/>
    <w:rsid w:val="003546F2"/>
    <w:rsid w:val="0036007F"/>
    <w:rsid w:val="00360553"/>
    <w:rsid w:val="00360A3D"/>
    <w:rsid w:val="00361101"/>
    <w:rsid w:val="00364DD5"/>
    <w:rsid w:val="0037059A"/>
    <w:rsid w:val="003706AB"/>
    <w:rsid w:val="00371745"/>
    <w:rsid w:val="003718C7"/>
    <w:rsid w:val="003723CD"/>
    <w:rsid w:val="003732F8"/>
    <w:rsid w:val="00373CFA"/>
    <w:rsid w:val="003758DF"/>
    <w:rsid w:val="00376911"/>
    <w:rsid w:val="0037735D"/>
    <w:rsid w:val="00381146"/>
    <w:rsid w:val="00381582"/>
    <w:rsid w:val="00384B0B"/>
    <w:rsid w:val="00384D30"/>
    <w:rsid w:val="00385061"/>
    <w:rsid w:val="003869D4"/>
    <w:rsid w:val="00386CDA"/>
    <w:rsid w:val="00387DC5"/>
    <w:rsid w:val="00390B64"/>
    <w:rsid w:val="00390B7F"/>
    <w:rsid w:val="00391EF9"/>
    <w:rsid w:val="00392036"/>
    <w:rsid w:val="003937EE"/>
    <w:rsid w:val="00393D7A"/>
    <w:rsid w:val="00394D11"/>
    <w:rsid w:val="00395FEB"/>
    <w:rsid w:val="00397B00"/>
    <w:rsid w:val="003A13D1"/>
    <w:rsid w:val="003A3804"/>
    <w:rsid w:val="003A5995"/>
    <w:rsid w:val="003A5B2A"/>
    <w:rsid w:val="003A5EB5"/>
    <w:rsid w:val="003A6DAC"/>
    <w:rsid w:val="003B054D"/>
    <w:rsid w:val="003B0870"/>
    <w:rsid w:val="003B08DC"/>
    <w:rsid w:val="003B0909"/>
    <w:rsid w:val="003B09C0"/>
    <w:rsid w:val="003B1279"/>
    <w:rsid w:val="003B1611"/>
    <w:rsid w:val="003B23B9"/>
    <w:rsid w:val="003B2DDA"/>
    <w:rsid w:val="003B2E88"/>
    <w:rsid w:val="003B3015"/>
    <w:rsid w:val="003B3824"/>
    <w:rsid w:val="003B4192"/>
    <w:rsid w:val="003B472A"/>
    <w:rsid w:val="003B555D"/>
    <w:rsid w:val="003B5CD9"/>
    <w:rsid w:val="003B61F5"/>
    <w:rsid w:val="003B79B4"/>
    <w:rsid w:val="003B7BEC"/>
    <w:rsid w:val="003C4CC8"/>
    <w:rsid w:val="003C544C"/>
    <w:rsid w:val="003C6064"/>
    <w:rsid w:val="003C66FA"/>
    <w:rsid w:val="003C6829"/>
    <w:rsid w:val="003C7123"/>
    <w:rsid w:val="003C7E9B"/>
    <w:rsid w:val="003D04AD"/>
    <w:rsid w:val="003D0536"/>
    <w:rsid w:val="003D118F"/>
    <w:rsid w:val="003D2141"/>
    <w:rsid w:val="003D433B"/>
    <w:rsid w:val="003D7A5E"/>
    <w:rsid w:val="003E12AE"/>
    <w:rsid w:val="003E1D33"/>
    <w:rsid w:val="003E1E0E"/>
    <w:rsid w:val="003E23B1"/>
    <w:rsid w:val="003E3C45"/>
    <w:rsid w:val="003E4DEE"/>
    <w:rsid w:val="003E4F6D"/>
    <w:rsid w:val="003E56A4"/>
    <w:rsid w:val="003E624B"/>
    <w:rsid w:val="003E62FE"/>
    <w:rsid w:val="003F1BF6"/>
    <w:rsid w:val="003F37CB"/>
    <w:rsid w:val="003F51BD"/>
    <w:rsid w:val="003F598C"/>
    <w:rsid w:val="003F5D42"/>
    <w:rsid w:val="003F6C06"/>
    <w:rsid w:val="003F7811"/>
    <w:rsid w:val="0040194F"/>
    <w:rsid w:val="00401A21"/>
    <w:rsid w:val="00403798"/>
    <w:rsid w:val="00404AA3"/>
    <w:rsid w:val="004050A1"/>
    <w:rsid w:val="004052F0"/>
    <w:rsid w:val="004055B3"/>
    <w:rsid w:val="00406605"/>
    <w:rsid w:val="00407426"/>
    <w:rsid w:val="00407A0F"/>
    <w:rsid w:val="00410E47"/>
    <w:rsid w:val="00413A7F"/>
    <w:rsid w:val="004148B2"/>
    <w:rsid w:val="00414EB6"/>
    <w:rsid w:val="00415D69"/>
    <w:rsid w:val="0041676D"/>
    <w:rsid w:val="00417210"/>
    <w:rsid w:val="004178C8"/>
    <w:rsid w:val="00421540"/>
    <w:rsid w:val="004220C8"/>
    <w:rsid w:val="004229C1"/>
    <w:rsid w:val="00422C76"/>
    <w:rsid w:val="00423769"/>
    <w:rsid w:val="0042419F"/>
    <w:rsid w:val="00424A0A"/>
    <w:rsid w:val="00424BB8"/>
    <w:rsid w:val="00424F61"/>
    <w:rsid w:val="004250C0"/>
    <w:rsid w:val="00426A00"/>
    <w:rsid w:val="00430CAC"/>
    <w:rsid w:val="00433529"/>
    <w:rsid w:val="00433E1A"/>
    <w:rsid w:val="00434439"/>
    <w:rsid w:val="00436233"/>
    <w:rsid w:val="004379F7"/>
    <w:rsid w:val="00437E78"/>
    <w:rsid w:val="00440847"/>
    <w:rsid w:val="004446C2"/>
    <w:rsid w:val="004466D5"/>
    <w:rsid w:val="0044777F"/>
    <w:rsid w:val="00447EB1"/>
    <w:rsid w:val="00451BA1"/>
    <w:rsid w:val="00452A27"/>
    <w:rsid w:val="0045378E"/>
    <w:rsid w:val="00453BD6"/>
    <w:rsid w:val="0045405A"/>
    <w:rsid w:val="00455A2F"/>
    <w:rsid w:val="004573B6"/>
    <w:rsid w:val="00460502"/>
    <w:rsid w:val="004612B9"/>
    <w:rsid w:val="004618EC"/>
    <w:rsid w:val="00462168"/>
    <w:rsid w:val="0046231D"/>
    <w:rsid w:val="00462408"/>
    <w:rsid w:val="00463240"/>
    <w:rsid w:val="0046362B"/>
    <w:rsid w:val="004645D1"/>
    <w:rsid w:val="00465521"/>
    <w:rsid w:val="00467C7D"/>
    <w:rsid w:val="00467F98"/>
    <w:rsid w:val="00470082"/>
    <w:rsid w:val="00470C9E"/>
    <w:rsid w:val="00471639"/>
    <w:rsid w:val="004719F6"/>
    <w:rsid w:val="00472209"/>
    <w:rsid w:val="00472EC7"/>
    <w:rsid w:val="00473173"/>
    <w:rsid w:val="00474B43"/>
    <w:rsid w:val="00476B94"/>
    <w:rsid w:val="00477D43"/>
    <w:rsid w:val="004804A2"/>
    <w:rsid w:val="00481854"/>
    <w:rsid w:val="004818ED"/>
    <w:rsid w:val="00482670"/>
    <w:rsid w:val="00483334"/>
    <w:rsid w:val="004835BD"/>
    <w:rsid w:val="00484555"/>
    <w:rsid w:val="0048526F"/>
    <w:rsid w:val="00485706"/>
    <w:rsid w:val="00486D4C"/>
    <w:rsid w:val="0049025A"/>
    <w:rsid w:val="00491D9A"/>
    <w:rsid w:val="00492435"/>
    <w:rsid w:val="004924B2"/>
    <w:rsid w:val="0049459B"/>
    <w:rsid w:val="00494A67"/>
    <w:rsid w:val="0049578C"/>
    <w:rsid w:val="004968DF"/>
    <w:rsid w:val="004A107B"/>
    <w:rsid w:val="004A15F0"/>
    <w:rsid w:val="004A18A4"/>
    <w:rsid w:val="004A1A27"/>
    <w:rsid w:val="004A296A"/>
    <w:rsid w:val="004A3009"/>
    <w:rsid w:val="004A347E"/>
    <w:rsid w:val="004A4633"/>
    <w:rsid w:val="004A4C19"/>
    <w:rsid w:val="004A4C67"/>
    <w:rsid w:val="004A5220"/>
    <w:rsid w:val="004A61B4"/>
    <w:rsid w:val="004A623C"/>
    <w:rsid w:val="004B064A"/>
    <w:rsid w:val="004B1ADF"/>
    <w:rsid w:val="004B331D"/>
    <w:rsid w:val="004B44F1"/>
    <w:rsid w:val="004B5877"/>
    <w:rsid w:val="004B653A"/>
    <w:rsid w:val="004B6D3B"/>
    <w:rsid w:val="004B7616"/>
    <w:rsid w:val="004C0459"/>
    <w:rsid w:val="004C2916"/>
    <w:rsid w:val="004C2CFB"/>
    <w:rsid w:val="004C3157"/>
    <w:rsid w:val="004C3560"/>
    <w:rsid w:val="004C531C"/>
    <w:rsid w:val="004C56D9"/>
    <w:rsid w:val="004C587B"/>
    <w:rsid w:val="004C6361"/>
    <w:rsid w:val="004D12DC"/>
    <w:rsid w:val="004D14B5"/>
    <w:rsid w:val="004D223F"/>
    <w:rsid w:val="004D2325"/>
    <w:rsid w:val="004D36F1"/>
    <w:rsid w:val="004D47F0"/>
    <w:rsid w:val="004D53AC"/>
    <w:rsid w:val="004D70D0"/>
    <w:rsid w:val="004D7C73"/>
    <w:rsid w:val="004D7FD7"/>
    <w:rsid w:val="004E0132"/>
    <w:rsid w:val="004E043C"/>
    <w:rsid w:val="004E0DC5"/>
    <w:rsid w:val="004E100C"/>
    <w:rsid w:val="004E1CC0"/>
    <w:rsid w:val="004E204E"/>
    <w:rsid w:val="004E26E2"/>
    <w:rsid w:val="004E36C4"/>
    <w:rsid w:val="004E437E"/>
    <w:rsid w:val="004E59DD"/>
    <w:rsid w:val="004F0060"/>
    <w:rsid w:val="004F038C"/>
    <w:rsid w:val="004F0B0E"/>
    <w:rsid w:val="004F0BFB"/>
    <w:rsid w:val="004F0C5D"/>
    <w:rsid w:val="004F39F5"/>
    <w:rsid w:val="004F4212"/>
    <w:rsid w:val="004F4B70"/>
    <w:rsid w:val="004F782C"/>
    <w:rsid w:val="00500508"/>
    <w:rsid w:val="00505096"/>
    <w:rsid w:val="00505AEE"/>
    <w:rsid w:val="00505D21"/>
    <w:rsid w:val="0050602F"/>
    <w:rsid w:val="005063DE"/>
    <w:rsid w:val="00506444"/>
    <w:rsid w:val="00506596"/>
    <w:rsid w:val="00507878"/>
    <w:rsid w:val="00510FE5"/>
    <w:rsid w:val="00512342"/>
    <w:rsid w:val="00512B5A"/>
    <w:rsid w:val="00513244"/>
    <w:rsid w:val="00514EAE"/>
    <w:rsid w:val="005170CA"/>
    <w:rsid w:val="00520804"/>
    <w:rsid w:val="00520E26"/>
    <w:rsid w:val="00521326"/>
    <w:rsid w:val="005230DE"/>
    <w:rsid w:val="00523570"/>
    <w:rsid w:val="005254CB"/>
    <w:rsid w:val="00526EBD"/>
    <w:rsid w:val="0053018F"/>
    <w:rsid w:val="00530472"/>
    <w:rsid w:val="00530B7F"/>
    <w:rsid w:val="005315D3"/>
    <w:rsid w:val="00531A77"/>
    <w:rsid w:val="00532B92"/>
    <w:rsid w:val="0053335C"/>
    <w:rsid w:val="005334AA"/>
    <w:rsid w:val="00534FED"/>
    <w:rsid w:val="005357EF"/>
    <w:rsid w:val="005403C7"/>
    <w:rsid w:val="00540765"/>
    <w:rsid w:val="00541DA7"/>
    <w:rsid w:val="00542529"/>
    <w:rsid w:val="00542741"/>
    <w:rsid w:val="005441C9"/>
    <w:rsid w:val="00544664"/>
    <w:rsid w:val="00546848"/>
    <w:rsid w:val="00546D9F"/>
    <w:rsid w:val="00550D82"/>
    <w:rsid w:val="00553B13"/>
    <w:rsid w:val="00554069"/>
    <w:rsid w:val="0055482B"/>
    <w:rsid w:val="005550ED"/>
    <w:rsid w:val="005555FD"/>
    <w:rsid w:val="005556DC"/>
    <w:rsid w:val="00555B13"/>
    <w:rsid w:val="00556C46"/>
    <w:rsid w:val="00557776"/>
    <w:rsid w:val="00562EE5"/>
    <w:rsid w:val="005637C9"/>
    <w:rsid w:val="00563970"/>
    <w:rsid w:val="00564147"/>
    <w:rsid w:val="00564469"/>
    <w:rsid w:val="0056452F"/>
    <w:rsid w:val="00565261"/>
    <w:rsid w:val="005677F5"/>
    <w:rsid w:val="005706FB"/>
    <w:rsid w:val="00572698"/>
    <w:rsid w:val="00573517"/>
    <w:rsid w:val="0057423E"/>
    <w:rsid w:val="00574827"/>
    <w:rsid w:val="00575A17"/>
    <w:rsid w:val="0057624C"/>
    <w:rsid w:val="0057643F"/>
    <w:rsid w:val="00576B1D"/>
    <w:rsid w:val="00577108"/>
    <w:rsid w:val="00580256"/>
    <w:rsid w:val="005810D1"/>
    <w:rsid w:val="0058174D"/>
    <w:rsid w:val="0058289F"/>
    <w:rsid w:val="00583DD0"/>
    <w:rsid w:val="00590FFA"/>
    <w:rsid w:val="00592197"/>
    <w:rsid w:val="00594532"/>
    <w:rsid w:val="0059457E"/>
    <w:rsid w:val="00594D94"/>
    <w:rsid w:val="005954BF"/>
    <w:rsid w:val="005959BF"/>
    <w:rsid w:val="00595A81"/>
    <w:rsid w:val="005962EA"/>
    <w:rsid w:val="005A052D"/>
    <w:rsid w:val="005A0FE7"/>
    <w:rsid w:val="005A1569"/>
    <w:rsid w:val="005A1732"/>
    <w:rsid w:val="005A1D6D"/>
    <w:rsid w:val="005A23B9"/>
    <w:rsid w:val="005A28BE"/>
    <w:rsid w:val="005A5B50"/>
    <w:rsid w:val="005B1C10"/>
    <w:rsid w:val="005B26E3"/>
    <w:rsid w:val="005B7B00"/>
    <w:rsid w:val="005C09F7"/>
    <w:rsid w:val="005C1136"/>
    <w:rsid w:val="005C3639"/>
    <w:rsid w:val="005C3647"/>
    <w:rsid w:val="005C5A30"/>
    <w:rsid w:val="005C5DE5"/>
    <w:rsid w:val="005C5E78"/>
    <w:rsid w:val="005C624B"/>
    <w:rsid w:val="005C69DE"/>
    <w:rsid w:val="005C6F27"/>
    <w:rsid w:val="005D0068"/>
    <w:rsid w:val="005D0085"/>
    <w:rsid w:val="005D0BA3"/>
    <w:rsid w:val="005D0D88"/>
    <w:rsid w:val="005D1F91"/>
    <w:rsid w:val="005D5E9E"/>
    <w:rsid w:val="005D66B3"/>
    <w:rsid w:val="005D7EDA"/>
    <w:rsid w:val="005E0567"/>
    <w:rsid w:val="005E0E4A"/>
    <w:rsid w:val="005E11D1"/>
    <w:rsid w:val="005E14DF"/>
    <w:rsid w:val="005E1C85"/>
    <w:rsid w:val="005E2F5D"/>
    <w:rsid w:val="005E3C4A"/>
    <w:rsid w:val="005E3DFA"/>
    <w:rsid w:val="005E3E56"/>
    <w:rsid w:val="005E4C56"/>
    <w:rsid w:val="005E5BB9"/>
    <w:rsid w:val="005E615B"/>
    <w:rsid w:val="005E73EB"/>
    <w:rsid w:val="005E7B71"/>
    <w:rsid w:val="005F2987"/>
    <w:rsid w:val="005F3AC8"/>
    <w:rsid w:val="005F4574"/>
    <w:rsid w:val="005F45A9"/>
    <w:rsid w:val="005F5504"/>
    <w:rsid w:val="005F557E"/>
    <w:rsid w:val="005F6E30"/>
    <w:rsid w:val="005F704F"/>
    <w:rsid w:val="006033AB"/>
    <w:rsid w:val="00603579"/>
    <w:rsid w:val="00603F44"/>
    <w:rsid w:val="00603F66"/>
    <w:rsid w:val="00605108"/>
    <w:rsid w:val="0060741B"/>
    <w:rsid w:val="0060766D"/>
    <w:rsid w:val="00607A1B"/>
    <w:rsid w:val="0061104D"/>
    <w:rsid w:val="0061109E"/>
    <w:rsid w:val="0061403A"/>
    <w:rsid w:val="006162F0"/>
    <w:rsid w:val="0061658B"/>
    <w:rsid w:val="006171B4"/>
    <w:rsid w:val="0062069D"/>
    <w:rsid w:val="00621B0F"/>
    <w:rsid w:val="00623E45"/>
    <w:rsid w:val="0062501E"/>
    <w:rsid w:val="00625DC4"/>
    <w:rsid w:val="0062777A"/>
    <w:rsid w:val="00627E07"/>
    <w:rsid w:val="0063109A"/>
    <w:rsid w:val="006316AD"/>
    <w:rsid w:val="0063223E"/>
    <w:rsid w:val="00633D3F"/>
    <w:rsid w:val="00634086"/>
    <w:rsid w:val="00634238"/>
    <w:rsid w:val="00634337"/>
    <w:rsid w:val="00636093"/>
    <w:rsid w:val="00637945"/>
    <w:rsid w:val="0064027F"/>
    <w:rsid w:val="00640D9C"/>
    <w:rsid w:val="00641C67"/>
    <w:rsid w:val="00642285"/>
    <w:rsid w:val="006423CC"/>
    <w:rsid w:val="0064368C"/>
    <w:rsid w:val="00643B49"/>
    <w:rsid w:val="006463CA"/>
    <w:rsid w:val="006470A6"/>
    <w:rsid w:val="00650723"/>
    <w:rsid w:val="00651CD1"/>
    <w:rsid w:val="00652361"/>
    <w:rsid w:val="006537BB"/>
    <w:rsid w:val="00655C0D"/>
    <w:rsid w:val="00655EC7"/>
    <w:rsid w:val="00656442"/>
    <w:rsid w:val="00657F8D"/>
    <w:rsid w:val="006604D8"/>
    <w:rsid w:val="00661667"/>
    <w:rsid w:val="006622A7"/>
    <w:rsid w:val="0066353E"/>
    <w:rsid w:val="00663F8B"/>
    <w:rsid w:val="00663F9A"/>
    <w:rsid w:val="00664684"/>
    <w:rsid w:val="006646F1"/>
    <w:rsid w:val="00665AE3"/>
    <w:rsid w:val="00665BBB"/>
    <w:rsid w:val="0067137A"/>
    <w:rsid w:val="00672131"/>
    <w:rsid w:val="00673A97"/>
    <w:rsid w:val="00675587"/>
    <w:rsid w:val="00675B54"/>
    <w:rsid w:val="00676352"/>
    <w:rsid w:val="00676811"/>
    <w:rsid w:val="00677250"/>
    <w:rsid w:val="0068073E"/>
    <w:rsid w:val="0068104A"/>
    <w:rsid w:val="006825D8"/>
    <w:rsid w:val="00682A11"/>
    <w:rsid w:val="00684733"/>
    <w:rsid w:val="00684A92"/>
    <w:rsid w:val="00687851"/>
    <w:rsid w:val="006914A2"/>
    <w:rsid w:val="006918E9"/>
    <w:rsid w:val="00691A5C"/>
    <w:rsid w:val="00691DAA"/>
    <w:rsid w:val="0069203D"/>
    <w:rsid w:val="00692F00"/>
    <w:rsid w:val="00694498"/>
    <w:rsid w:val="006944D1"/>
    <w:rsid w:val="00694982"/>
    <w:rsid w:val="00697252"/>
    <w:rsid w:val="00697380"/>
    <w:rsid w:val="006A0010"/>
    <w:rsid w:val="006A0DFB"/>
    <w:rsid w:val="006A2D2A"/>
    <w:rsid w:val="006A32F5"/>
    <w:rsid w:val="006A3C49"/>
    <w:rsid w:val="006A4045"/>
    <w:rsid w:val="006A4991"/>
    <w:rsid w:val="006A4EA8"/>
    <w:rsid w:val="006A5A49"/>
    <w:rsid w:val="006A5CC4"/>
    <w:rsid w:val="006A5E20"/>
    <w:rsid w:val="006A70F4"/>
    <w:rsid w:val="006A79D4"/>
    <w:rsid w:val="006B0848"/>
    <w:rsid w:val="006B0C51"/>
    <w:rsid w:val="006B3B83"/>
    <w:rsid w:val="006B3F16"/>
    <w:rsid w:val="006B5730"/>
    <w:rsid w:val="006B5E42"/>
    <w:rsid w:val="006B5EBA"/>
    <w:rsid w:val="006B71C3"/>
    <w:rsid w:val="006B78F4"/>
    <w:rsid w:val="006C011A"/>
    <w:rsid w:val="006C030C"/>
    <w:rsid w:val="006C0659"/>
    <w:rsid w:val="006C07C1"/>
    <w:rsid w:val="006C0C0A"/>
    <w:rsid w:val="006C1A7F"/>
    <w:rsid w:val="006C3615"/>
    <w:rsid w:val="006C40B3"/>
    <w:rsid w:val="006C69BD"/>
    <w:rsid w:val="006C7AC2"/>
    <w:rsid w:val="006D1BFE"/>
    <w:rsid w:val="006D1C09"/>
    <w:rsid w:val="006D3F98"/>
    <w:rsid w:val="006D5CF9"/>
    <w:rsid w:val="006D6827"/>
    <w:rsid w:val="006D7886"/>
    <w:rsid w:val="006D78A0"/>
    <w:rsid w:val="006D7B47"/>
    <w:rsid w:val="006E0322"/>
    <w:rsid w:val="006E1E69"/>
    <w:rsid w:val="006E259E"/>
    <w:rsid w:val="006E26BD"/>
    <w:rsid w:val="006E2997"/>
    <w:rsid w:val="006E3FAB"/>
    <w:rsid w:val="006E4EE7"/>
    <w:rsid w:val="006E4F4E"/>
    <w:rsid w:val="006E5CAA"/>
    <w:rsid w:val="006E657C"/>
    <w:rsid w:val="006E721B"/>
    <w:rsid w:val="006E7944"/>
    <w:rsid w:val="006F0266"/>
    <w:rsid w:val="006F112E"/>
    <w:rsid w:val="006F3775"/>
    <w:rsid w:val="006F4457"/>
    <w:rsid w:val="006F44FE"/>
    <w:rsid w:val="006F46E7"/>
    <w:rsid w:val="006F4788"/>
    <w:rsid w:val="006F4938"/>
    <w:rsid w:val="006F588E"/>
    <w:rsid w:val="006F5E81"/>
    <w:rsid w:val="006F5F1F"/>
    <w:rsid w:val="006F63EA"/>
    <w:rsid w:val="006F6CC7"/>
    <w:rsid w:val="006F6EA7"/>
    <w:rsid w:val="006F7AAD"/>
    <w:rsid w:val="006F7D8B"/>
    <w:rsid w:val="00700DA6"/>
    <w:rsid w:val="00700DB7"/>
    <w:rsid w:val="00701CFD"/>
    <w:rsid w:val="007020BF"/>
    <w:rsid w:val="007022DC"/>
    <w:rsid w:val="00702510"/>
    <w:rsid w:val="0070279B"/>
    <w:rsid w:val="00703CC2"/>
    <w:rsid w:val="00703D5A"/>
    <w:rsid w:val="0070569C"/>
    <w:rsid w:val="007057EB"/>
    <w:rsid w:val="0070583C"/>
    <w:rsid w:val="00706750"/>
    <w:rsid w:val="007100CC"/>
    <w:rsid w:val="00711173"/>
    <w:rsid w:val="00711488"/>
    <w:rsid w:val="00711599"/>
    <w:rsid w:val="007129B2"/>
    <w:rsid w:val="00712ECA"/>
    <w:rsid w:val="007134F6"/>
    <w:rsid w:val="00713ABC"/>
    <w:rsid w:val="00714306"/>
    <w:rsid w:val="00714E9C"/>
    <w:rsid w:val="007157C8"/>
    <w:rsid w:val="007161DB"/>
    <w:rsid w:val="00716F26"/>
    <w:rsid w:val="00717454"/>
    <w:rsid w:val="007200D9"/>
    <w:rsid w:val="00720503"/>
    <w:rsid w:val="00720943"/>
    <w:rsid w:val="00721D6C"/>
    <w:rsid w:val="00723994"/>
    <w:rsid w:val="00725978"/>
    <w:rsid w:val="007260A0"/>
    <w:rsid w:val="00727D79"/>
    <w:rsid w:val="00727F02"/>
    <w:rsid w:val="007307B3"/>
    <w:rsid w:val="00731216"/>
    <w:rsid w:val="0073197F"/>
    <w:rsid w:val="00731C96"/>
    <w:rsid w:val="00732A34"/>
    <w:rsid w:val="00732A8A"/>
    <w:rsid w:val="00732FC0"/>
    <w:rsid w:val="0073358A"/>
    <w:rsid w:val="007348B9"/>
    <w:rsid w:val="00735D76"/>
    <w:rsid w:val="00736CA8"/>
    <w:rsid w:val="00743C1E"/>
    <w:rsid w:val="00743C77"/>
    <w:rsid w:val="0074473F"/>
    <w:rsid w:val="007449D7"/>
    <w:rsid w:val="00746D86"/>
    <w:rsid w:val="00750606"/>
    <w:rsid w:val="00750C66"/>
    <w:rsid w:val="00751355"/>
    <w:rsid w:val="00751DEF"/>
    <w:rsid w:val="00754246"/>
    <w:rsid w:val="00754943"/>
    <w:rsid w:val="00754D85"/>
    <w:rsid w:val="00754E86"/>
    <w:rsid w:val="0075510E"/>
    <w:rsid w:val="007573D4"/>
    <w:rsid w:val="007611CF"/>
    <w:rsid w:val="007625FE"/>
    <w:rsid w:val="00762C69"/>
    <w:rsid w:val="00764219"/>
    <w:rsid w:val="00765E8F"/>
    <w:rsid w:val="00766E97"/>
    <w:rsid w:val="007673B7"/>
    <w:rsid w:val="00767FB7"/>
    <w:rsid w:val="0077078C"/>
    <w:rsid w:val="00770AF5"/>
    <w:rsid w:val="0077269C"/>
    <w:rsid w:val="00772B95"/>
    <w:rsid w:val="007737A3"/>
    <w:rsid w:val="00773BB8"/>
    <w:rsid w:val="007748A3"/>
    <w:rsid w:val="007749D9"/>
    <w:rsid w:val="0077517E"/>
    <w:rsid w:val="0077565E"/>
    <w:rsid w:val="00775A75"/>
    <w:rsid w:val="0077618C"/>
    <w:rsid w:val="00776491"/>
    <w:rsid w:val="007765A0"/>
    <w:rsid w:val="00776650"/>
    <w:rsid w:val="007772F8"/>
    <w:rsid w:val="0077762D"/>
    <w:rsid w:val="00777EDA"/>
    <w:rsid w:val="00780634"/>
    <w:rsid w:val="0078115E"/>
    <w:rsid w:val="0078134B"/>
    <w:rsid w:val="007817BA"/>
    <w:rsid w:val="00781E1E"/>
    <w:rsid w:val="00782B6B"/>
    <w:rsid w:val="007833AC"/>
    <w:rsid w:val="00783CC3"/>
    <w:rsid w:val="007840A3"/>
    <w:rsid w:val="00785F3B"/>
    <w:rsid w:val="00790554"/>
    <w:rsid w:val="0079137A"/>
    <w:rsid w:val="00791A7B"/>
    <w:rsid w:val="00791FF9"/>
    <w:rsid w:val="007934F7"/>
    <w:rsid w:val="00793EE3"/>
    <w:rsid w:val="0079404A"/>
    <w:rsid w:val="00794935"/>
    <w:rsid w:val="007952BA"/>
    <w:rsid w:val="007A001B"/>
    <w:rsid w:val="007A0B0D"/>
    <w:rsid w:val="007A0E3A"/>
    <w:rsid w:val="007A1271"/>
    <w:rsid w:val="007A4D96"/>
    <w:rsid w:val="007A5EF2"/>
    <w:rsid w:val="007B0654"/>
    <w:rsid w:val="007B37F0"/>
    <w:rsid w:val="007B65AA"/>
    <w:rsid w:val="007B7393"/>
    <w:rsid w:val="007B7914"/>
    <w:rsid w:val="007C0838"/>
    <w:rsid w:val="007C09C7"/>
    <w:rsid w:val="007C178B"/>
    <w:rsid w:val="007C27EF"/>
    <w:rsid w:val="007C2D57"/>
    <w:rsid w:val="007C3DF7"/>
    <w:rsid w:val="007C68B3"/>
    <w:rsid w:val="007C74A8"/>
    <w:rsid w:val="007D227C"/>
    <w:rsid w:val="007D264E"/>
    <w:rsid w:val="007D2D5E"/>
    <w:rsid w:val="007D4A1E"/>
    <w:rsid w:val="007D4B43"/>
    <w:rsid w:val="007D5470"/>
    <w:rsid w:val="007D6824"/>
    <w:rsid w:val="007E15B2"/>
    <w:rsid w:val="007E1F46"/>
    <w:rsid w:val="007E2989"/>
    <w:rsid w:val="007E2A41"/>
    <w:rsid w:val="007E3631"/>
    <w:rsid w:val="007E52B2"/>
    <w:rsid w:val="007E64C7"/>
    <w:rsid w:val="007E65E8"/>
    <w:rsid w:val="007F3838"/>
    <w:rsid w:val="007F3CC5"/>
    <w:rsid w:val="007F4863"/>
    <w:rsid w:val="007F4D50"/>
    <w:rsid w:val="007F58C1"/>
    <w:rsid w:val="007F5C5C"/>
    <w:rsid w:val="007F617B"/>
    <w:rsid w:val="007F737A"/>
    <w:rsid w:val="007F789D"/>
    <w:rsid w:val="007F78A7"/>
    <w:rsid w:val="007F7E5F"/>
    <w:rsid w:val="00800FD8"/>
    <w:rsid w:val="00801179"/>
    <w:rsid w:val="008011A3"/>
    <w:rsid w:val="00803EDD"/>
    <w:rsid w:val="008043B3"/>
    <w:rsid w:val="00804D98"/>
    <w:rsid w:val="00805D12"/>
    <w:rsid w:val="00805DD8"/>
    <w:rsid w:val="00806216"/>
    <w:rsid w:val="00806A26"/>
    <w:rsid w:val="00810EDB"/>
    <w:rsid w:val="00811D20"/>
    <w:rsid w:val="0081485B"/>
    <w:rsid w:val="008153CE"/>
    <w:rsid w:val="00817D32"/>
    <w:rsid w:val="0082289C"/>
    <w:rsid w:val="00822B8F"/>
    <w:rsid w:val="00823913"/>
    <w:rsid w:val="0082401E"/>
    <w:rsid w:val="0082480F"/>
    <w:rsid w:val="008252BC"/>
    <w:rsid w:val="00825312"/>
    <w:rsid w:val="00825376"/>
    <w:rsid w:val="0082585A"/>
    <w:rsid w:val="00826E34"/>
    <w:rsid w:val="00826FA0"/>
    <w:rsid w:val="008272B2"/>
    <w:rsid w:val="00830E69"/>
    <w:rsid w:val="0083234B"/>
    <w:rsid w:val="008345C8"/>
    <w:rsid w:val="0083515B"/>
    <w:rsid w:val="00835E98"/>
    <w:rsid w:val="00836521"/>
    <w:rsid w:val="0083687A"/>
    <w:rsid w:val="00836A89"/>
    <w:rsid w:val="00837EA8"/>
    <w:rsid w:val="00837F1A"/>
    <w:rsid w:val="0084062C"/>
    <w:rsid w:val="00840B52"/>
    <w:rsid w:val="00840C29"/>
    <w:rsid w:val="008416A0"/>
    <w:rsid w:val="00842AA5"/>
    <w:rsid w:val="008434F0"/>
    <w:rsid w:val="00843C83"/>
    <w:rsid w:val="00843D9B"/>
    <w:rsid w:val="00844104"/>
    <w:rsid w:val="00844A35"/>
    <w:rsid w:val="0084699F"/>
    <w:rsid w:val="00846CCB"/>
    <w:rsid w:val="0084728D"/>
    <w:rsid w:val="00847EDD"/>
    <w:rsid w:val="00850E5E"/>
    <w:rsid w:val="0085372E"/>
    <w:rsid w:val="00854D51"/>
    <w:rsid w:val="008551A7"/>
    <w:rsid w:val="008552F5"/>
    <w:rsid w:val="00855566"/>
    <w:rsid w:val="0085686D"/>
    <w:rsid w:val="00856EFC"/>
    <w:rsid w:val="00857EEA"/>
    <w:rsid w:val="00860608"/>
    <w:rsid w:val="00860FBF"/>
    <w:rsid w:val="008619C3"/>
    <w:rsid w:val="00861FEC"/>
    <w:rsid w:val="00862A5A"/>
    <w:rsid w:val="00863FA6"/>
    <w:rsid w:val="008646BB"/>
    <w:rsid w:val="0086471C"/>
    <w:rsid w:val="00864866"/>
    <w:rsid w:val="00865326"/>
    <w:rsid w:val="00865F2E"/>
    <w:rsid w:val="008717E3"/>
    <w:rsid w:val="008725D5"/>
    <w:rsid w:val="00872B4A"/>
    <w:rsid w:val="00873845"/>
    <w:rsid w:val="0087430D"/>
    <w:rsid w:val="00875832"/>
    <w:rsid w:val="008765F7"/>
    <w:rsid w:val="00877186"/>
    <w:rsid w:val="00877421"/>
    <w:rsid w:val="00881AE2"/>
    <w:rsid w:val="00882BCA"/>
    <w:rsid w:val="008838D5"/>
    <w:rsid w:val="00883C1E"/>
    <w:rsid w:val="00884D28"/>
    <w:rsid w:val="00884E41"/>
    <w:rsid w:val="00886704"/>
    <w:rsid w:val="00886AC4"/>
    <w:rsid w:val="00891072"/>
    <w:rsid w:val="00891776"/>
    <w:rsid w:val="00891B6F"/>
    <w:rsid w:val="008934A4"/>
    <w:rsid w:val="008934D6"/>
    <w:rsid w:val="008936E9"/>
    <w:rsid w:val="00893B15"/>
    <w:rsid w:val="00894C36"/>
    <w:rsid w:val="00897B7D"/>
    <w:rsid w:val="008A01A8"/>
    <w:rsid w:val="008A0524"/>
    <w:rsid w:val="008A36F8"/>
    <w:rsid w:val="008A5C87"/>
    <w:rsid w:val="008A6888"/>
    <w:rsid w:val="008B0457"/>
    <w:rsid w:val="008B096D"/>
    <w:rsid w:val="008B2084"/>
    <w:rsid w:val="008B3855"/>
    <w:rsid w:val="008B4710"/>
    <w:rsid w:val="008B509E"/>
    <w:rsid w:val="008B54AB"/>
    <w:rsid w:val="008B54D5"/>
    <w:rsid w:val="008B570C"/>
    <w:rsid w:val="008C04F9"/>
    <w:rsid w:val="008C2320"/>
    <w:rsid w:val="008C24B6"/>
    <w:rsid w:val="008C451E"/>
    <w:rsid w:val="008C4E32"/>
    <w:rsid w:val="008C5950"/>
    <w:rsid w:val="008C5D3D"/>
    <w:rsid w:val="008C7B98"/>
    <w:rsid w:val="008D076A"/>
    <w:rsid w:val="008D23C0"/>
    <w:rsid w:val="008D5977"/>
    <w:rsid w:val="008D70E9"/>
    <w:rsid w:val="008E0A50"/>
    <w:rsid w:val="008E1038"/>
    <w:rsid w:val="008E21B3"/>
    <w:rsid w:val="008E267D"/>
    <w:rsid w:val="008E3B69"/>
    <w:rsid w:val="008E57C0"/>
    <w:rsid w:val="008E5B2E"/>
    <w:rsid w:val="008E5E14"/>
    <w:rsid w:val="008E5E99"/>
    <w:rsid w:val="008E5EFD"/>
    <w:rsid w:val="008E6E25"/>
    <w:rsid w:val="008E7068"/>
    <w:rsid w:val="008F0D15"/>
    <w:rsid w:val="008F3C25"/>
    <w:rsid w:val="008F3E64"/>
    <w:rsid w:val="008F431B"/>
    <w:rsid w:val="008F4A14"/>
    <w:rsid w:val="008F5AFD"/>
    <w:rsid w:val="008F6658"/>
    <w:rsid w:val="008F7723"/>
    <w:rsid w:val="008F79EC"/>
    <w:rsid w:val="00901759"/>
    <w:rsid w:val="00902868"/>
    <w:rsid w:val="00902B05"/>
    <w:rsid w:val="009031A0"/>
    <w:rsid w:val="0090331B"/>
    <w:rsid w:val="0090360B"/>
    <w:rsid w:val="0090360E"/>
    <w:rsid w:val="00904AD1"/>
    <w:rsid w:val="009063C7"/>
    <w:rsid w:val="00910D99"/>
    <w:rsid w:val="009112BB"/>
    <w:rsid w:val="00913141"/>
    <w:rsid w:val="009140DC"/>
    <w:rsid w:val="0091485A"/>
    <w:rsid w:val="00916C6C"/>
    <w:rsid w:val="009201F5"/>
    <w:rsid w:val="00920B86"/>
    <w:rsid w:val="00920DD9"/>
    <w:rsid w:val="0092237F"/>
    <w:rsid w:val="00922F82"/>
    <w:rsid w:val="009235D8"/>
    <w:rsid w:val="00924955"/>
    <w:rsid w:val="00924DD1"/>
    <w:rsid w:val="0092607B"/>
    <w:rsid w:val="009264ED"/>
    <w:rsid w:val="00926849"/>
    <w:rsid w:val="009310D6"/>
    <w:rsid w:val="00932AE8"/>
    <w:rsid w:val="00932CC4"/>
    <w:rsid w:val="009339D1"/>
    <w:rsid w:val="00936AEC"/>
    <w:rsid w:val="009370D9"/>
    <w:rsid w:val="00937EE2"/>
    <w:rsid w:val="00941862"/>
    <w:rsid w:val="009433A7"/>
    <w:rsid w:val="009436BE"/>
    <w:rsid w:val="00943D4A"/>
    <w:rsid w:val="00943EEE"/>
    <w:rsid w:val="009449FE"/>
    <w:rsid w:val="00944D36"/>
    <w:rsid w:val="00945030"/>
    <w:rsid w:val="00946138"/>
    <w:rsid w:val="00946540"/>
    <w:rsid w:val="009479A1"/>
    <w:rsid w:val="0095041F"/>
    <w:rsid w:val="00950BE9"/>
    <w:rsid w:val="0095144F"/>
    <w:rsid w:val="00951CDE"/>
    <w:rsid w:val="00952538"/>
    <w:rsid w:val="009544FF"/>
    <w:rsid w:val="00954A86"/>
    <w:rsid w:val="00955105"/>
    <w:rsid w:val="009564BF"/>
    <w:rsid w:val="009573B2"/>
    <w:rsid w:val="009622D7"/>
    <w:rsid w:val="00962812"/>
    <w:rsid w:val="00962BDA"/>
    <w:rsid w:val="00965236"/>
    <w:rsid w:val="009657F4"/>
    <w:rsid w:val="009663E2"/>
    <w:rsid w:val="00966AFA"/>
    <w:rsid w:val="00967213"/>
    <w:rsid w:val="00970990"/>
    <w:rsid w:val="00970A0D"/>
    <w:rsid w:val="0097168A"/>
    <w:rsid w:val="0097367A"/>
    <w:rsid w:val="00974BCC"/>
    <w:rsid w:val="009751DA"/>
    <w:rsid w:val="00975FC6"/>
    <w:rsid w:val="00976466"/>
    <w:rsid w:val="00976643"/>
    <w:rsid w:val="009832C9"/>
    <w:rsid w:val="009837F5"/>
    <w:rsid w:val="00984DE4"/>
    <w:rsid w:val="009850CF"/>
    <w:rsid w:val="00985356"/>
    <w:rsid w:val="0098545C"/>
    <w:rsid w:val="009865E6"/>
    <w:rsid w:val="0099040F"/>
    <w:rsid w:val="00991498"/>
    <w:rsid w:val="00993549"/>
    <w:rsid w:val="0099406F"/>
    <w:rsid w:val="00994DCE"/>
    <w:rsid w:val="009958C0"/>
    <w:rsid w:val="00995F8D"/>
    <w:rsid w:val="009A1D61"/>
    <w:rsid w:val="009A298D"/>
    <w:rsid w:val="009A32AB"/>
    <w:rsid w:val="009A3377"/>
    <w:rsid w:val="009A78F0"/>
    <w:rsid w:val="009B2324"/>
    <w:rsid w:val="009B296B"/>
    <w:rsid w:val="009B57DC"/>
    <w:rsid w:val="009B66E6"/>
    <w:rsid w:val="009B69A0"/>
    <w:rsid w:val="009B6F6B"/>
    <w:rsid w:val="009B7D2C"/>
    <w:rsid w:val="009C086F"/>
    <w:rsid w:val="009C2536"/>
    <w:rsid w:val="009C4705"/>
    <w:rsid w:val="009C4D9B"/>
    <w:rsid w:val="009C4E79"/>
    <w:rsid w:val="009C513C"/>
    <w:rsid w:val="009C6B06"/>
    <w:rsid w:val="009C7FE7"/>
    <w:rsid w:val="009D0C2D"/>
    <w:rsid w:val="009D1E48"/>
    <w:rsid w:val="009D46F6"/>
    <w:rsid w:val="009D4E52"/>
    <w:rsid w:val="009D5E42"/>
    <w:rsid w:val="009D7791"/>
    <w:rsid w:val="009E0542"/>
    <w:rsid w:val="009E077F"/>
    <w:rsid w:val="009E1365"/>
    <w:rsid w:val="009E28D4"/>
    <w:rsid w:val="009E3A9F"/>
    <w:rsid w:val="009E6F32"/>
    <w:rsid w:val="009E74C1"/>
    <w:rsid w:val="009E7F70"/>
    <w:rsid w:val="009F3379"/>
    <w:rsid w:val="009F40E2"/>
    <w:rsid w:val="009F54CD"/>
    <w:rsid w:val="009F64CC"/>
    <w:rsid w:val="009F67E9"/>
    <w:rsid w:val="009F6A59"/>
    <w:rsid w:val="00A007CB"/>
    <w:rsid w:val="00A04558"/>
    <w:rsid w:val="00A05126"/>
    <w:rsid w:val="00A057A8"/>
    <w:rsid w:val="00A05B9C"/>
    <w:rsid w:val="00A0709E"/>
    <w:rsid w:val="00A11F42"/>
    <w:rsid w:val="00A12EA5"/>
    <w:rsid w:val="00A13791"/>
    <w:rsid w:val="00A13F81"/>
    <w:rsid w:val="00A141DB"/>
    <w:rsid w:val="00A14836"/>
    <w:rsid w:val="00A14C6C"/>
    <w:rsid w:val="00A14F42"/>
    <w:rsid w:val="00A15D28"/>
    <w:rsid w:val="00A16F39"/>
    <w:rsid w:val="00A17302"/>
    <w:rsid w:val="00A177F0"/>
    <w:rsid w:val="00A20586"/>
    <w:rsid w:val="00A210F0"/>
    <w:rsid w:val="00A2267A"/>
    <w:rsid w:val="00A235A7"/>
    <w:rsid w:val="00A23AD5"/>
    <w:rsid w:val="00A2529A"/>
    <w:rsid w:val="00A270ED"/>
    <w:rsid w:val="00A273DC"/>
    <w:rsid w:val="00A276D6"/>
    <w:rsid w:val="00A3054F"/>
    <w:rsid w:val="00A30899"/>
    <w:rsid w:val="00A32213"/>
    <w:rsid w:val="00A332EF"/>
    <w:rsid w:val="00A334A3"/>
    <w:rsid w:val="00A340C7"/>
    <w:rsid w:val="00A352C2"/>
    <w:rsid w:val="00A35F23"/>
    <w:rsid w:val="00A3608A"/>
    <w:rsid w:val="00A36A43"/>
    <w:rsid w:val="00A36AD7"/>
    <w:rsid w:val="00A40786"/>
    <w:rsid w:val="00A42B1A"/>
    <w:rsid w:val="00A442D0"/>
    <w:rsid w:val="00A446E2"/>
    <w:rsid w:val="00A450A6"/>
    <w:rsid w:val="00A45762"/>
    <w:rsid w:val="00A45B87"/>
    <w:rsid w:val="00A46D40"/>
    <w:rsid w:val="00A46F6B"/>
    <w:rsid w:val="00A47578"/>
    <w:rsid w:val="00A478D1"/>
    <w:rsid w:val="00A5038E"/>
    <w:rsid w:val="00A50489"/>
    <w:rsid w:val="00A514CD"/>
    <w:rsid w:val="00A51BD1"/>
    <w:rsid w:val="00A5222F"/>
    <w:rsid w:val="00A5254F"/>
    <w:rsid w:val="00A52AE9"/>
    <w:rsid w:val="00A5375E"/>
    <w:rsid w:val="00A538C3"/>
    <w:rsid w:val="00A5392D"/>
    <w:rsid w:val="00A54449"/>
    <w:rsid w:val="00A54499"/>
    <w:rsid w:val="00A5467D"/>
    <w:rsid w:val="00A55C01"/>
    <w:rsid w:val="00A57D1B"/>
    <w:rsid w:val="00A60C43"/>
    <w:rsid w:val="00A60C77"/>
    <w:rsid w:val="00A6148A"/>
    <w:rsid w:val="00A615BA"/>
    <w:rsid w:val="00A62293"/>
    <w:rsid w:val="00A64697"/>
    <w:rsid w:val="00A6512A"/>
    <w:rsid w:val="00A663D7"/>
    <w:rsid w:val="00A6673B"/>
    <w:rsid w:val="00A66B6F"/>
    <w:rsid w:val="00A67C2D"/>
    <w:rsid w:val="00A70014"/>
    <w:rsid w:val="00A7136D"/>
    <w:rsid w:val="00A743BD"/>
    <w:rsid w:val="00A753F2"/>
    <w:rsid w:val="00A7572B"/>
    <w:rsid w:val="00A759BF"/>
    <w:rsid w:val="00A77381"/>
    <w:rsid w:val="00A77A1A"/>
    <w:rsid w:val="00A80007"/>
    <w:rsid w:val="00A81A47"/>
    <w:rsid w:val="00A8295E"/>
    <w:rsid w:val="00A83AF9"/>
    <w:rsid w:val="00A84D67"/>
    <w:rsid w:val="00A8587C"/>
    <w:rsid w:val="00A85E7C"/>
    <w:rsid w:val="00A860E1"/>
    <w:rsid w:val="00A867EB"/>
    <w:rsid w:val="00A86BA8"/>
    <w:rsid w:val="00A87263"/>
    <w:rsid w:val="00A901E0"/>
    <w:rsid w:val="00A918C7"/>
    <w:rsid w:val="00A930B0"/>
    <w:rsid w:val="00A95282"/>
    <w:rsid w:val="00A963A5"/>
    <w:rsid w:val="00A97A21"/>
    <w:rsid w:val="00AA005C"/>
    <w:rsid w:val="00AA0445"/>
    <w:rsid w:val="00AA2D36"/>
    <w:rsid w:val="00AA395E"/>
    <w:rsid w:val="00AA4004"/>
    <w:rsid w:val="00AA40B0"/>
    <w:rsid w:val="00AA44E1"/>
    <w:rsid w:val="00AA473C"/>
    <w:rsid w:val="00AA4BCF"/>
    <w:rsid w:val="00AA6293"/>
    <w:rsid w:val="00AA64ED"/>
    <w:rsid w:val="00AA6D35"/>
    <w:rsid w:val="00AA709C"/>
    <w:rsid w:val="00AA7A07"/>
    <w:rsid w:val="00AB1695"/>
    <w:rsid w:val="00AB1B33"/>
    <w:rsid w:val="00AB1EC7"/>
    <w:rsid w:val="00AB28E5"/>
    <w:rsid w:val="00AB2BDD"/>
    <w:rsid w:val="00AB4BC0"/>
    <w:rsid w:val="00AB5052"/>
    <w:rsid w:val="00AB52F3"/>
    <w:rsid w:val="00AB69EE"/>
    <w:rsid w:val="00AC1954"/>
    <w:rsid w:val="00AC2CA3"/>
    <w:rsid w:val="00AC3257"/>
    <w:rsid w:val="00AC406C"/>
    <w:rsid w:val="00AC4CDD"/>
    <w:rsid w:val="00AC500E"/>
    <w:rsid w:val="00AC7D2C"/>
    <w:rsid w:val="00AD0941"/>
    <w:rsid w:val="00AD1CB9"/>
    <w:rsid w:val="00AD319D"/>
    <w:rsid w:val="00AD3649"/>
    <w:rsid w:val="00AD5AB0"/>
    <w:rsid w:val="00AD6150"/>
    <w:rsid w:val="00AD77C1"/>
    <w:rsid w:val="00AE10DE"/>
    <w:rsid w:val="00AE2798"/>
    <w:rsid w:val="00AE3214"/>
    <w:rsid w:val="00AE3377"/>
    <w:rsid w:val="00AE3A4A"/>
    <w:rsid w:val="00AE3BD5"/>
    <w:rsid w:val="00AE424D"/>
    <w:rsid w:val="00AE4A88"/>
    <w:rsid w:val="00AE70B4"/>
    <w:rsid w:val="00AF0071"/>
    <w:rsid w:val="00AF007D"/>
    <w:rsid w:val="00AF11F1"/>
    <w:rsid w:val="00AF6C6D"/>
    <w:rsid w:val="00AF70A5"/>
    <w:rsid w:val="00AF7A0B"/>
    <w:rsid w:val="00B0001B"/>
    <w:rsid w:val="00B00943"/>
    <w:rsid w:val="00B011A0"/>
    <w:rsid w:val="00B02080"/>
    <w:rsid w:val="00B02419"/>
    <w:rsid w:val="00B030B3"/>
    <w:rsid w:val="00B04987"/>
    <w:rsid w:val="00B04A5F"/>
    <w:rsid w:val="00B064E6"/>
    <w:rsid w:val="00B0685A"/>
    <w:rsid w:val="00B07342"/>
    <w:rsid w:val="00B07D82"/>
    <w:rsid w:val="00B07F02"/>
    <w:rsid w:val="00B10107"/>
    <w:rsid w:val="00B10AFE"/>
    <w:rsid w:val="00B11C43"/>
    <w:rsid w:val="00B132DC"/>
    <w:rsid w:val="00B13B66"/>
    <w:rsid w:val="00B14A33"/>
    <w:rsid w:val="00B14E1C"/>
    <w:rsid w:val="00B16CF0"/>
    <w:rsid w:val="00B224F2"/>
    <w:rsid w:val="00B25881"/>
    <w:rsid w:val="00B266E8"/>
    <w:rsid w:val="00B3014E"/>
    <w:rsid w:val="00B318A9"/>
    <w:rsid w:val="00B328C3"/>
    <w:rsid w:val="00B329C6"/>
    <w:rsid w:val="00B33C3B"/>
    <w:rsid w:val="00B33D65"/>
    <w:rsid w:val="00B34328"/>
    <w:rsid w:val="00B343F4"/>
    <w:rsid w:val="00B3549C"/>
    <w:rsid w:val="00B35D9E"/>
    <w:rsid w:val="00B36FA6"/>
    <w:rsid w:val="00B416F0"/>
    <w:rsid w:val="00B41FD3"/>
    <w:rsid w:val="00B42046"/>
    <w:rsid w:val="00B43466"/>
    <w:rsid w:val="00B451A5"/>
    <w:rsid w:val="00B45EE1"/>
    <w:rsid w:val="00B46733"/>
    <w:rsid w:val="00B54E92"/>
    <w:rsid w:val="00B572B5"/>
    <w:rsid w:val="00B60297"/>
    <w:rsid w:val="00B60E64"/>
    <w:rsid w:val="00B617F9"/>
    <w:rsid w:val="00B63250"/>
    <w:rsid w:val="00B64C27"/>
    <w:rsid w:val="00B66A92"/>
    <w:rsid w:val="00B66BD0"/>
    <w:rsid w:val="00B67376"/>
    <w:rsid w:val="00B70EBF"/>
    <w:rsid w:val="00B72700"/>
    <w:rsid w:val="00B73746"/>
    <w:rsid w:val="00B749EA"/>
    <w:rsid w:val="00B7631C"/>
    <w:rsid w:val="00B76BB7"/>
    <w:rsid w:val="00B80059"/>
    <w:rsid w:val="00B80594"/>
    <w:rsid w:val="00B80609"/>
    <w:rsid w:val="00B80B7C"/>
    <w:rsid w:val="00B82D1A"/>
    <w:rsid w:val="00B83F3F"/>
    <w:rsid w:val="00B8400B"/>
    <w:rsid w:val="00B8416D"/>
    <w:rsid w:val="00B84DC3"/>
    <w:rsid w:val="00B85438"/>
    <w:rsid w:val="00B86FAE"/>
    <w:rsid w:val="00B90346"/>
    <w:rsid w:val="00B90C20"/>
    <w:rsid w:val="00B90CB5"/>
    <w:rsid w:val="00B9185D"/>
    <w:rsid w:val="00B92777"/>
    <w:rsid w:val="00B92BB0"/>
    <w:rsid w:val="00B93D0F"/>
    <w:rsid w:val="00B95087"/>
    <w:rsid w:val="00B9736E"/>
    <w:rsid w:val="00BA0C4C"/>
    <w:rsid w:val="00BA35F8"/>
    <w:rsid w:val="00BA422E"/>
    <w:rsid w:val="00BA46B1"/>
    <w:rsid w:val="00BA4907"/>
    <w:rsid w:val="00BA59EB"/>
    <w:rsid w:val="00BA5B5B"/>
    <w:rsid w:val="00BA69D3"/>
    <w:rsid w:val="00BB0B64"/>
    <w:rsid w:val="00BB1A8F"/>
    <w:rsid w:val="00BB26C9"/>
    <w:rsid w:val="00BB31BD"/>
    <w:rsid w:val="00BB388D"/>
    <w:rsid w:val="00BB3F0F"/>
    <w:rsid w:val="00BB3FA1"/>
    <w:rsid w:val="00BB4B8A"/>
    <w:rsid w:val="00BB4F8E"/>
    <w:rsid w:val="00BB5324"/>
    <w:rsid w:val="00BB55DC"/>
    <w:rsid w:val="00BB5E84"/>
    <w:rsid w:val="00BB71B3"/>
    <w:rsid w:val="00BB7DB0"/>
    <w:rsid w:val="00BC107F"/>
    <w:rsid w:val="00BC1513"/>
    <w:rsid w:val="00BC1EDC"/>
    <w:rsid w:val="00BC2711"/>
    <w:rsid w:val="00BC33FD"/>
    <w:rsid w:val="00BC3DCA"/>
    <w:rsid w:val="00BC49E8"/>
    <w:rsid w:val="00BC4A62"/>
    <w:rsid w:val="00BC5BAA"/>
    <w:rsid w:val="00BD1584"/>
    <w:rsid w:val="00BD1AF0"/>
    <w:rsid w:val="00BD1CFF"/>
    <w:rsid w:val="00BD24F1"/>
    <w:rsid w:val="00BD3534"/>
    <w:rsid w:val="00BD608A"/>
    <w:rsid w:val="00BD793A"/>
    <w:rsid w:val="00BD7A36"/>
    <w:rsid w:val="00BE473C"/>
    <w:rsid w:val="00BE4B9E"/>
    <w:rsid w:val="00BE6AC4"/>
    <w:rsid w:val="00BE6E00"/>
    <w:rsid w:val="00BF0C32"/>
    <w:rsid w:val="00BF230D"/>
    <w:rsid w:val="00BF2CB9"/>
    <w:rsid w:val="00BF30BD"/>
    <w:rsid w:val="00BF36E0"/>
    <w:rsid w:val="00BF3FBC"/>
    <w:rsid w:val="00BF58A3"/>
    <w:rsid w:val="00BF5AE5"/>
    <w:rsid w:val="00BF6F73"/>
    <w:rsid w:val="00C00AF2"/>
    <w:rsid w:val="00C03080"/>
    <w:rsid w:val="00C0429A"/>
    <w:rsid w:val="00C048A0"/>
    <w:rsid w:val="00C04A4C"/>
    <w:rsid w:val="00C04E9D"/>
    <w:rsid w:val="00C0500B"/>
    <w:rsid w:val="00C06D24"/>
    <w:rsid w:val="00C07802"/>
    <w:rsid w:val="00C07EA0"/>
    <w:rsid w:val="00C100AC"/>
    <w:rsid w:val="00C106CB"/>
    <w:rsid w:val="00C1091E"/>
    <w:rsid w:val="00C12B9B"/>
    <w:rsid w:val="00C12F0F"/>
    <w:rsid w:val="00C131E4"/>
    <w:rsid w:val="00C13FE9"/>
    <w:rsid w:val="00C14323"/>
    <w:rsid w:val="00C150A9"/>
    <w:rsid w:val="00C151ED"/>
    <w:rsid w:val="00C156F7"/>
    <w:rsid w:val="00C1708E"/>
    <w:rsid w:val="00C170A1"/>
    <w:rsid w:val="00C17BEA"/>
    <w:rsid w:val="00C2008B"/>
    <w:rsid w:val="00C2142A"/>
    <w:rsid w:val="00C21642"/>
    <w:rsid w:val="00C21DB4"/>
    <w:rsid w:val="00C223C7"/>
    <w:rsid w:val="00C22792"/>
    <w:rsid w:val="00C23186"/>
    <w:rsid w:val="00C23B6D"/>
    <w:rsid w:val="00C23CB8"/>
    <w:rsid w:val="00C23F6D"/>
    <w:rsid w:val="00C24459"/>
    <w:rsid w:val="00C263AA"/>
    <w:rsid w:val="00C30164"/>
    <w:rsid w:val="00C30968"/>
    <w:rsid w:val="00C3241C"/>
    <w:rsid w:val="00C33245"/>
    <w:rsid w:val="00C3388C"/>
    <w:rsid w:val="00C3404B"/>
    <w:rsid w:val="00C34DB3"/>
    <w:rsid w:val="00C3587A"/>
    <w:rsid w:val="00C368B6"/>
    <w:rsid w:val="00C368E3"/>
    <w:rsid w:val="00C36AC0"/>
    <w:rsid w:val="00C41835"/>
    <w:rsid w:val="00C432E8"/>
    <w:rsid w:val="00C43568"/>
    <w:rsid w:val="00C44497"/>
    <w:rsid w:val="00C446D8"/>
    <w:rsid w:val="00C46DA4"/>
    <w:rsid w:val="00C51086"/>
    <w:rsid w:val="00C51C1B"/>
    <w:rsid w:val="00C53D72"/>
    <w:rsid w:val="00C54069"/>
    <w:rsid w:val="00C57A31"/>
    <w:rsid w:val="00C60D60"/>
    <w:rsid w:val="00C613F3"/>
    <w:rsid w:val="00C61779"/>
    <w:rsid w:val="00C620FD"/>
    <w:rsid w:val="00C622B3"/>
    <w:rsid w:val="00C62E9A"/>
    <w:rsid w:val="00C644A4"/>
    <w:rsid w:val="00C700A2"/>
    <w:rsid w:val="00C702BB"/>
    <w:rsid w:val="00C71C58"/>
    <w:rsid w:val="00C7202A"/>
    <w:rsid w:val="00C72591"/>
    <w:rsid w:val="00C72632"/>
    <w:rsid w:val="00C7343B"/>
    <w:rsid w:val="00C73AE8"/>
    <w:rsid w:val="00C73CFF"/>
    <w:rsid w:val="00C743F2"/>
    <w:rsid w:val="00C75F43"/>
    <w:rsid w:val="00C7701D"/>
    <w:rsid w:val="00C80164"/>
    <w:rsid w:val="00C8023D"/>
    <w:rsid w:val="00C80D86"/>
    <w:rsid w:val="00C81710"/>
    <w:rsid w:val="00C817CB"/>
    <w:rsid w:val="00C847AC"/>
    <w:rsid w:val="00C8493C"/>
    <w:rsid w:val="00C85958"/>
    <w:rsid w:val="00C86D33"/>
    <w:rsid w:val="00C9026A"/>
    <w:rsid w:val="00C9062C"/>
    <w:rsid w:val="00C9084A"/>
    <w:rsid w:val="00C90B14"/>
    <w:rsid w:val="00C92CF4"/>
    <w:rsid w:val="00C93876"/>
    <w:rsid w:val="00C94ABE"/>
    <w:rsid w:val="00C94DC2"/>
    <w:rsid w:val="00C950C3"/>
    <w:rsid w:val="00C95D0B"/>
    <w:rsid w:val="00C970CE"/>
    <w:rsid w:val="00C97698"/>
    <w:rsid w:val="00CA0F6B"/>
    <w:rsid w:val="00CA1693"/>
    <w:rsid w:val="00CA219F"/>
    <w:rsid w:val="00CA3196"/>
    <w:rsid w:val="00CA3F4F"/>
    <w:rsid w:val="00CA50C7"/>
    <w:rsid w:val="00CA5142"/>
    <w:rsid w:val="00CA5546"/>
    <w:rsid w:val="00CA58B0"/>
    <w:rsid w:val="00CA6A32"/>
    <w:rsid w:val="00CA6BB3"/>
    <w:rsid w:val="00CB0249"/>
    <w:rsid w:val="00CB1B74"/>
    <w:rsid w:val="00CB2F77"/>
    <w:rsid w:val="00CB32B5"/>
    <w:rsid w:val="00CB35C1"/>
    <w:rsid w:val="00CB45C5"/>
    <w:rsid w:val="00CB48CC"/>
    <w:rsid w:val="00CB48F7"/>
    <w:rsid w:val="00CB7D2F"/>
    <w:rsid w:val="00CB7EB1"/>
    <w:rsid w:val="00CC02D6"/>
    <w:rsid w:val="00CC11CA"/>
    <w:rsid w:val="00CC1CDF"/>
    <w:rsid w:val="00CC39E9"/>
    <w:rsid w:val="00CC4C32"/>
    <w:rsid w:val="00CC60E6"/>
    <w:rsid w:val="00CC73FC"/>
    <w:rsid w:val="00CD0CA5"/>
    <w:rsid w:val="00CD183A"/>
    <w:rsid w:val="00CD1904"/>
    <w:rsid w:val="00CD1DA1"/>
    <w:rsid w:val="00CD3444"/>
    <w:rsid w:val="00CD3873"/>
    <w:rsid w:val="00CD3BDC"/>
    <w:rsid w:val="00CD3CAD"/>
    <w:rsid w:val="00CD6982"/>
    <w:rsid w:val="00CD7C54"/>
    <w:rsid w:val="00CE0003"/>
    <w:rsid w:val="00CE2E03"/>
    <w:rsid w:val="00CE32D9"/>
    <w:rsid w:val="00CE3FB5"/>
    <w:rsid w:val="00CE4259"/>
    <w:rsid w:val="00CE4421"/>
    <w:rsid w:val="00CE448E"/>
    <w:rsid w:val="00CE4DFD"/>
    <w:rsid w:val="00CE5508"/>
    <w:rsid w:val="00CE594E"/>
    <w:rsid w:val="00CF29D2"/>
    <w:rsid w:val="00CF2C30"/>
    <w:rsid w:val="00CF306A"/>
    <w:rsid w:val="00CF31A7"/>
    <w:rsid w:val="00CF3C75"/>
    <w:rsid w:val="00CF46B2"/>
    <w:rsid w:val="00CF4BD1"/>
    <w:rsid w:val="00CF66B5"/>
    <w:rsid w:val="00D00B5A"/>
    <w:rsid w:val="00D01084"/>
    <w:rsid w:val="00D01712"/>
    <w:rsid w:val="00D0274E"/>
    <w:rsid w:val="00D03534"/>
    <w:rsid w:val="00D0594D"/>
    <w:rsid w:val="00D06296"/>
    <w:rsid w:val="00D06A7C"/>
    <w:rsid w:val="00D06CB2"/>
    <w:rsid w:val="00D07F77"/>
    <w:rsid w:val="00D11CF8"/>
    <w:rsid w:val="00D121CF"/>
    <w:rsid w:val="00D126C3"/>
    <w:rsid w:val="00D12AB6"/>
    <w:rsid w:val="00D12AD3"/>
    <w:rsid w:val="00D12DAF"/>
    <w:rsid w:val="00D1314A"/>
    <w:rsid w:val="00D1379B"/>
    <w:rsid w:val="00D15CF3"/>
    <w:rsid w:val="00D162AB"/>
    <w:rsid w:val="00D1728E"/>
    <w:rsid w:val="00D2098D"/>
    <w:rsid w:val="00D218E5"/>
    <w:rsid w:val="00D22033"/>
    <w:rsid w:val="00D2248D"/>
    <w:rsid w:val="00D22A7D"/>
    <w:rsid w:val="00D22E11"/>
    <w:rsid w:val="00D23044"/>
    <w:rsid w:val="00D23658"/>
    <w:rsid w:val="00D23B3B"/>
    <w:rsid w:val="00D25150"/>
    <w:rsid w:val="00D25252"/>
    <w:rsid w:val="00D25AB2"/>
    <w:rsid w:val="00D26C77"/>
    <w:rsid w:val="00D27261"/>
    <w:rsid w:val="00D27375"/>
    <w:rsid w:val="00D32471"/>
    <w:rsid w:val="00D34DD6"/>
    <w:rsid w:val="00D34E3B"/>
    <w:rsid w:val="00D35851"/>
    <w:rsid w:val="00D36C61"/>
    <w:rsid w:val="00D37876"/>
    <w:rsid w:val="00D37F32"/>
    <w:rsid w:val="00D40E57"/>
    <w:rsid w:val="00D41D29"/>
    <w:rsid w:val="00D439DF"/>
    <w:rsid w:val="00D43C67"/>
    <w:rsid w:val="00D453EB"/>
    <w:rsid w:val="00D45B27"/>
    <w:rsid w:val="00D4622E"/>
    <w:rsid w:val="00D46D80"/>
    <w:rsid w:val="00D471EF"/>
    <w:rsid w:val="00D50683"/>
    <w:rsid w:val="00D509F4"/>
    <w:rsid w:val="00D50BF9"/>
    <w:rsid w:val="00D52702"/>
    <w:rsid w:val="00D527FA"/>
    <w:rsid w:val="00D53A53"/>
    <w:rsid w:val="00D55DF4"/>
    <w:rsid w:val="00D5649D"/>
    <w:rsid w:val="00D603D3"/>
    <w:rsid w:val="00D6096D"/>
    <w:rsid w:val="00D60F06"/>
    <w:rsid w:val="00D61481"/>
    <w:rsid w:val="00D6268C"/>
    <w:rsid w:val="00D63B0D"/>
    <w:rsid w:val="00D64669"/>
    <w:rsid w:val="00D648F5"/>
    <w:rsid w:val="00D6607E"/>
    <w:rsid w:val="00D66716"/>
    <w:rsid w:val="00D66A5D"/>
    <w:rsid w:val="00D700FC"/>
    <w:rsid w:val="00D70263"/>
    <w:rsid w:val="00D744FF"/>
    <w:rsid w:val="00D755C5"/>
    <w:rsid w:val="00D76974"/>
    <w:rsid w:val="00D81003"/>
    <w:rsid w:val="00D810C3"/>
    <w:rsid w:val="00D82BE4"/>
    <w:rsid w:val="00D84468"/>
    <w:rsid w:val="00D8468F"/>
    <w:rsid w:val="00D84B96"/>
    <w:rsid w:val="00D85101"/>
    <w:rsid w:val="00D85B72"/>
    <w:rsid w:val="00D86445"/>
    <w:rsid w:val="00D86A52"/>
    <w:rsid w:val="00D86A70"/>
    <w:rsid w:val="00D878CB"/>
    <w:rsid w:val="00D87F26"/>
    <w:rsid w:val="00D905E0"/>
    <w:rsid w:val="00D91BC3"/>
    <w:rsid w:val="00D9327B"/>
    <w:rsid w:val="00D94D86"/>
    <w:rsid w:val="00D95693"/>
    <w:rsid w:val="00D96E24"/>
    <w:rsid w:val="00D97C06"/>
    <w:rsid w:val="00DA1771"/>
    <w:rsid w:val="00DA248E"/>
    <w:rsid w:val="00DA2D19"/>
    <w:rsid w:val="00DA32B4"/>
    <w:rsid w:val="00DA38BF"/>
    <w:rsid w:val="00DA48CE"/>
    <w:rsid w:val="00DA5C34"/>
    <w:rsid w:val="00DB01EC"/>
    <w:rsid w:val="00DB033A"/>
    <w:rsid w:val="00DB2944"/>
    <w:rsid w:val="00DB2CC7"/>
    <w:rsid w:val="00DB38A5"/>
    <w:rsid w:val="00DB42CE"/>
    <w:rsid w:val="00DB61A5"/>
    <w:rsid w:val="00DB7DDB"/>
    <w:rsid w:val="00DC1AFB"/>
    <w:rsid w:val="00DC235A"/>
    <w:rsid w:val="00DC2C28"/>
    <w:rsid w:val="00DC3476"/>
    <w:rsid w:val="00DC423C"/>
    <w:rsid w:val="00DC493F"/>
    <w:rsid w:val="00DC5C08"/>
    <w:rsid w:val="00DD0923"/>
    <w:rsid w:val="00DD0B71"/>
    <w:rsid w:val="00DD0B97"/>
    <w:rsid w:val="00DD20E4"/>
    <w:rsid w:val="00DD51E7"/>
    <w:rsid w:val="00DD6D69"/>
    <w:rsid w:val="00DE0D29"/>
    <w:rsid w:val="00DE0F90"/>
    <w:rsid w:val="00DE1455"/>
    <w:rsid w:val="00DE182E"/>
    <w:rsid w:val="00DE1AED"/>
    <w:rsid w:val="00DE1B03"/>
    <w:rsid w:val="00DE1CC9"/>
    <w:rsid w:val="00DE1EB5"/>
    <w:rsid w:val="00DE2482"/>
    <w:rsid w:val="00DE2D37"/>
    <w:rsid w:val="00DE3017"/>
    <w:rsid w:val="00DE3A39"/>
    <w:rsid w:val="00DE3B51"/>
    <w:rsid w:val="00DE4426"/>
    <w:rsid w:val="00DE522A"/>
    <w:rsid w:val="00DE586C"/>
    <w:rsid w:val="00DE604F"/>
    <w:rsid w:val="00DE60C3"/>
    <w:rsid w:val="00DE64B2"/>
    <w:rsid w:val="00DE7355"/>
    <w:rsid w:val="00DE7D0C"/>
    <w:rsid w:val="00DF04F7"/>
    <w:rsid w:val="00DF0DF3"/>
    <w:rsid w:val="00DF20D1"/>
    <w:rsid w:val="00DF379D"/>
    <w:rsid w:val="00DF53A4"/>
    <w:rsid w:val="00DF53AC"/>
    <w:rsid w:val="00DF58DD"/>
    <w:rsid w:val="00DF5A86"/>
    <w:rsid w:val="00DF6990"/>
    <w:rsid w:val="00DF7649"/>
    <w:rsid w:val="00DF7A39"/>
    <w:rsid w:val="00E016A2"/>
    <w:rsid w:val="00E01821"/>
    <w:rsid w:val="00E0206C"/>
    <w:rsid w:val="00E03538"/>
    <w:rsid w:val="00E03C20"/>
    <w:rsid w:val="00E0409F"/>
    <w:rsid w:val="00E04821"/>
    <w:rsid w:val="00E052C6"/>
    <w:rsid w:val="00E068F8"/>
    <w:rsid w:val="00E1045E"/>
    <w:rsid w:val="00E10A87"/>
    <w:rsid w:val="00E1344C"/>
    <w:rsid w:val="00E153DB"/>
    <w:rsid w:val="00E1595A"/>
    <w:rsid w:val="00E16C9F"/>
    <w:rsid w:val="00E176E7"/>
    <w:rsid w:val="00E17E52"/>
    <w:rsid w:val="00E20CD8"/>
    <w:rsid w:val="00E227A1"/>
    <w:rsid w:val="00E22856"/>
    <w:rsid w:val="00E234C7"/>
    <w:rsid w:val="00E24137"/>
    <w:rsid w:val="00E24E43"/>
    <w:rsid w:val="00E30095"/>
    <w:rsid w:val="00E30607"/>
    <w:rsid w:val="00E319F5"/>
    <w:rsid w:val="00E31D0D"/>
    <w:rsid w:val="00E32E4A"/>
    <w:rsid w:val="00E335A2"/>
    <w:rsid w:val="00E3420D"/>
    <w:rsid w:val="00E34F87"/>
    <w:rsid w:val="00E364AC"/>
    <w:rsid w:val="00E36559"/>
    <w:rsid w:val="00E36E71"/>
    <w:rsid w:val="00E40713"/>
    <w:rsid w:val="00E40D66"/>
    <w:rsid w:val="00E40E0D"/>
    <w:rsid w:val="00E41CDC"/>
    <w:rsid w:val="00E43085"/>
    <w:rsid w:val="00E441A8"/>
    <w:rsid w:val="00E44ED7"/>
    <w:rsid w:val="00E45650"/>
    <w:rsid w:val="00E46E7D"/>
    <w:rsid w:val="00E47748"/>
    <w:rsid w:val="00E51573"/>
    <w:rsid w:val="00E5168C"/>
    <w:rsid w:val="00E5248C"/>
    <w:rsid w:val="00E524FC"/>
    <w:rsid w:val="00E53044"/>
    <w:rsid w:val="00E53091"/>
    <w:rsid w:val="00E536FF"/>
    <w:rsid w:val="00E5591F"/>
    <w:rsid w:val="00E56D4B"/>
    <w:rsid w:val="00E611A7"/>
    <w:rsid w:val="00E61562"/>
    <w:rsid w:val="00E62134"/>
    <w:rsid w:val="00E62451"/>
    <w:rsid w:val="00E631B4"/>
    <w:rsid w:val="00E63D63"/>
    <w:rsid w:val="00E65541"/>
    <w:rsid w:val="00E665C9"/>
    <w:rsid w:val="00E66F02"/>
    <w:rsid w:val="00E677C7"/>
    <w:rsid w:val="00E71E2E"/>
    <w:rsid w:val="00E74AE9"/>
    <w:rsid w:val="00E75BB8"/>
    <w:rsid w:val="00E761A1"/>
    <w:rsid w:val="00E77839"/>
    <w:rsid w:val="00E77D62"/>
    <w:rsid w:val="00E80DEB"/>
    <w:rsid w:val="00E818E9"/>
    <w:rsid w:val="00E8206D"/>
    <w:rsid w:val="00E82218"/>
    <w:rsid w:val="00E830AC"/>
    <w:rsid w:val="00E84813"/>
    <w:rsid w:val="00E849C2"/>
    <w:rsid w:val="00E860EA"/>
    <w:rsid w:val="00E86315"/>
    <w:rsid w:val="00E86340"/>
    <w:rsid w:val="00E90379"/>
    <w:rsid w:val="00E909E2"/>
    <w:rsid w:val="00E9143E"/>
    <w:rsid w:val="00E91440"/>
    <w:rsid w:val="00E91D94"/>
    <w:rsid w:val="00E92E3E"/>
    <w:rsid w:val="00E93854"/>
    <w:rsid w:val="00E940DF"/>
    <w:rsid w:val="00E94154"/>
    <w:rsid w:val="00EA2EE1"/>
    <w:rsid w:val="00EA339B"/>
    <w:rsid w:val="00EA3F3F"/>
    <w:rsid w:val="00EA3F88"/>
    <w:rsid w:val="00EA59A8"/>
    <w:rsid w:val="00EA630C"/>
    <w:rsid w:val="00EA6568"/>
    <w:rsid w:val="00EB0C28"/>
    <w:rsid w:val="00EB5ECF"/>
    <w:rsid w:val="00EB6A20"/>
    <w:rsid w:val="00EB7F64"/>
    <w:rsid w:val="00EC030F"/>
    <w:rsid w:val="00EC1B93"/>
    <w:rsid w:val="00EC2827"/>
    <w:rsid w:val="00EC2C14"/>
    <w:rsid w:val="00EC3422"/>
    <w:rsid w:val="00EC3FCB"/>
    <w:rsid w:val="00EC45E9"/>
    <w:rsid w:val="00EC4CF2"/>
    <w:rsid w:val="00EC4D93"/>
    <w:rsid w:val="00EC4E6F"/>
    <w:rsid w:val="00EC6544"/>
    <w:rsid w:val="00EC6F1E"/>
    <w:rsid w:val="00ED009A"/>
    <w:rsid w:val="00ED09F6"/>
    <w:rsid w:val="00ED1434"/>
    <w:rsid w:val="00ED1F3E"/>
    <w:rsid w:val="00ED6D08"/>
    <w:rsid w:val="00ED6FE2"/>
    <w:rsid w:val="00ED7412"/>
    <w:rsid w:val="00ED7455"/>
    <w:rsid w:val="00ED76D2"/>
    <w:rsid w:val="00EE00B8"/>
    <w:rsid w:val="00EE2696"/>
    <w:rsid w:val="00EE5B34"/>
    <w:rsid w:val="00EE6CA0"/>
    <w:rsid w:val="00EE76BD"/>
    <w:rsid w:val="00EE771E"/>
    <w:rsid w:val="00EF2098"/>
    <w:rsid w:val="00EF31F8"/>
    <w:rsid w:val="00EF662C"/>
    <w:rsid w:val="00EF6BC2"/>
    <w:rsid w:val="00EF77D7"/>
    <w:rsid w:val="00EF7B4B"/>
    <w:rsid w:val="00F033FF"/>
    <w:rsid w:val="00F054BF"/>
    <w:rsid w:val="00F05E14"/>
    <w:rsid w:val="00F063BE"/>
    <w:rsid w:val="00F06923"/>
    <w:rsid w:val="00F06DE0"/>
    <w:rsid w:val="00F0756A"/>
    <w:rsid w:val="00F101E3"/>
    <w:rsid w:val="00F10F54"/>
    <w:rsid w:val="00F124B4"/>
    <w:rsid w:val="00F13DB0"/>
    <w:rsid w:val="00F1460A"/>
    <w:rsid w:val="00F148E9"/>
    <w:rsid w:val="00F1797F"/>
    <w:rsid w:val="00F20010"/>
    <w:rsid w:val="00F21015"/>
    <w:rsid w:val="00F21A85"/>
    <w:rsid w:val="00F231BC"/>
    <w:rsid w:val="00F232E7"/>
    <w:rsid w:val="00F2347A"/>
    <w:rsid w:val="00F23C45"/>
    <w:rsid w:val="00F2424E"/>
    <w:rsid w:val="00F25D8A"/>
    <w:rsid w:val="00F26F4A"/>
    <w:rsid w:val="00F27448"/>
    <w:rsid w:val="00F30F33"/>
    <w:rsid w:val="00F31806"/>
    <w:rsid w:val="00F32DD2"/>
    <w:rsid w:val="00F33C09"/>
    <w:rsid w:val="00F350C0"/>
    <w:rsid w:val="00F356A6"/>
    <w:rsid w:val="00F35FA2"/>
    <w:rsid w:val="00F360A2"/>
    <w:rsid w:val="00F36D5B"/>
    <w:rsid w:val="00F37CE3"/>
    <w:rsid w:val="00F37DEF"/>
    <w:rsid w:val="00F413E1"/>
    <w:rsid w:val="00F43BE7"/>
    <w:rsid w:val="00F45CD9"/>
    <w:rsid w:val="00F46A1B"/>
    <w:rsid w:val="00F4754B"/>
    <w:rsid w:val="00F477BE"/>
    <w:rsid w:val="00F50AD6"/>
    <w:rsid w:val="00F522ED"/>
    <w:rsid w:val="00F56B61"/>
    <w:rsid w:val="00F573EA"/>
    <w:rsid w:val="00F57807"/>
    <w:rsid w:val="00F624B0"/>
    <w:rsid w:val="00F62568"/>
    <w:rsid w:val="00F62ED1"/>
    <w:rsid w:val="00F64530"/>
    <w:rsid w:val="00F671B2"/>
    <w:rsid w:val="00F67941"/>
    <w:rsid w:val="00F67A47"/>
    <w:rsid w:val="00F67B96"/>
    <w:rsid w:val="00F70A83"/>
    <w:rsid w:val="00F70E9A"/>
    <w:rsid w:val="00F71081"/>
    <w:rsid w:val="00F71479"/>
    <w:rsid w:val="00F71FE6"/>
    <w:rsid w:val="00F7244B"/>
    <w:rsid w:val="00F75CB4"/>
    <w:rsid w:val="00F76339"/>
    <w:rsid w:val="00F77BCC"/>
    <w:rsid w:val="00F77F20"/>
    <w:rsid w:val="00F8212C"/>
    <w:rsid w:val="00F82681"/>
    <w:rsid w:val="00F82D6D"/>
    <w:rsid w:val="00F83EAF"/>
    <w:rsid w:val="00F86377"/>
    <w:rsid w:val="00F86BA8"/>
    <w:rsid w:val="00F873CC"/>
    <w:rsid w:val="00F878FF"/>
    <w:rsid w:val="00F90BC8"/>
    <w:rsid w:val="00F91CE8"/>
    <w:rsid w:val="00F922EC"/>
    <w:rsid w:val="00F93012"/>
    <w:rsid w:val="00F95821"/>
    <w:rsid w:val="00F966CA"/>
    <w:rsid w:val="00FA0C1C"/>
    <w:rsid w:val="00FA1055"/>
    <w:rsid w:val="00FA1A9C"/>
    <w:rsid w:val="00FA1C7B"/>
    <w:rsid w:val="00FA2451"/>
    <w:rsid w:val="00FA2520"/>
    <w:rsid w:val="00FA475C"/>
    <w:rsid w:val="00FA578F"/>
    <w:rsid w:val="00FA71DB"/>
    <w:rsid w:val="00FB04A6"/>
    <w:rsid w:val="00FB0537"/>
    <w:rsid w:val="00FB0896"/>
    <w:rsid w:val="00FB26DB"/>
    <w:rsid w:val="00FB2738"/>
    <w:rsid w:val="00FB3007"/>
    <w:rsid w:val="00FB31D6"/>
    <w:rsid w:val="00FB436C"/>
    <w:rsid w:val="00FB43CF"/>
    <w:rsid w:val="00FB45D7"/>
    <w:rsid w:val="00FB5801"/>
    <w:rsid w:val="00FC0528"/>
    <w:rsid w:val="00FC0600"/>
    <w:rsid w:val="00FC11C1"/>
    <w:rsid w:val="00FC2664"/>
    <w:rsid w:val="00FC2E96"/>
    <w:rsid w:val="00FC35B5"/>
    <w:rsid w:val="00FC43EA"/>
    <w:rsid w:val="00FC5086"/>
    <w:rsid w:val="00FC5FB0"/>
    <w:rsid w:val="00FC6D06"/>
    <w:rsid w:val="00FC7AB0"/>
    <w:rsid w:val="00FD0E5B"/>
    <w:rsid w:val="00FD16FC"/>
    <w:rsid w:val="00FD1C7A"/>
    <w:rsid w:val="00FD2C06"/>
    <w:rsid w:val="00FD350F"/>
    <w:rsid w:val="00FD430C"/>
    <w:rsid w:val="00FD4F10"/>
    <w:rsid w:val="00FD551E"/>
    <w:rsid w:val="00FD5C02"/>
    <w:rsid w:val="00FD6667"/>
    <w:rsid w:val="00FD7AB0"/>
    <w:rsid w:val="00FE002E"/>
    <w:rsid w:val="00FE04FF"/>
    <w:rsid w:val="00FE0FF1"/>
    <w:rsid w:val="00FE3696"/>
    <w:rsid w:val="00FE3A1B"/>
    <w:rsid w:val="00FE476F"/>
    <w:rsid w:val="00FE4F22"/>
    <w:rsid w:val="00FE5A45"/>
    <w:rsid w:val="00FE69A6"/>
    <w:rsid w:val="00FE78CD"/>
    <w:rsid w:val="00FF01D7"/>
    <w:rsid w:val="00FF0397"/>
    <w:rsid w:val="00FF0D9E"/>
    <w:rsid w:val="00FF2091"/>
    <w:rsid w:val="00FF27C2"/>
    <w:rsid w:val="00FF306D"/>
    <w:rsid w:val="00FF3AC1"/>
    <w:rsid w:val="00FF3D86"/>
    <w:rsid w:val="00FF5788"/>
    <w:rsid w:val="00FF6F5A"/>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fill="f" fillcolor="white" stroke="f">
      <v:fill color="white" on="f"/>
      <v:stroke on="f"/>
      <v:textbox inset="0,0,0,0"/>
    </o:shapedefaults>
    <o:shapelayout v:ext="edit">
      <o:idmap v:ext="edit" data="1"/>
    </o:shapelayout>
  </w:shapeDefaults>
  <w:decimalSymbol w:val=","/>
  <w:listSeparator w:val=";"/>
  <w14:docId w14:val="36CC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825376"/>
    <w:rPr>
      <w:rFonts w:ascii="Arial" w:hAnsi="Arial"/>
      <w:color w:val="000000"/>
      <w:sz w:val="18"/>
      <w:lang w:eastAsia="en-US"/>
    </w:rPr>
  </w:style>
  <w:style w:type="paragraph" w:styleId="Heading1">
    <w:name w:val="heading 1"/>
    <w:basedOn w:val="Normal"/>
    <w:next w:val="BodyText1"/>
    <w:link w:val="Heading1Char"/>
    <w:qFormat/>
    <w:rsid w:val="009310D6"/>
    <w:pPr>
      <w:spacing w:before="960" w:after="360"/>
      <w:outlineLvl w:val="0"/>
    </w:pPr>
    <w:rPr>
      <w:color w:val="48748F" w:themeColor="accent1"/>
      <w:sz w:val="36"/>
    </w:rPr>
  </w:style>
  <w:style w:type="paragraph" w:styleId="Heading2">
    <w:name w:val="heading 2"/>
    <w:basedOn w:val="Normal"/>
    <w:next w:val="BodyText1"/>
    <w:link w:val="Heading2Char"/>
    <w:qFormat/>
    <w:rsid w:val="009310D6"/>
    <w:pPr>
      <w:spacing w:before="360" w:after="240"/>
      <w:contextualSpacing/>
      <w:outlineLvl w:val="1"/>
    </w:pPr>
    <w:rPr>
      <w:color w:val="48748F" w:themeColor="accent1"/>
      <w:sz w:val="24"/>
    </w:rPr>
  </w:style>
  <w:style w:type="paragraph" w:styleId="Heading3">
    <w:name w:val="heading 3"/>
    <w:basedOn w:val="Normal"/>
    <w:next w:val="BodyText1"/>
    <w:link w:val="Heading3Char"/>
    <w:qFormat/>
    <w:rsid w:val="009310D6"/>
    <w:pPr>
      <w:spacing w:before="240" w:after="240"/>
      <w:outlineLvl w:val="2"/>
    </w:pPr>
    <w:rPr>
      <w:b/>
      <w:color w:val="48748F" w:themeColor="accent1"/>
      <w:sz w:val="20"/>
      <w:szCs w:val="22"/>
    </w:rPr>
  </w:style>
  <w:style w:type="paragraph" w:styleId="Heading4">
    <w:name w:val="heading 4"/>
    <w:basedOn w:val="Normal"/>
    <w:next w:val="BodyText1"/>
    <w:link w:val="Heading4Char"/>
    <w:qFormat/>
    <w:rsid w:val="009310D6"/>
    <w:pPr>
      <w:spacing w:before="240"/>
      <w:contextualSpacing/>
      <w:outlineLvl w:val="3"/>
    </w:pPr>
    <w:rPr>
      <w:color w:val="48748F" w:themeColor="accent1"/>
      <w:sz w:val="20"/>
    </w:rPr>
  </w:style>
  <w:style w:type="paragraph" w:styleId="Heading5">
    <w:name w:val="heading 5"/>
    <w:basedOn w:val="Normal"/>
    <w:next w:val="Normal"/>
    <w:link w:val="Heading5Char"/>
    <w:autoRedefine/>
    <w:qFormat/>
    <w:rsid w:val="00F4754B"/>
    <w:pPr>
      <w:keepNext/>
      <w:spacing w:before="140" w:after="120"/>
      <w:jc w:val="both"/>
      <w:outlineLvl w:val="4"/>
    </w:pPr>
    <w:rPr>
      <w:rFonts w:ascii="Verdana" w:hAnsi="Verdana"/>
      <w:b/>
      <w:i/>
      <w:color w:val="auto"/>
      <w:sz w:val="20"/>
      <w:szCs w:val="24"/>
    </w:rPr>
  </w:style>
  <w:style w:type="paragraph" w:styleId="Heading6">
    <w:name w:val="heading 6"/>
    <w:basedOn w:val="Normal"/>
    <w:next w:val="Normal"/>
    <w:link w:val="Heading6Char"/>
    <w:qFormat/>
    <w:rsid w:val="00F4754B"/>
    <w:pPr>
      <w:spacing w:before="240" w:after="60"/>
      <w:jc w:val="both"/>
      <w:outlineLvl w:val="5"/>
    </w:pPr>
    <w:rPr>
      <w:rFonts w:ascii="Times New Roman" w:hAnsi="Times New Roman"/>
      <w:b/>
      <w:bCs/>
      <w:color w:val="auto"/>
      <w:sz w:val="20"/>
      <w:szCs w:val="22"/>
    </w:rPr>
  </w:style>
  <w:style w:type="paragraph" w:styleId="Heading7">
    <w:name w:val="heading 7"/>
    <w:basedOn w:val="Normal"/>
    <w:next w:val="Normal"/>
    <w:link w:val="Heading7Char"/>
    <w:qFormat/>
    <w:rsid w:val="00F4754B"/>
    <w:pPr>
      <w:spacing w:before="240" w:after="60"/>
      <w:jc w:val="both"/>
      <w:outlineLvl w:val="6"/>
    </w:pPr>
    <w:rPr>
      <w:rFonts w:ascii="Times New Roman" w:hAnsi="Times New Roman"/>
      <w:color w:val="auto"/>
      <w:sz w:val="24"/>
      <w:szCs w:val="24"/>
    </w:rPr>
  </w:style>
  <w:style w:type="paragraph" w:styleId="Heading8">
    <w:name w:val="heading 8"/>
    <w:basedOn w:val="Normal"/>
    <w:next w:val="Normal"/>
    <w:link w:val="Heading8Char"/>
    <w:qFormat/>
    <w:rsid w:val="00F4754B"/>
    <w:pPr>
      <w:spacing w:before="240" w:after="60"/>
      <w:jc w:val="both"/>
      <w:outlineLvl w:val="7"/>
    </w:pPr>
    <w:rPr>
      <w:rFonts w:ascii="Times New Roman" w:hAnsi="Times New Roman"/>
      <w:i/>
      <w:iCs/>
      <w:color w:val="auto"/>
      <w:sz w:val="24"/>
      <w:szCs w:val="24"/>
    </w:rPr>
  </w:style>
  <w:style w:type="paragraph" w:styleId="Heading9">
    <w:name w:val="heading 9"/>
    <w:basedOn w:val="Normal"/>
    <w:next w:val="Normal"/>
    <w:link w:val="Heading9Char"/>
    <w:qFormat/>
    <w:rsid w:val="00F4754B"/>
    <w:pPr>
      <w:spacing w:before="240" w:after="60"/>
      <w:jc w:val="both"/>
      <w:outlineLvl w:val="8"/>
    </w:pPr>
    <w:rPr>
      <w:rFonts w:ascii="Verdana" w:hAnsi="Verdana" w:cs="Arial"/>
      <w:color w:val="auto"/>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1">
    <w:name w:val="Body Text1"/>
    <w:basedOn w:val="Normal"/>
    <w:qFormat/>
    <w:rsid w:val="009310D6"/>
    <w:pPr>
      <w:tabs>
        <w:tab w:val="left" w:pos="0"/>
      </w:tabs>
      <w:spacing w:line="300" w:lineRule="exact"/>
      <w:jc w:val="both"/>
    </w:pPr>
    <w:rPr>
      <w:sz w:val="20"/>
    </w:rPr>
  </w:style>
  <w:style w:type="paragraph" w:styleId="BalloonText">
    <w:name w:val="Balloon Text"/>
    <w:basedOn w:val="Normal"/>
    <w:link w:val="BalloonTextChar"/>
    <w:uiPriority w:val="99"/>
    <w:unhideWhenUsed/>
    <w:rsid w:val="009310D6"/>
    <w:rPr>
      <w:rFonts w:ascii="Tahoma" w:hAnsi="Tahoma" w:cs="Tahoma"/>
      <w:sz w:val="16"/>
      <w:szCs w:val="16"/>
    </w:rPr>
  </w:style>
  <w:style w:type="character" w:customStyle="1" w:styleId="BalloonTextChar">
    <w:name w:val="Balloon Text Char"/>
    <w:basedOn w:val="DefaultParagraphFont"/>
    <w:link w:val="BalloonText"/>
    <w:uiPriority w:val="99"/>
    <w:rsid w:val="009310D6"/>
    <w:rPr>
      <w:rFonts w:ascii="Tahoma" w:hAnsi="Tahoma" w:cs="Tahoma"/>
      <w:color w:val="000000"/>
      <w:sz w:val="16"/>
      <w:szCs w:val="16"/>
      <w:lang w:eastAsia="en-US"/>
    </w:rPr>
  </w:style>
  <w:style w:type="paragraph" w:styleId="Header">
    <w:name w:val="header"/>
    <w:basedOn w:val="Normal"/>
    <w:link w:val="HeaderChar"/>
    <w:uiPriority w:val="99"/>
    <w:rsid w:val="009310D6"/>
    <w:pPr>
      <w:tabs>
        <w:tab w:val="center" w:pos="4153"/>
        <w:tab w:val="right" w:pos="8306"/>
      </w:tabs>
      <w:spacing w:line="300" w:lineRule="exact"/>
      <w:jc w:val="both"/>
    </w:pPr>
  </w:style>
  <w:style w:type="paragraph" w:customStyle="1" w:styleId="Page00of00">
    <w:name w:val="Page 00 of 00"/>
    <w:basedOn w:val="Normal"/>
    <w:semiHidden/>
    <w:rsid w:val="009310D6"/>
    <w:pPr>
      <w:spacing w:line="300" w:lineRule="exact"/>
      <w:jc w:val="both"/>
    </w:pPr>
    <w:rPr>
      <w:sz w:val="14"/>
    </w:rPr>
  </w:style>
  <w:style w:type="paragraph" w:customStyle="1" w:styleId="ReferenceText">
    <w:name w:val="Reference Text"/>
    <w:basedOn w:val="Header"/>
    <w:qFormat/>
    <w:rsid w:val="009310D6"/>
    <w:pPr>
      <w:framePr w:w="3976" w:h="1381" w:wrap="notBeside" w:vAnchor="page" w:hAnchor="page" w:x="6526" w:y="946" w:anchorLock="1"/>
      <w:tabs>
        <w:tab w:val="clear" w:pos="8306"/>
        <w:tab w:val="right" w:pos="9072"/>
      </w:tabs>
      <w:jc w:val="right"/>
    </w:pPr>
    <w:rPr>
      <w:rFonts w:asciiTheme="minorHAnsi" w:hAnsiTheme="minorHAnsi"/>
      <w:color w:val="807F83" w:themeColor="accent2"/>
      <w:sz w:val="20"/>
    </w:rPr>
  </w:style>
  <w:style w:type="paragraph" w:styleId="Footer">
    <w:name w:val="footer"/>
    <w:basedOn w:val="Normal"/>
    <w:link w:val="FooterChar"/>
    <w:uiPriority w:val="99"/>
    <w:rsid w:val="009310D6"/>
    <w:pPr>
      <w:tabs>
        <w:tab w:val="center" w:pos="4153"/>
        <w:tab w:val="right" w:pos="8306"/>
      </w:tabs>
      <w:spacing w:line="300" w:lineRule="exact"/>
      <w:jc w:val="both"/>
    </w:pPr>
  </w:style>
  <w:style w:type="character" w:styleId="PageNumber">
    <w:name w:val="page number"/>
    <w:basedOn w:val="DefaultParagraphFont"/>
    <w:uiPriority w:val="99"/>
    <w:rsid w:val="009310D6"/>
  </w:style>
  <w:style w:type="character" w:styleId="Hyperlink">
    <w:name w:val="Hyperlink"/>
    <w:basedOn w:val="DefaultParagraphFont"/>
    <w:uiPriority w:val="99"/>
    <w:rsid w:val="009310D6"/>
    <w:rPr>
      <w:color w:val="48748F" w:themeColor="accent1"/>
    </w:rPr>
  </w:style>
  <w:style w:type="paragraph" w:customStyle="1" w:styleId="Numberedparagraphs">
    <w:name w:val="Numbered paragraphs"/>
    <w:basedOn w:val="BodyText1"/>
    <w:qFormat/>
    <w:rsid w:val="005C1136"/>
    <w:pPr>
      <w:numPr>
        <w:numId w:val="1"/>
      </w:numPr>
      <w:tabs>
        <w:tab w:val="clear" w:pos="0"/>
        <w:tab w:val="left" w:pos="284"/>
      </w:tabs>
      <w:spacing w:after="300"/>
      <w:ind w:left="284" w:hanging="284"/>
    </w:pPr>
  </w:style>
  <w:style w:type="paragraph" w:customStyle="1" w:styleId="Bullet1">
    <w:name w:val="Bullet 1"/>
    <w:basedOn w:val="Normal"/>
    <w:qFormat/>
    <w:rsid w:val="00D1314A"/>
    <w:pPr>
      <w:numPr>
        <w:numId w:val="6"/>
      </w:numPr>
      <w:tabs>
        <w:tab w:val="left" w:pos="284"/>
      </w:tabs>
      <w:spacing w:after="260" w:line="260" w:lineRule="exact"/>
      <w:ind w:left="284" w:hanging="284"/>
      <w:jc w:val="both"/>
    </w:pPr>
    <w:rPr>
      <w:sz w:val="20"/>
    </w:rPr>
  </w:style>
  <w:style w:type="paragraph" w:customStyle="1" w:styleId="Bullet2">
    <w:name w:val="Bullet 2"/>
    <w:basedOn w:val="Normal"/>
    <w:qFormat/>
    <w:rsid w:val="0027308B"/>
    <w:pPr>
      <w:numPr>
        <w:numId w:val="2"/>
      </w:numPr>
      <w:tabs>
        <w:tab w:val="left" w:pos="567"/>
      </w:tabs>
      <w:spacing w:after="260" w:line="260" w:lineRule="exact"/>
      <w:ind w:left="567" w:hanging="283"/>
      <w:jc w:val="both"/>
    </w:pPr>
    <w:rPr>
      <w:sz w:val="20"/>
    </w:rPr>
  </w:style>
  <w:style w:type="paragraph" w:customStyle="1" w:styleId="Bullet3">
    <w:name w:val="Bullet 3"/>
    <w:basedOn w:val="Normal"/>
    <w:qFormat/>
    <w:rsid w:val="0027308B"/>
    <w:pPr>
      <w:numPr>
        <w:numId w:val="3"/>
      </w:numPr>
      <w:tabs>
        <w:tab w:val="left" w:pos="851"/>
      </w:tabs>
      <w:spacing w:after="260" w:line="260" w:lineRule="exact"/>
      <w:ind w:left="851" w:hanging="284"/>
      <w:jc w:val="both"/>
    </w:pPr>
    <w:rPr>
      <w:sz w:val="20"/>
    </w:rPr>
  </w:style>
  <w:style w:type="character" w:styleId="FootnoteReference">
    <w:name w:val="footnote reference"/>
    <w:basedOn w:val="DefaultParagraphFont"/>
    <w:qFormat/>
    <w:rsid w:val="009310D6"/>
    <w:rPr>
      <w:rFonts w:ascii="Arial" w:hAnsi="Arial"/>
      <w:color w:val="auto"/>
      <w:sz w:val="16"/>
      <w:vertAlign w:val="superscript"/>
    </w:rPr>
  </w:style>
  <w:style w:type="paragraph" w:styleId="FootnoteText">
    <w:name w:val="footnote text"/>
    <w:aliases w:val="Fußnote, Char"/>
    <w:basedOn w:val="Normal"/>
    <w:link w:val="FootnoteTextChar"/>
    <w:rsid w:val="0095041F"/>
    <w:pPr>
      <w:tabs>
        <w:tab w:val="left" w:pos="284"/>
      </w:tabs>
      <w:ind w:left="284" w:hanging="284"/>
    </w:pPr>
  </w:style>
  <w:style w:type="character" w:customStyle="1" w:styleId="FootnoteTextChar">
    <w:name w:val="Footnote Text Char"/>
    <w:aliases w:val="Fußnote Char, Char Char"/>
    <w:basedOn w:val="DefaultParagraphFont"/>
    <w:link w:val="FootnoteText"/>
    <w:rsid w:val="0095041F"/>
    <w:rPr>
      <w:rFonts w:ascii="Arial" w:hAnsi="Arial"/>
      <w:color w:val="000000"/>
      <w:sz w:val="18"/>
      <w:lang w:eastAsia="en-US"/>
    </w:rPr>
  </w:style>
  <w:style w:type="paragraph" w:customStyle="1" w:styleId="Numberedheadinglevel1">
    <w:name w:val="Numbered heading level 1"/>
    <w:basedOn w:val="BodyText1"/>
    <w:next w:val="BodyText1"/>
    <w:qFormat/>
    <w:rsid w:val="009310D6"/>
    <w:pPr>
      <w:numPr>
        <w:numId w:val="4"/>
      </w:numPr>
      <w:spacing w:before="360" w:after="360" w:line="240" w:lineRule="auto"/>
    </w:pPr>
    <w:rPr>
      <w:color w:val="48748F" w:themeColor="accent1"/>
      <w:sz w:val="28"/>
      <w:szCs w:val="28"/>
    </w:rPr>
  </w:style>
  <w:style w:type="paragraph" w:customStyle="1" w:styleId="Numberedheadinglevel2">
    <w:name w:val="Numbered heading level 2"/>
    <w:basedOn w:val="BodyText1"/>
    <w:next w:val="BodyText1"/>
    <w:qFormat/>
    <w:rsid w:val="009310D6"/>
    <w:pPr>
      <w:numPr>
        <w:ilvl w:val="1"/>
        <w:numId w:val="4"/>
      </w:numPr>
      <w:tabs>
        <w:tab w:val="clear" w:pos="0"/>
        <w:tab w:val="left" w:pos="567"/>
      </w:tabs>
      <w:spacing w:before="360" w:after="240" w:line="240" w:lineRule="auto"/>
    </w:pPr>
    <w:rPr>
      <w:color w:val="48748F" w:themeColor="accent1"/>
      <w:sz w:val="24"/>
      <w:szCs w:val="24"/>
    </w:rPr>
  </w:style>
  <w:style w:type="paragraph" w:customStyle="1" w:styleId="Numberedheadinglevel3">
    <w:name w:val="Numbered heading level 3"/>
    <w:basedOn w:val="BodyText1"/>
    <w:next w:val="BodyText1"/>
    <w:qFormat/>
    <w:rsid w:val="009310D6"/>
    <w:pPr>
      <w:numPr>
        <w:ilvl w:val="2"/>
        <w:numId w:val="4"/>
      </w:numPr>
      <w:tabs>
        <w:tab w:val="clear" w:pos="0"/>
        <w:tab w:val="left" w:pos="567"/>
      </w:tabs>
      <w:spacing w:before="240" w:after="120" w:line="240" w:lineRule="auto"/>
    </w:pPr>
    <w:rPr>
      <w:color w:val="48748F" w:themeColor="accent1"/>
    </w:rPr>
  </w:style>
  <w:style w:type="paragraph" w:styleId="DocumentMap">
    <w:name w:val="Document Map"/>
    <w:basedOn w:val="Normal"/>
    <w:link w:val="DocumentMapChar"/>
    <w:uiPriority w:val="99"/>
    <w:semiHidden/>
    <w:unhideWhenUsed/>
    <w:rsid w:val="00E86340"/>
    <w:rPr>
      <w:rFonts w:ascii="Tahoma" w:hAnsi="Tahoma" w:cs="Tahoma"/>
      <w:sz w:val="16"/>
      <w:szCs w:val="16"/>
    </w:rPr>
  </w:style>
  <w:style w:type="character" w:customStyle="1" w:styleId="DocumentMapChar">
    <w:name w:val="Document Map Char"/>
    <w:basedOn w:val="DefaultParagraphFont"/>
    <w:link w:val="DocumentMap"/>
    <w:uiPriority w:val="99"/>
    <w:semiHidden/>
    <w:rsid w:val="00E86340"/>
    <w:rPr>
      <w:rFonts w:ascii="Tahoma" w:hAnsi="Tahoma" w:cs="Tahoma"/>
      <w:color w:val="000000"/>
      <w:sz w:val="16"/>
      <w:szCs w:val="16"/>
      <w:lang w:eastAsia="en-US"/>
    </w:rPr>
  </w:style>
  <w:style w:type="paragraph" w:styleId="ListBullet">
    <w:name w:val="List Bullet"/>
    <w:basedOn w:val="Bullet1"/>
    <w:qFormat/>
    <w:rsid w:val="000F74E8"/>
    <w:pPr>
      <w:numPr>
        <w:numId w:val="5"/>
      </w:numPr>
      <w:spacing w:after="0"/>
      <w:ind w:left="284" w:hanging="284"/>
    </w:pPr>
  </w:style>
  <w:style w:type="paragraph" w:customStyle="1" w:styleId="DocTitle">
    <w:name w:val="Doc Title"/>
    <w:basedOn w:val="Normal"/>
    <w:rsid w:val="000F74E8"/>
    <w:pPr>
      <w:spacing w:before="3280" w:after="480"/>
    </w:pPr>
    <w:rPr>
      <w:color w:val="48748F" w:themeColor="accent1"/>
      <w:sz w:val="40"/>
      <w:szCs w:val="40"/>
    </w:rPr>
  </w:style>
  <w:style w:type="paragraph" w:customStyle="1" w:styleId="Figuretitle">
    <w:name w:val="Figure title"/>
    <w:basedOn w:val="Normal"/>
    <w:next w:val="BodyText1"/>
    <w:rsid w:val="000F74E8"/>
    <w:pPr>
      <w:keepNext/>
      <w:spacing w:before="240" w:after="240"/>
      <w:jc w:val="both"/>
    </w:pPr>
    <w:rPr>
      <w:bCs/>
      <w:color w:val="48748F" w:themeColor="accent1"/>
      <w:sz w:val="20"/>
    </w:rPr>
  </w:style>
  <w:style w:type="paragraph" w:customStyle="1" w:styleId="FigureTOC">
    <w:name w:val="Figure TOC"/>
    <w:basedOn w:val="TableofFigures"/>
    <w:rsid w:val="000F74E8"/>
    <w:pPr>
      <w:tabs>
        <w:tab w:val="right" w:pos="10194"/>
      </w:tabs>
      <w:spacing w:after="120"/>
    </w:pPr>
    <w:rPr>
      <w:noProof/>
      <w:sz w:val="20"/>
    </w:rPr>
  </w:style>
  <w:style w:type="paragraph" w:styleId="TableofFigures">
    <w:name w:val="table of figures"/>
    <w:basedOn w:val="Normal"/>
    <w:next w:val="Normal"/>
    <w:semiHidden/>
    <w:unhideWhenUsed/>
    <w:rsid w:val="000F74E8"/>
  </w:style>
  <w:style w:type="paragraph" w:customStyle="1" w:styleId="SubTitle">
    <w:name w:val="Sub Title"/>
    <w:basedOn w:val="Heading2"/>
    <w:rsid w:val="000F74E8"/>
    <w:pPr>
      <w:spacing w:before="120" w:after="0"/>
    </w:pPr>
  </w:style>
  <w:style w:type="paragraph" w:customStyle="1" w:styleId="Tabledata">
    <w:name w:val="Table data"/>
    <w:basedOn w:val="Normal"/>
    <w:rsid w:val="000F74E8"/>
    <w:pPr>
      <w:autoSpaceDE w:val="0"/>
      <w:autoSpaceDN w:val="0"/>
      <w:adjustRightInd w:val="0"/>
      <w:spacing w:before="60" w:after="60" w:line="260" w:lineRule="exact"/>
      <w:jc w:val="center"/>
    </w:pPr>
    <w:rPr>
      <w:rFonts w:asciiTheme="minorHAnsi" w:hAnsiTheme="minorHAnsi" w:cstheme="minorHAnsi"/>
      <w:color w:val="auto"/>
      <w:sz w:val="20"/>
      <w:lang w:eastAsia="en-GB"/>
    </w:rPr>
  </w:style>
  <w:style w:type="paragraph" w:customStyle="1" w:styleId="Tablefootnotetext">
    <w:name w:val="Table footnote text"/>
    <w:basedOn w:val="Normal"/>
    <w:rsid w:val="000F74E8"/>
    <w:pPr>
      <w:tabs>
        <w:tab w:val="right" w:pos="284"/>
        <w:tab w:val="left" w:pos="426"/>
      </w:tabs>
      <w:autoSpaceDE w:val="0"/>
      <w:autoSpaceDN w:val="0"/>
      <w:adjustRightInd w:val="0"/>
      <w:spacing w:before="60" w:after="60" w:line="260" w:lineRule="exact"/>
    </w:pPr>
    <w:rPr>
      <w:rFonts w:asciiTheme="minorHAnsi" w:hAnsiTheme="minorHAnsi" w:cstheme="minorHAnsi"/>
      <w:color w:val="auto"/>
      <w:sz w:val="14"/>
      <w:szCs w:val="14"/>
      <w:lang w:eastAsia="en-GB"/>
    </w:rPr>
  </w:style>
  <w:style w:type="table" w:styleId="TableGrid">
    <w:name w:val="Table Grid"/>
    <w:aliases w:val="Tabla CUADROS"/>
    <w:basedOn w:val="TableNormal"/>
    <w:uiPriority w:val="59"/>
    <w:rsid w:val="000F74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text">
    <w:name w:val="Table heading text"/>
    <w:basedOn w:val="BodyText1"/>
    <w:rsid w:val="000F74E8"/>
    <w:pPr>
      <w:spacing w:before="60" w:after="60" w:line="260" w:lineRule="exact"/>
      <w:jc w:val="center"/>
    </w:pPr>
    <w:rPr>
      <w:b/>
      <w:color w:val="48748F" w:themeColor="accent1"/>
    </w:rPr>
  </w:style>
  <w:style w:type="paragraph" w:customStyle="1" w:styleId="Tableofcontents">
    <w:name w:val="Table of contents"/>
    <w:basedOn w:val="Heading2"/>
    <w:rsid w:val="000F74E8"/>
  </w:style>
  <w:style w:type="paragraph" w:customStyle="1" w:styleId="Tabletext">
    <w:name w:val="Table text"/>
    <w:basedOn w:val="Normal"/>
    <w:rsid w:val="000F74E8"/>
    <w:pPr>
      <w:autoSpaceDE w:val="0"/>
      <w:autoSpaceDN w:val="0"/>
      <w:adjustRightInd w:val="0"/>
      <w:spacing w:before="60" w:after="60" w:line="260" w:lineRule="exact"/>
    </w:pPr>
    <w:rPr>
      <w:rFonts w:asciiTheme="minorHAnsi" w:hAnsiTheme="minorHAnsi" w:cstheme="minorHAnsi"/>
      <w:color w:val="auto"/>
      <w:sz w:val="20"/>
      <w:lang w:eastAsia="en-GB"/>
    </w:rPr>
  </w:style>
  <w:style w:type="paragraph" w:styleId="TOC1">
    <w:name w:val="toc 1"/>
    <w:basedOn w:val="Normal"/>
    <w:next w:val="Normal"/>
    <w:autoRedefine/>
    <w:uiPriority w:val="39"/>
    <w:unhideWhenUsed/>
    <w:qFormat/>
    <w:rsid w:val="000F74E8"/>
    <w:pPr>
      <w:tabs>
        <w:tab w:val="left" w:pos="567"/>
        <w:tab w:val="right" w:pos="7371"/>
      </w:tabs>
      <w:spacing w:after="100"/>
      <w:ind w:left="567" w:right="2833" w:hanging="567"/>
    </w:pPr>
    <w:rPr>
      <w:noProof/>
      <w:sz w:val="20"/>
    </w:rPr>
  </w:style>
  <w:style w:type="character" w:customStyle="1" w:styleId="Heading5Char">
    <w:name w:val="Heading 5 Char"/>
    <w:basedOn w:val="DefaultParagraphFont"/>
    <w:link w:val="Heading5"/>
    <w:rsid w:val="00F4754B"/>
    <w:rPr>
      <w:rFonts w:ascii="Verdana" w:hAnsi="Verdana"/>
      <w:b/>
      <w:i/>
      <w:szCs w:val="24"/>
      <w:lang w:eastAsia="en-US"/>
    </w:rPr>
  </w:style>
  <w:style w:type="character" w:customStyle="1" w:styleId="Heading6Char">
    <w:name w:val="Heading 6 Char"/>
    <w:basedOn w:val="DefaultParagraphFont"/>
    <w:link w:val="Heading6"/>
    <w:rsid w:val="00F4754B"/>
    <w:rPr>
      <w:b/>
      <w:bCs/>
      <w:szCs w:val="22"/>
      <w:lang w:eastAsia="en-US"/>
    </w:rPr>
  </w:style>
  <w:style w:type="character" w:customStyle="1" w:styleId="Heading7Char">
    <w:name w:val="Heading 7 Char"/>
    <w:basedOn w:val="DefaultParagraphFont"/>
    <w:link w:val="Heading7"/>
    <w:rsid w:val="00F4754B"/>
    <w:rPr>
      <w:sz w:val="24"/>
      <w:szCs w:val="24"/>
      <w:lang w:eastAsia="en-US"/>
    </w:rPr>
  </w:style>
  <w:style w:type="character" w:customStyle="1" w:styleId="Heading8Char">
    <w:name w:val="Heading 8 Char"/>
    <w:basedOn w:val="DefaultParagraphFont"/>
    <w:link w:val="Heading8"/>
    <w:rsid w:val="00F4754B"/>
    <w:rPr>
      <w:i/>
      <w:iCs/>
      <w:sz w:val="24"/>
      <w:szCs w:val="24"/>
      <w:lang w:eastAsia="en-US"/>
    </w:rPr>
  </w:style>
  <w:style w:type="character" w:customStyle="1" w:styleId="Heading9Char">
    <w:name w:val="Heading 9 Char"/>
    <w:basedOn w:val="DefaultParagraphFont"/>
    <w:link w:val="Heading9"/>
    <w:rsid w:val="00F4754B"/>
    <w:rPr>
      <w:rFonts w:ascii="Verdana" w:hAnsi="Verdana" w:cs="Arial"/>
      <w:szCs w:val="22"/>
      <w:lang w:eastAsia="en-US"/>
    </w:rPr>
  </w:style>
  <w:style w:type="character" w:customStyle="1" w:styleId="Heading1Char">
    <w:name w:val="Heading 1 Char"/>
    <w:basedOn w:val="DefaultParagraphFont"/>
    <w:link w:val="Heading1"/>
    <w:rsid w:val="00F4754B"/>
    <w:rPr>
      <w:rFonts w:ascii="Arial" w:hAnsi="Arial"/>
      <w:color w:val="48748F" w:themeColor="accent1"/>
      <w:sz w:val="36"/>
      <w:lang w:eastAsia="en-US"/>
    </w:rPr>
  </w:style>
  <w:style w:type="character" w:customStyle="1" w:styleId="Heading2Char">
    <w:name w:val="Heading 2 Char"/>
    <w:basedOn w:val="DefaultParagraphFont"/>
    <w:link w:val="Heading2"/>
    <w:rsid w:val="00F4754B"/>
    <w:rPr>
      <w:rFonts w:ascii="Arial" w:hAnsi="Arial"/>
      <w:color w:val="48748F" w:themeColor="accent1"/>
      <w:sz w:val="24"/>
      <w:lang w:eastAsia="en-US"/>
    </w:rPr>
  </w:style>
  <w:style w:type="character" w:customStyle="1" w:styleId="Heading3Char">
    <w:name w:val="Heading 3 Char"/>
    <w:basedOn w:val="DefaultParagraphFont"/>
    <w:link w:val="Heading3"/>
    <w:rsid w:val="00F4754B"/>
    <w:rPr>
      <w:rFonts w:ascii="Arial" w:hAnsi="Arial"/>
      <w:b/>
      <w:color w:val="48748F" w:themeColor="accent1"/>
      <w:szCs w:val="22"/>
      <w:lang w:eastAsia="en-US"/>
    </w:rPr>
  </w:style>
  <w:style w:type="character" w:customStyle="1" w:styleId="Heading4Char">
    <w:name w:val="Heading 4 Char"/>
    <w:basedOn w:val="DefaultParagraphFont"/>
    <w:link w:val="Heading4"/>
    <w:rsid w:val="00F4754B"/>
    <w:rPr>
      <w:rFonts w:ascii="Arial" w:hAnsi="Arial"/>
      <w:color w:val="48748F" w:themeColor="accent1"/>
      <w:lang w:eastAsia="en-US"/>
    </w:rPr>
  </w:style>
  <w:style w:type="paragraph" w:customStyle="1" w:styleId="Aufzhlungszeichen1">
    <w:name w:val="Aufzählungszeichen1"/>
    <w:basedOn w:val="Normal"/>
    <w:uiPriority w:val="1"/>
    <w:qFormat/>
    <w:rsid w:val="00F4754B"/>
    <w:pPr>
      <w:numPr>
        <w:numId w:val="7"/>
      </w:numPr>
      <w:spacing w:before="120" w:after="120" w:line="240" w:lineRule="exact"/>
      <w:jc w:val="both"/>
    </w:pPr>
    <w:rPr>
      <w:rFonts w:ascii="Verdana" w:hAnsi="Verdana"/>
      <w:color w:val="auto"/>
      <w:sz w:val="20"/>
      <w:szCs w:val="24"/>
    </w:rPr>
  </w:style>
  <w:style w:type="paragraph" w:customStyle="1" w:styleId="Aufzhlungszeichen2">
    <w:name w:val="Aufzählungszeichen2"/>
    <w:basedOn w:val="Normal"/>
    <w:uiPriority w:val="1"/>
    <w:qFormat/>
    <w:rsid w:val="00F4754B"/>
    <w:pPr>
      <w:numPr>
        <w:numId w:val="8"/>
      </w:numPr>
      <w:spacing w:before="120" w:after="120" w:line="240" w:lineRule="exact"/>
      <w:jc w:val="both"/>
    </w:pPr>
    <w:rPr>
      <w:rFonts w:ascii="Verdana" w:hAnsi="Verdana"/>
      <w:color w:val="auto"/>
      <w:sz w:val="20"/>
      <w:szCs w:val="24"/>
    </w:rPr>
  </w:style>
  <w:style w:type="paragraph" w:customStyle="1" w:styleId="Aufzhlungszeichen3">
    <w:name w:val="Aufzählungszeichen3"/>
    <w:basedOn w:val="Normal"/>
    <w:uiPriority w:val="1"/>
    <w:qFormat/>
    <w:rsid w:val="00F4754B"/>
    <w:pPr>
      <w:numPr>
        <w:numId w:val="9"/>
      </w:numPr>
      <w:spacing w:before="120" w:after="120" w:line="240" w:lineRule="exact"/>
      <w:jc w:val="both"/>
    </w:pPr>
    <w:rPr>
      <w:rFonts w:ascii="Verdana" w:hAnsi="Verdana"/>
      <w:color w:val="auto"/>
      <w:sz w:val="20"/>
      <w:szCs w:val="24"/>
    </w:rPr>
  </w:style>
  <w:style w:type="paragraph" w:customStyle="1" w:styleId="Aufzhlungszeichen4">
    <w:name w:val="Aufzählungszeichen4"/>
    <w:basedOn w:val="Normal"/>
    <w:uiPriority w:val="1"/>
    <w:qFormat/>
    <w:rsid w:val="00F4754B"/>
    <w:pPr>
      <w:numPr>
        <w:numId w:val="10"/>
      </w:numPr>
      <w:spacing w:before="120" w:after="120" w:line="240" w:lineRule="exact"/>
      <w:jc w:val="both"/>
    </w:pPr>
    <w:rPr>
      <w:rFonts w:ascii="Verdana" w:hAnsi="Verdana"/>
      <w:color w:val="auto"/>
      <w:sz w:val="20"/>
      <w:szCs w:val="24"/>
    </w:rPr>
  </w:style>
  <w:style w:type="numbering" w:customStyle="1" w:styleId="Formatvorlage1">
    <w:name w:val="Formatvorlage1"/>
    <w:uiPriority w:val="99"/>
    <w:rsid w:val="00F4754B"/>
    <w:pPr>
      <w:numPr>
        <w:numId w:val="11"/>
      </w:numPr>
    </w:pPr>
  </w:style>
  <w:style w:type="numbering" w:customStyle="1" w:styleId="Formatvorlage2">
    <w:name w:val="Formatvorlage2"/>
    <w:uiPriority w:val="99"/>
    <w:rsid w:val="00F4754B"/>
    <w:pPr>
      <w:numPr>
        <w:numId w:val="12"/>
      </w:numPr>
    </w:pPr>
  </w:style>
  <w:style w:type="character" w:customStyle="1" w:styleId="FooterChar">
    <w:name w:val="Footer Char"/>
    <w:basedOn w:val="DefaultParagraphFont"/>
    <w:link w:val="Footer"/>
    <w:uiPriority w:val="99"/>
    <w:rsid w:val="00F4754B"/>
    <w:rPr>
      <w:rFonts w:ascii="Arial" w:hAnsi="Arial"/>
      <w:color w:val="000000"/>
      <w:sz w:val="18"/>
      <w:lang w:eastAsia="en-US"/>
    </w:rPr>
  </w:style>
  <w:style w:type="paragraph" w:customStyle="1" w:styleId="GliederungmitAufzhlung">
    <w:name w:val="Gliederung mit Aufzählung"/>
    <w:basedOn w:val="Normal"/>
    <w:uiPriority w:val="1"/>
    <w:qFormat/>
    <w:rsid w:val="00F4754B"/>
    <w:pPr>
      <w:numPr>
        <w:numId w:val="13"/>
      </w:numPr>
      <w:spacing w:before="120" w:after="120" w:line="312" w:lineRule="auto"/>
      <w:jc w:val="both"/>
    </w:pPr>
    <w:rPr>
      <w:rFonts w:ascii="Verdana" w:hAnsi="Verdana"/>
      <w:color w:val="auto"/>
      <w:sz w:val="20"/>
      <w:szCs w:val="24"/>
    </w:rPr>
  </w:style>
  <w:style w:type="paragraph" w:customStyle="1" w:styleId="GliederungmitNummerierung">
    <w:name w:val="Gliederung mit Nummerierung"/>
    <w:basedOn w:val="Normal"/>
    <w:uiPriority w:val="1"/>
    <w:qFormat/>
    <w:rsid w:val="00F4754B"/>
    <w:pPr>
      <w:numPr>
        <w:numId w:val="14"/>
      </w:numPr>
      <w:spacing w:before="120" w:after="120" w:line="312" w:lineRule="auto"/>
      <w:jc w:val="both"/>
    </w:pPr>
    <w:rPr>
      <w:rFonts w:ascii="Verdana" w:hAnsi="Verdana"/>
      <w:color w:val="auto"/>
      <w:sz w:val="20"/>
      <w:szCs w:val="24"/>
    </w:rPr>
  </w:style>
  <w:style w:type="paragraph" w:customStyle="1" w:styleId="HngEinrckung1">
    <w:name w:val="Häng. Einrückung1"/>
    <w:basedOn w:val="Normal"/>
    <w:uiPriority w:val="1"/>
    <w:qFormat/>
    <w:rsid w:val="00F4754B"/>
    <w:pPr>
      <w:spacing w:before="120" w:after="120" w:line="312" w:lineRule="auto"/>
      <w:ind w:left="567" w:hanging="567"/>
      <w:jc w:val="both"/>
    </w:pPr>
    <w:rPr>
      <w:rFonts w:ascii="Verdana" w:hAnsi="Verdana"/>
      <w:color w:val="auto"/>
      <w:sz w:val="20"/>
      <w:szCs w:val="24"/>
    </w:rPr>
  </w:style>
  <w:style w:type="paragraph" w:customStyle="1" w:styleId="HngEinrckung2">
    <w:name w:val="Häng. Einrückung2"/>
    <w:basedOn w:val="Normal"/>
    <w:uiPriority w:val="1"/>
    <w:qFormat/>
    <w:rsid w:val="00F4754B"/>
    <w:pPr>
      <w:spacing w:before="120" w:after="120" w:line="312" w:lineRule="auto"/>
      <w:ind w:left="1134" w:hanging="567"/>
      <w:jc w:val="both"/>
    </w:pPr>
    <w:rPr>
      <w:rFonts w:ascii="Verdana" w:hAnsi="Verdana"/>
      <w:color w:val="auto"/>
      <w:sz w:val="20"/>
      <w:szCs w:val="24"/>
    </w:rPr>
  </w:style>
  <w:style w:type="paragraph" w:customStyle="1" w:styleId="HngEinrckung3">
    <w:name w:val="Häng. Einrückung3"/>
    <w:basedOn w:val="Normal"/>
    <w:uiPriority w:val="1"/>
    <w:qFormat/>
    <w:rsid w:val="00F4754B"/>
    <w:pPr>
      <w:spacing w:before="120" w:after="120" w:line="312" w:lineRule="auto"/>
      <w:ind w:left="1701" w:hanging="567"/>
      <w:jc w:val="both"/>
    </w:pPr>
    <w:rPr>
      <w:rFonts w:ascii="Verdana" w:hAnsi="Verdana"/>
      <w:color w:val="auto"/>
      <w:sz w:val="20"/>
      <w:szCs w:val="24"/>
    </w:rPr>
  </w:style>
  <w:style w:type="character" w:customStyle="1" w:styleId="HeaderChar">
    <w:name w:val="Header Char"/>
    <w:basedOn w:val="DefaultParagraphFont"/>
    <w:link w:val="Header"/>
    <w:uiPriority w:val="99"/>
    <w:rsid w:val="00F4754B"/>
    <w:rPr>
      <w:rFonts w:ascii="Arial" w:hAnsi="Arial"/>
      <w:color w:val="000000"/>
      <w:sz w:val="18"/>
      <w:lang w:eastAsia="en-US"/>
    </w:rPr>
  </w:style>
  <w:style w:type="paragraph" w:customStyle="1" w:styleId="Marginalspalte">
    <w:name w:val="Marginalspalte"/>
    <w:basedOn w:val="Normal"/>
    <w:uiPriority w:val="1"/>
    <w:qFormat/>
    <w:rsid w:val="00F4754B"/>
    <w:pPr>
      <w:framePr w:w="851" w:h="851" w:hSpace="284" w:wrap="around" w:vAnchor="text" w:hAnchor="page" w:y="1"/>
      <w:spacing w:before="120" w:after="120"/>
      <w:jc w:val="both"/>
    </w:pPr>
    <w:rPr>
      <w:rFonts w:ascii="Verdana" w:hAnsi="Verdana"/>
      <w:i/>
      <w:color w:val="auto"/>
      <w:sz w:val="20"/>
      <w:szCs w:val="22"/>
    </w:rPr>
  </w:style>
  <w:style w:type="paragraph" w:customStyle="1" w:styleId="Nummerierungsart1">
    <w:name w:val="Nummerierungsart1"/>
    <w:basedOn w:val="Normal"/>
    <w:uiPriority w:val="1"/>
    <w:qFormat/>
    <w:rsid w:val="00F4754B"/>
    <w:pPr>
      <w:numPr>
        <w:numId w:val="15"/>
      </w:numPr>
      <w:spacing w:before="120" w:after="120"/>
      <w:jc w:val="both"/>
    </w:pPr>
    <w:rPr>
      <w:rFonts w:ascii="Verdana" w:hAnsi="Verdana"/>
      <w:color w:val="auto"/>
      <w:sz w:val="20"/>
      <w:szCs w:val="24"/>
    </w:rPr>
  </w:style>
  <w:style w:type="paragraph" w:customStyle="1" w:styleId="Nummerierungsart2">
    <w:name w:val="Nummerierungsart2"/>
    <w:basedOn w:val="Normal"/>
    <w:uiPriority w:val="1"/>
    <w:qFormat/>
    <w:rsid w:val="00F4754B"/>
    <w:pPr>
      <w:numPr>
        <w:numId w:val="16"/>
      </w:numPr>
      <w:spacing w:before="120" w:after="120"/>
      <w:jc w:val="both"/>
    </w:pPr>
    <w:rPr>
      <w:rFonts w:ascii="Verdana" w:hAnsi="Verdana"/>
      <w:color w:val="auto"/>
      <w:sz w:val="20"/>
      <w:szCs w:val="24"/>
    </w:rPr>
  </w:style>
  <w:style w:type="paragraph" w:customStyle="1" w:styleId="Nummerierungsart3">
    <w:name w:val="Nummerierungsart3"/>
    <w:basedOn w:val="Normal"/>
    <w:uiPriority w:val="1"/>
    <w:qFormat/>
    <w:rsid w:val="00F4754B"/>
    <w:pPr>
      <w:numPr>
        <w:numId w:val="17"/>
      </w:numPr>
      <w:spacing w:before="120" w:after="120"/>
      <w:jc w:val="both"/>
    </w:pPr>
    <w:rPr>
      <w:rFonts w:ascii="Verdana" w:hAnsi="Verdana"/>
      <w:color w:val="auto"/>
      <w:sz w:val="20"/>
      <w:szCs w:val="24"/>
    </w:rPr>
  </w:style>
  <w:style w:type="paragraph" w:customStyle="1" w:styleId="Nummerierungsart4">
    <w:name w:val="Nummerierungsart4"/>
    <w:basedOn w:val="Normal"/>
    <w:uiPriority w:val="1"/>
    <w:qFormat/>
    <w:rsid w:val="00F4754B"/>
    <w:pPr>
      <w:numPr>
        <w:numId w:val="18"/>
      </w:numPr>
      <w:spacing w:before="120" w:after="120"/>
      <w:jc w:val="both"/>
    </w:pPr>
    <w:rPr>
      <w:rFonts w:ascii="Verdana" w:hAnsi="Verdana"/>
      <w:color w:val="auto"/>
      <w:sz w:val="20"/>
      <w:szCs w:val="24"/>
    </w:rPr>
  </w:style>
  <w:style w:type="character" w:customStyle="1" w:styleId="Heading3Char1">
    <w:name w:val="Heading 3 Char1"/>
    <w:basedOn w:val="DefaultParagraphFont"/>
    <w:rsid w:val="00F4754B"/>
    <w:rPr>
      <w:rFonts w:ascii="Verdana" w:eastAsia="Times New Roman" w:hAnsi="Verdana" w:cs="Times New Roman"/>
      <w:b/>
      <w:sz w:val="20"/>
      <w:szCs w:val="24"/>
    </w:rPr>
  </w:style>
  <w:style w:type="paragraph" w:styleId="TOC2">
    <w:name w:val="toc 2"/>
    <w:basedOn w:val="Normal"/>
    <w:next w:val="Normal"/>
    <w:autoRedefine/>
    <w:uiPriority w:val="39"/>
    <w:qFormat/>
    <w:rsid w:val="00F4754B"/>
    <w:pPr>
      <w:tabs>
        <w:tab w:val="left" w:pos="794"/>
        <w:tab w:val="right" w:leader="dot" w:pos="9071"/>
      </w:tabs>
      <w:spacing w:before="120" w:after="60"/>
      <w:ind w:left="794" w:hanging="794"/>
      <w:jc w:val="both"/>
    </w:pPr>
    <w:rPr>
      <w:rFonts w:ascii="Verdana" w:hAnsi="Verdana"/>
      <w:b/>
      <w:smallCaps/>
      <w:noProof/>
      <w:color w:val="auto"/>
      <w:sz w:val="20"/>
      <w:szCs w:val="22"/>
    </w:rPr>
  </w:style>
  <w:style w:type="paragraph" w:styleId="TOC3">
    <w:name w:val="toc 3"/>
    <w:basedOn w:val="Normal"/>
    <w:next w:val="Normal"/>
    <w:autoRedefine/>
    <w:uiPriority w:val="39"/>
    <w:qFormat/>
    <w:rsid w:val="00F4754B"/>
    <w:pPr>
      <w:tabs>
        <w:tab w:val="left" w:pos="794"/>
        <w:tab w:val="right" w:leader="dot" w:pos="9072"/>
      </w:tabs>
      <w:spacing w:before="120" w:after="60"/>
      <w:ind w:left="794" w:hanging="794"/>
      <w:jc w:val="both"/>
    </w:pPr>
    <w:rPr>
      <w:rFonts w:ascii="Verdana" w:hAnsi="Verdana"/>
      <w:smallCaps/>
      <w:noProof/>
      <w:color w:val="auto"/>
      <w:sz w:val="20"/>
      <w:szCs w:val="24"/>
    </w:rPr>
  </w:style>
  <w:style w:type="paragraph" w:styleId="TOC4">
    <w:name w:val="toc 4"/>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snapToGrid w:val="0"/>
      <w:color w:val="auto"/>
      <w:szCs w:val="18"/>
    </w:rPr>
  </w:style>
  <w:style w:type="paragraph" w:styleId="TOC5">
    <w:name w:val="toc 5"/>
    <w:basedOn w:val="Normal"/>
    <w:next w:val="Normal"/>
    <w:autoRedefine/>
    <w:uiPriority w:val="39"/>
    <w:rsid w:val="00F4754B"/>
    <w:pPr>
      <w:tabs>
        <w:tab w:val="left" w:pos="794"/>
        <w:tab w:val="right" w:leader="dot" w:pos="9071"/>
      </w:tabs>
      <w:spacing w:before="120" w:after="40"/>
      <w:ind w:left="794" w:hanging="794"/>
      <w:jc w:val="both"/>
    </w:pPr>
    <w:rPr>
      <w:rFonts w:ascii="Verdana" w:hAnsi="Verdana"/>
      <w:smallCaps/>
      <w:noProof/>
      <w:color w:val="auto"/>
      <w:szCs w:val="18"/>
    </w:rPr>
  </w:style>
  <w:style w:type="paragraph" w:styleId="TOC6">
    <w:name w:val="toc 6"/>
    <w:basedOn w:val="Normal"/>
    <w:next w:val="Normal"/>
    <w:autoRedefine/>
    <w:uiPriority w:val="39"/>
    <w:rsid w:val="00F4754B"/>
    <w:pPr>
      <w:tabs>
        <w:tab w:val="left" w:pos="2058"/>
        <w:tab w:val="right" w:leader="dot" w:pos="9071"/>
      </w:tabs>
      <w:spacing w:before="120" w:after="120"/>
      <w:ind w:left="1134" w:hanging="1134"/>
      <w:jc w:val="both"/>
    </w:pPr>
    <w:rPr>
      <w:rFonts w:ascii="Verdana" w:hAnsi="Verdana"/>
      <w:noProof/>
      <w:color w:val="auto"/>
      <w:sz w:val="16"/>
      <w:szCs w:val="24"/>
    </w:rPr>
  </w:style>
  <w:style w:type="paragraph" w:styleId="TOC7">
    <w:name w:val="toc 7"/>
    <w:basedOn w:val="Normal"/>
    <w:next w:val="Normal"/>
    <w:autoRedefine/>
    <w:uiPriority w:val="39"/>
    <w:rsid w:val="00F4754B"/>
    <w:pPr>
      <w:tabs>
        <w:tab w:val="right" w:leader="dot" w:pos="9071"/>
      </w:tabs>
      <w:spacing w:before="120" w:after="120"/>
      <w:ind w:left="1134" w:hanging="1134"/>
      <w:jc w:val="both"/>
    </w:pPr>
    <w:rPr>
      <w:rFonts w:ascii="Verdana" w:hAnsi="Verdana"/>
      <w:color w:val="auto"/>
      <w:sz w:val="16"/>
      <w:szCs w:val="24"/>
    </w:rPr>
  </w:style>
  <w:style w:type="paragraph" w:styleId="TOC8">
    <w:name w:val="toc 8"/>
    <w:basedOn w:val="Normal"/>
    <w:next w:val="Normal"/>
    <w:autoRedefine/>
    <w:uiPriority w:val="39"/>
    <w:rsid w:val="00F4754B"/>
    <w:pPr>
      <w:tabs>
        <w:tab w:val="left" w:pos="2758"/>
        <w:tab w:val="right" w:leader="dot" w:pos="9071"/>
      </w:tabs>
      <w:spacing w:before="120" w:after="120"/>
      <w:ind w:left="1361" w:hanging="1361"/>
      <w:jc w:val="both"/>
    </w:pPr>
    <w:rPr>
      <w:rFonts w:ascii="Verdana" w:hAnsi="Verdana"/>
      <w:noProof/>
      <w:color w:val="auto"/>
      <w:sz w:val="16"/>
      <w:szCs w:val="24"/>
    </w:rPr>
  </w:style>
  <w:style w:type="paragraph" w:styleId="TOC9">
    <w:name w:val="toc 9"/>
    <w:basedOn w:val="Normal"/>
    <w:next w:val="Normal"/>
    <w:autoRedefine/>
    <w:uiPriority w:val="39"/>
    <w:rsid w:val="00F4754B"/>
    <w:pPr>
      <w:tabs>
        <w:tab w:val="right" w:leader="dot" w:pos="9071"/>
      </w:tabs>
      <w:spacing w:before="120" w:after="120"/>
      <w:ind w:left="1361" w:hanging="1361"/>
      <w:jc w:val="both"/>
    </w:pPr>
    <w:rPr>
      <w:rFonts w:ascii="Verdana" w:hAnsi="Verdana"/>
      <w:color w:val="auto"/>
      <w:sz w:val="16"/>
      <w:szCs w:val="24"/>
    </w:rPr>
  </w:style>
  <w:style w:type="paragraph" w:customStyle="1" w:styleId="Quote1">
    <w:name w:val="Quote1"/>
    <w:basedOn w:val="Normal"/>
    <w:next w:val="Normal"/>
    <w:link w:val="QuoteChar"/>
    <w:uiPriority w:val="29"/>
    <w:semiHidden/>
    <w:rsid w:val="00F4754B"/>
    <w:pPr>
      <w:spacing w:before="120" w:after="120"/>
      <w:jc w:val="both"/>
    </w:pPr>
    <w:rPr>
      <w:rFonts w:ascii="Verdana" w:hAnsi="Verdana"/>
      <w:i/>
      <w:iCs/>
      <w:sz w:val="20"/>
      <w:szCs w:val="24"/>
    </w:rPr>
  </w:style>
  <w:style w:type="character" w:customStyle="1" w:styleId="QuoteChar">
    <w:name w:val="Quote Char"/>
    <w:basedOn w:val="DefaultParagraphFont"/>
    <w:link w:val="Quote1"/>
    <w:uiPriority w:val="29"/>
    <w:semiHidden/>
    <w:rsid w:val="00F4754B"/>
    <w:rPr>
      <w:rFonts w:ascii="Verdana" w:hAnsi="Verdana"/>
      <w:i/>
      <w:iCs/>
      <w:color w:val="000000"/>
      <w:szCs w:val="24"/>
      <w:lang w:eastAsia="en-US"/>
    </w:rPr>
  </w:style>
  <w:style w:type="paragraph" w:customStyle="1" w:styleId="TOCHeading1">
    <w:name w:val="TOC Heading1"/>
    <w:basedOn w:val="Heading1"/>
    <w:next w:val="Normal"/>
    <w:uiPriority w:val="39"/>
    <w:semiHidden/>
    <w:unhideWhenUsed/>
    <w:qFormat/>
    <w:rsid w:val="00F4754B"/>
    <w:pPr>
      <w:keepNext/>
      <w:keepLines/>
      <w:autoSpaceDE w:val="0"/>
      <w:autoSpaceDN w:val="0"/>
      <w:adjustRightInd w:val="0"/>
      <w:spacing w:before="480" w:after="0" w:line="311" w:lineRule="auto"/>
      <w:outlineLvl w:val="9"/>
    </w:pPr>
    <w:rPr>
      <w:b/>
      <w:bCs/>
      <w:color w:val="4B67A3"/>
      <w:sz w:val="20"/>
      <w:szCs w:val="28"/>
      <w:u w:val="single"/>
    </w:rPr>
  </w:style>
  <w:style w:type="paragraph" w:styleId="EndnoteText">
    <w:name w:val="endnote text"/>
    <w:basedOn w:val="Normal"/>
    <w:link w:val="EndnoteTextChar"/>
    <w:uiPriority w:val="1"/>
    <w:rsid w:val="00F4754B"/>
    <w:pPr>
      <w:spacing w:before="120" w:after="120" w:line="180" w:lineRule="exact"/>
      <w:ind w:left="142" w:hanging="142"/>
      <w:jc w:val="both"/>
    </w:pPr>
    <w:rPr>
      <w:rFonts w:ascii="Verdana" w:hAnsi="Verdana"/>
      <w:color w:val="auto"/>
      <w:sz w:val="16"/>
      <w:szCs w:val="24"/>
    </w:rPr>
  </w:style>
  <w:style w:type="character" w:customStyle="1" w:styleId="EndnoteTextChar">
    <w:name w:val="Endnote Text Char"/>
    <w:basedOn w:val="DefaultParagraphFont"/>
    <w:link w:val="EndnoteText"/>
    <w:uiPriority w:val="1"/>
    <w:rsid w:val="00F4754B"/>
    <w:rPr>
      <w:rFonts w:ascii="Verdana" w:hAnsi="Verdana"/>
      <w:sz w:val="16"/>
      <w:szCs w:val="24"/>
      <w:lang w:eastAsia="en-US"/>
    </w:rPr>
  </w:style>
  <w:style w:type="character" w:styleId="EndnoteReference">
    <w:name w:val="endnote reference"/>
    <w:basedOn w:val="DefaultParagraphFont"/>
    <w:uiPriority w:val="1"/>
    <w:rsid w:val="00F4754B"/>
    <w:rPr>
      <w:rFonts w:ascii="Arial" w:hAnsi="Arial"/>
      <w:color w:val="auto"/>
      <w:position w:val="4"/>
      <w:sz w:val="12"/>
      <w:vertAlign w:val="baseline"/>
    </w:rPr>
  </w:style>
  <w:style w:type="paragraph" w:customStyle="1" w:styleId="Ballontekst1">
    <w:name w:val="Ballontekst1"/>
    <w:basedOn w:val="Normal"/>
    <w:uiPriority w:val="99"/>
    <w:semiHidden/>
    <w:rsid w:val="00F4754B"/>
    <w:pPr>
      <w:spacing w:before="120" w:after="120"/>
      <w:jc w:val="both"/>
    </w:pPr>
    <w:rPr>
      <w:rFonts w:ascii="Tahoma" w:hAnsi="Tahoma" w:cs="Tahoma"/>
      <w:color w:val="auto"/>
      <w:sz w:val="16"/>
      <w:szCs w:val="16"/>
    </w:rPr>
  </w:style>
  <w:style w:type="character" w:styleId="CommentReference">
    <w:name w:val="annotation reference"/>
    <w:basedOn w:val="DefaultParagraphFont"/>
    <w:uiPriority w:val="99"/>
    <w:rsid w:val="00F4754B"/>
    <w:rPr>
      <w:rFonts w:cs="Times New Roman"/>
      <w:sz w:val="16"/>
      <w:szCs w:val="16"/>
    </w:rPr>
  </w:style>
  <w:style w:type="paragraph" w:styleId="CommentText">
    <w:name w:val="annotation text"/>
    <w:basedOn w:val="Normal"/>
    <w:link w:val="CommentTextChar"/>
    <w:uiPriority w:val="99"/>
    <w:rsid w:val="00F4754B"/>
    <w:pPr>
      <w:spacing w:before="120" w:after="120"/>
      <w:jc w:val="both"/>
    </w:pPr>
    <w:rPr>
      <w:rFonts w:ascii="Verdana" w:hAnsi="Verdana"/>
      <w:color w:val="auto"/>
      <w:sz w:val="20"/>
    </w:rPr>
  </w:style>
  <w:style w:type="character" w:customStyle="1" w:styleId="CommentTextChar">
    <w:name w:val="Comment Text Char"/>
    <w:basedOn w:val="DefaultParagraphFont"/>
    <w:link w:val="CommentText"/>
    <w:uiPriority w:val="99"/>
    <w:rsid w:val="00F4754B"/>
    <w:rPr>
      <w:rFonts w:ascii="Verdana" w:hAnsi="Verdana"/>
      <w:lang w:eastAsia="en-US"/>
    </w:rPr>
  </w:style>
  <w:style w:type="paragraph" w:customStyle="1" w:styleId="Onderwerpvanopmerking1">
    <w:name w:val="Onderwerp van opmerking1"/>
    <w:basedOn w:val="CommentText"/>
    <w:next w:val="CommentText"/>
    <w:uiPriority w:val="99"/>
    <w:semiHidden/>
    <w:rsid w:val="00F4754B"/>
    <w:rPr>
      <w:b/>
      <w:bCs/>
    </w:rPr>
  </w:style>
  <w:style w:type="character" w:styleId="FollowedHyperlink">
    <w:name w:val="FollowedHyperlink"/>
    <w:basedOn w:val="DefaultParagraphFont"/>
    <w:uiPriority w:val="99"/>
    <w:rsid w:val="00F4754B"/>
    <w:rPr>
      <w:rFonts w:cs="Times New Roman"/>
      <w:color w:val="606420"/>
      <w:u w:val="single"/>
    </w:rPr>
  </w:style>
  <w:style w:type="paragraph" w:styleId="CommentSubject">
    <w:name w:val="annotation subject"/>
    <w:basedOn w:val="CommentText"/>
    <w:next w:val="CommentText"/>
    <w:link w:val="CommentSubjectChar"/>
    <w:uiPriority w:val="99"/>
    <w:rsid w:val="00F4754B"/>
    <w:rPr>
      <w:b/>
      <w:bCs/>
    </w:rPr>
  </w:style>
  <w:style w:type="character" w:customStyle="1" w:styleId="CommentSubjectChar">
    <w:name w:val="Comment Subject Char"/>
    <w:basedOn w:val="CommentTextChar"/>
    <w:link w:val="CommentSubject"/>
    <w:uiPriority w:val="99"/>
    <w:rsid w:val="00F4754B"/>
    <w:rPr>
      <w:rFonts w:ascii="Verdana" w:hAnsi="Verdana"/>
      <w:b/>
      <w:bCs/>
      <w:lang w:eastAsia="en-US"/>
    </w:rPr>
  </w:style>
  <w:style w:type="paragraph" w:customStyle="1" w:styleId="Formatvorlageberschrift4">
    <w:name w:val="Formatvorlage Überschrift 4"/>
    <w:basedOn w:val="Heading4"/>
    <w:link w:val="Formatvorlageberschrift4Char"/>
    <w:uiPriority w:val="99"/>
    <w:rsid w:val="00F4754B"/>
    <w:pPr>
      <w:keepNext/>
      <w:spacing w:after="60"/>
      <w:ind w:left="360" w:hanging="360"/>
      <w:contextualSpacing w:val="0"/>
      <w:jc w:val="both"/>
    </w:pPr>
    <w:rPr>
      <w:rFonts w:ascii="Verdana" w:hAnsi="Verdana"/>
      <w:b/>
      <w:iCs/>
      <w:color w:val="auto"/>
      <w:szCs w:val="28"/>
      <w:u w:val="single"/>
    </w:rPr>
  </w:style>
  <w:style w:type="character" w:customStyle="1" w:styleId="Formatvorlageberschrift4Char">
    <w:name w:val="Formatvorlage Überschrift 4 Char"/>
    <w:basedOn w:val="Heading4Char"/>
    <w:link w:val="Formatvorlageberschrift4"/>
    <w:uiPriority w:val="99"/>
    <w:locked/>
    <w:rsid w:val="00F4754B"/>
    <w:rPr>
      <w:rFonts w:ascii="Verdana" w:hAnsi="Verdana"/>
      <w:b/>
      <w:iCs/>
      <w:color w:val="48748F" w:themeColor="accent1"/>
      <w:szCs w:val="28"/>
      <w:u w:val="single"/>
      <w:lang w:eastAsia="en-US"/>
    </w:rPr>
  </w:style>
  <w:style w:type="paragraph" w:customStyle="1" w:styleId="Instructionsberschrift1">
    <w:name w:val="Instructions Überschrift 1"/>
    <w:basedOn w:val="Heading1"/>
    <w:rsid w:val="00F4754B"/>
    <w:pPr>
      <w:keepNext/>
      <w:tabs>
        <w:tab w:val="num" w:pos="540"/>
      </w:tabs>
      <w:autoSpaceDE w:val="0"/>
      <w:autoSpaceDN w:val="0"/>
      <w:adjustRightInd w:val="0"/>
      <w:spacing w:before="240" w:after="0"/>
      <w:ind w:left="540" w:hanging="540"/>
    </w:pPr>
    <w:rPr>
      <w:rFonts w:ascii="Verdana" w:hAnsi="Verdana"/>
      <w:color w:val="auto"/>
      <w:kern w:val="32"/>
      <w:sz w:val="20"/>
      <w:u w:val="single"/>
    </w:rPr>
  </w:style>
  <w:style w:type="paragraph" w:customStyle="1" w:styleId="Instructionsberschrift2">
    <w:name w:val="Instructions Überschrift 2"/>
    <w:basedOn w:val="Heading2"/>
    <w:link w:val="Instructionsberschrift2Char"/>
    <w:rsid w:val="00F4754B"/>
    <w:pPr>
      <w:keepNext/>
      <w:numPr>
        <w:numId w:val="19"/>
      </w:numPr>
      <w:spacing w:before="240"/>
      <w:contextualSpacing w:val="0"/>
      <w:jc w:val="both"/>
    </w:pPr>
    <w:rPr>
      <w:rFonts w:ascii="Times New Roman" w:hAnsi="Times New Roman" w:cs="Arial"/>
      <w:color w:val="auto"/>
      <w:sz w:val="20"/>
      <w:szCs w:val="24"/>
      <w:u w:val="single"/>
    </w:rPr>
  </w:style>
  <w:style w:type="paragraph" w:customStyle="1" w:styleId="Instructionsberschrift3">
    <w:name w:val="Instructions Überschrift 3"/>
    <w:basedOn w:val="Heading3"/>
    <w:link w:val="Instructionsberschrift3Zchn"/>
    <w:rsid w:val="00F4754B"/>
    <w:pPr>
      <w:keepNext/>
      <w:numPr>
        <w:numId w:val="20"/>
      </w:numPr>
      <w:spacing w:after="60" w:line="360" w:lineRule="auto"/>
      <w:jc w:val="both"/>
    </w:pPr>
    <w:rPr>
      <w:rFonts w:ascii="Verdana" w:hAnsi="Verdana" w:cs="Arial"/>
      <w:b w:val="0"/>
      <w:color w:val="auto"/>
      <w:szCs w:val="26"/>
      <w:u w:val="single"/>
    </w:rPr>
  </w:style>
  <w:style w:type="character" w:customStyle="1" w:styleId="Instructionsberschrift3Zchn">
    <w:name w:val="Instructions Überschrift 3 Zchn"/>
    <w:basedOn w:val="Heading3Char1"/>
    <w:link w:val="Instructionsberschrift3"/>
    <w:locked/>
    <w:rsid w:val="00F4754B"/>
    <w:rPr>
      <w:rFonts w:ascii="Verdana" w:eastAsia="Times New Roman" w:hAnsi="Verdana" w:cs="Arial"/>
      <w:b w:val="0"/>
      <w:sz w:val="20"/>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F4754B"/>
    <w:pPr>
      <w:keepNext/>
      <w:tabs>
        <w:tab w:val="left" w:pos="1520"/>
      </w:tabs>
      <w:autoSpaceDE w:val="0"/>
      <w:autoSpaceDN w:val="0"/>
      <w:adjustRightInd w:val="0"/>
      <w:spacing w:after="240"/>
      <w:ind w:left="970" w:hanging="970"/>
      <w:contextualSpacing w:val="0"/>
      <w:jc w:val="both"/>
    </w:pPr>
    <w:rPr>
      <w:rFonts w:ascii="Verdana" w:hAnsi="Verdana"/>
      <w:b/>
      <w:bCs/>
      <w:color w:val="auto"/>
      <w:szCs w:val="24"/>
      <w:u w:val="single"/>
    </w:rPr>
  </w:style>
  <w:style w:type="paragraph" w:customStyle="1" w:styleId="InstructionsText">
    <w:name w:val="Instructions Text"/>
    <w:basedOn w:val="Normal"/>
    <w:link w:val="InstructionsTextChar"/>
    <w:autoRedefine/>
    <w:rsid w:val="00F4754B"/>
    <w:pPr>
      <w:ind w:left="33" w:hanging="33"/>
      <w:jc w:val="both"/>
    </w:pPr>
    <w:rPr>
      <w:rFonts w:ascii="Times New Roman" w:eastAsiaTheme="minorHAnsi" w:hAnsi="Times New Roman"/>
      <w:color w:val="auto"/>
      <w:sz w:val="20"/>
      <w:szCs w:val="24"/>
    </w:rPr>
  </w:style>
  <w:style w:type="character" w:customStyle="1" w:styleId="Instructionsberschrift4Char">
    <w:name w:val="Instructions Überschrift 4 Char"/>
    <w:basedOn w:val="Heading4Char"/>
    <w:link w:val="Instructionsberschrift4"/>
    <w:uiPriority w:val="99"/>
    <w:locked/>
    <w:rsid w:val="00F4754B"/>
    <w:rPr>
      <w:rFonts w:ascii="Verdana" w:hAnsi="Verdana"/>
      <w:b/>
      <w:bCs/>
      <w:color w:val="48748F" w:themeColor="accent1"/>
      <w:szCs w:val="24"/>
      <w:u w:val="single"/>
      <w:lang w:eastAsia="en-US"/>
    </w:rPr>
  </w:style>
  <w:style w:type="character" w:customStyle="1" w:styleId="InstructionsTabelleberschrift">
    <w:name w:val="Instructions Tabelle Überschrift"/>
    <w:basedOn w:val="DefaultParagraphFont"/>
    <w:qFormat/>
    <w:rsid w:val="00F4754B"/>
    <w:rPr>
      <w:rFonts w:ascii="Verdana" w:hAnsi="Verdana" w:cs="Times New Roman"/>
      <w:b/>
      <w:bCs/>
      <w:sz w:val="20"/>
      <w:u w:val="single"/>
    </w:rPr>
  </w:style>
  <w:style w:type="character" w:customStyle="1" w:styleId="InstructionsTabelleText">
    <w:name w:val="Instructions Tabelle Text"/>
    <w:basedOn w:val="DefaultParagraphFont"/>
    <w:uiPriority w:val="99"/>
    <w:rsid w:val="00F4754B"/>
    <w:rPr>
      <w:rFonts w:ascii="Verdana" w:hAnsi="Verdana" w:cs="Times New Roman"/>
      <w:sz w:val="20"/>
    </w:rPr>
  </w:style>
  <w:style w:type="character" w:customStyle="1" w:styleId="FormatvorlageInstructionsTabelleText">
    <w:name w:val="Formatvorlage Instructions Tabelle Text"/>
    <w:basedOn w:val="DefaultParagraphFont"/>
    <w:uiPriority w:val="99"/>
    <w:qFormat/>
    <w:rsid w:val="00F4754B"/>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F4754B"/>
    <w:pPr>
      <w:ind w:left="0" w:firstLine="0"/>
    </w:pPr>
    <w:rPr>
      <w:rFonts w:cs="Times New Roman"/>
      <w:szCs w:val="20"/>
    </w:rPr>
  </w:style>
  <w:style w:type="paragraph" w:customStyle="1" w:styleId="Texte2">
    <w:name w:val="Texte 2"/>
    <w:basedOn w:val="Normal"/>
    <w:uiPriority w:val="99"/>
    <w:rsid w:val="00F4754B"/>
    <w:pPr>
      <w:spacing w:before="120"/>
      <w:ind w:left="567"/>
      <w:jc w:val="both"/>
    </w:pPr>
    <w:rPr>
      <w:rFonts w:ascii="Verdana" w:hAnsi="Verdana"/>
      <w:color w:val="auto"/>
      <w:sz w:val="22"/>
      <w:lang w:eastAsia="fr-FR"/>
    </w:rPr>
  </w:style>
  <w:style w:type="paragraph" w:customStyle="1" w:styleId="Prrafodelista1">
    <w:name w:val="Párrafo de lista1"/>
    <w:basedOn w:val="Normal"/>
    <w:uiPriority w:val="99"/>
    <w:rsid w:val="00F4754B"/>
    <w:pPr>
      <w:spacing w:before="120" w:after="120"/>
      <w:ind w:left="720"/>
      <w:jc w:val="both"/>
    </w:pPr>
    <w:rPr>
      <w:rFonts w:ascii="Verdana" w:hAnsi="Verdana"/>
      <w:color w:val="auto"/>
      <w:sz w:val="20"/>
      <w:szCs w:val="24"/>
    </w:rPr>
  </w:style>
  <w:style w:type="paragraph" w:customStyle="1" w:styleId="Prrafodelista2">
    <w:name w:val="Párrafo de lista2"/>
    <w:basedOn w:val="Normal"/>
    <w:uiPriority w:val="99"/>
    <w:rsid w:val="00F4754B"/>
    <w:pPr>
      <w:spacing w:before="120" w:after="120"/>
      <w:ind w:left="708"/>
      <w:jc w:val="both"/>
    </w:pPr>
    <w:rPr>
      <w:rFonts w:ascii="Verdana" w:hAnsi="Verdana"/>
      <w:color w:val="auto"/>
      <w:sz w:val="20"/>
      <w:szCs w:val="24"/>
    </w:rPr>
  </w:style>
  <w:style w:type="paragraph" w:styleId="PlainText">
    <w:name w:val="Plain Text"/>
    <w:basedOn w:val="Normal"/>
    <w:link w:val="PlainTextChar"/>
    <w:uiPriority w:val="99"/>
    <w:rsid w:val="00F4754B"/>
    <w:rPr>
      <w:rFonts w:ascii="Verdana" w:hAnsi="Verdana"/>
      <w:color w:val="auto"/>
      <w:sz w:val="20"/>
      <w:lang w:eastAsia="es-ES_tradnl"/>
    </w:rPr>
  </w:style>
  <w:style w:type="character" w:customStyle="1" w:styleId="PlainTextChar">
    <w:name w:val="Plain Text Char"/>
    <w:basedOn w:val="DefaultParagraphFont"/>
    <w:link w:val="PlainText"/>
    <w:uiPriority w:val="99"/>
    <w:rsid w:val="00F4754B"/>
    <w:rPr>
      <w:rFonts w:ascii="Verdana" w:hAnsi="Verdana"/>
      <w:lang w:val="bg-BG" w:eastAsia="es-ES_tradnl"/>
    </w:rPr>
  </w:style>
  <w:style w:type="paragraph" w:customStyle="1" w:styleId="Listenabsatz1">
    <w:name w:val="Listenabsatz1"/>
    <w:basedOn w:val="Normal"/>
    <w:uiPriority w:val="99"/>
    <w:rsid w:val="00F4754B"/>
    <w:pPr>
      <w:spacing w:before="120" w:after="120"/>
      <w:ind w:left="708"/>
      <w:jc w:val="both"/>
    </w:pPr>
    <w:rPr>
      <w:rFonts w:ascii="Verdana" w:hAnsi="Verdana"/>
      <w:color w:val="auto"/>
      <w:sz w:val="20"/>
      <w:szCs w:val="24"/>
    </w:rPr>
  </w:style>
  <w:style w:type="character" w:customStyle="1" w:styleId="InstructionsTextChar">
    <w:name w:val="Instructions Text Char"/>
    <w:basedOn w:val="DefaultParagraphFont"/>
    <w:link w:val="InstructionsText"/>
    <w:locked/>
    <w:rsid w:val="00F4754B"/>
    <w:rPr>
      <w:rFonts w:eastAsiaTheme="minorHAnsi"/>
      <w:szCs w:val="24"/>
      <w:lang w:eastAsia="en-US"/>
    </w:rPr>
  </w:style>
  <w:style w:type="paragraph" w:customStyle="1" w:styleId="Revision1">
    <w:name w:val="Revision1"/>
    <w:hidden/>
    <w:uiPriority w:val="99"/>
    <w:semiHidden/>
    <w:rsid w:val="00F4754B"/>
    <w:rPr>
      <w:rFonts w:ascii="Verdana" w:hAnsi="Verdana"/>
      <w:szCs w:val="24"/>
      <w:lang w:eastAsia="en-US"/>
    </w:rPr>
  </w:style>
  <w:style w:type="paragraph" w:customStyle="1" w:styleId="ListParagraph1">
    <w:name w:val="List Paragraph1"/>
    <w:basedOn w:val="Normal"/>
    <w:uiPriority w:val="34"/>
    <w:qFormat/>
    <w:rsid w:val="00F4754B"/>
    <w:pPr>
      <w:spacing w:before="120" w:after="120"/>
      <w:ind w:left="708"/>
      <w:jc w:val="both"/>
    </w:pPr>
    <w:rPr>
      <w:rFonts w:ascii="Verdana" w:hAnsi="Verdana"/>
      <w:color w:val="auto"/>
      <w:sz w:val="20"/>
      <w:szCs w:val="24"/>
    </w:rPr>
  </w:style>
  <w:style w:type="character" w:customStyle="1" w:styleId="PlaceholderText1">
    <w:name w:val="Placeholder Text1"/>
    <w:basedOn w:val="DefaultParagraphFont"/>
    <w:uiPriority w:val="99"/>
    <w:semiHidden/>
    <w:rsid w:val="00F4754B"/>
    <w:rPr>
      <w:color w:val="808080"/>
    </w:rPr>
  </w:style>
  <w:style w:type="paragraph" w:customStyle="1" w:styleId="InstructionsText2">
    <w:name w:val="Instructions Text 2"/>
    <w:basedOn w:val="InstructionsText"/>
    <w:qFormat/>
    <w:rsid w:val="00F4754B"/>
    <w:pPr>
      <w:numPr>
        <w:numId w:val="21"/>
      </w:numPr>
      <w:spacing w:after="240"/>
    </w:pPr>
  </w:style>
  <w:style w:type="character" w:customStyle="1" w:styleId="Instructionsberschrift3Char">
    <w:name w:val="Instructions Überschrift 3 Char"/>
    <w:basedOn w:val="Heading3Char1"/>
    <w:locked/>
    <w:rsid w:val="00F4754B"/>
    <w:rPr>
      <w:rFonts w:ascii="Verdana" w:eastAsia="Times New Roman" w:hAnsi="Verdana" w:cs="Arial"/>
      <w:b/>
      <w:bCs/>
      <w:sz w:val="20"/>
      <w:szCs w:val="26"/>
      <w:u w:val="single"/>
      <w:lang w:val="bg-BG" w:eastAsia="en-US" w:bidi="ar-SA"/>
    </w:rPr>
  </w:style>
  <w:style w:type="paragraph" w:customStyle="1" w:styleId="CM4">
    <w:name w:val="CM4"/>
    <w:basedOn w:val="Normal"/>
    <w:next w:val="Normal"/>
    <w:uiPriority w:val="99"/>
    <w:rsid w:val="00F4754B"/>
    <w:pPr>
      <w:autoSpaceDE w:val="0"/>
      <w:autoSpaceDN w:val="0"/>
      <w:adjustRightInd w:val="0"/>
    </w:pPr>
    <w:rPr>
      <w:rFonts w:ascii="Times New Roman" w:eastAsia="Arial" w:hAnsi="Times New Roman"/>
      <w:color w:val="auto"/>
      <w:sz w:val="24"/>
      <w:szCs w:val="24"/>
    </w:rPr>
  </w:style>
  <w:style w:type="numbering" w:customStyle="1" w:styleId="Formatvorlage3">
    <w:name w:val="Formatvorlage3"/>
    <w:uiPriority w:val="99"/>
    <w:rsid w:val="00F4754B"/>
    <w:pPr>
      <w:numPr>
        <w:numId w:val="22"/>
      </w:numPr>
    </w:pPr>
  </w:style>
  <w:style w:type="numbering" w:customStyle="1" w:styleId="Formatvorlage4">
    <w:name w:val="Formatvorlage4"/>
    <w:uiPriority w:val="99"/>
    <w:rsid w:val="00F4754B"/>
    <w:pPr>
      <w:numPr>
        <w:numId w:val="23"/>
      </w:numPr>
    </w:pPr>
  </w:style>
  <w:style w:type="paragraph" w:customStyle="1" w:styleId="Titrearticle">
    <w:name w:val="Titre article"/>
    <w:basedOn w:val="Normal"/>
    <w:next w:val="Normal"/>
    <w:link w:val="TitrearticleChar"/>
    <w:rsid w:val="00F4754B"/>
    <w:pPr>
      <w:keepNext/>
      <w:spacing w:before="360" w:after="120"/>
      <w:jc w:val="center"/>
    </w:pPr>
    <w:rPr>
      <w:rFonts w:ascii="Times New Roman" w:hAnsi="Times New Roman"/>
      <w:i/>
      <w:color w:val="auto"/>
      <w:sz w:val="24"/>
      <w:szCs w:val="24"/>
      <w:lang w:eastAsia="de-DE"/>
    </w:rPr>
  </w:style>
  <w:style w:type="paragraph" w:customStyle="1" w:styleId="Baseparagraphnumbered">
    <w:name w:val="Base paragraph numbered"/>
    <w:basedOn w:val="Normal"/>
    <w:link w:val="BaseparagraphnumberedChar"/>
    <w:qFormat/>
    <w:rsid w:val="00F4754B"/>
    <w:pPr>
      <w:numPr>
        <w:numId w:val="24"/>
      </w:numPr>
      <w:spacing w:after="240"/>
      <w:jc w:val="both"/>
    </w:pPr>
    <w:rPr>
      <w:rFonts w:ascii="Times New Roman" w:hAnsi="Times New Roman"/>
      <w:color w:val="auto"/>
      <w:sz w:val="24"/>
      <w:szCs w:val="24"/>
    </w:rPr>
  </w:style>
  <w:style w:type="character" w:customStyle="1" w:styleId="BaseparagraphnumberedChar">
    <w:name w:val="Base paragraph numbered Char"/>
    <w:link w:val="Baseparagraphnumbered"/>
    <w:rsid w:val="00F4754B"/>
    <w:rPr>
      <w:sz w:val="24"/>
      <w:szCs w:val="24"/>
      <w:lang w:eastAsia="en-US"/>
    </w:rPr>
  </w:style>
  <w:style w:type="character" w:customStyle="1" w:styleId="style461">
    <w:name w:val="style461"/>
    <w:basedOn w:val="DefaultParagraphFont"/>
    <w:rsid w:val="00F4754B"/>
    <w:rPr>
      <w:color w:val="FF5A00"/>
    </w:rPr>
  </w:style>
  <w:style w:type="paragraph" w:customStyle="1" w:styleId="Default">
    <w:name w:val="Default"/>
    <w:rsid w:val="00F4754B"/>
    <w:pPr>
      <w:autoSpaceDE w:val="0"/>
      <w:autoSpaceDN w:val="0"/>
      <w:adjustRightInd w:val="0"/>
    </w:pPr>
    <w:rPr>
      <w:rFonts w:ascii="Verdana" w:eastAsia="Calibri" w:hAnsi="Verdana" w:cs="Verdana"/>
      <w:color w:val="000000"/>
      <w:sz w:val="24"/>
      <w:szCs w:val="24"/>
      <w:lang w:eastAsia="en-US"/>
    </w:rPr>
  </w:style>
  <w:style w:type="character" w:customStyle="1" w:styleId="TitrearticleChar">
    <w:name w:val="Titre article Char"/>
    <w:basedOn w:val="DefaultParagraphFont"/>
    <w:link w:val="Titrearticle"/>
    <w:rsid w:val="00F4754B"/>
    <w:rPr>
      <w:i/>
      <w:sz w:val="24"/>
      <w:szCs w:val="24"/>
      <w:lang w:eastAsia="de-DE"/>
    </w:rPr>
  </w:style>
  <w:style w:type="paragraph" w:customStyle="1" w:styleId="Point0number">
    <w:name w:val="Point 0 (number)"/>
    <w:basedOn w:val="Normal"/>
    <w:rsid w:val="00F4754B"/>
    <w:pPr>
      <w:tabs>
        <w:tab w:val="num" w:pos="360"/>
      </w:tabs>
      <w:spacing w:before="120" w:after="120"/>
      <w:ind w:left="850" w:hanging="850"/>
      <w:jc w:val="both"/>
    </w:pPr>
    <w:rPr>
      <w:rFonts w:ascii="Times New Roman" w:hAnsi="Times New Roman"/>
      <w:color w:val="auto"/>
      <w:sz w:val="24"/>
      <w:szCs w:val="24"/>
    </w:rPr>
  </w:style>
  <w:style w:type="paragraph" w:customStyle="1" w:styleId="Style1">
    <w:name w:val="Style1"/>
    <w:basedOn w:val="Instructionsberschrift2"/>
    <w:link w:val="Style1Char"/>
    <w:qFormat/>
    <w:rsid w:val="00F4754B"/>
    <w:pPr>
      <w:numPr>
        <w:numId w:val="0"/>
      </w:numPr>
      <w:pBdr>
        <w:top w:val="single" w:sz="4" w:space="1" w:color="auto"/>
        <w:left w:val="single" w:sz="4" w:space="4" w:color="auto"/>
        <w:bottom w:val="single" w:sz="4" w:space="0" w:color="auto"/>
        <w:right w:val="single" w:sz="4" w:space="4" w:color="auto"/>
      </w:pBdr>
      <w:ind w:left="717"/>
      <w:jc w:val="left"/>
    </w:pPr>
    <w:rPr>
      <w:b/>
      <w:szCs w:val="17"/>
      <w:u w:val="none"/>
      <w:lang w:eastAsia="de-DE"/>
    </w:rPr>
  </w:style>
  <w:style w:type="character" w:customStyle="1" w:styleId="Instructionsberschrift2Char">
    <w:name w:val="Instructions Überschrift 2 Char"/>
    <w:basedOn w:val="Heading2Char"/>
    <w:link w:val="Instructionsberschrift2"/>
    <w:rsid w:val="00F4754B"/>
    <w:rPr>
      <w:rFonts w:ascii="Arial" w:hAnsi="Arial" w:cs="Arial"/>
      <w:color w:val="48748F" w:themeColor="accent1"/>
      <w:sz w:val="24"/>
      <w:szCs w:val="24"/>
      <w:u w:val="single"/>
      <w:lang w:eastAsia="en-US"/>
    </w:rPr>
  </w:style>
  <w:style w:type="character" w:customStyle="1" w:styleId="Style1Char">
    <w:name w:val="Style1 Char"/>
    <w:basedOn w:val="Instructionsberschrift2Char"/>
    <w:link w:val="Style1"/>
    <w:rsid w:val="00F4754B"/>
    <w:rPr>
      <w:rFonts w:ascii="Arial" w:hAnsi="Arial" w:cs="Arial"/>
      <w:b/>
      <w:color w:val="48748F" w:themeColor="accent1"/>
      <w:sz w:val="24"/>
      <w:szCs w:val="17"/>
      <w:u w:val="single"/>
      <w:lang w:eastAsia="de-DE"/>
    </w:rPr>
  </w:style>
  <w:style w:type="paragraph" w:customStyle="1" w:styleId="PointTriple1">
    <w:name w:val="PointTriple 1"/>
    <w:basedOn w:val="Normal"/>
    <w:rsid w:val="00F4754B"/>
    <w:pPr>
      <w:tabs>
        <w:tab w:val="left" w:pos="1417"/>
        <w:tab w:val="left" w:pos="1984"/>
      </w:tabs>
      <w:spacing w:before="120" w:after="120"/>
      <w:ind w:left="2551" w:hanging="1701"/>
      <w:jc w:val="both"/>
    </w:pPr>
    <w:rPr>
      <w:rFonts w:ascii="Times New Roman" w:hAnsi="Times New Roman"/>
      <w:color w:val="auto"/>
      <w:sz w:val="24"/>
      <w:szCs w:val="24"/>
      <w:lang w:eastAsia="de-DE"/>
    </w:rPr>
  </w:style>
  <w:style w:type="paragraph" w:styleId="ListParagraph">
    <w:name w:val="List Paragraph"/>
    <w:basedOn w:val="Normal"/>
    <w:uiPriority w:val="34"/>
    <w:qFormat/>
    <w:rsid w:val="00F4754B"/>
    <w:pPr>
      <w:spacing w:before="120" w:after="120"/>
      <w:ind w:left="720"/>
      <w:contextualSpacing/>
      <w:jc w:val="both"/>
    </w:pPr>
    <w:rPr>
      <w:rFonts w:ascii="Verdana" w:hAnsi="Verdana"/>
      <w:color w:val="auto"/>
      <w:sz w:val="20"/>
      <w:szCs w:val="24"/>
    </w:rPr>
  </w:style>
  <w:style w:type="paragraph" w:styleId="NormalWeb">
    <w:name w:val="Normal (Web)"/>
    <w:basedOn w:val="Normal"/>
    <w:uiPriority w:val="99"/>
    <w:semiHidden/>
    <w:unhideWhenUsed/>
    <w:rsid w:val="00F4754B"/>
    <w:pPr>
      <w:spacing w:before="100" w:beforeAutospacing="1" w:after="100" w:afterAutospacing="1"/>
    </w:pPr>
    <w:rPr>
      <w:rFonts w:ascii="Times New Roman" w:hAnsi="Times New Roman"/>
      <w:color w:val="auto"/>
      <w:sz w:val="24"/>
      <w:szCs w:val="24"/>
      <w:lang w:eastAsia="en-GB"/>
    </w:rPr>
  </w:style>
  <w:style w:type="character" w:styleId="Strong">
    <w:name w:val="Strong"/>
    <w:basedOn w:val="DefaultParagraphFont"/>
    <w:uiPriority w:val="22"/>
    <w:qFormat/>
    <w:rsid w:val="00F4754B"/>
    <w:rPr>
      <w:b/>
      <w:bCs/>
    </w:rPr>
  </w:style>
  <w:style w:type="paragraph" w:customStyle="1" w:styleId="CM1">
    <w:name w:val="CM1"/>
    <w:basedOn w:val="Default"/>
    <w:next w:val="Default"/>
    <w:uiPriority w:val="99"/>
    <w:rsid w:val="00F4754B"/>
    <w:rPr>
      <w:rFonts w:ascii="EUAlbertina" w:eastAsiaTheme="minorHAnsi" w:hAnsi="EUAlbertina" w:cstheme="minorBidi"/>
      <w:color w:val="auto"/>
    </w:rPr>
  </w:style>
  <w:style w:type="paragraph" w:customStyle="1" w:styleId="CM3">
    <w:name w:val="CM3"/>
    <w:basedOn w:val="Default"/>
    <w:next w:val="Default"/>
    <w:uiPriority w:val="99"/>
    <w:rsid w:val="00F4754B"/>
    <w:rPr>
      <w:rFonts w:ascii="EUAlbertina" w:eastAsiaTheme="minorHAnsi" w:hAnsi="EUAlbertina" w:cstheme="minorBidi"/>
      <w:color w:val="auto"/>
    </w:rPr>
  </w:style>
  <w:style w:type="paragraph" w:customStyle="1" w:styleId="Paragraph">
    <w:name w:val="Paragraph"/>
    <w:basedOn w:val="Normal"/>
    <w:link w:val="ParagraphChar"/>
    <w:qFormat/>
    <w:rsid w:val="00FA2520"/>
    <w:pPr>
      <w:tabs>
        <w:tab w:val="left" w:pos="794"/>
      </w:tabs>
      <w:spacing w:after="120"/>
      <w:ind w:firstLine="794"/>
      <w:jc w:val="both"/>
    </w:pPr>
    <w:rPr>
      <w:rFonts w:ascii="Segoe UI" w:hAnsi="Segoe UI"/>
      <w:color w:val="auto"/>
      <w:sz w:val="20"/>
    </w:rPr>
  </w:style>
  <w:style w:type="character" w:customStyle="1" w:styleId="ParagraphChar">
    <w:name w:val="Paragraph Char"/>
    <w:link w:val="Paragraph"/>
    <w:locked/>
    <w:rsid w:val="00FA2520"/>
    <w:rPr>
      <w:rFonts w:ascii="Segoe UI" w:hAnsi="Segoe UI"/>
      <w:lang w:eastAsia="en-US"/>
    </w:rPr>
  </w:style>
  <w:style w:type="paragraph" w:customStyle="1" w:styleId="FirstParagraph">
    <w:name w:val="FirstParagraph"/>
    <w:basedOn w:val="Paragraph"/>
    <w:next w:val="Paragraph"/>
    <w:qFormat/>
    <w:rsid w:val="00FD5C02"/>
    <w:pPr>
      <w:spacing w:before="120"/>
      <w:ind w:firstLine="0"/>
    </w:pPr>
  </w:style>
  <w:style w:type="paragraph" w:customStyle="1" w:styleId="TableText0">
    <w:name w:val="TableText"/>
    <w:basedOn w:val="Normal"/>
    <w:rsid w:val="00FD5C02"/>
    <w:pPr>
      <w:spacing w:before="40" w:after="40"/>
    </w:pPr>
    <w:rPr>
      <w:rFonts w:ascii="Segoe UI" w:hAnsi="Segoe UI"/>
      <w:color w:val="auto"/>
      <w:sz w:val="17"/>
    </w:rPr>
  </w:style>
  <w:style w:type="character" w:customStyle="1" w:styleId="DeltaViewInsertion">
    <w:name w:val="DeltaView Insertion"/>
    <w:rsid w:val="00772B95"/>
    <w:rPr>
      <w:color w:val="0000FF"/>
      <w:spacing w:val="0"/>
      <w:u w:val="double"/>
    </w:rPr>
  </w:style>
  <w:style w:type="character" w:styleId="PlaceholderText">
    <w:name w:val="Placeholder Text"/>
    <w:basedOn w:val="DefaultParagraphFont"/>
    <w:uiPriority w:val="99"/>
    <w:semiHidden/>
    <w:rsid w:val="00B64C27"/>
    <w:rPr>
      <w:color w:val="808080"/>
    </w:rPr>
  </w:style>
  <w:style w:type="paragraph" w:styleId="Revision">
    <w:name w:val="Revision"/>
    <w:hidden/>
    <w:uiPriority w:val="99"/>
    <w:semiHidden/>
    <w:rsid w:val="005C5A30"/>
    <w:rPr>
      <w:rFonts w:ascii="Arial" w:hAnsi="Arial"/>
      <w:color w:val="000000"/>
      <w:sz w:val="18"/>
      <w:lang w:eastAsia="en-US"/>
    </w:rPr>
  </w:style>
  <w:style w:type="paragraph" w:customStyle="1" w:styleId="Car2">
    <w:name w:val="Car2"/>
    <w:basedOn w:val="Normal"/>
    <w:rsid w:val="0090360B"/>
    <w:pPr>
      <w:spacing w:after="160" w:line="240" w:lineRule="exact"/>
    </w:pPr>
    <w:rPr>
      <w:rFonts w:ascii="Tahoma" w:hAnsi="Tahoma"/>
      <w:color w:val="auto"/>
      <w:sz w:val="20"/>
    </w:rPr>
  </w:style>
  <w:style w:type="paragraph" w:styleId="NoSpacing">
    <w:name w:val="No Spacing"/>
    <w:link w:val="NoSpacingChar"/>
    <w:uiPriority w:val="1"/>
    <w:qFormat/>
    <w:rsid w:val="003C4CC8"/>
    <w:rPr>
      <w:rFonts w:asciiTheme="minorHAnsi" w:eastAsiaTheme="minorEastAsia" w:hAnsiTheme="minorHAnsi" w:cstheme="minorBidi"/>
      <w:sz w:val="22"/>
      <w:szCs w:val="22"/>
      <w:lang w:eastAsia="en-US"/>
    </w:rPr>
  </w:style>
  <w:style w:type="character" w:customStyle="1" w:styleId="NoSpacingChar">
    <w:name w:val="No Spacing Char"/>
    <w:basedOn w:val="DefaultParagraphFont"/>
    <w:link w:val="NoSpacing"/>
    <w:uiPriority w:val="1"/>
    <w:rsid w:val="003C4CC8"/>
    <w:rPr>
      <w:rFonts w:asciiTheme="minorHAnsi" w:eastAsiaTheme="minorEastAsia" w:hAnsiTheme="minorHAnsi" w:cstheme="minorBidi"/>
      <w:sz w:val="22"/>
      <w:szCs w:val="22"/>
      <w:lang w:val="bg-BG" w:eastAsia="en-US"/>
    </w:rPr>
  </w:style>
  <w:style w:type="paragraph" w:customStyle="1" w:styleId="numberedparagraph">
    <w:name w:val="numbered paragraph"/>
    <w:basedOn w:val="Normal"/>
    <w:qFormat/>
    <w:rsid w:val="00C46DA4"/>
    <w:pPr>
      <w:numPr>
        <w:numId w:val="41"/>
      </w:numPr>
      <w:spacing w:before="240" w:after="120" w:line="276" w:lineRule="auto"/>
      <w:jc w:val="both"/>
    </w:pPr>
    <w:rPr>
      <w:rFonts w:asciiTheme="minorHAnsi" w:eastAsiaTheme="minorEastAsia" w:hAnsiTheme="minorHAnsi" w:cstheme="minorBidi"/>
      <w:color w:val="auto"/>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84916">
      <w:bodyDiv w:val="1"/>
      <w:marLeft w:val="0"/>
      <w:marRight w:val="0"/>
      <w:marTop w:val="0"/>
      <w:marBottom w:val="0"/>
      <w:divBdr>
        <w:top w:val="none" w:sz="0" w:space="0" w:color="auto"/>
        <w:left w:val="none" w:sz="0" w:space="0" w:color="auto"/>
        <w:bottom w:val="none" w:sz="0" w:space="0" w:color="auto"/>
        <w:right w:val="none" w:sz="0" w:space="0" w:color="auto"/>
      </w:divBdr>
    </w:div>
    <w:div w:id="99492908">
      <w:bodyDiv w:val="1"/>
      <w:marLeft w:val="0"/>
      <w:marRight w:val="0"/>
      <w:marTop w:val="0"/>
      <w:marBottom w:val="0"/>
      <w:divBdr>
        <w:top w:val="none" w:sz="0" w:space="0" w:color="auto"/>
        <w:left w:val="none" w:sz="0" w:space="0" w:color="auto"/>
        <w:bottom w:val="none" w:sz="0" w:space="0" w:color="auto"/>
        <w:right w:val="none" w:sz="0" w:space="0" w:color="auto"/>
      </w:divBdr>
    </w:div>
    <w:div w:id="164593368">
      <w:bodyDiv w:val="1"/>
      <w:marLeft w:val="0"/>
      <w:marRight w:val="0"/>
      <w:marTop w:val="0"/>
      <w:marBottom w:val="0"/>
      <w:divBdr>
        <w:top w:val="none" w:sz="0" w:space="0" w:color="auto"/>
        <w:left w:val="none" w:sz="0" w:space="0" w:color="auto"/>
        <w:bottom w:val="none" w:sz="0" w:space="0" w:color="auto"/>
        <w:right w:val="none" w:sz="0" w:space="0" w:color="auto"/>
      </w:divBdr>
    </w:div>
    <w:div w:id="168566848">
      <w:bodyDiv w:val="1"/>
      <w:marLeft w:val="0"/>
      <w:marRight w:val="0"/>
      <w:marTop w:val="0"/>
      <w:marBottom w:val="0"/>
      <w:divBdr>
        <w:top w:val="none" w:sz="0" w:space="0" w:color="auto"/>
        <w:left w:val="none" w:sz="0" w:space="0" w:color="auto"/>
        <w:bottom w:val="none" w:sz="0" w:space="0" w:color="auto"/>
        <w:right w:val="none" w:sz="0" w:space="0" w:color="auto"/>
      </w:divBdr>
    </w:div>
    <w:div w:id="208498785">
      <w:bodyDiv w:val="1"/>
      <w:marLeft w:val="0"/>
      <w:marRight w:val="0"/>
      <w:marTop w:val="0"/>
      <w:marBottom w:val="0"/>
      <w:divBdr>
        <w:top w:val="none" w:sz="0" w:space="0" w:color="auto"/>
        <w:left w:val="none" w:sz="0" w:space="0" w:color="auto"/>
        <w:bottom w:val="none" w:sz="0" w:space="0" w:color="auto"/>
        <w:right w:val="none" w:sz="0" w:space="0" w:color="auto"/>
      </w:divBdr>
    </w:div>
    <w:div w:id="388185919">
      <w:bodyDiv w:val="1"/>
      <w:marLeft w:val="0"/>
      <w:marRight w:val="0"/>
      <w:marTop w:val="0"/>
      <w:marBottom w:val="0"/>
      <w:divBdr>
        <w:top w:val="none" w:sz="0" w:space="0" w:color="auto"/>
        <w:left w:val="none" w:sz="0" w:space="0" w:color="auto"/>
        <w:bottom w:val="none" w:sz="0" w:space="0" w:color="auto"/>
        <w:right w:val="none" w:sz="0" w:space="0" w:color="auto"/>
      </w:divBdr>
    </w:div>
    <w:div w:id="478503391">
      <w:bodyDiv w:val="1"/>
      <w:marLeft w:val="0"/>
      <w:marRight w:val="0"/>
      <w:marTop w:val="0"/>
      <w:marBottom w:val="0"/>
      <w:divBdr>
        <w:top w:val="none" w:sz="0" w:space="0" w:color="auto"/>
        <w:left w:val="none" w:sz="0" w:space="0" w:color="auto"/>
        <w:bottom w:val="none" w:sz="0" w:space="0" w:color="auto"/>
        <w:right w:val="none" w:sz="0" w:space="0" w:color="auto"/>
      </w:divBdr>
    </w:div>
    <w:div w:id="566771816">
      <w:bodyDiv w:val="1"/>
      <w:marLeft w:val="0"/>
      <w:marRight w:val="0"/>
      <w:marTop w:val="0"/>
      <w:marBottom w:val="0"/>
      <w:divBdr>
        <w:top w:val="none" w:sz="0" w:space="0" w:color="auto"/>
        <w:left w:val="none" w:sz="0" w:space="0" w:color="auto"/>
        <w:bottom w:val="none" w:sz="0" w:space="0" w:color="auto"/>
        <w:right w:val="none" w:sz="0" w:space="0" w:color="auto"/>
      </w:divBdr>
    </w:div>
    <w:div w:id="571044302">
      <w:bodyDiv w:val="1"/>
      <w:marLeft w:val="0"/>
      <w:marRight w:val="0"/>
      <w:marTop w:val="0"/>
      <w:marBottom w:val="0"/>
      <w:divBdr>
        <w:top w:val="none" w:sz="0" w:space="0" w:color="auto"/>
        <w:left w:val="none" w:sz="0" w:space="0" w:color="auto"/>
        <w:bottom w:val="none" w:sz="0" w:space="0" w:color="auto"/>
        <w:right w:val="none" w:sz="0" w:space="0" w:color="auto"/>
      </w:divBdr>
    </w:div>
    <w:div w:id="739250351">
      <w:bodyDiv w:val="1"/>
      <w:marLeft w:val="0"/>
      <w:marRight w:val="0"/>
      <w:marTop w:val="0"/>
      <w:marBottom w:val="0"/>
      <w:divBdr>
        <w:top w:val="none" w:sz="0" w:space="0" w:color="auto"/>
        <w:left w:val="none" w:sz="0" w:space="0" w:color="auto"/>
        <w:bottom w:val="none" w:sz="0" w:space="0" w:color="auto"/>
        <w:right w:val="none" w:sz="0" w:space="0" w:color="auto"/>
      </w:divBdr>
    </w:div>
    <w:div w:id="853229122">
      <w:bodyDiv w:val="1"/>
      <w:marLeft w:val="0"/>
      <w:marRight w:val="0"/>
      <w:marTop w:val="0"/>
      <w:marBottom w:val="0"/>
      <w:divBdr>
        <w:top w:val="none" w:sz="0" w:space="0" w:color="auto"/>
        <w:left w:val="none" w:sz="0" w:space="0" w:color="auto"/>
        <w:bottom w:val="none" w:sz="0" w:space="0" w:color="auto"/>
        <w:right w:val="none" w:sz="0" w:space="0" w:color="auto"/>
      </w:divBdr>
    </w:div>
    <w:div w:id="954216756">
      <w:bodyDiv w:val="1"/>
      <w:marLeft w:val="0"/>
      <w:marRight w:val="0"/>
      <w:marTop w:val="0"/>
      <w:marBottom w:val="0"/>
      <w:divBdr>
        <w:top w:val="none" w:sz="0" w:space="0" w:color="auto"/>
        <w:left w:val="none" w:sz="0" w:space="0" w:color="auto"/>
        <w:bottom w:val="none" w:sz="0" w:space="0" w:color="auto"/>
        <w:right w:val="none" w:sz="0" w:space="0" w:color="auto"/>
      </w:divBdr>
    </w:div>
    <w:div w:id="1014841392">
      <w:bodyDiv w:val="1"/>
      <w:marLeft w:val="0"/>
      <w:marRight w:val="0"/>
      <w:marTop w:val="0"/>
      <w:marBottom w:val="0"/>
      <w:divBdr>
        <w:top w:val="none" w:sz="0" w:space="0" w:color="auto"/>
        <w:left w:val="none" w:sz="0" w:space="0" w:color="auto"/>
        <w:bottom w:val="none" w:sz="0" w:space="0" w:color="auto"/>
        <w:right w:val="none" w:sz="0" w:space="0" w:color="auto"/>
      </w:divBdr>
    </w:div>
    <w:div w:id="1024090179">
      <w:bodyDiv w:val="1"/>
      <w:marLeft w:val="0"/>
      <w:marRight w:val="0"/>
      <w:marTop w:val="0"/>
      <w:marBottom w:val="0"/>
      <w:divBdr>
        <w:top w:val="none" w:sz="0" w:space="0" w:color="auto"/>
        <w:left w:val="none" w:sz="0" w:space="0" w:color="auto"/>
        <w:bottom w:val="none" w:sz="0" w:space="0" w:color="auto"/>
        <w:right w:val="none" w:sz="0" w:space="0" w:color="auto"/>
      </w:divBdr>
    </w:div>
    <w:div w:id="1052847062">
      <w:bodyDiv w:val="1"/>
      <w:marLeft w:val="0"/>
      <w:marRight w:val="0"/>
      <w:marTop w:val="0"/>
      <w:marBottom w:val="0"/>
      <w:divBdr>
        <w:top w:val="none" w:sz="0" w:space="0" w:color="auto"/>
        <w:left w:val="none" w:sz="0" w:space="0" w:color="auto"/>
        <w:bottom w:val="none" w:sz="0" w:space="0" w:color="auto"/>
        <w:right w:val="none" w:sz="0" w:space="0" w:color="auto"/>
      </w:divBdr>
    </w:div>
    <w:div w:id="1061976439">
      <w:bodyDiv w:val="1"/>
      <w:marLeft w:val="0"/>
      <w:marRight w:val="0"/>
      <w:marTop w:val="0"/>
      <w:marBottom w:val="0"/>
      <w:divBdr>
        <w:top w:val="none" w:sz="0" w:space="0" w:color="auto"/>
        <w:left w:val="none" w:sz="0" w:space="0" w:color="auto"/>
        <w:bottom w:val="none" w:sz="0" w:space="0" w:color="auto"/>
        <w:right w:val="none" w:sz="0" w:space="0" w:color="auto"/>
      </w:divBdr>
    </w:div>
    <w:div w:id="1148327259">
      <w:bodyDiv w:val="1"/>
      <w:marLeft w:val="0"/>
      <w:marRight w:val="0"/>
      <w:marTop w:val="0"/>
      <w:marBottom w:val="0"/>
      <w:divBdr>
        <w:top w:val="none" w:sz="0" w:space="0" w:color="auto"/>
        <w:left w:val="none" w:sz="0" w:space="0" w:color="auto"/>
        <w:bottom w:val="none" w:sz="0" w:space="0" w:color="auto"/>
        <w:right w:val="none" w:sz="0" w:space="0" w:color="auto"/>
      </w:divBdr>
    </w:div>
    <w:div w:id="1253708875">
      <w:bodyDiv w:val="1"/>
      <w:marLeft w:val="0"/>
      <w:marRight w:val="0"/>
      <w:marTop w:val="0"/>
      <w:marBottom w:val="0"/>
      <w:divBdr>
        <w:top w:val="none" w:sz="0" w:space="0" w:color="auto"/>
        <w:left w:val="none" w:sz="0" w:space="0" w:color="auto"/>
        <w:bottom w:val="none" w:sz="0" w:space="0" w:color="auto"/>
        <w:right w:val="none" w:sz="0" w:space="0" w:color="auto"/>
      </w:divBdr>
    </w:div>
    <w:div w:id="1350134346">
      <w:bodyDiv w:val="1"/>
      <w:marLeft w:val="0"/>
      <w:marRight w:val="0"/>
      <w:marTop w:val="0"/>
      <w:marBottom w:val="0"/>
      <w:divBdr>
        <w:top w:val="none" w:sz="0" w:space="0" w:color="auto"/>
        <w:left w:val="none" w:sz="0" w:space="0" w:color="auto"/>
        <w:bottom w:val="none" w:sz="0" w:space="0" w:color="auto"/>
        <w:right w:val="none" w:sz="0" w:space="0" w:color="auto"/>
      </w:divBdr>
      <w:divsChild>
        <w:div w:id="330834301">
          <w:marLeft w:val="0"/>
          <w:marRight w:val="0"/>
          <w:marTop w:val="0"/>
          <w:marBottom w:val="0"/>
          <w:divBdr>
            <w:top w:val="none" w:sz="0" w:space="0" w:color="auto"/>
            <w:left w:val="none" w:sz="0" w:space="0" w:color="auto"/>
            <w:bottom w:val="none" w:sz="0" w:space="0" w:color="auto"/>
            <w:right w:val="none" w:sz="0" w:space="0" w:color="auto"/>
          </w:divBdr>
          <w:divsChild>
            <w:div w:id="195678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700681">
      <w:bodyDiv w:val="1"/>
      <w:marLeft w:val="0"/>
      <w:marRight w:val="0"/>
      <w:marTop w:val="0"/>
      <w:marBottom w:val="0"/>
      <w:divBdr>
        <w:top w:val="none" w:sz="0" w:space="0" w:color="auto"/>
        <w:left w:val="none" w:sz="0" w:space="0" w:color="auto"/>
        <w:bottom w:val="none" w:sz="0" w:space="0" w:color="auto"/>
        <w:right w:val="none" w:sz="0" w:space="0" w:color="auto"/>
      </w:divBdr>
    </w:div>
    <w:div w:id="1453017598">
      <w:bodyDiv w:val="1"/>
      <w:marLeft w:val="0"/>
      <w:marRight w:val="0"/>
      <w:marTop w:val="0"/>
      <w:marBottom w:val="0"/>
      <w:divBdr>
        <w:top w:val="none" w:sz="0" w:space="0" w:color="auto"/>
        <w:left w:val="none" w:sz="0" w:space="0" w:color="auto"/>
        <w:bottom w:val="none" w:sz="0" w:space="0" w:color="auto"/>
        <w:right w:val="none" w:sz="0" w:space="0" w:color="auto"/>
      </w:divBdr>
    </w:div>
    <w:div w:id="1573614251">
      <w:bodyDiv w:val="1"/>
      <w:marLeft w:val="0"/>
      <w:marRight w:val="0"/>
      <w:marTop w:val="0"/>
      <w:marBottom w:val="0"/>
      <w:divBdr>
        <w:top w:val="none" w:sz="0" w:space="0" w:color="auto"/>
        <w:left w:val="none" w:sz="0" w:space="0" w:color="auto"/>
        <w:bottom w:val="none" w:sz="0" w:space="0" w:color="auto"/>
        <w:right w:val="none" w:sz="0" w:space="0" w:color="auto"/>
      </w:divBdr>
    </w:div>
    <w:div w:id="1648778215">
      <w:bodyDiv w:val="1"/>
      <w:marLeft w:val="0"/>
      <w:marRight w:val="0"/>
      <w:marTop w:val="0"/>
      <w:marBottom w:val="0"/>
      <w:divBdr>
        <w:top w:val="none" w:sz="0" w:space="0" w:color="auto"/>
        <w:left w:val="none" w:sz="0" w:space="0" w:color="auto"/>
        <w:bottom w:val="none" w:sz="0" w:space="0" w:color="auto"/>
        <w:right w:val="none" w:sz="0" w:space="0" w:color="auto"/>
      </w:divBdr>
    </w:div>
    <w:div w:id="1776175696">
      <w:bodyDiv w:val="1"/>
      <w:marLeft w:val="0"/>
      <w:marRight w:val="0"/>
      <w:marTop w:val="0"/>
      <w:marBottom w:val="0"/>
      <w:divBdr>
        <w:top w:val="none" w:sz="0" w:space="0" w:color="auto"/>
        <w:left w:val="none" w:sz="0" w:space="0" w:color="auto"/>
        <w:bottom w:val="none" w:sz="0" w:space="0" w:color="auto"/>
        <w:right w:val="none" w:sz="0" w:space="0" w:color="auto"/>
      </w:divBdr>
    </w:div>
    <w:div w:id="206760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EBA">
  <a:themeElements>
    <a:clrScheme name="EBA">
      <a:dk1>
        <a:sysClr val="windowText" lastClr="000000"/>
      </a:dk1>
      <a:lt1>
        <a:sysClr val="window" lastClr="FFFFFF"/>
      </a:lt1>
      <a:dk2>
        <a:srgbClr val="005596"/>
      </a:dk2>
      <a:lt2>
        <a:srgbClr val="00AEEF"/>
      </a:lt2>
      <a:accent1>
        <a:srgbClr val="48748F"/>
      </a:accent1>
      <a:accent2>
        <a:srgbClr val="807F83"/>
      </a:accent2>
      <a:accent3>
        <a:srgbClr val="A30134"/>
      </a:accent3>
      <a:accent4>
        <a:srgbClr val="D9531E"/>
      </a:accent4>
      <a:accent5>
        <a:srgbClr val="439539"/>
      </a:accent5>
      <a:accent6>
        <a:srgbClr val="7C2B83"/>
      </a:accent6>
      <a:hlink>
        <a:srgbClr val="005596"/>
      </a:hlink>
      <a:folHlink>
        <a:srgbClr val="00AEEF"/>
      </a:folHlink>
    </a:clrScheme>
    <a:fontScheme name="EBA">
      <a:majorFont>
        <a:latin typeface="Verdan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Black">
      <a:srgbClr val="000000"/>
    </a:custClr>
    <a:custClr name="Mid Grey">
      <a:srgbClr val="BEC0C2"/>
    </a:custClr>
    <a:custClr name="Light Grey">
      <a:srgbClr val="E6E7E8"/>
    </a:custClr>
    <a:custClr name="Gold">
      <a:srgbClr val="F99D3E"/>
    </a:custClr>
    <a:custClr name="Pale Gold">
      <a:srgbClr val="FEE3C7"/>
    </a:custClr>
    <a:custClr name="Yellow">
      <a:srgbClr val="FFD200"/>
    </a:custClr>
    <a:custClr name="Mid Green">
      <a:srgbClr val="8CA829"/>
    </a:custClr>
    <a:custClr name="Pale Green">
      <a:srgbClr val="A0CA9C"/>
    </a:custClr>
    <a:custClr name="Mid Grey-Blue">
      <a:srgbClr val="96ACBF"/>
    </a:custClr>
    <a:custClr name="Pale Blue">
      <a:srgbClr val="7FD6F7"/>
    </a:custClr>
    <a:custClr name="Mid Purple">
      <a:srgbClr val="9D60A2"/>
    </a:custClr>
    <a:custClr name="Pale Purple">
      <a:srgbClr val="D18099"/>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001A41-6B53-43E5-A080-D43250B46A67}">
  <ds:schemaRefs>
    <ds:schemaRef ds:uri="http://schemas.openxmlformats.org/officeDocument/2006/bibliography"/>
  </ds:schemaRefs>
</ds:datastoreItem>
</file>

<file path=customXml/itemProps2.xml><?xml version="1.0" encoding="utf-8"?>
<ds:datastoreItem xmlns:ds="http://schemas.openxmlformats.org/officeDocument/2006/customXml" ds:itemID="{F16CF74D-6F53-4FA9-BCFD-F976233C89F3}">
  <ds:schemaRefs>
    <ds:schemaRef ds:uri="http://schemas.openxmlformats.org/officeDocument/2006/bibliography"/>
  </ds:schemaRefs>
</ds:datastoreItem>
</file>

<file path=customXml/itemProps3.xml><?xml version="1.0" encoding="utf-8"?>
<ds:datastoreItem xmlns:ds="http://schemas.openxmlformats.org/officeDocument/2006/customXml" ds:itemID="{13ED8297-1A67-4F6E-B6ED-3D6C74843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77</Pages>
  <Words>21428</Words>
  <Characters>130775</Characters>
  <Application>Microsoft Office Word</Application>
  <DocSecurity>0</DocSecurity>
  <Lines>3041</Lines>
  <Paragraphs>1769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150434</CharactersWithSpaces>
  <SharedDoc>false</SharedDoc>
  <HLinks>
    <vt:vector size="12" baseType="variant">
      <vt:variant>
        <vt:i4>2687087</vt:i4>
      </vt:variant>
      <vt:variant>
        <vt:i4>-1</vt:i4>
      </vt:variant>
      <vt:variant>
        <vt:i4>2054</vt:i4>
      </vt:variant>
      <vt:variant>
        <vt:i4>1</vt:i4>
      </vt:variant>
      <vt:variant>
        <vt:lpwstr>Clients Q-T:Sloane Robinson:logo AW:SR_LOGO_PMS-2768.bmp</vt:lpwstr>
      </vt:variant>
      <vt:variant>
        <vt:lpwstr/>
      </vt:variant>
      <vt:variant>
        <vt:i4>2687087</vt:i4>
      </vt:variant>
      <vt:variant>
        <vt:i4>-1</vt:i4>
      </vt:variant>
      <vt:variant>
        <vt:i4>2055</vt:i4>
      </vt:variant>
      <vt:variant>
        <vt:i4>1</vt:i4>
      </vt:variant>
      <vt:variant>
        <vt:lpwstr>Clients Q-T:Sloane Robinson:logo AW:SR_LOGO_PMS-2768.bmp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2020-09-30T07:28:00Z</dcterms:created>
  <dcterms:modified xsi:type="dcterms:W3CDTF">2020-12-14T18:26:00Z</dcterms:modified>
</cp:coreProperties>
</file>