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sz w:val="24"/>
          <w:rFonts w:ascii="Times New Roman" w:hAnsi="Times New Roman"/>
        </w:rPr>
      </w:pPr>
      <w:r>
        <w:rPr>
          <w:sz w:val="24"/>
          <w:rFonts w:ascii="Times New Roman" w:hAnsi="Times New Roman"/>
        </w:rPr>
        <w:t xml:space="preserve">XXI PIELIKUMS</w:t>
      </w:r>
    </w:p>
    <w:p w14:paraId="55B2E7E1" w14:textId="065A927F" w:rsidR="0040604D" w:rsidRDefault="0040604D" w:rsidP="003E55AB">
      <w:pPr>
        <w:spacing w:before="0"/>
        <w:jc w:val="center"/>
        <w:rPr>
          <w:b/>
          <w:sz w:val="24"/>
          <w:rFonts w:ascii="Times New Roman" w:hAnsi="Times New Roman"/>
        </w:rPr>
      </w:pPr>
      <w:r>
        <w:rPr>
          <w:b/>
          <w:sz w:val="24"/>
          <w:rFonts w:ascii="Times New Roman" w:hAnsi="Times New Roman"/>
        </w:rPr>
        <w:t xml:space="preserve">NORĀDĪJUMI PĀRSKATU SNIEGŠANAI PAR KOMPENSĒJOŠĀS KAPACITĀTES KONCENTRĀCIJU</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1.</w:t>
      </w:r>
      <w:r>
        <w:tab/>
      </w:r>
      <w:r>
        <w:rPr>
          <w:sz w:val="24"/>
          <w:rFonts w:ascii="Times New Roman" w:hAnsi="Times New Roman"/>
        </w:rPr>
        <w:t xml:space="preserve">Lai apkopotu informāciju par pārskatu sniedzošo iestāžu kompensējošās kapacitātes koncentrāciju dalījumā pa desmit lielākajām aktīvu līdzdalībām vai likviditātes kredītlīnijām, kuras šim nolūkam piešķirtas iestādei veidnē C71.00, iestādes piemēro šajā pielikumā ietvertās norādes.</w:t>
      </w:r>
    </w:p>
    <w:p w14:paraId="6D98D095" w14:textId="6A747233" w:rsidR="00672B1B"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2.</w:t>
      </w:r>
      <w:r>
        <w:tab/>
      </w:r>
      <w:r>
        <w:rPr>
          <w:sz w:val="24"/>
          <w:rFonts w:ascii="Times New Roman" w:hAnsi="Times New Roman"/>
        </w:rPr>
        <w:t xml:space="preserve">Ja emitentu vai darījuma partneri iedala pie vairāk nekā viena produkta veida, valūtas vai kredītkvalitātes pakāpes, uzrāda kopējo summu.</w:t>
      </w:r>
      <w:r>
        <w:rPr>
          <w:sz w:val="24"/>
          <w:rFonts w:ascii="Times New Roman" w:hAnsi="Times New Roman"/>
        </w:rPr>
        <w:t xml:space="preserve"> </w:t>
      </w:r>
      <w:r>
        <w:rPr>
          <w:sz w:val="24"/>
          <w:rFonts w:ascii="Times New Roman" w:hAnsi="Times New Roman"/>
        </w:rPr>
        <w:t xml:space="preserve">Jāuzrāda tas produkta veids, valūta vai kredītkvalitātes pakāpe, kas attiecas uz kompensējošās kapacitātes koncentrācijas lielāko daļu.</w:t>
      </w:r>
      <w:r>
        <w:rPr>
          <w:sz w:val="24"/>
          <w:rFonts w:ascii="Times New Roman" w:hAnsi="Times New Roman"/>
        </w:rPr>
        <w:t xml:space="preserve"> </w:t>
      </w:r>
    </w:p>
    <w:p w14:paraId="1A86D9FE" w14:textId="2D9CE2DF" w:rsidR="00FF4741"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3.</w:t>
      </w:r>
      <w:r>
        <w:tab/>
      </w:r>
      <w:r>
        <w:rPr>
          <w:sz w:val="24"/>
          <w:rFonts w:ascii="Times New Roman" w:hAnsi="Times New Roman"/>
        </w:rPr>
        <w:t xml:space="preserve">Kompensējošā kapacitāte C 71.00 ir tāda pati kā C 66.01 ar nosacījumu, ka aktīvi, kurus uzrāda kā kompensējošo kapacitāti attiecībā uz C</w:t>
      </w:r>
      <w:r>
        <w:rPr>
          <w:sz w:val="24"/>
          <w:rFonts w:ascii="Times New Roman" w:hAnsi="Times New Roman"/>
        </w:rPr>
        <w:t xml:space="preserve"> </w:t>
      </w:r>
      <w:r>
        <w:rPr>
          <w:sz w:val="24"/>
          <w:rFonts w:ascii="Times New Roman" w:hAnsi="Times New Roman"/>
        </w:rPr>
        <w:t xml:space="preserve">71.00, ir neapgrūtināti un pieejami iestādei, lai tos pārskata sniegšanas atsauces datumā konvertētu skaidrā naudā.</w:t>
      </w:r>
    </w:p>
    <w:p w14:paraId="52C95F92" w14:textId="76B8503D" w:rsidR="00EF029F"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4.</w:t>
      </w:r>
      <w:r>
        <w:tab/>
      </w:r>
      <w:r>
        <w:rPr>
          <w:sz w:val="24"/>
          <w:rFonts w:ascii="Times New Roman" w:hAnsi="Times New Roman"/>
        </w:rPr>
        <w:t xml:space="preserve">Lai aprēķinātu koncentrāciju pārskatu veidnes C 71.00 vajadzībām dalījumā pa nozīmīgām valūtām, iestādes izmanto koncentrāciju visās valūtās.</w:t>
      </w:r>
    </w:p>
    <w:p w14:paraId="5D592CDE" w14:textId="137C55E0" w:rsidR="0005633D"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5.</w:t>
      </w:r>
      <w:r>
        <w:tab/>
      </w:r>
      <w:r>
        <w:rPr>
          <w:sz w:val="24"/>
          <w:rFonts w:ascii="Times New Roman" w:hAnsi="Times New Roman"/>
        </w:rPr>
        <w:t xml:space="preserve">Ja emitents vai darījuma partneris pieder pie vairākām savstarpēji saistītu klientu grupām, to uzrāda tikai vienu reizi tajā grupā, kurai ir augstāka kompensējošās kapacitātes koncentrācija.</w:t>
      </w:r>
    </w:p>
    <w:p w14:paraId="2C0B2260" w14:textId="17EB1C17" w:rsidR="00CB05F9"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6.</w:t>
      </w:r>
      <w:r>
        <w:tab/>
      </w:r>
      <w:r>
        <w:rPr>
          <w:sz w:val="24"/>
          <w:rFonts w:ascii="Times New Roman" w:hAnsi="Times New Roman"/>
        </w:rPr>
        <w:t xml:space="preserve">Izņemot 120. rindu, kompensējošās kapacitātes koncentrāciju centrālā bankā kā emitentā vai darījumu partnerī neuzrāda šajā veidnē.</w:t>
      </w:r>
      <w:r>
        <w:rPr>
          <w:sz w:val="24"/>
          <w:rFonts w:ascii="Times New Roman" w:hAnsi="Times New Roman"/>
        </w:rPr>
        <w:t xml:space="preserve"> </w:t>
      </w:r>
      <w:r>
        <w:rPr>
          <w:sz w:val="24"/>
          <w:rFonts w:ascii="Times New Roman" w:hAnsi="Times New Roman"/>
        </w:rPr>
        <w:t xml:space="preserve">Ja iestādei ir iepriekš izvietoti aktīvi centrālajā bankā standarta likviditātes operācijām un ja šie aktīvi ietilpst desmit galveno emitentu vai neapgrūtināto kompensējošās kapacitātes darījumu partneriem, iestāde norāda sākotnējo emitentu un sākotnējā ražojuma veidu.</w:t>
      </w:r>
    </w:p>
    <w:p w14:paraId="423289FA" w14:textId="77777777" w:rsidR="00E05204" w:rsidRPr="0081623B" w:rsidRDefault="00E05204" w:rsidP="003E55AB">
      <w:pPr>
        <w:spacing w:before="0"/>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sz w:val="24"/>
                <w:rFonts w:ascii="Times New Roman" w:hAnsi="Times New Roman"/>
              </w:rPr>
            </w:pPr>
            <w:r>
              <w:rPr>
                <w:sz w:val="24"/>
                <w:rFonts w:ascii="Times New Roman" w:hAnsi="Times New Roman"/>
              </w:rPr>
              <w:t xml:space="preserve">Sleja</w:t>
            </w:r>
          </w:p>
        </w:tc>
        <w:tc>
          <w:tcPr>
            <w:tcW w:w="7306" w:type="dxa"/>
            <w:shd w:val="clear" w:color="auto" w:fill="EEECE1" w:themeFill="background2"/>
          </w:tcPr>
          <w:p w14:paraId="7398AC24" w14:textId="77777777" w:rsidR="00E05204" w:rsidRPr="0081623B" w:rsidRDefault="00E05204" w:rsidP="003E55AB">
            <w:pPr>
              <w:spacing w:before="0"/>
              <w:rPr>
                <w:sz w:val="24"/>
                <w:rFonts w:ascii="Times New Roman" w:hAnsi="Times New Roman"/>
              </w:rPr>
            </w:pPr>
            <w:r>
              <w:rPr>
                <w:sz w:val="24"/>
                <w:rFonts w:ascii="Times New Roman" w:hAnsi="Times New Roman"/>
              </w:rPr>
              <w:t xml:space="preserve">Atsauces uz tiesību aktiem un norādes</w:t>
            </w:r>
          </w:p>
        </w:tc>
      </w:tr>
      <w:tr w:rsidR="00E05204" w:rsidRPr="0081623B" w14:paraId="32AA40F1" w14:textId="77777777" w:rsidTr="00845EB1">
        <w:tc>
          <w:tcPr>
            <w:tcW w:w="990" w:type="dxa"/>
          </w:tcPr>
          <w:p w14:paraId="79D5F65E"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010.</w:t>
            </w:r>
          </w:p>
        </w:tc>
        <w:tc>
          <w:tcPr>
            <w:tcW w:w="7306" w:type="dxa"/>
          </w:tcPr>
          <w:p w14:paraId="20597254" w14:textId="73E89BCB" w:rsidR="00E05204" w:rsidRPr="0081623B" w:rsidRDefault="004C1638" w:rsidP="003E55AB">
            <w:pPr>
              <w:spacing w:before="0"/>
              <w:rPr>
                <w:b/>
                <w:sz w:val="24"/>
                <w:u w:val="single"/>
                <w:rFonts w:ascii="Times New Roman" w:hAnsi="Times New Roman"/>
              </w:rPr>
            </w:pPr>
            <w:r>
              <w:rPr>
                <w:b/>
                <w:sz w:val="24"/>
                <w:u w:val="single"/>
                <w:rFonts w:ascii="Times New Roman" w:hAnsi="Times New Roman"/>
              </w:rPr>
              <w:t xml:space="preserve">Emitenta nosaukums</w:t>
            </w:r>
          </w:p>
          <w:p w14:paraId="36B02E7E" w14:textId="56EF9FD1" w:rsidR="00E05204" w:rsidRPr="0081623B" w:rsidRDefault="00E05204" w:rsidP="003E55AB">
            <w:pPr>
              <w:spacing w:before="0"/>
              <w:rPr>
                <w:sz w:val="24"/>
                <w:rFonts w:ascii="Times New Roman" w:hAnsi="Times New Roman"/>
              </w:rPr>
            </w:pPr>
            <w:r>
              <w:rPr>
                <w:sz w:val="24"/>
                <w:rFonts w:ascii="Times New Roman" w:hAnsi="Times New Roman"/>
              </w:rPr>
              <w:t xml:space="preserve">slejā lejupejošā secībā ieraksta neapgrūtinātu aktīvu desmit galveno emitentu vai iestādei piešķirtu neizmantotu likviditātes kredītlīniju darījumu partneru nosaukumus.</w:t>
            </w:r>
            <w:r>
              <w:rPr>
                <w:sz w:val="24"/>
                <w:rFonts w:ascii="Times New Roman" w:hAnsi="Times New Roman"/>
              </w:rPr>
              <w:t xml:space="preserve"> </w:t>
            </w:r>
            <w:r>
              <w:rPr>
                <w:sz w:val="24"/>
                <w:rFonts w:ascii="Times New Roman" w:hAnsi="Times New Roman"/>
              </w:rPr>
              <w:t xml:space="preserve">Lielāko posteni uzrāda 1.01., nākamo lielāko posteni uzrāda 1.02. utt. </w:t>
            </w:r>
            <w:r>
              <w:rPr>
                <w:sz w:val="24"/>
                <w:rFonts w:ascii="Times New Roman" w:hAnsi="Times New Roman"/>
              </w:rPr>
              <w:t xml:space="preserve">Emitentus un darījumu partnerus, kas veido savstarpēji saistītu klientu grupu, uzrāda kā vienu koncentrāciju.</w:t>
            </w:r>
          </w:p>
          <w:p w14:paraId="4E01B5DA" w14:textId="4F0E946D" w:rsidR="00E05204" w:rsidRPr="0081623B" w:rsidRDefault="00E05204" w:rsidP="003E55AB">
            <w:pPr>
              <w:spacing w:before="0"/>
              <w:rPr>
                <w:sz w:val="24"/>
                <w:rFonts w:ascii="Times New Roman" w:hAnsi="Times New Roman"/>
              </w:rPr>
            </w:pPr>
            <w:r>
              <w:rPr>
                <w:sz w:val="24"/>
                <w:rFonts w:ascii="Times New Roman" w:hAnsi="Times New Roman"/>
              </w:rPr>
              <w:t xml:space="preserve">Emitenta vai darījumu partnera uzrādītais nosaukums ir tādas juridiskās personas pilns nosaukums, kas emitējusi aktīvus vai piešķīrusi likviditātes kredītlīnijas, tostarp jebkādas atsauces uz uzņēmuma veidu saskaņā ar valsts uzņēmējdarbības tiesībām.</w:t>
            </w:r>
          </w:p>
        </w:tc>
      </w:tr>
      <w:tr w:rsidR="00E05204" w:rsidRPr="0081623B" w14:paraId="5485249F" w14:textId="77777777" w:rsidTr="00845EB1">
        <w:tc>
          <w:tcPr>
            <w:tcW w:w="990" w:type="dxa"/>
          </w:tcPr>
          <w:p w14:paraId="488A21BC"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020.</w:t>
            </w:r>
          </w:p>
        </w:tc>
        <w:tc>
          <w:tcPr>
            <w:tcW w:w="7306" w:type="dxa"/>
          </w:tcPr>
          <w:p w14:paraId="763D0E5F" w14:textId="77777777" w:rsidR="00E05204" w:rsidRPr="0081623B" w:rsidRDefault="00E05204" w:rsidP="003E55AB">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LEI kods</w:t>
            </w:r>
          </w:p>
          <w:p w14:paraId="7861A1B2" w14:textId="190A7764" w:rsidR="00E05204" w:rsidRPr="003E55AB" w:rsidRDefault="00E05204" w:rsidP="003E55AB">
            <w:pPr>
              <w:spacing w:before="0"/>
              <w:rPr>
                <w:b/>
                <w:sz w:val="24"/>
                <w:rFonts w:ascii="Times New Roman" w:hAnsi="Times New Roman"/>
              </w:rPr>
            </w:pPr>
            <w:r>
              <w:rPr>
                <w:sz w:val="24"/>
                <w:bCs/>
                <w:rFonts w:ascii="Times New Roman" w:hAnsi="Times New Roman"/>
              </w:rPr>
              <w:t xml:space="preserve">Darījumu partnera juridiskās personas </w:t>
            </w:r>
            <w:r>
              <w:rPr>
                <w:sz w:val="24"/>
                <w:rFonts w:ascii="Times New Roman" w:hAnsi="Times New Roman"/>
              </w:rPr>
              <w:t xml:space="preserve">identifikācijas</w:t>
            </w:r>
            <w:r>
              <w:rPr>
                <w:sz w:val="24"/>
                <w:bCs/>
                <w:rFonts w:ascii="Times New Roman" w:hAnsi="Times New Roman"/>
              </w:rPr>
              <w:t xml:space="preserve"> kods.</w:t>
            </w:r>
            <w:r>
              <w:rPr>
                <w:sz w:val="24"/>
                <w:bCs/>
                <w:rFonts w:ascii="Times New Roman" w:hAnsi="Times New Roman"/>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030.</w:t>
            </w:r>
          </w:p>
        </w:tc>
        <w:tc>
          <w:tcPr>
            <w:tcW w:w="7306" w:type="dxa"/>
          </w:tcPr>
          <w:p w14:paraId="6DAF3DB3" w14:textId="4B8E1486" w:rsidR="00E05204" w:rsidRPr="0081623B" w:rsidRDefault="004C1638" w:rsidP="003E55AB">
            <w:pPr>
              <w:spacing w:before="0"/>
              <w:rPr>
                <w:b/>
                <w:sz w:val="24"/>
                <w:u w:val="single"/>
                <w:rFonts w:ascii="Times New Roman" w:hAnsi="Times New Roman"/>
              </w:rPr>
            </w:pPr>
            <w:r>
              <w:rPr>
                <w:b/>
                <w:sz w:val="24"/>
                <w:u w:val="single"/>
                <w:rFonts w:ascii="Times New Roman" w:hAnsi="Times New Roman"/>
              </w:rPr>
              <w:t xml:space="preserve">Emitenta sektors</w:t>
            </w:r>
          </w:p>
          <w:p w14:paraId="62F53B63" w14:textId="27347E6E" w:rsidR="00E05204" w:rsidRPr="003E55AB" w:rsidRDefault="00E05204" w:rsidP="003E55AB">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Katru emitentu vai darījuma partneri, pamatojoties uz FINREP ekonomikas sektoru klasēm, klasificē vienā sektorā:</w:t>
            </w:r>
          </w:p>
          <w:p w14:paraId="563180C8" w14:textId="31A14F6F" w:rsidR="00E05204" w:rsidRPr="0081623B" w:rsidRDefault="00E05204" w:rsidP="003E55AB">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i) vispārējās valdības;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kredītiestādes;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citas finanšu sabiedrības;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nefinanšu sabiedrības;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mājsaimniecības.</w:t>
            </w:r>
            <w:r>
              <w:rPr>
                <w:rStyle w:val="FormatvorlageInstructionsTabelleText"/>
                <w:sz w:val="24"/>
                <w:rFonts w:ascii="Times New Roman" w:hAnsi="Times New Roman"/>
              </w:rPr>
              <w:t xml:space="preserve"> </w:t>
            </w:r>
          </w:p>
          <w:p w14:paraId="3E53ACDF" w14:textId="14712E31" w:rsidR="00E05204" w:rsidRPr="0081623B" w:rsidRDefault="00E05204" w:rsidP="003E55AB">
            <w:pPr>
              <w:spacing w:before="0"/>
              <w:rPr>
                <w:sz w:val="24"/>
                <w:rFonts w:ascii="Times New Roman" w:hAnsi="Times New Roman"/>
              </w:rPr>
            </w:pPr>
            <w:r>
              <w:rPr>
                <w:sz w:val="24"/>
                <w:rStyle w:val="FormatvorlageInstructionsTabelleText"/>
                <w:rFonts w:ascii="Times New Roman" w:hAnsi="Times New Roman"/>
              </w:rPr>
              <w:t xml:space="preserve">Savstarpēji</w:t>
            </w:r>
            <w:r>
              <w:rPr>
                <w:sz w:val="24"/>
                <w:rFonts w:ascii="Times New Roman" w:hAnsi="Times New Roman"/>
              </w:rPr>
              <w:t xml:space="preserve"> saistītu </w:t>
            </w:r>
            <w:r>
              <w:rPr>
                <w:sz w:val="24"/>
                <w:rStyle w:val="FormatvorlageInstructionsTabelleText"/>
                <w:rFonts w:ascii="Times New Roman" w:hAnsi="Times New Roman"/>
              </w:rPr>
              <w:t xml:space="preserve">klientu grupām sektoru nenorāda.</w:t>
            </w:r>
            <w:r>
              <w:rPr>
                <w:sz w:val="24"/>
                <w:rStyle w:val="FormatvorlageInstructionsTabelleText"/>
                <w:rFonts w:ascii="Times New Roman" w:hAnsi="Times New Roman"/>
              </w:rPr>
              <w:t xml:space="preserve"> </w:t>
            </w:r>
          </w:p>
        </w:tc>
      </w:tr>
      <w:tr w:rsidR="00E05204" w:rsidRPr="0081623B" w14:paraId="66F40C8E" w14:textId="77777777" w:rsidTr="00845EB1">
        <w:tc>
          <w:tcPr>
            <w:tcW w:w="990" w:type="dxa"/>
          </w:tcPr>
          <w:p w14:paraId="5F55844F"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040.</w:t>
            </w:r>
          </w:p>
        </w:tc>
        <w:tc>
          <w:tcPr>
            <w:tcW w:w="7306" w:type="dxa"/>
          </w:tcPr>
          <w:p w14:paraId="6EC1C162" w14:textId="488287EA"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Emitenta mītnes valsts</w:t>
            </w:r>
            <w:r>
              <w:rPr>
                <w:b/>
                <w:sz w:val="24"/>
                <w:u w:val="single"/>
                <w:rFonts w:ascii="Times New Roman" w:hAnsi="Times New Roman"/>
              </w:rPr>
              <w:t xml:space="preserve"> </w:t>
            </w:r>
          </w:p>
          <w:p w14:paraId="0F33DF35" w14:textId="52A4F552" w:rsidR="00E05204" w:rsidRPr="0081623B" w:rsidRDefault="00E05204" w:rsidP="003E55AB">
            <w:pPr>
              <w:spacing w:before="0"/>
              <w:rPr>
                <w:rStyle w:val="FormatvorlageInstructionsTabelleText"/>
                <w:sz w:val="24"/>
                <w:rFonts w:ascii="Times New Roman" w:hAnsi="Times New Roman"/>
              </w:rPr>
            </w:pPr>
            <w:r>
              <w:rPr>
                <w:sz w:val="24"/>
                <w:rStyle w:val="FormatvorlageInstructionsTabelleText"/>
                <w:rFonts w:ascii="Times New Roman" w:hAnsi="Times New Roman"/>
              </w:rPr>
              <w:t xml:space="preserve">Izmanto emitenta vai darījuma partnera inkorporācijas valsts ISO kodu 3166-1-alpha-2, tostarp pseido ISO kodus starptautiskajām organizācijām</w:t>
            </w:r>
            <w:r>
              <w:rPr>
                <w:sz w:val="24"/>
                <w:rFonts w:ascii="Times New Roman" w:hAnsi="Times New Roman"/>
              </w:rPr>
              <w:t xml:space="preserve">, kas pieejami </w:t>
            </w:r>
            <w:r>
              <w:rPr>
                <w:sz w:val="24"/>
                <w:i/>
                <w:iCs/>
                <w:rFonts w:ascii="Times New Roman" w:hAnsi="Times New Roman"/>
              </w:rPr>
              <w:t xml:space="preserve">Eurostat</w:t>
            </w:r>
            <w:r>
              <w:rPr>
                <w:sz w:val="24"/>
                <w:rFonts w:ascii="Times New Roman" w:hAnsi="Times New Roman"/>
              </w:rPr>
              <w:t xml:space="preserve"> “Balance of Payments Vademecum” jaunākajā izdevumā.</w:t>
            </w:r>
            <w:r>
              <w:rPr>
                <w:sz w:val="24"/>
                <w:rStyle w:val="FormatvorlageInstructionsTabelleText"/>
                <w:rFonts w:ascii="Times New Roman" w:hAnsi="Times New Roman"/>
              </w:rPr>
              <w:t xml:space="preserve">.</w:t>
            </w:r>
            <w:r>
              <w:rPr>
                <w:sz w:val="24"/>
                <w:rStyle w:val="FormatvorlageInstructionsTabelleText"/>
                <w:rFonts w:ascii="Times New Roman" w:hAnsi="Times New Roman"/>
              </w:rPr>
              <w:t xml:space="preserve"> </w:t>
            </w:r>
          </w:p>
          <w:p w14:paraId="60598FF1" w14:textId="5505D19C" w:rsidR="00E05204" w:rsidRPr="0081623B" w:rsidRDefault="00E05204" w:rsidP="003E55AB">
            <w:pPr>
              <w:spacing w:before="0"/>
              <w:rPr>
                <w:sz w:val="24"/>
                <w:rFonts w:ascii="Times New Roman" w:hAnsi="Times New Roman"/>
              </w:rPr>
            </w:pPr>
            <w:r>
              <w:rPr>
                <w:rStyle w:val="FormatvorlageInstructionsTabelleText"/>
                <w:sz w:val="24"/>
                <w:rFonts w:ascii="Times New Roman" w:hAnsi="Times New Roman"/>
              </w:rPr>
              <w:t xml:space="preserve">Savstarpēji saistītu klientu grupām valsts nav jānorāda.</w:t>
            </w:r>
            <w:r>
              <w:rPr>
                <w:rStyle w:val="FormatvorlageInstructionsTabelleText"/>
                <w:sz w:val="24"/>
                <w:rFonts w:ascii="Times New Roman" w:hAnsi="Times New Roman"/>
              </w:rPr>
              <w:t xml:space="preserve"> </w:t>
            </w:r>
          </w:p>
        </w:tc>
      </w:tr>
      <w:tr w:rsidR="00E05204" w:rsidRPr="0081623B" w14:paraId="0F08D697" w14:textId="77777777" w:rsidTr="00845EB1">
        <w:tc>
          <w:tcPr>
            <w:tcW w:w="990" w:type="dxa"/>
          </w:tcPr>
          <w:p w14:paraId="3B929507"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050.</w:t>
            </w:r>
          </w:p>
        </w:tc>
        <w:tc>
          <w:tcPr>
            <w:tcW w:w="7306" w:type="dxa"/>
          </w:tcPr>
          <w:p w14:paraId="016C0789"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Produkta veids</w:t>
            </w:r>
          </w:p>
          <w:p w14:paraId="7DC48699" w14:textId="3405D5A6" w:rsidR="00E05204" w:rsidRPr="0081623B" w:rsidRDefault="00E05204" w:rsidP="003E55AB">
            <w:pPr>
              <w:spacing w:before="0"/>
              <w:rPr>
                <w:sz w:val="24"/>
                <w:rFonts w:ascii="Times New Roman" w:hAnsi="Times New Roman"/>
              </w:rPr>
            </w:pPr>
            <w:r>
              <w:rPr>
                <w:sz w:val="24"/>
                <w:rFonts w:ascii="Times New Roman" w:hAnsi="Times New Roman"/>
              </w:rPr>
              <w:t xml:space="preserve">010. slejā ierakstītos emitentus/darījuma partnerus klasificē produkta veida </w:t>
            </w:r>
            <w:r>
              <w:rPr>
                <w:sz w:val="24"/>
                <w:rStyle w:val="FormatvorlageInstructionsTabelleText"/>
                <w:rFonts w:ascii="Times New Roman" w:hAnsi="Times New Roman"/>
              </w:rPr>
              <w:t xml:space="preserve">dalījumā atbilstoši </w:t>
            </w:r>
            <w:r>
              <w:rPr>
                <w:sz w:val="24"/>
                <w:rFonts w:ascii="Times New Roman" w:hAnsi="Times New Roman"/>
              </w:rPr>
              <w:t xml:space="preserve">produktam, kurā tiek turēts aktīvs vai saņemta likviditātes resursu rezerve, izmantojot šādus kodus treknrakstā:</w:t>
            </w:r>
          </w:p>
          <w:p w14:paraId="1CB9AEA2" w14:textId="6EDC6F2E" w:rsidR="00E05204" w:rsidRPr="0081623B" w:rsidRDefault="00E05204" w:rsidP="003E55AB">
            <w:pPr>
              <w:pStyle w:val="ListParagraph"/>
              <w:numPr>
                <w:ilvl w:val="0"/>
                <w:numId w:val="4"/>
              </w:numPr>
              <w:spacing w:before="0"/>
              <w:rPr>
                <w:sz w:val="24"/>
                <w:rFonts w:ascii="Times New Roman" w:hAnsi="Times New Roman"/>
              </w:rPr>
            </w:pPr>
            <w:bookmarkStart w:id="1" w:name="OLE_LINK1"/>
            <w:r>
              <w:rPr>
                <w:sz w:val="24"/>
                <w:b/>
                <w:rFonts w:ascii="Times New Roman" w:hAnsi="Times New Roman"/>
              </w:rPr>
              <w:t xml:space="preserve">SrB </w:t>
            </w:r>
            <w:r>
              <w:rPr>
                <w:sz w:val="24"/>
                <w:rFonts w:ascii="Times New Roman" w:hAnsi="Times New Roman"/>
              </w:rPr>
              <w:t xml:space="preserve"> (</w:t>
            </w:r>
            <w:r>
              <w:rPr>
                <w:sz w:val="24"/>
                <w:rStyle w:val="FormatvorlageInstructionsTabelleText"/>
                <w:rFonts w:ascii="Times New Roman" w:hAnsi="Times New Roman"/>
              </w:rPr>
              <w:t xml:space="preserve">augstākās prioritātes </w:t>
            </w:r>
            <w:r>
              <w:rPr>
                <w:sz w:val="24"/>
                <w:rFonts w:ascii="Times New Roman" w:hAnsi="Times New Roman"/>
              </w:rPr>
              <w:t xml:space="preserve">obligācija);</w:t>
            </w:r>
            <w:r>
              <w:rPr>
                <w:sz w:val="24"/>
                <w:rFonts w:ascii="Times New Roman" w:hAnsi="Times New Roman"/>
              </w:rPr>
              <w:t xml:space="preserve"> </w:t>
            </w:r>
          </w:p>
          <w:p w14:paraId="6ADB0D10" w14:textId="7357AEF5"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SubB </w:t>
            </w:r>
            <w:r>
              <w:rPr>
                <w:sz w:val="24"/>
                <w:rFonts w:ascii="Times New Roman" w:hAnsi="Times New Roman"/>
              </w:rPr>
              <w:t xml:space="preserve"> (</w:t>
            </w:r>
            <w:r>
              <w:rPr>
                <w:sz w:val="24"/>
                <w:rStyle w:val="FormatvorlageInstructionsTabelleText"/>
                <w:rFonts w:ascii="Times New Roman" w:hAnsi="Times New Roman"/>
              </w:rPr>
              <w:t xml:space="preserve">subordinētā </w:t>
            </w:r>
            <w:r>
              <w:rPr>
                <w:sz w:val="24"/>
                <w:rFonts w:ascii="Times New Roman" w:hAnsi="Times New Roman"/>
              </w:rPr>
              <w:t xml:space="preserve">obligācija);</w:t>
            </w:r>
          </w:p>
          <w:p w14:paraId="08EFBEC2" w14:textId="5FF6EE23"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CP </w:t>
            </w:r>
            <w:r>
              <w:rPr>
                <w:sz w:val="24"/>
                <w:rFonts w:ascii="Times New Roman" w:hAnsi="Times New Roman"/>
              </w:rPr>
              <w:t xml:space="preserve">(komerciālais</w:t>
            </w:r>
            <w:r>
              <w:rPr>
                <w:sz w:val="24"/>
                <w:rFonts w:ascii="Times New Roman" w:hAnsi="Times New Roman"/>
              </w:rPr>
              <w:t xml:space="preserve"> vērtspapīrs);</w:t>
            </w:r>
          </w:p>
          <w:p w14:paraId="71AB267C" w14:textId="2722007C"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CB </w:t>
            </w:r>
            <w:r>
              <w:rPr>
                <w:sz w:val="24"/>
                <w:rFonts w:ascii="Times New Roman" w:hAnsi="Times New Roman"/>
              </w:rPr>
              <w:t xml:space="preserve">(segtās </w:t>
            </w:r>
            <w:r>
              <w:rPr>
                <w:sz w:val="24"/>
                <w:rStyle w:val="FormatvorlageInstructionsTabelleText"/>
                <w:rFonts w:ascii="Times New Roman" w:hAnsi="Times New Roman"/>
              </w:rPr>
              <w:t xml:space="preserve">obligācijas</w:t>
            </w:r>
            <w:r>
              <w:rPr>
                <w:sz w:val="24"/>
                <w:rFonts w:ascii="Times New Roman" w:hAnsi="Times New Roman"/>
              </w:rPr>
              <w:t xml:space="preserve">);</w:t>
            </w:r>
            <w:r>
              <w:rPr>
                <w:sz w:val="24"/>
                <w:rFonts w:ascii="Times New Roman" w:hAnsi="Times New Roman"/>
              </w:rPr>
              <w:t xml:space="preserve"> </w:t>
            </w:r>
          </w:p>
          <w:p w14:paraId="16004F55" w14:textId="4EBDEEC7"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US (</w:t>
            </w:r>
            <w:r>
              <w:rPr>
                <w:sz w:val="24"/>
                <w:rFonts w:ascii="Times New Roman" w:hAnsi="Times New Roman"/>
              </w:rPr>
              <w:t xml:space="preserve">PVKIU </w:t>
            </w:r>
            <w:r>
              <w:rPr>
                <w:sz w:val="24"/>
                <w:rStyle w:val="FormatvorlageInstructionsTabelleText"/>
                <w:rFonts w:ascii="Times New Roman" w:hAnsi="Times New Roman"/>
              </w:rPr>
              <w:t xml:space="preserve">vērtspapīrs</w:t>
            </w:r>
            <w:r>
              <w:rPr>
                <w:sz w:val="24"/>
                <w:rFonts w:ascii="Times New Roman" w:hAnsi="Times New Roman"/>
              </w:rPr>
              <w:t xml:space="preserve">, t. i., finanšu instrumenti, kas apliecina līdzdalību pārvedamo vērtspapīru kolektīvā ieguldījumu uzņēmumā, vai vērtspapīrs, ko emitējis šāds uzņēmums);</w:t>
            </w:r>
          </w:p>
          <w:p w14:paraId="2E54EB88" w14:textId="73B3ACBF"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ABS (</w:t>
            </w:r>
            <w:r>
              <w:rPr>
                <w:sz w:val="24"/>
                <w:rFonts w:ascii="Times New Roman" w:hAnsi="Times New Roman"/>
              </w:rPr>
              <w:t xml:space="preserve">ar aktīviem nodrošināts vērtspapīrs);</w:t>
            </w:r>
          </w:p>
          <w:p w14:paraId="47B806DE" w14:textId="0B534D77"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CrCl </w:t>
            </w:r>
            <w:r>
              <w:rPr>
                <w:sz w:val="24"/>
                <w:rFonts w:ascii="Times New Roman" w:hAnsi="Times New Roman"/>
              </w:rPr>
              <w:t xml:space="preserve">(kredītprasība </w:t>
            </w:r>
            <w:r>
              <w:rPr>
                <w:sz w:val="24"/>
                <w:rFonts w:ascii="Times New Roman" w:hAnsi="Times New Roman"/>
              </w:rPr>
              <w:t xml:space="preserve">);</w:t>
            </w:r>
          </w:p>
          <w:p w14:paraId="77F497F4" w14:textId="220D3D3A"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Eq </w:t>
            </w:r>
            <w:r>
              <w:rPr>
                <w:sz w:val="24"/>
                <w:rFonts w:ascii="Times New Roman" w:hAnsi="Times New Roman"/>
              </w:rPr>
              <w:t xml:space="preserve">(</w:t>
            </w:r>
            <w:r>
              <w:rPr>
                <w:sz w:val="24"/>
                <w:rStyle w:val="FormatvorlageInstructionsTabelleText"/>
                <w:rFonts w:ascii="Times New Roman" w:hAnsi="Times New Roman"/>
              </w:rPr>
              <w:t xml:space="preserve">pašu kapitāls</w:t>
            </w:r>
            <w:r>
              <w:rPr>
                <w:sz w:val="24"/>
                <w:rFonts w:ascii="Times New Roman" w:hAnsi="Times New Roman"/>
              </w:rPr>
              <w:t xml:space="preserve">);</w:t>
            </w:r>
          </w:p>
          <w:p w14:paraId="3F4E3AAB" w14:textId="5007592A" w:rsidR="00E05204" w:rsidRPr="0081623B" w:rsidRDefault="00E05204" w:rsidP="003E55AB">
            <w:pPr>
              <w:pStyle w:val="ListParagraph"/>
              <w:numPr>
                <w:ilvl w:val="0"/>
                <w:numId w:val="4"/>
              </w:numPr>
              <w:spacing w:before="0"/>
              <w:rPr>
                <w:b/>
                <w:sz w:val="24"/>
                <w:rFonts w:ascii="Times New Roman" w:hAnsi="Times New Roman"/>
              </w:rPr>
            </w:pPr>
            <w:r>
              <w:rPr>
                <w:sz w:val="24"/>
                <w:b/>
                <w:rFonts w:ascii="Times New Roman" w:hAnsi="Times New Roman"/>
              </w:rPr>
              <w:t xml:space="preserve">Zelts </w:t>
            </w:r>
            <w:r>
              <w:rPr>
                <w:sz w:val="24"/>
                <w:rFonts w:ascii="Times New Roman" w:hAnsi="Times New Roman"/>
              </w:rPr>
              <w:t xml:space="preserve">(ja tas ir zelts materiālā veidā, ko var uzskatīt par vienu darījuma partneri);</w:t>
            </w:r>
          </w:p>
          <w:p w14:paraId="6AE61C73" w14:textId="026D514D"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LiqL </w:t>
            </w:r>
            <w:r>
              <w:rPr>
                <w:sz w:val="24"/>
                <w:rFonts w:ascii="Times New Roman" w:hAnsi="Times New Roman"/>
              </w:rPr>
              <w:t xml:space="preserve">(</w:t>
            </w:r>
            <w:r>
              <w:rPr>
                <w:sz w:val="24"/>
                <w:rFonts w:ascii="Times New Roman" w:hAnsi="Times New Roman"/>
              </w:rPr>
              <w:t xml:space="preserve"> iestādei piešķirta neizmantota likviditātes kredītlīnija);</w:t>
            </w:r>
          </w:p>
          <w:p w14:paraId="23B5C30F" w14:textId="792C14AB" w:rsidR="00E05204" w:rsidRPr="0081623B" w:rsidRDefault="00E05204" w:rsidP="003E55AB">
            <w:pPr>
              <w:pStyle w:val="ListParagraph"/>
              <w:numPr>
                <w:ilvl w:val="0"/>
                <w:numId w:val="4"/>
              </w:numPr>
              <w:spacing w:before="0"/>
              <w:rPr>
                <w:b/>
                <w:sz w:val="24"/>
                <w:rFonts w:ascii="Times New Roman" w:hAnsi="Times New Roman"/>
              </w:rPr>
            </w:pPr>
            <w:r>
              <w:rPr>
                <w:sz w:val="24"/>
                <w:b/>
                <w:rFonts w:ascii="Times New Roman" w:hAnsi="Times New Roman"/>
              </w:rPr>
              <w:t xml:space="preserve">OPT </w:t>
            </w:r>
            <w:r>
              <w:rPr>
                <w:sz w:val="24"/>
                <w:rFonts w:ascii="Times New Roman" w:hAnsi="Times New Roman"/>
              </w:rPr>
              <w:t xml:space="preserve">(</w:t>
            </w:r>
            <w:r>
              <w:rPr>
                <w:sz w:val="24"/>
                <w:rStyle w:val="FormatvorlageInstructionsTabelleText"/>
                <w:rFonts w:ascii="Times New Roman" w:hAnsi="Times New Roman"/>
              </w:rPr>
              <w:t xml:space="preserve">cits</w:t>
            </w:r>
            <w:r>
              <w:rPr>
                <w:sz w:val="24"/>
                <w:rFonts w:ascii="Times New Roman" w:hAnsi="Times New Roman"/>
              </w:rPr>
              <w:t xml:space="preserve"> produkta veids)</w:t>
            </w:r>
            <w:bookmarkEnd w:id="1"/>
            <w:r>
              <w:rPr>
                <w:sz w:val="24"/>
                <w:rFonts w:ascii="Times New Roman" w:hAnsi="Times New Roman"/>
              </w:rPr>
              <w:t xml:space="preserve">.</w:t>
            </w:r>
          </w:p>
        </w:tc>
      </w:tr>
      <w:tr w:rsidR="00E05204" w:rsidRPr="0081623B" w14:paraId="4C932A7E" w14:textId="77777777" w:rsidTr="00845EB1">
        <w:tc>
          <w:tcPr>
            <w:tcW w:w="990" w:type="dxa"/>
          </w:tcPr>
          <w:p w14:paraId="611D24E9"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060.</w:t>
            </w:r>
          </w:p>
        </w:tc>
        <w:tc>
          <w:tcPr>
            <w:tcW w:w="7306" w:type="dxa"/>
          </w:tcPr>
          <w:p w14:paraId="361DF87B"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Valūta</w:t>
            </w:r>
          </w:p>
          <w:p w14:paraId="1D458B95" w14:textId="65954469" w:rsidR="00C05CCA" w:rsidRPr="0081623B" w:rsidRDefault="004C1638" w:rsidP="003E55AB">
            <w:pPr>
              <w:spacing w:before="0"/>
              <w:rPr>
                <w:sz w:val="24"/>
                <w:rFonts w:ascii="Times New Roman" w:hAnsi="Times New Roman"/>
              </w:rPr>
            </w:pPr>
            <w:r>
              <w:rPr>
                <w:sz w:val="24"/>
                <w:rFonts w:ascii="Times New Roman" w:hAnsi="Times New Roman"/>
              </w:rPr>
              <w:t xml:space="preserve">010. slejā ierakstītajiem emitentiem/darījuma partneriem piešķir tādu valūtas ISO kodu 060.  slejā, kas atbilst saņemtā aktīva vai neizmantotās iestādei piešķirtās likviditātes kredītlīnijas denominācijai.</w:t>
            </w:r>
            <w:r>
              <w:rPr>
                <w:sz w:val="24"/>
                <w:rFonts w:ascii="Times New Roman" w:hAnsi="Times New Roman"/>
              </w:rPr>
              <w:t xml:space="preserve"> </w:t>
            </w:r>
            <w:r>
              <w:rPr>
                <w:sz w:val="24"/>
                <w:rFonts w:ascii="Times New Roman" w:hAnsi="Times New Roman"/>
              </w:rPr>
              <w:t xml:space="preserve">Uzrāda valūtas vienības trīs burtu kodu saskaņā ar ISO 4217.</w:t>
            </w:r>
            <w:r>
              <w:rPr>
                <w:sz w:val="24"/>
                <w:rFonts w:ascii="Times New Roman" w:hAnsi="Times New Roman"/>
              </w:rPr>
              <w:t xml:space="preserve"> </w:t>
            </w:r>
          </w:p>
          <w:p w14:paraId="74611C9A" w14:textId="73FE19CB" w:rsidR="00774708" w:rsidRPr="0081623B" w:rsidRDefault="00047ECB" w:rsidP="003E55AB">
            <w:pPr>
              <w:spacing w:before="0"/>
              <w:rPr>
                <w:sz w:val="24"/>
                <w:rFonts w:ascii="Times New Roman" w:hAnsi="Times New Roman"/>
              </w:rPr>
            </w:pPr>
            <w:r>
              <w:rPr>
                <w:sz w:val="24"/>
                <w:rFonts w:ascii="Times New Roman" w:hAnsi="Times New Roman"/>
              </w:rPr>
              <w:t xml:space="preserve">Ja daudzvalūtu līnija ir daļa no koncentrācijas kompensējošā kapacitātē, līniju ierēķina pārējā koncentrācijā dominējošā valūtā.</w:t>
            </w:r>
            <w:r>
              <w:rPr>
                <w:sz w:val="24"/>
                <w:rFonts w:ascii="Times New Roman" w:hAnsi="Times New Roman"/>
              </w:rPr>
              <w:t xml:space="preserve"> </w:t>
            </w:r>
            <w:r>
              <w:rPr>
                <w:sz w:val="24"/>
                <w:rFonts w:ascii="Times New Roman" w:hAnsi="Times New Roman"/>
              </w:rPr>
              <w:t xml:space="preserve">Attiecībā uz atsevišķo ziņošanu nozīmīgās valūtās, kā noteikts Regulas (ES) Nr. 575/2013 415. panta 2. punktā, iestādes veic tās valūtas novērtēšanu, kurā varētu notikt plūsma, un norāda posteni tikai šajā nozīmīgajā valūtā saskaņā ar norādījumiem par nozīmīgu valūtu atsevišķu ziņošanu LCR saskaņā ar Regulu (ES) 2016/322.</w:t>
            </w:r>
          </w:p>
        </w:tc>
      </w:tr>
      <w:tr w:rsidR="00E05204" w:rsidRPr="0081623B" w14:paraId="73A43F51" w14:textId="77777777" w:rsidTr="00845EB1">
        <w:tc>
          <w:tcPr>
            <w:tcW w:w="990" w:type="dxa"/>
          </w:tcPr>
          <w:p w14:paraId="44D208DA"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070.</w:t>
            </w:r>
          </w:p>
        </w:tc>
        <w:tc>
          <w:tcPr>
            <w:tcW w:w="7306" w:type="dxa"/>
          </w:tcPr>
          <w:p w14:paraId="48AA6E4F"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Kredītkvalitātes pakāpe</w:t>
            </w:r>
          </w:p>
          <w:p w14:paraId="692CB839" w14:textId="76307C3A" w:rsidR="00E05204" w:rsidRPr="0081623B" w:rsidRDefault="00966F82" w:rsidP="003E55AB">
            <w:pPr>
              <w:spacing w:before="0"/>
              <w:rPr>
                <w:sz w:val="24"/>
                <w:u w:val="single"/>
                <w:rFonts w:ascii="Times New Roman" w:hAnsi="Times New Roman"/>
              </w:rPr>
            </w:pPr>
            <w:r>
              <w:rPr>
                <w:sz w:val="24"/>
                <w:rFonts w:ascii="Times New Roman" w:hAnsi="Times New Roman"/>
              </w:rPr>
              <w:t xml:space="preserve">Atbilstošo kredītkvalitātes pakāpi piešķir saskaņā ar Regulu (ES) Nr. 575/2013, un tā ir tāda pati kā termiņu sadalījumā norādītajiem posteņiem.</w:t>
            </w:r>
            <w:r>
              <w:rPr>
                <w:sz w:val="24"/>
                <w:rFonts w:ascii="Times New Roman" w:hAnsi="Times New Roman"/>
              </w:rPr>
              <w:t xml:space="preserve"> </w:t>
            </w:r>
            <w:r>
              <w:rPr>
                <w:sz w:val="24"/>
                <w:rFonts w:ascii="Times New Roman" w:hAnsi="Times New Roman"/>
              </w:rPr>
              <w:t xml:space="preserve">Ja reitinga nav, piešķir pakāpi “bez reitinga”.</w:t>
            </w:r>
          </w:p>
        </w:tc>
      </w:tr>
      <w:tr w:rsidR="00E05204" w:rsidRPr="0081623B" w14:paraId="2461383F" w14:textId="77777777" w:rsidTr="00845EB1">
        <w:tc>
          <w:tcPr>
            <w:tcW w:w="990" w:type="dxa"/>
          </w:tcPr>
          <w:p w14:paraId="7F1DF3BE"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080.</w:t>
            </w:r>
          </w:p>
        </w:tc>
        <w:tc>
          <w:tcPr>
            <w:tcW w:w="7306" w:type="dxa"/>
          </w:tcPr>
          <w:p w14:paraId="3B1CC0D3"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Tirgus vērtība/nominālvērtība</w:t>
            </w:r>
          </w:p>
          <w:p w14:paraId="78CE7B68" w14:textId="7B52544C" w:rsidR="00E05204" w:rsidRPr="0081623B" w:rsidRDefault="00E05204" w:rsidP="003E55AB">
            <w:pPr>
              <w:spacing w:before="0"/>
              <w:rPr>
                <w:sz w:val="24"/>
                <w:rFonts w:ascii="Times New Roman" w:hAnsi="Times New Roman"/>
              </w:rPr>
            </w:pPr>
            <w:r>
              <w:rPr>
                <w:sz w:val="24"/>
                <w:rFonts w:ascii="Times New Roman" w:hAnsi="Times New Roman"/>
              </w:rPr>
              <w:t xml:space="preserve">Aktīvu tirgus vērtība vai patiesā vērtība, vai attiecīgā gadījumā – iestādei piešķirtās neizmantotās likviditātes kredītlīnijas nominālvērtība.</w:t>
            </w:r>
            <w:r>
              <w:rPr>
                <w:sz w:val="24"/>
                <w:rFonts w:ascii="Times New Roman" w:hAnsi="Times New Roman"/>
              </w:rPr>
              <w:t xml:space="preserve"> </w:t>
            </w:r>
          </w:p>
        </w:tc>
      </w:tr>
      <w:tr w:rsidR="00E05204" w:rsidRPr="0081623B" w14:paraId="74EA2D80" w14:textId="77777777" w:rsidTr="00845EB1">
        <w:tc>
          <w:tcPr>
            <w:tcW w:w="990" w:type="dxa"/>
          </w:tcPr>
          <w:p w14:paraId="40B79F48"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090.</w:t>
            </w:r>
          </w:p>
        </w:tc>
        <w:tc>
          <w:tcPr>
            <w:tcW w:w="7306" w:type="dxa"/>
          </w:tcPr>
          <w:p w14:paraId="5F665131"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Centrālās bankas prasībām atbilstoša nodrošinājuma vērtība</w:t>
            </w:r>
          </w:p>
          <w:p w14:paraId="507C4FE8" w14:textId="2078D53B" w:rsidR="00E05204" w:rsidRPr="0081623B" w:rsidRDefault="00E05204" w:rsidP="003E55AB">
            <w:pPr>
              <w:spacing w:before="0"/>
              <w:rPr>
                <w:sz w:val="24"/>
                <w:rFonts w:ascii="Times New Roman" w:hAnsi="Times New Roman"/>
              </w:rPr>
            </w:pPr>
            <w:r>
              <w:rPr>
                <w:sz w:val="24"/>
                <w:rStyle w:val="FormatvorlageInstructionsTabelleText"/>
                <w:rFonts w:ascii="Times New Roman" w:hAnsi="Times New Roman"/>
              </w:rPr>
              <w:t xml:space="preserve">Nodrošinājuma</w:t>
            </w:r>
            <w:r>
              <w:rPr>
                <w:sz w:val="24"/>
                <w:rFonts w:ascii="Times New Roman" w:hAnsi="Times New Roman"/>
              </w:rPr>
              <w:t xml:space="preserve"> vērtība saskaņā ar centrālās bankas noteikumiem par resursu rezervēm attiecībā uz konkrētiem aktīviem.</w:t>
            </w:r>
          </w:p>
          <w:p w14:paraId="4C124B93" w14:textId="3D1AA419" w:rsidR="00BA0551" w:rsidRPr="0081623B" w:rsidRDefault="00B457F4" w:rsidP="003E55AB">
            <w:pPr>
              <w:spacing w:before="0"/>
              <w:rPr>
                <w:sz w:val="24"/>
                <w:rFonts w:ascii="Times New Roman" w:hAnsi="Times New Roman"/>
              </w:rPr>
            </w:pPr>
            <w:r>
              <w:rPr>
                <w:sz w:val="24"/>
                <w:rFonts w:ascii="Times New Roman" w:hAnsi="Times New Roman"/>
              </w:rPr>
              <w:t xml:space="preserve">Iestādes atstāj šo aili neaizpildītu attiecībā uz aktīviem, kuri denominēti valūtā, kas Regulā (ES) Nr. 2015/233 iekļauta kā valūta, kuras atbilstība centrālās bankas prasībām definēta ļoti šauri.</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B7C51CE" w:rsidR="008E3ABF" w:rsidRDefault="008E3ABF">
        <w:pPr>
          <w:pStyle w:val="Footer"/>
          <w:jc w:val="center"/>
        </w:pPr>
        <w:r>
          <w:fldChar w:fldCharType="begin"/>
        </w:r>
        <w:r>
          <w:instrText xml:space="preserve"> PAGE   \* MERGEFORMAT </w:instrText>
        </w:r>
        <w:r>
          <w:fldChar w:fldCharType="separate"/>
        </w:r>
        <w:r>
          <w:t xml:space="preserve">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6FDDED1F" w:rsidR="009B3D8D" w:rsidRDefault="009B3D8D">
        <w:pPr>
          <w:pStyle w:val="Footer"/>
          <w:jc w:val="center"/>
        </w:pPr>
        <w:r>
          <w:fldChar w:fldCharType="begin"/>
        </w:r>
        <w:r>
          <w:instrText xml:space="preserve"> PAGE   \* MERGEFORMAT </w:instrText>
        </w:r>
        <w:r>
          <w:fldChar w:fldCharType="separate"/>
        </w:r>
        <w:r>
          <w:t xml:space="preserve">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lv-LV"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lv-LV"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lv-LV"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lv-LV"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lv-LV"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v-LV" w:eastAsia="en-US" w:bidi="ar-SA"/>
    </w:rPr>
  </w:style>
  <w:style w:type="character" w:customStyle="1" w:styleId="FunoteChar">
    <w:name w:val="Fußnote Char"/>
    <w:aliases w:val=" Char Char Char"/>
    <w:semiHidden/>
    <w:rsid w:val="009D253B"/>
    <w:rPr>
      <w:rFonts w:ascii="Arial" w:hAnsi="Arial"/>
      <w:sz w:val="18"/>
      <w:lang w:val="lv-LV"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v-LV"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v-LV"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v-LV"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lv-LV"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lv-LV" w:eastAsia="de-DE"/>
    </w:rPr>
  </w:style>
  <w:style w:type="paragraph" w:styleId="Revision">
    <w:name w:val="Revision"/>
    <w:hidden/>
    <w:uiPriority w:val="99"/>
    <w:semiHidden/>
    <w:rsid w:val="0089454F"/>
    <w:rPr>
      <w:rFonts w:ascii="Verdana" w:hAnsi="Verdana"/>
      <w:szCs w:val="24"/>
      <w:lang w:val="lv-LV"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lv-LV"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lv-LV"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lv-LV" w:eastAsia="fr-FR"/>
    </w:rPr>
  </w:style>
  <w:style w:type="table" w:styleId="TableGrid">
    <w:name w:val="Table Grid"/>
    <w:basedOn w:val="TableNormal"/>
    <w:uiPriority w:val="59"/>
    <w:rsid w:val="00E05204"/>
    <w:rPr>
      <w:lang w:val="lv-LV"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lv-LV"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B6E28-FFB5-480D-AB55-86286DDE418F}">
  <ds:schemaRefs>
    <ds:schemaRef ds:uri="http://schemas.openxmlformats.org/officeDocument/2006/bibliography"/>
  </ds:schemaRefs>
</ds:datastoreItem>
</file>

<file path=customXml/itemProps2.xml><?xml version="1.0" encoding="utf-8"?>
<ds:datastoreItem xmlns:ds="http://schemas.openxmlformats.org/officeDocument/2006/customXml" ds:itemID="{FA67933F-D78A-4FEC-ABBC-5D609FE74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868</Words>
  <Characters>4806</Characters>
  <Application>Microsoft Office Word</Application>
  <DocSecurity>0</DocSecurity>
  <Lines>114</Lines>
  <Paragraphs>63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GRIKSAS Gintaras (FISMA)</cp:lastModifiedBy>
  <cp:revision>5</cp:revision>
  <cp:lastPrinted>2014-06-12T12:55:00Z</cp:lastPrinted>
  <dcterms:created xsi:type="dcterms:W3CDTF">2020-10-01T13:01:00Z</dcterms:created>
  <dcterms:modified xsi:type="dcterms:W3CDTF">2020-10-01T14:39:00Z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