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BIJLAGE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Validatievoorschriften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Voor de in de bijlagen bij deze verordening vermelde gegevens gelden validatievoorschriften die de kwaliteit en de consistentie van de gegevens verzekeren.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De validatievoorschriften voldoen aan de volgende criteria: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zij definiëren de logische relaties tussen relevante gegevenspunten;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zij bevatten filters en voorwaarden die een reeks gegevens definiëren waarop een validatievoorschrift van toepassing is;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zij controleren de consistentie van de gerapporteerde gegevens;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zij controleren de juistheid van de gerapporteerde gegevens;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zij stellen standaardwaarden vast die worden gehanteerd ingeval de desbetreffende informatie niet is gerapporteerd.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