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XIX PIELIKUMS</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NORĀDES PAR PĀRSKATU SNIEGŠANU PAR LIKVIDITĀTES PAPILDU NOVĒRTĒŠANAS RĀDĪTĀJIEM</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Papildu novērtēšanas rādītāji</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Vispārīgi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Lai novērtētu iestādes likviditātes risku, kas neietilpst pārskatā par likviditātes segumu un stabilu finansējumu, iestādes saskaņā ar šajā pielikumā sniegtajiem norādījumiem aizpilda veidni XVIII pielikumā.</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Kopējais finansējums ir visas finanšu saistības, kas nav atvasinātie instrumenti un īsās pozīcijas.</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Tiek uzskatīts, ka finansējumam ar nenoteiktu termiņu, tostarp beztermiņa noguldījumiem, termiņš iestājas uz nakti.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Sākotnējais termiņš ir laiks starp finansējuma iniciēšanas datumu un termiņa datumu. Finansējuma termiņa datumu nosaka saskaņā ar XXIII pielikuma 12. punktu. Tas nozīmē, ka iespējamības gadījumā, piemēram, XXIII pielikuma 12. punkta gadījumā, finansējuma pozīcijas sākotnējais termiņš var būt īsāks par laiku, kas pagājis kopš tās iniciēšanas.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Atlikušais termiņš ir laiks starp pārskata perioda beigām un finansējuma termiņa datumu. Finansējuma termiņa datumu nosaka saskaņā ar XXIII pielikuma 12. punktu.</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Lai aprēķinātu sākotnējo vai atlikušo vidēji svērto termiņu, uzskata, ka noguldījumiem, kuru termiņš iestājas uz nakti, ir vienas dienas termiņš.</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Lai aprēķinātu sākotnējo un atlikušo termiņu, ja iestādes darījuma partnerim ir finansējums ar iepriekšējas paziņošanas periodu vai atcelšanas vai priekšlaicīgas izņemšanas klauzulu, pieņem, ka izņemšanu veiks pirmajā iespējamajā dienā.</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Attiecībā uz beztermiņa saistībām, izņemot gadījumus, kad uz tām attiecas XXIII pielikuma 12. punktā minēta iespējamība, pieņem fiksētu divdesmit gadu sākotnējo un atlikušo termiņu.</w:t>
      </w:r>
    </w:p>
    <w:p w14:paraId="30EB5133" w14:textId="29C44017" w:rsidR="00A344AA" w:rsidRPr="001263B4" w:rsidRDefault="00A344AA" w:rsidP="001263B4">
      <w:pPr>
        <w:pStyle w:val="InstructionsText2"/>
        <w:numPr>
          <w:ilvl w:val="0"/>
          <w:numId w:val="4"/>
        </w:numPr>
        <w:spacing w:after="120"/>
        <w:rPr>
          <w:sz w:val="24"/>
          <w:u w:val="none"/>
        </w:rPr>
      </w:pPr>
      <w:r>
        <w:rPr>
          <w:sz w:val="24"/>
          <w:u w:val="none"/>
        </w:rPr>
        <w:t>Lai aprēķinātu procentu slieksni, kas minēts pārskatu sniegšanas veidnēs C 67.00 un C 68.00 pēc nozīmīgas valūtas, iestādes izmanto 1 % slieksni no kopējām saistībām visās valūtās.</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Finansējuma koncentrācija pēc darījuma partnera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Lai C 67.00 veidnē apkopotu informāciju par pārskatu sniedzošo iestāžu finansējuma koncentrāciju pēc darījuma partnera, iestādes piemēro šajā iedaļā ietvertās norādes.</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Iestādes uzrāda desmit lielākos darījumu partnerus vai savstarpēji saistītu klientu grupu, kas definēta Regulas (ES) Nr. 575/2013 4. panta 1. punkta 39) apakšpunktā, ja iegūtais finansējums no katra darījuma partnera vai savstarpēji saistītu klientu grupas pārsniedz 1 % slieksni no kopējām saistībām veidnes 1. sadaļas 020. līdz 110. rindā. 1.01. postenī norādītais darījuma partneris ir no viena darījuma partnera vai savstarpēji saistītu klientu grupas saņemtā finansējuma lielākā summa, kas pārsniedz 1 % slieksni pārskata sniegšanas </w:t>
      </w:r>
      <w:r>
        <w:rPr>
          <w:sz w:val="24"/>
          <w:u w:val="none"/>
        </w:rPr>
        <w:lastRenderedPageBreak/>
        <w:t>datumā. 1.02. postenī norāda otro lielāko summu, kas pārsniedz 1 % slieksni, un analoģiski rīkojas attiecībā uz pārējiem posteņiem.</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Ja darījuma partneris pieder pie vairākām savstarpēji saistītu klientu grupām, to uzrāda tikai vienu reizi tajā grupā, kurai ir lielākais finansējums.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2. sadaļā iestādes norāda visa pārējā atlikušā finansējuma kopsummu.</w:t>
      </w:r>
    </w:p>
    <w:p w14:paraId="6E279CE2" w14:textId="1CEB1A60" w:rsidR="00A344AA" w:rsidRPr="001263B4" w:rsidRDefault="001846A5" w:rsidP="001263B4">
      <w:pPr>
        <w:pStyle w:val="InstructionsText2"/>
        <w:numPr>
          <w:ilvl w:val="0"/>
          <w:numId w:val="6"/>
        </w:numPr>
        <w:spacing w:after="120"/>
        <w:rPr>
          <w:sz w:val="24"/>
          <w:u w:val="none"/>
        </w:rPr>
      </w:pPr>
      <w:r>
        <w:rPr>
          <w:sz w:val="24"/>
          <w:u w:val="none"/>
        </w:rPr>
        <w:t>1</w:t>
      </w:r>
      <w:bookmarkStart w:id="2" w:name="_GoBack"/>
      <w:bookmarkEnd w:id="2"/>
      <w:r w:rsidR="00A344AA">
        <w:rPr>
          <w:sz w:val="24"/>
          <w:u w:val="none"/>
        </w:rPr>
        <w:t>. sadaļas kopsummas ir vienādas ar iestādes kopējo finansējumu pēc tās bilances, kas iesniegta saskaņā ar finanšu pārskatu sistēmu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Attiecībā uz katru darījuma partneri iestādes aizpilda visas slejas no 010. līdz 080. slejai.</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Ja finansējums tiek iegūts vairākos produktu veidos, norāda to veidu, uz ko attiecina lielāko iegūtā finansējuma daļu. Vērtspapīru turētāju identificē, pieliekot visas pūles. Ja iestādei ir informācija par vērtspapīru turētāju (tai pildot turētājbankas funkcijas), šo summu ņem vērā, uzrādot darījumu partneru koncentrāciju. Ja informācija par vērtspapīru turētāju nav pieejama, attiecīgā summa nav jāuzrāda.</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Norādes par konkrētām slejām:</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Sleja</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Atsauces uz tiesību aktiem un norādes</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Darījuma partnera nosaukums</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Katra tāda darījuma partnera nosaukumu, no kura iegūtais finansējums pārsniedz 1 % no kopējām saistībām, dilstošā secībā ieraksta 010. slejā, t. i., pēc iegūtā finansējuma apjoma.</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Jānorāda darījuma partnera nosaukums neatkarīgi no tā, vai tas ir vai nu juridiska persona, vai fiziska persona. Ja darījuma partneris ir juridiska persona, darījuma partnera uzrādītais nosaukums ir tādas juridiskās personas pilns nosaukums, no kuras tiek iegūts finansējums, tostarp jebkādas atsauces uz uzņēmuma veidu saskaņā ar valsts uzņēmējdarbības tiesībām.</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Kods</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 xml:space="preserve">Kodam, kas ir daļa no rindu identifikatora, jābūt unikālam attiecībā uz katru uzrādīto sabiedrību. Iestādēm un apdrošināšanas sabiedrībām šis kods ir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 Citām sabiedrībām šis kods ir LEI kods vai, ja tas nav pieejams, valsts kods. Šis kods ir unikāls, un to izmanto konsekventi visās veidnēs un visos laikos. Šis kods vienmēr apzīmē kādu vērtību.</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Koda veids</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Iestādes identificē 015. slejā uzrādīto kodu kā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kodu” vai kodu, kas nav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kods.</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Koda veids ir jāuzrāda vienmēr.</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Valsts kods</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 xml:space="preserve">Iestādes, kā identifikatoru uzrādot </w:t>
            </w:r>
            <w:r>
              <w:rPr>
                <w:rStyle w:val="FormatvorlageInstructionsTabelleText"/>
                <w:rFonts w:ascii="Times New Roman" w:hAnsi="Times New Roman"/>
                <w:i/>
                <w:iCs/>
                <w:sz w:val="24"/>
              </w:rPr>
              <w:t>LEI</w:t>
            </w:r>
            <w:r>
              <w:rPr>
                <w:rStyle w:val="FormatvorlageInstructionsTabelleText"/>
                <w:rFonts w:ascii="Times New Roman" w:hAnsi="Times New Roman"/>
                <w:sz w:val="24"/>
              </w:rPr>
              <w:t xml:space="preserve"> kodu slejā “Kods”, var papildus uzrādīt valsts kodu.</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Darījuma partnera sektors</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Katru darījuma partneri, pamatojoties uz </w:t>
            </w:r>
            <w:r>
              <w:rPr>
                <w:rStyle w:val="FormatvorlageInstructionsTabelleText"/>
                <w:rFonts w:ascii="Times New Roman" w:hAnsi="Times New Roman"/>
                <w:i/>
                <w:sz w:val="24"/>
              </w:rPr>
              <w:t>FINREP</w:t>
            </w:r>
            <w:r>
              <w:rPr>
                <w:rStyle w:val="FormatvorlageInstructionsTabelleText"/>
                <w:rFonts w:ascii="Times New Roman" w:hAnsi="Times New Roman"/>
                <w:sz w:val="24"/>
              </w:rPr>
              <w:t xml:space="preserve"> ekonomikas sektoru klasēm, klasificē vienā sektorā:</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 centrālās bankas; ii) vispārējās valdības; iii) kredītiestādes; iv) citas finanšu sabiedrības; v) </w:t>
            </w:r>
            <w:proofErr w:type="spellStart"/>
            <w:r>
              <w:rPr>
                <w:rStyle w:val="FormatvorlageInstructionsTabelleText"/>
                <w:rFonts w:ascii="Times New Roman" w:hAnsi="Times New Roman"/>
                <w:sz w:val="24"/>
              </w:rPr>
              <w:t>nefinanšu</w:t>
            </w:r>
            <w:proofErr w:type="spellEnd"/>
            <w:r>
              <w:rPr>
                <w:rStyle w:val="FormatvorlageInstructionsTabelleText"/>
                <w:rFonts w:ascii="Times New Roman" w:hAnsi="Times New Roman"/>
                <w:sz w:val="24"/>
              </w:rPr>
              <w:t xml:space="preserve"> sabiedrības; v) mājsaimniecības.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Savstarpēji saistītu klientu grupām sektoru nenorāda.</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Darījuma partnera rezidences vietas valsts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Izmanto darījuma partnera inkorporācijas valsts </w:t>
            </w:r>
            <w:r>
              <w:rPr>
                <w:rStyle w:val="FormatvorlageInstructionsTabelleText"/>
                <w:rFonts w:ascii="Times New Roman" w:hAnsi="Times New Roman"/>
                <w:i/>
                <w:iCs/>
                <w:sz w:val="24"/>
              </w:rPr>
              <w:t>ISO</w:t>
            </w:r>
            <w:r>
              <w:rPr>
                <w:rStyle w:val="FormatvorlageInstructionsTabelleText"/>
                <w:rFonts w:ascii="Times New Roman" w:hAnsi="Times New Roman"/>
                <w:sz w:val="24"/>
              </w:rPr>
              <w:t xml:space="preserve"> kodu 3166-1-alpha-2, tostarp </w:t>
            </w:r>
            <w:proofErr w:type="spellStart"/>
            <w:r>
              <w:rPr>
                <w:rStyle w:val="FormatvorlageInstructionsTabelleText"/>
                <w:rFonts w:ascii="Times New Roman" w:hAnsi="Times New Roman"/>
                <w:sz w:val="24"/>
              </w:rPr>
              <w:t>pseido</w:t>
            </w:r>
            <w:proofErr w:type="spellEnd"/>
            <w:r>
              <w:rPr>
                <w:rStyle w:val="FormatvorlageInstructionsTabelleText"/>
                <w:rFonts w:ascii="Times New Roman" w:hAnsi="Times New Roman"/>
                <w:sz w:val="24"/>
              </w:rPr>
              <w:t xml:space="preserve"> </w:t>
            </w:r>
            <w:r>
              <w:rPr>
                <w:rStyle w:val="FormatvorlageInstructionsTabelleText"/>
                <w:rFonts w:ascii="Times New Roman" w:hAnsi="Times New Roman"/>
                <w:i/>
                <w:iCs/>
                <w:sz w:val="24"/>
              </w:rPr>
              <w:t>ISO</w:t>
            </w:r>
            <w:r>
              <w:rPr>
                <w:rStyle w:val="FormatvorlageInstructionsTabelleText"/>
                <w:rFonts w:ascii="Times New Roman" w:hAnsi="Times New Roman"/>
                <w:sz w:val="24"/>
              </w:rPr>
              <w:t xml:space="preserve"> kodus starptautiskajām organizācijām</w:t>
            </w:r>
            <w:r>
              <w:rPr>
                <w:sz w:val="24"/>
              </w:rPr>
              <w:t xml:space="preserve">, kas pieejami </w:t>
            </w:r>
            <w:proofErr w:type="spellStart"/>
            <w:r>
              <w:rPr>
                <w:i/>
                <w:iCs/>
                <w:sz w:val="24"/>
              </w:rPr>
              <w:t>Eurostat</w:t>
            </w:r>
            <w:proofErr w:type="spellEnd"/>
            <w:r>
              <w:rPr>
                <w:i/>
                <w:iCs/>
                <w:sz w:val="24"/>
              </w:rPr>
              <w:t xml:space="preserve"> “</w:t>
            </w:r>
            <w:proofErr w:type="spellStart"/>
            <w:r>
              <w:rPr>
                <w:i/>
                <w:iCs/>
                <w:sz w:val="24"/>
              </w:rPr>
              <w:t>Balance</w:t>
            </w:r>
            <w:proofErr w:type="spellEnd"/>
            <w:r>
              <w:rPr>
                <w:i/>
                <w:iCs/>
                <w:sz w:val="24"/>
              </w:rPr>
              <w:t xml:space="preserve"> </w:t>
            </w:r>
            <w:proofErr w:type="spellStart"/>
            <w:r>
              <w:rPr>
                <w:i/>
                <w:iCs/>
                <w:sz w:val="24"/>
              </w:rPr>
              <w:t>of</w:t>
            </w:r>
            <w:proofErr w:type="spellEnd"/>
            <w:r>
              <w:rPr>
                <w:i/>
                <w:iCs/>
                <w:sz w:val="24"/>
              </w:rPr>
              <w:t xml:space="preserve"> </w:t>
            </w:r>
            <w:proofErr w:type="spellStart"/>
            <w:r>
              <w:rPr>
                <w:i/>
                <w:iCs/>
                <w:sz w:val="24"/>
              </w:rPr>
              <w:t>Payments</w:t>
            </w:r>
            <w:proofErr w:type="spellEnd"/>
            <w:r>
              <w:rPr>
                <w:i/>
                <w:iCs/>
                <w:sz w:val="24"/>
              </w:rPr>
              <w:t xml:space="preserve"> </w:t>
            </w:r>
            <w:proofErr w:type="spellStart"/>
            <w:r>
              <w:rPr>
                <w:i/>
                <w:iCs/>
                <w:sz w:val="24"/>
              </w:rPr>
              <w:t>Vademecum</w:t>
            </w:r>
            <w:proofErr w:type="spellEnd"/>
            <w:r>
              <w:rPr>
                <w:i/>
                <w:iCs/>
                <w:sz w:val="24"/>
              </w:rPr>
              <w:t>”</w:t>
            </w:r>
            <w:r>
              <w:rPr>
                <w:sz w:val="24"/>
              </w:rPr>
              <w:t xml:space="preserve"> jaunākajā izdevumā</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Savstarpēji saistītu klientu grupām valsti nenorāda.</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Produkta veids</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010. slejā minētos darījumu partnerus klasificē pēc produkta veida, kas atbilst emitētajam produktam, kurā saņemts finansējums (vai jauktiem produktu veidiem – kurā saņemta finansējuma lielākā daļa), izmantojot šādus kodus, kas norādīti treknrakstā:</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(nenodrošināts korporatīvais finansējums, kas iegūts no finanšu klientiem, ieskaitot starpbanku līdzekļus);</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(nenodrošināts korporatīvais finansējums, kas iegūts no </w:t>
            </w:r>
            <w:proofErr w:type="spellStart"/>
            <w:r>
              <w:rPr>
                <w:rFonts w:ascii="Times New Roman" w:hAnsi="Times New Roman"/>
                <w:color w:val="000000"/>
                <w:sz w:val="24"/>
              </w:rPr>
              <w:t>nefinanšu</w:t>
            </w:r>
            <w:proofErr w:type="spellEnd"/>
            <w:r>
              <w:rPr>
                <w:rFonts w:ascii="Times New Roman" w:hAnsi="Times New Roman"/>
                <w:color w:val="000000"/>
                <w:sz w:val="24"/>
              </w:rPr>
              <w:t xml:space="preserve"> klientiem);</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(finansējums, kas iegūts no līgumiem par aktīvu pārdošanu ar atpirkšanu, kā definēts Regulas (ES) Nr. 575/2013 4. panta 1. punkta 82) apakšpunktā);</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(finansējums, kas iegūts no segto obligāciju emisijas, kā definēts Regulas (ES) Nr. 575/2013 129. panta 4. vai 5. punktā vai Direktīvas 2009/65/EK 52. panta 4. punktā);</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(finansējums, kas iegūts no ar aktīviem nodrošinātiem vērtspapīriem, ieskaitot ar aktīviem nodrošinātus komerciālos vērtspapīrus);</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IGCP</w:t>
            </w:r>
            <w:r>
              <w:rPr>
                <w:rFonts w:ascii="Times New Roman" w:hAnsi="Times New Roman"/>
                <w:color w:val="000000"/>
                <w:sz w:val="24"/>
              </w:rPr>
              <w:t xml:space="preserve"> (finansējums, kas iegūts no grupas iekšējiem darījumu partneriem);</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(cits nodrošinātais korporatīvais finansējums);</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(citi finansējuma produkti, piemēram, privātpersonu vai MVU finansējums).</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Saņemtā summa</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Tāda finansējuma kopsummu, kas saņemts no darījumu partneriem, kuri norādīti 010. slejā, norāda 060. slejā, un iestādes tur uzrāda uzskaites vērtības.</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Vidējais svērtais sākotnējais periods līdz beigu termiņam</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060. slejā norādītai saņemtā finansējuma summai (no 010. slejā norādītā darījumu partnera) vidējo svērto sākotnējo termiņu (dienās) šādam finansējumam norāda 070. slejā.</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Vidējo svērto sākotnējo termiņu aprēķina kā no attiecīgā darījuma partnera saņemtā finansējuma vidējo sākotnējo termiņu (dienās). Vidējo svērumu nosaka pēc lieluma, pamatojoties uz saņemtā finansējuma dažādo summu lielumu salīdzinājumā ar kopējo finansējumu, kas saņemts no minētā darījumu partnera.</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Vidējais svērtais atlikušais termiņš</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060. slejā norādītai saņemtā finansējuma summai (no 010. slejā norādītā darījuma partnera) vidējo svērto atlikušo termiņu dienās šādam finansējumam norāda 080. slejā.</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Vidējo svērto atlikušo termiņu aprēķina kā no attiecīgā darījuma partnera saņemtā finansējuma vidējo termiņu (atlikušajās dienās). Vidējo svērumu nosaka pēc lieluma, pamatojoties uz saņemtā finansējuma dažādo summu lielumu salīdzinājumā ar kopējo finansējumu, kas saņemts no minētā darījumu partnera.</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Finansējuma koncentrācija pēc produkta veida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Ar šo veidni paredzēts apkopot informāciju par pārskatu sniedzošo iestāžu finansējuma koncentrāciju pēc produkta veida, kas sadalīts finansējuma veidos, kā noteikts turpmāk minētajās norādēs attiecībā uz rindām.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Rinda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tab/>
            </w:r>
            <w:r>
              <w:rPr>
                <w:rFonts w:ascii="Times New Roman" w:hAnsi="Times New Roman"/>
                <w:b/>
                <w:sz w:val="24"/>
                <w:u w:val="single"/>
              </w:rPr>
              <w:t>Privātpersonu vai MVU finansējums</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Privātpersonu vai MVU noguldījumi, kā definēts Deleģētās regulas (ES) 2015/61 3. panta 8. punktā.</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tab/>
            </w:r>
            <w:r>
              <w:rPr>
                <w:rFonts w:ascii="Times New Roman" w:hAnsi="Times New Roman"/>
                <w:b/>
                <w:sz w:val="24"/>
                <w:u w:val="single"/>
              </w:rPr>
              <w:t>No kā: beztermiņa noguldījumi</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Beztermiņa noguldījumi no privātpersonu vai MVU finansējuma 010. rindā.</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tab/>
            </w:r>
            <w:r>
              <w:rPr>
                <w:rFonts w:ascii="Times New Roman" w:hAnsi="Times New Roman"/>
                <w:b/>
                <w:sz w:val="24"/>
                <w:u w:val="single"/>
              </w:rPr>
              <w:t>No kā: termiņnoguldījumi, kas nav izņemami turpmāko 30 dienu laikā</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Termiņnoguldījumi, kuri nav izņemami turpmāko 30 dienu laikā, no privātpersonu vai MVU finansējuma 010. rindā.</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tab/>
            </w:r>
            <w:r>
              <w:rPr>
                <w:rFonts w:ascii="Times New Roman" w:hAnsi="Times New Roman"/>
                <w:b/>
                <w:sz w:val="24"/>
                <w:u w:val="single"/>
              </w:rPr>
              <w:t>No kā: termiņnoguldījumi, kas ir izņemami turpmāko 30 dienu laikā</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Termiņnoguldījumi, kuri ir izņemami turpmāko 30 dienu laikā, no privātpersonu vai MVU finansējuma 010. rindā.</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tab/>
            </w:r>
            <w:r>
              <w:rPr>
                <w:rFonts w:ascii="Times New Roman" w:hAnsi="Times New Roman"/>
                <w:b/>
                <w:sz w:val="24"/>
                <w:u w:val="single"/>
              </w:rPr>
              <w:t>No kā: krājkonti, kuriem ir viena no turpmāk minētajām iezīmēm:</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Krājkonti no privātpersonu vai MVU finansējuma 010. rindā, kuriem ir viena no turpmāk minētajām iezīmēm:</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ar iepriekšējas paziņošanas periodu par izņemšanu, kurš pārsniedz 30 dienas;</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bez tāda iepriekšējās paziņošanas perioda par izņemšanu, kas lielāks par 30 dienām.</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Šo rindu neuzrāda.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tab/>
            </w:r>
            <w:r>
              <w:rPr>
                <w:rFonts w:ascii="Times New Roman" w:hAnsi="Times New Roman"/>
                <w:b/>
                <w:sz w:val="24"/>
                <w:u w:val="single"/>
              </w:rPr>
              <w:t>Ar iepriekšējas paziņošanas periodu par izņemšanu, kurš pārsniedz 30 dienas</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Krājkonti no privātpersonu vai MVU finansējuma 010. rindā, kuriem iepriekšējas paziņošanas periods par izņemšanu pārsniedz 30 dienas.</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tab/>
            </w:r>
            <w:r>
              <w:rPr>
                <w:rFonts w:ascii="Times New Roman" w:hAnsi="Times New Roman"/>
                <w:b/>
                <w:sz w:val="24"/>
                <w:u w:val="single"/>
              </w:rPr>
              <w:t>Bez tāda iepriekšējās paziņošanas perioda par izņemšanu, kas lielāks par 30 dienām.</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Krājkonti no privātpersonu vai MVU finansējuma 010. rindā bez tāda iepriekšējās paziņošanas perioda par izņemšanu, kas lielāks par 30 dienām.</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tab/>
            </w:r>
            <w:r>
              <w:rPr>
                <w:rFonts w:ascii="Times New Roman" w:hAnsi="Times New Roman"/>
                <w:b/>
                <w:sz w:val="24"/>
                <w:u w:val="single"/>
              </w:rPr>
              <w:t>Uzskata, ka korporatīvais finansējums ietver jebkuru no turpmāk minētajiem finansējuma veidiem:</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Visi darījumu partneru, kas nav privātpersonas vai MVU, noguldījumi, kā definēts Deleģētās regulas (ES) 2015/61 3. panta 8. punktā.</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Šo rindu neuzrāda.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tab/>
            </w:r>
            <w:r>
              <w:rPr>
                <w:rFonts w:ascii="Times New Roman" w:hAnsi="Times New Roman"/>
                <w:b/>
                <w:sz w:val="24"/>
                <w:u w:val="single"/>
              </w:rPr>
              <w:t>Nenodrošinātais korporatīvais finansējums</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Visu darījumu partneru, kas nav privātpersonas vai MVU, noguldījumi, kā definēts Deleģētās regulas (ES) 2015/61 3. panta 8. punktā, ja finansējums nav nodrošināts.</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tab/>
            </w:r>
            <w:r>
              <w:rPr>
                <w:rFonts w:ascii="Times New Roman" w:hAnsi="Times New Roman"/>
                <w:b/>
                <w:sz w:val="24"/>
                <w:u w:val="single"/>
              </w:rPr>
              <w:t>No kā: finanšu klientu aizdevumi un noguldījumi</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No finansējuma 110. rindā, kurš ietver finanšu klientu aizdevumus un noguldījumus.</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Centrālo banku finansējumu no šīs rindas izslēdz.</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tab/>
            </w:r>
            <w:r>
              <w:rPr>
                <w:rFonts w:ascii="Times New Roman" w:hAnsi="Times New Roman"/>
                <w:b/>
                <w:sz w:val="24"/>
                <w:u w:val="single"/>
              </w:rPr>
              <w:t xml:space="preserve">No kā: </w:t>
            </w:r>
            <w:proofErr w:type="spellStart"/>
            <w:r>
              <w:rPr>
                <w:rFonts w:ascii="Times New Roman" w:hAnsi="Times New Roman"/>
                <w:b/>
                <w:sz w:val="24"/>
                <w:u w:val="single"/>
              </w:rPr>
              <w:t>nefinanšu</w:t>
            </w:r>
            <w:proofErr w:type="spellEnd"/>
            <w:r>
              <w:rPr>
                <w:rFonts w:ascii="Times New Roman" w:hAnsi="Times New Roman"/>
                <w:b/>
                <w:sz w:val="24"/>
                <w:u w:val="single"/>
              </w:rPr>
              <w:t xml:space="preserve"> klientu aizdevumi un noguldījumi</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 xml:space="preserve">No finansējuma 110. rindā, kurš ietver </w:t>
            </w:r>
            <w:proofErr w:type="spellStart"/>
            <w:r>
              <w:rPr>
                <w:rFonts w:ascii="Times New Roman" w:hAnsi="Times New Roman"/>
                <w:sz w:val="24"/>
              </w:rPr>
              <w:t>nefinanšu</w:t>
            </w:r>
            <w:proofErr w:type="spellEnd"/>
            <w:r>
              <w:rPr>
                <w:rFonts w:ascii="Times New Roman" w:hAnsi="Times New Roman"/>
                <w:sz w:val="24"/>
              </w:rPr>
              <w:t xml:space="preserve"> klientu aizdevumus un noguldījumus.</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Centrālo banku finansējumu no šīs rindas izslēdz.</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tab/>
            </w:r>
            <w:r>
              <w:rPr>
                <w:rFonts w:ascii="Times New Roman" w:hAnsi="Times New Roman"/>
                <w:b/>
                <w:sz w:val="24"/>
                <w:u w:val="single"/>
              </w:rPr>
              <w:t>No kā: grupas iekšējo sabiedrību aizdevumi un noguldījumi</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No finansējuma 110. rindā, kurš ietver grupas iekšējo sabiedrību aizdevumus un noguldījumus.</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Grupas iekšējo sabiedrību korporatīvo finansējumu uzrāda tikai individuālā vai </w:t>
            </w:r>
            <w:proofErr w:type="spellStart"/>
            <w:r>
              <w:rPr>
                <w:rFonts w:ascii="Times New Roman" w:hAnsi="Times New Roman"/>
                <w:sz w:val="24"/>
              </w:rPr>
              <w:t>subkonsolidētā</w:t>
            </w:r>
            <w:proofErr w:type="spellEnd"/>
            <w:r>
              <w:rPr>
                <w:rFonts w:ascii="Times New Roman" w:hAnsi="Times New Roman"/>
                <w:sz w:val="24"/>
              </w:rPr>
              <w:t xml:space="preserve"> līmenī.</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tab/>
            </w:r>
            <w:r>
              <w:rPr>
                <w:rFonts w:ascii="Times New Roman" w:hAnsi="Times New Roman"/>
                <w:b/>
                <w:sz w:val="24"/>
                <w:u w:val="single"/>
              </w:rPr>
              <w:t xml:space="preserve">Nodrošinātais korporatīvais finansējums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Visu darījumu partneru, kas nav privātpersonas vai MVU, noguldījumi, kā definēts Deleģētās regulas (ES) 2015/61 3. panta 8. punktā, ja finansējums ir nodrošināts.</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tab/>
            </w:r>
            <w:r>
              <w:rPr>
                <w:rFonts w:ascii="Times New Roman" w:hAnsi="Times New Roman"/>
                <w:b/>
                <w:sz w:val="24"/>
                <w:u w:val="single"/>
              </w:rPr>
              <w:t>No kā: vērtspapīru finansēšanas darījumi</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No finansējuma 150. rindā, kurš ir iegūts no līgumiem par aktīvu pārdošanu ar atpirkšanu, kā definēts Regulas (ES) Nr. 575/2013 4. panta 82. punkta 1. apakšpunktā.</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tab/>
            </w:r>
            <w:r>
              <w:rPr>
                <w:rFonts w:ascii="Times New Roman" w:hAnsi="Times New Roman"/>
                <w:b/>
                <w:sz w:val="24"/>
                <w:u w:val="single"/>
              </w:rPr>
              <w:t>No kā: segto obligāciju emisija</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No finansējuma 150. rindā, kurš ir iegūts no segto obligāciju emisijas, kā definēts Regulas (ES) Nr. 575/2013 129. panta 4. vai 5. punktā vai Direktīvas 2009/65/EK 52. panta 4. punktā.</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tab/>
            </w:r>
            <w:r>
              <w:rPr>
                <w:rFonts w:ascii="Times New Roman" w:hAnsi="Times New Roman"/>
                <w:b/>
                <w:sz w:val="24"/>
                <w:u w:val="single"/>
              </w:rPr>
              <w:t>No kā: ar aktīviem nodrošinātu vērtspapīru (ABS) emisijas</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No finansējuma 150. rindā, kurš ir iegūts no ABS emisijas, tostarp ar aktīviem nodrošinātiem komerciāliem vērtspapīriem</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tab/>
            </w:r>
            <w:r>
              <w:rPr>
                <w:rFonts w:ascii="Times New Roman" w:hAnsi="Times New Roman"/>
                <w:b/>
                <w:sz w:val="24"/>
                <w:u w:val="single"/>
              </w:rPr>
              <w:t>No kā: grupas iekšējo sabiedrību aizdevumi un noguldījumi</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No finansējuma 150. rindā, kurš ir iegūts no grupas iekšējām sabiedrībām.</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 xml:space="preserve">Grupas iekšējo sabiedrību korporatīvo finansējumu uzrāda tikai individuālā vai </w:t>
            </w:r>
            <w:proofErr w:type="spellStart"/>
            <w:r>
              <w:rPr>
                <w:rFonts w:ascii="Times New Roman" w:hAnsi="Times New Roman"/>
                <w:sz w:val="24"/>
              </w:rPr>
              <w:t>subkonsolidētā</w:t>
            </w:r>
            <w:proofErr w:type="spellEnd"/>
            <w:r>
              <w:rPr>
                <w:rFonts w:ascii="Times New Roman" w:hAnsi="Times New Roman"/>
                <w:sz w:val="24"/>
              </w:rPr>
              <w:t xml:space="preserve"> līmenī.</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Aizpildot šo veidni, iestādes ziņo par finansējuma kopsummu, kas saņemts no katra produkta veida un kas pārsniedz 1 % slieksni no kopējām saistībām.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Attiecībā uz katru produkta veidu iestādes aizpilda visas slejas no 010. līdz 050. slejai.</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1 % slieksni no kopējām saistībām izmanto, lai noteiktu tos produktu veidus, no kuriem ir iegūts finansējums, ievērojot šādus noteikumus:</w:t>
      </w:r>
    </w:p>
    <w:p w14:paraId="3AF457D4" w14:textId="41D0DF36" w:rsidR="00A344AA" w:rsidRPr="001263B4" w:rsidRDefault="00EF0ADB" w:rsidP="001263B4">
      <w:pPr>
        <w:pStyle w:val="InstructionsText2"/>
        <w:numPr>
          <w:ilvl w:val="0"/>
          <w:numId w:val="0"/>
        </w:numPr>
        <w:spacing w:after="120"/>
        <w:ind w:left="1134" w:hanging="420"/>
        <w:rPr>
          <w:sz w:val="24"/>
          <w:u w:val="none"/>
        </w:rPr>
      </w:pPr>
      <w:r>
        <w:rPr>
          <w:sz w:val="24"/>
          <w:u w:val="none"/>
        </w:rPr>
        <w:t>a)</w:t>
      </w:r>
      <w:r>
        <w:tab/>
      </w:r>
      <w:r>
        <w:rPr>
          <w:sz w:val="24"/>
          <w:u w:val="none"/>
        </w:rPr>
        <w:t xml:space="preserve">1 % slieksni no kopējām saistībām piemēro produktu veidiem, kas minēti visās šādās rindās: 1.1. “Beztermiņa noguldījums”; 1.2. “Termiņnoguldījumi, kas nav izņemami turpmāko 30 dienu laikā”; 1.3. “Termiņnoguldījumi, kas ir izņemami turpmāko 30 dienu laikā”; 1.4. “Krājkonti”; 2.1. “Nenodrošināts korporatīvais finansējums”; 2.2. “Nodrošināts korporatīvais finansējums”; </w:t>
      </w:r>
    </w:p>
    <w:p w14:paraId="7CD07C23" w14:textId="050FF403" w:rsidR="00EF0ADB" w:rsidRPr="001263B4" w:rsidRDefault="00EF0ADB" w:rsidP="001263B4">
      <w:pPr>
        <w:pStyle w:val="InstructionsText2"/>
        <w:numPr>
          <w:ilvl w:val="0"/>
          <w:numId w:val="0"/>
        </w:numPr>
        <w:spacing w:after="120"/>
        <w:ind w:left="1134" w:hanging="420"/>
        <w:rPr>
          <w:sz w:val="24"/>
          <w:u w:val="none"/>
        </w:rPr>
      </w:pPr>
      <w:r>
        <w:rPr>
          <w:sz w:val="24"/>
          <w:u w:val="none"/>
        </w:rPr>
        <w:t>b)</w:t>
      </w:r>
      <w:r>
        <w:tab/>
      </w:r>
      <w:r>
        <w:rPr>
          <w:sz w:val="24"/>
          <w:u w:val="none"/>
        </w:rPr>
        <w:t>lai aprēķinātu 1 % slieksni no kopējām saistībām 1.4. rindai “Krājkonti”, slieksni piemēro 1.4.1. un 1.4.2. summai;</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r>
        <w:tab/>
      </w:r>
      <w:r>
        <w:rPr>
          <w:sz w:val="24"/>
          <w:u w:val="none"/>
        </w:rPr>
        <w:t>attiecībā uz 1. rindu “Privātpersonu vai MVU finansējums” un 2. rindu “Korporatīvais finansējums” 1 % slieksni no kopējām saistībām piemēro tikai kopējā līmenī.</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Dati, ko uzrāda 1. rindā. “Privātpersonas vai MVU”, 2.1. rindā “Nenodrošināts korporatīvais finansējums”, 2.2. rindā “Nodrošināts korporatīvais finansējums” var ietvert plašāku produktu veidu klāstu nekā pamatā esošie “no kā” posteņi.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Sleja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Saņemtā uzskaites vērtība</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Finansējuma uzskaites vērtība, kas saņemts katrai produktu kategorijai, kuras norādītas “Produkta nosaukums” slejā, norāda veidnes 010. slejā.</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Summa, uz ko attiecas noguldījumu garantiju shēma saskaņā ar Direktīvu 2014/49/ES vai līdzvērtīga noguldījumu garantiju shēma trešā valstī</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Summa, uz ko attiecas noguldījumu garantiju shēma saskaņā ar Direktīvu 2014/49/ES vai līdzvērtīga noguldījumu garantiju shēma trešā valstī, no saņemtā finansējuma kopsummas katrai “Produkta nosaukums” slejā uzskaitītai produktu kategorijai, kas norādīta 010. slejā.</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Summas, kas norādītas 020. un 030. slejā katrai produktu kategorijai, kuras norādītas “Produkta nosaukums” slejā, ir vienādas ar saņemto kopsummu, kas norādīta 010. slejā.</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Summa, uz ko neattiecas noguldījumu garantiju shēma saskaņā ar Direktīvu 2014/49/ES vai līdzvērtīga noguldījumu garantiju shēma trešā valstī</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Summa, uz ko </w:t>
            </w:r>
            <w:r>
              <w:rPr>
                <w:rFonts w:ascii="Times New Roman" w:hAnsi="Times New Roman"/>
                <w:sz w:val="24"/>
                <w:u w:val="single"/>
              </w:rPr>
              <w:t>ne</w:t>
            </w:r>
            <w:r>
              <w:rPr>
                <w:rFonts w:ascii="Times New Roman" w:hAnsi="Times New Roman"/>
                <w:sz w:val="24"/>
              </w:rPr>
              <w:t>attiecas noguldījumu garantiju shēma saskaņā ar Direktīvu 2014/49/ES vai līdzvērtīga noguldījumu garantiju shēma trešā valstī, no saņemtā finansējuma kopsummas katrai “Produkta nosaukums” slejā uzskaitītai produktu kategorijai, kas norādīta 010. slejā.</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Summas, kas norādītas 020. un 030. slejā katrai produktu kategorijai, kuras norādītas “Produkta nosaukums” slejā, ir vienādas ar saņemto kopsummu, kas norādīta 010. slejā.</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Vidējais svērtais sākotnējais periods līdz beigu termiņam</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010. slejā norādītai saņemtā finansējuma summai (no “Produkta nosaukums” slejā norādītajām produktu kategorijām) norāda vidējo svērto sākotnējo termiņu (dienās) šādam finansējumam.</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t>Vidējo svērto sākotnējo termiņu aprēķina kā par minēto produkta veidu saņemtā finansējuma vidējo sākotnējo termiņu (dienās). Vidējo svērumu nosaka pēc lieluma, pamatojoties uz saņemtā finansējuma dažādo summu lielumu salīdzinājumā ar kopējo finansējumu, kas saņemts no visām minētā produkta veida emisijām.</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Vidējais svērtais atlikušais termiņš</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010. slejā norādītai saņemtā finansējuma summai (no “Produkta nosaukums” slejā norādītajām produktu kategorijām) norāda vidējo svērto atlikušo termiņu (dienās) šādam finansējumam.</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Vidējo svērto atlikušo termiņu aprēķina kā par minēto produkta veidu saņemtā finansējuma vidējo atlikušo termiņu (dienās). Vidējo svērumu nosaka pēc lieluma, pamatojoties uz saņemtā finansējuma dažādo summu lielumu salīdzinājumā ar kopējo finansējumu, kas saņemts no visām minētā produkta veida emisijām.</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Cenas par dažādu finansējuma ilgumu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Iestādes veidnē C 69.00 sniedz informāciju par darījuma apjomu un cenām, ko iestādes maksājušas par finansējumu, kas iegūts pārskata periodā un joprojām pastāv pārskata perioda beigās saskaņā ar šādiem termiņiem:</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uz nakti (010. un 020. slejā);</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ilgāk nekā uz nakti un ne vairāk kā uz 1 nedēļu (030. un 040. slejā</w:t>
      </w:r>
      <w:r>
        <w:rPr>
          <w:sz w:val="24"/>
          <w:szCs w:val="24"/>
          <w:u w:val="none"/>
        </w:rPr>
        <w:t>);</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ilgāk nekā uz 1 nedēļu un ne vairāk kā uz 1 mēnesi (050. un 060. slejā);</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ilgāk nekā uz 1 mēnesi un ne vairāk kā uz 3 mēnešiem (070. un 080. slejā);</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ilgāk nekā uz 3 mēnešiem un ne vairāk kā uz 6 mēnešiem (090. un 100. slejā);</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ilgāk nekā uz 6 mēnešiem un ne vairāk kā uz 1 gadu (110. un 120. slejā);</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ilgāk nekā uz 1 gadu un ne vairāk kā uz 2 gadiem (130. un 140. slejā);</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ilgāk nekā uz 2 gadiem un ne vairāk kā uz 5 gadiem (150. un 160. slejā);</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ilgāk nekā uz 5 gadiem un ne vairāk kā uz 10 gadiem (170. un 180. slejā).</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 xml:space="preserve">Valūtas pārvērtēšanas gadījumā netiek iegūts jauns finansējums sākotnējā valūtā, un pārskatu sniedzošā iestāde nav samaksājusi neko vairāk par sākotnējo cenu pie līdzekļu sākotnējā noguldījuma. Tādējādi šajā veidnē </w:t>
      </w:r>
      <w:r>
        <w:rPr>
          <w:sz w:val="24"/>
          <w:szCs w:val="24"/>
          <w:u w:val="none"/>
        </w:rPr>
        <w:t>neuzrāda</w:t>
      </w:r>
      <w:r>
        <w:rPr>
          <w:sz w:val="24"/>
          <w:u w:val="none"/>
        </w:rPr>
        <w:t xml:space="preserve"> pozitīvu pieaugumu, ko izraisījusi valūtas pārvērtēšana.</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Nosakot iegūtā finansējuma termiņu, iestādes neņem vērā periodu no tirdzniecības darījuma datuma līdz norēķinu darījuma datumam, piemēram, saistības ar trīs mēnešu termiņu, par ko norēķināsies divu nedēļu laikā, norāda kategorijā “3 mēneši” (070. un 080. sleja).</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Starpība, kas norādīta katra laika intervāla kreisajā slejā, ir vai nu:</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starpība, ko iestāde maksā par saistībām ar viena gada vai īsāku termiņu, ja vien tās ne vēlāk kā darījuma dienā </w:t>
      </w:r>
      <w:proofErr w:type="spellStart"/>
      <w:r>
        <w:rPr>
          <w:sz w:val="24"/>
          <w:u w:val="none"/>
        </w:rPr>
        <w:t>darījumdarbības</w:t>
      </w:r>
      <w:proofErr w:type="spellEnd"/>
      <w:r>
        <w:rPr>
          <w:sz w:val="24"/>
          <w:u w:val="none"/>
        </w:rPr>
        <w:t xml:space="preserve"> beigās nekonvertē attiecīgajā valūtā, izmantojot etalona indeksu uz nakti;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starpība, ko emitēšanas brīdī sabiedrība maksā par saistībām ar sākotnējo termiņu, kas garāks par vienu gadu, ja vien tās ne vēlāk kā darījuma dienā </w:t>
      </w:r>
      <w:proofErr w:type="spellStart"/>
      <w:r>
        <w:rPr>
          <w:sz w:val="24"/>
          <w:u w:val="none"/>
        </w:rPr>
        <w:t>darījumdarbības</w:t>
      </w:r>
      <w:proofErr w:type="spellEnd"/>
      <w:r>
        <w:rPr>
          <w:sz w:val="24"/>
          <w:u w:val="none"/>
        </w:rPr>
        <w:t xml:space="preserve"> beigās nekonvertē attiecīgajā valūtā, izmantojot etalona indeksu, kas ir trīs mēnešu </w:t>
      </w:r>
      <w:r>
        <w:rPr>
          <w:i/>
          <w:iCs/>
          <w:sz w:val="24"/>
          <w:u w:val="none"/>
        </w:rPr>
        <w:t>EURIBOR</w:t>
      </w:r>
      <w:r>
        <w:rPr>
          <w:sz w:val="24"/>
          <w:u w:val="none"/>
        </w:rPr>
        <w:t xml:space="preserve"> attiecībā uz EUR vai </w:t>
      </w:r>
      <w:r>
        <w:rPr>
          <w:color w:val="1F497D"/>
          <w:sz w:val="24"/>
        </w:rPr>
        <w:t>līdzīgs indekss attiecībā uz citām valūtām</w:t>
      </w:r>
      <w:r>
        <w:rPr>
          <w:sz w:val="24"/>
          <w:u w:val="none"/>
        </w:rPr>
        <w:t>.</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Vienīgi nolūkā aprēķināt starpības atbilstīgi a) un b) apakšpunktam, pamatojoties uz vēsturisko pieredzi, iestāde var noteikt sākotnējo termiņu, attiecīgā gadījumā ņemot vai neņemot vērā iespējamību.</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Starpības norāda, izmantojot bāzes punktus ar negatīvu zīmi, ja jaunais finansējums ir lētāks nekā attiecīgā etalona likme. Tās aprēķina, izmantojot vidējos svērtos rādītājus.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Lai iegūtu maksājamo vidējo starpību vairākās emisijās/noguldījumos/aizdevumos, iestādes kopējās izmaksas aprēķina emisijas valūtā; ārvalstu valūtas mijmaiņas neņem vērā, taču ietver visas prēmijas vai diskontus un komisijas naudas un maksas, ko maksā vai saņem, par bāzi ņemot procentu likmes mijmaiņas līgumu faktiskā termiņa atbilstību saistību termiņam. Starpība ir saistības likme, no kuras atņem mijmaiņas likmi.</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Finansējuma summa, kas iegūts finansējuma kategorijām, kuras uzskaitītas “Postenis” slejā, norāda piemērojamā laika intervāla slejā “Apjoms”.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Slejā “Apjoms” iestādes norāda summas, kas ir jaunā finansējumu uzskaites vērtība, kas iegūta piemērojamā laika intervālā saskaņā ar sākotnējo termiņu.</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Attiecībā uz visiem posteņiem, arī attiecībā uz ārpusbilances saistībām, iestādes uzrāda tikai saistītās summas, kas atspoguļotas bilancē. Ārpusbilances saistības, kas sniegtas attiecīgajai iestādei, uzrāda tikai C 69.00 pēc izmantošanas. Izmantošanas gadījumā uzrādāmais apjoms un starpība ir izmantotā summa un piemērojamā starpība pārskata perioda beigās. Ja izmantošanu nevar pagarināt pēc iestādes ieskatiem, uzrāda izmantošanas faktisko termiņu. Ja iestādei jau ir izmantojusi iespēju iepriekšējā pārskata perioda beigās un ja iestāde pēc tam palielina iespējas izmantojumu, uzrāda tikai papildu izmantoto summu.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Klientu, kas ir privātpersonas vai MVU, veikti noguldījumi ietver noguldījumus, kuri definēti Deleģētās regulas (ES) 2015/61 3. panta 8. punktā.</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Attiecībā uz finansējumu, kas ir pagarināts pārskata perioda laikā un kas vēl ir atlicis pārskata perioda beigās, uzrāda vidējās starpības, kuras tobrīd (t. i., pārskata perioda beigās) tika piemērotas. Attiecībā uz C 69.00 finansējumu, ko pagarina un kas vēl pastāv pārskata perioda beigās, uzskata par jaunu finansējumu.</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Atkāpjoties no pārējās 1.4. iedaļas, beztermiņa noguldījumu apjomu un starpību uzrāda tikai tad, ja noguldītājam nebija beztermiņa noguldījuma iepriekšējā pārskata periodā vai ja ir pieaugusi noguldījuma summa salīdzinājumā ar iepriekšējo atsauces datumu, un tādā gadījumā palielinājumu uzskata par jaunu finansējumu. Starpība ir starpība perioda beigās.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Ja nekas nav uzrādāms, ar starpībām saistītās šūnas atstāj neaizpildītas.</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Norādes par konkrētām rindām: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Rinda</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Atsauces uz tiesību aktiem un norādes</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1B4538E5" w:rsidR="002C154A" w:rsidRPr="002519FB" w:rsidRDefault="002C154A" w:rsidP="002519FB">
            <w:pPr>
              <w:pStyle w:val="ListParagraph"/>
              <w:numPr>
                <w:ilvl w:val="1"/>
                <w:numId w:val="7"/>
              </w:numPr>
              <w:spacing w:before="0"/>
              <w:rPr>
                <w:rFonts w:ascii="Times New Roman" w:hAnsi="Times New Roman"/>
                <w:b/>
                <w:sz w:val="24"/>
                <w:u w:val="single"/>
              </w:rPr>
            </w:pPr>
            <w:r w:rsidRPr="002519FB">
              <w:rPr>
                <w:rFonts w:ascii="Times New Roman" w:hAnsi="Times New Roman"/>
                <w:b/>
                <w:sz w:val="24"/>
                <w:u w:val="single"/>
              </w:rPr>
              <w:t>Kopējais finansējums</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Visa finansējuma kopējo apjomu un vidējo svērto starpību iegūst attiecībā uz visiem šādiem laikposmiem, kā norādīts turpmāk:</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uz nakti (010. un 020. slejā);</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ilgāk nekā uz nakti un ne vairāk kā uz 1 nedēļu (030. un 040. slejā);</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ilgāk nekā uz 1 nedēļu un ne vairāk kā uz 1 mēnesi (050. un 060. slejā);</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ilgāk nekā uz 1 mēnesi un ne vairāk kā uz 3 mēnešiem (070. un 080. slejā);</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ilgāk nekā uz 3 mēnešiem un ne vairāk kā uz 6 mēnešiem (090. un 100. slejā);</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ilgāk nekā uz 6 mēnešiem un ne vairāk kā uz 1 gadu (110. un 120. slejā);</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ilgāk nekā uz 1 gadu un ne vairāk kā uz 2 gadiem (130. un 140. slejā);</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ilgāk nekā uz 2 gadiem un ne vairāk kā uz 5 gadiem (150. un 160. slejā);</w:t>
            </w:r>
          </w:p>
          <w:p w14:paraId="22EC36F6" w14:textId="7C57E11E" w:rsidR="00CE333E" w:rsidRPr="001263B4" w:rsidRDefault="00CD20D9" w:rsidP="00FB0324">
            <w:pPr>
              <w:pStyle w:val="InstructionsText2"/>
              <w:numPr>
                <w:ilvl w:val="0"/>
                <w:numId w:val="49"/>
              </w:numPr>
              <w:spacing w:after="120"/>
              <w:rPr>
                <w:sz w:val="24"/>
              </w:rPr>
            </w:pPr>
            <w:r>
              <w:rPr>
                <w:sz w:val="24"/>
                <w:u w:val="none"/>
              </w:rPr>
              <w:t>ilgāk nekā uz 5 gadiem un ne vairāk kā uz 10 gadiem (170. un 180. slejā).</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No kā: Privātpersonu vai MVU finansējums</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Iegūtā privātpersonu vai MVU finansējuma kopējais apjoms un vidējā svērtā starpība no 1. kategorijā norādītā kopējā finansējuma.</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No kā: Nenodrošinātais korporatīvais finansējums</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Iegūtā nenodrošinātā korporatīvā finansējuma kopējais apjoms un vidējā svērtā starpība no 1. kategorijā norādītā kopējā finansējuma.</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No kā: Nodrošināts finansējums</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Iegūtā nodrošinātā finansējuma kopējais apjoms un vidējā svērtā starpība no 1. postenī norādītā kopējā finansējuma.</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No kā: Augstākās prioritātes nenodrošinātie vērtspapīri</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Iegūto augstākās prioritātes nenodrošinātu vērtspapīru kopējais apjoms un vidējā svērtā starpība no 1. postenī norādītā kopējā finansējuma.</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No kā: Segtās obligācijas</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Visu emitēto segto obligāciju, kas apgrūtina iestādes pašu aktīvus, kopējais apjoms un vidējā svērtā starpība no 1. postenī norādītā kopējā finansējuma.</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No kā: Ar aktīviem nodrošināti vērtspapīri, tostarp ABKV</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Emitēto ar aktīviem nodrošinātu vērtspapīru, ieskaitot ar aktīviem nodrošinātus komerciālos vērtspapīrus, kopējais apjoms un vidējā svērtā starpība no 1. postenī norādītā kopējā finansējuma.</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Finansējuma pagarinājums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Ar šo veidni paredzēts apkopot informāciju par tāda finansējuma apjomu, kam beidzas termiņš, un jauno iegūto finansējumu, proti, “finansējuma pagarinājumu” katru dienu tā mēneša laikā, kas ir pirms pārskata sniegšanas datuma.</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Iestādes kalendārās dienās uzrāda finansējumu, kam beidzas termiņš. saskaņā ar šādiem laika intervāliem atbilstoši sākotnējam termiņam:</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uz nakti (010. līdz 040. slejā);</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no 1 dienas līdz 7 dienām (050. līdz 080. slejā);</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no 7 dienām līdz 14 dienām (090. līdz 120. slejā);</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no 14 dienām līdz 1 mēnesim (130. līdz 160. slejā);</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no 1 mēneša līdz 3 mēnešiem (170. līdz 200. slejā);</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no 3 mēnešiem līdz 6 mēnešiem (210. līdz 240. slejā);</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vairāk par 6 mēnešiem (250. līdz 280. slejā).</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Katram laika intervālam, kas norādīts 2. punktā, summu, kurai beidzas termiņš, norāda kreisajā slejā, finansējuma pagarināto summu norāda “Pagarinājums” slejā, jauno iegūto finansējumu norāda “Jauns finansējums” slejā un neto starpību starp jaunu finansējumu, no vienas puses, un finansējuma pagarinājumu mīnus finansējumu, kam beidzas termiņš, no otras puses, norāda labajā slejā.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Kopējo neto naudas plūsmu norāda 290. slejā, un tā ir vienāda ar visu “Neto” sleju (t i., 040., 080., 120., 160., 200., 240. un 280.) summu.</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Tāda finansējuma vidējo termiņu (dienās) </w:t>
      </w:r>
      <w:proofErr w:type="spellStart"/>
      <w:r>
        <w:rPr>
          <w:sz w:val="24"/>
          <w:u w:val="none"/>
        </w:rPr>
        <w:t>termiņfinansējumam</w:t>
      </w:r>
      <w:proofErr w:type="spellEnd"/>
      <w:r>
        <w:rPr>
          <w:sz w:val="24"/>
          <w:u w:val="none"/>
        </w:rPr>
        <w:t>, kam beidzas termiņš, norāda 300. slejā.</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Tāda finansējuma vidējo termiņu (dienās) finansējumam, kuru pagarina, norāda 310. slejā.</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Finansējuma vidējo termiņu (dienās) jaunajam </w:t>
      </w:r>
      <w:proofErr w:type="spellStart"/>
      <w:r>
        <w:rPr>
          <w:sz w:val="24"/>
          <w:u w:val="none"/>
        </w:rPr>
        <w:t>termiņfinansējumam</w:t>
      </w:r>
      <w:proofErr w:type="spellEnd"/>
      <w:r>
        <w:rPr>
          <w:sz w:val="24"/>
          <w:u w:val="none"/>
        </w:rPr>
        <w:t xml:space="preserve"> norāda 320. slejā.</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“Termiņa iestāšanās” summa ietver visas saistības, kuras finansējuma sniedzējs varēja līgumiski izņemt vai kuras bija maksājamas attiecīgajā pārskata perioda dienā. To vienmēr uzrāda ar plusa zīmi.</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“Pagarinājuma” summa ietver termiņa iestāšanās summu, kā noteikts 2. un 3. punktā, kas attiecīgajā pārskata perioda dienā joprojām ir iestādei. To vienmēr uzrāda ar plusa zīmi. Ja finansējums termiņu maina sakarā ar pagarinājuma notikumu, “pagarinājuma” summu norāda laika intervālā atbilstoši jaunajam termiņam.</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“Jaunā finansējuma” summas ietver faktiskās finansējuma ienākošās plūsmas attiecīgajā pārskata perioda dienā. To vienmēr uzrāda ar plusa zīmi.</w:t>
      </w:r>
    </w:p>
    <w:p w14:paraId="36023996" w14:textId="52F7601E" w:rsidR="00A7751A" w:rsidRPr="001263B4" w:rsidRDefault="00A7751A" w:rsidP="001263B4">
      <w:pPr>
        <w:pStyle w:val="InstructionsText2"/>
        <w:numPr>
          <w:ilvl w:val="0"/>
          <w:numId w:val="8"/>
        </w:numPr>
        <w:spacing w:after="120"/>
        <w:rPr>
          <w:sz w:val="24"/>
          <w:u w:val="none"/>
        </w:rPr>
      </w:pPr>
      <w:r>
        <w:rPr>
          <w:sz w:val="24"/>
          <w:u w:val="none"/>
        </w:rPr>
        <w:t xml:space="preserve">“Neto” summu uzskata par finansējuma izmaiņu konkrētā sākotnējā termiņa laika joslā attiecīgajā pārskata perioda dienā, un to aprēķina, “neto” slejā pievienojot jauno finansējumu, pieskaitot pagarināto finansējumu un atņemot finansējumu, kam iestājas termiņš.  </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Norādes par konkrētām slejām: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6"/>
        <w:gridCol w:w="6580"/>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Sleja</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Atsauces uz tiesību aktiem un norādes</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010 līdz 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Uz nakti</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uz nakti, norāda 1.1.–1.31. posteņa 010. slejā. Mēnešiem, kuros ir mazāk par 31 dienu, kā arī nedēļas nogalēm neatbilstošās rindas atstāj neaizpildītas.</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uz nakti, norāda 1.1.–1.31. posteņa 020. slejā.</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uz nakti, norāda 1.1.–1.31. posteņa 030. slejā.</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Neto starpību starp finansējumu, kam termiņš beidzas katru dienu, no vienas puses, un pagarinājumu plus jauno finansējumu, ko iegūst katru dienu, no otras puses, uzrāda 1.1.–1.31. posteņa 040. slejā.</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050 līdz 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diena ≤ 7 dienas</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no vienas dienas līdz vienai nedēļai, norāda 1.1.–1.31. posteņa 050. slejā. Mēnešiem, kuros ir mazāk par 31 dienu, kā arī nedēļas nogalēm neatbilstošās rindas atstāj neaizpildītas.</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no vienas dienas līdz vienai nedēļai, norāda 1.1.–1.31. posteņa 060. slejā.</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no vienas dienas līdz vienai nedēļai, norāda 1.1.–1.31. posteņa 70. slejā.</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080. slejā.</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090 līdz 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dienas ≤ 14 dienas</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no vienas nedēļas līdz divām nedēļām, norāda 1.1.–1.31. posteņa 090. slejā. Mēnešiem, kuros ir mazāk par 31 dienu, kā arī nedēļas nogalēm neatbilstošās rindas atstāj neaizpildītas.</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no vienas nedēļas līdz divām nedēļām, norāda 1.1.–1.31. posteņa 100. slejā.</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no vienas nedēļas līdz divām nedēļām, norāda 1.1.–1.31. posteņa 110. slejā.</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120. slejā.</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130 līdz 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dienas ≤ 1 mēnesis</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no divām nedēļām līdz vienam mēnesim, norāda 1.1.–1.31. posteņa 130. slejā. Mēnešiem, kuros ir mazāk par 31 dienu, kā arī nedēļas nogalēm neatbilstošās rindas atstāj neaizpildītas.</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no divām nedēļām līdz vienam mēnesim, norāda 1.1.–1.31. posteņa 140. slejā.</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no divām nedēļām līdz vienam mēnesim, norāda 1.1.–1.31. posteņa 150. slejā.</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160. slejā.</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170 līdz 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mēnesis ≤ 3 mēneši</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no viena mēneša līdz trijiem mēnešiem, norāda 1.1.–1.31. posteņa 170. slejā. Mēnešiem, kuros ir mazāk par 31 dienu, kā arī nedēļas nogalēm neatbilstošās rindas atstāj neaizpildītas.</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no viena mēneša līdz trijiem mēnešiem, norāda 1.1.–1.31. posteņa 180. slejā.</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no viena mēneša līdz trijiem mēnešiem, norāda 1.1.–1.31. posteņa 190. slejā.</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200. slejā.</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210 līdz 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&gt;3 mēneši ≤ 6 mēneši</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no trijiem mēnešiem līdz sešiem mēnešiem, norāda 1.1.–1.31. posteņa 210. slejā. Mēnešiem, kuros ir mazāk par 31 dienu, kā arī nedēļas nogalēm neatbilstošās rindas atstāj neaizpildītas.</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no trijiem mēnešiem līdz sešiem mēnešiem, norāda 1.1.–1.31. posteņa 220. slejā.</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no trijiem mēnešiem līdz sešiem mēnešiem, norāda 1.1.–1.31. posteņa 230. slejā.</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240. slejā.</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250 līdz 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mēneši</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Tāda finansējuma kopsummu, kam termiņš beidzas pārskata perioda attiecīgajā dienā ar sākotnēju termiņu virs sešiem mēnešiem, norāda 1.1.–1.31. posteņa 250. slejā. Mēnešiem, kuros ir mazāk par 31 dienu, kā arī nedēļas nogalēm neatbilstošās rindas atstāj neaizpildītas.</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Tāda finansējuma kopsummu, kuru pagarina pārskata perioda attiecīgajā dienā ar sākotnēju termiņu virs sešiem mēnešiem, norāda 1.1.–1.31. posteņa 260. slejā.</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Tāda jauna finansējuma kopsummu, kuru iegūst pārskata perioda attiecīgajā dienā ar sākotnēju termiņu virs sešiem mēnešiem, norāda 1.1.–1.31. posteņa 270. slejā.</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Neto starpību starp finansējumu, kam termiņš beidzas, no vienas puses, un pagarinājumu plus jauno finansējumu, ko iegūst, no otras puses, uzrāda 1.1.–1.31. posteņa 280. slejā.</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Kopējā neto naudas plūsma</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Kopējā neto naudas plūsma Kopējās neto naudas plūsmas norāda 290. slejā, un tās ir vienādas ar visu “Neto” sleju (040., 080., 120., 160., 200., 240. un 280.) summu.</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no 300 līdz 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Vidējais termiņš (dienās)</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Visa finansējuma, kam beidzas termiņš, vidējo svērto termiņu (dienās) norāda 300. slejā. Vidēji svērto termiņu (dienās) visam finansējumam, ko pagarina, norāda 310. slejā, vidēji svērto termiņu (dienās) visam jaunajam finansējumam norāda 320. slejā.</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0888F22A" w:rsidR="003E009D" w:rsidRDefault="003E009D">
        <w:pPr>
          <w:pStyle w:val="Footer"/>
          <w:jc w:val="center"/>
        </w:pPr>
        <w:r>
          <w:fldChar w:fldCharType="begin"/>
        </w:r>
        <w:r>
          <w:instrText xml:space="preserve"> PAGE   \* MERGEFORMAT </w:instrText>
        </w:r>
        <w:r>
          <w:fldChar w:fldCharType="separate"/>
        </w:r>
        <w:r w:rsidR="001846A5">
          <w:rPr>
            <w:noProof/>
          </w:rPr>
          <w:t>14</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58906DEE" w:rsidR="00EA0D1D" w:rsidRDefault="00EA0D1D">
        <w:pPr>
          <w:pStyle w:val="Footer"/>
          <w:jc w:val="center"/>
        </w:pPr>
        <w:r>
          <w:fldChar w:fldCharType="begin"/>
        </w:r>
        <w:r>
          <w:instrText xml:space="preserve"> PAGE   \* MERGEFORMAT </w:instrText>
        </w:r>
        <w:r>
          <w:fldChar w:fldCharType="separate"/>
        </w:r>
        <w:r w:rsidR="001846A5">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46A5"/>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19FB"/>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lv-LV"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lv-LV"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lv-LV"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lv-LV" w:eastAsia="en-US" w:bidi="ar-SA"/>
    </w:rPr>
  </w:style>
  <w:style w:type="character" w:customStyle="1" w:styleId="FunoteChar">
    <w:name w:val="Fußnote Char"/>
    <w:aliases w:val=" Char Char Char"/>
    <w:semiHidden/>
    <w:rsid w:val="009D253B"/>
    <w:rPr>
      <w:rFonts w:ascii="Arial" w:hAnsi="Arial"/>
      <w:sz w:val="18"/>
      <w:lang w:val="lv-LV"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lv-LV"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lv-LV"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lv-LV"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lv-LV"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lv-LV" w:eastAsia="de-AT"/>
    </w:rPr>
  </w:style>
  <w:style w:type="character" w:customStyle="1" w:styleId="BalloonTextChar">
    <w:name w:val="Balloon Text Char"/>
    <w:link w:val="BalloonText"/>
    <w:semiHidden/>
    <w:rsid w:val="00167536"/>
    <w:rPr>
      <w:rFonts w:ascii="Tahoma" w:hAnsi="Tahoma" w:cs="Tahoma"/>
      <w:sz w:val="16"/>
      <w:szCs w:val="16"/>
      <w:lang w:val="lv-LV" w:eastAsia="en-US"/>
    </w:rPr>
  </w:style>
  <w:style w:type="character" w:customStyle="1" w:styleId="PlainTextChar">
    <w:name w:val="Plain Text Char"/>
    <w:link w:val="PlainText"/>
    <w:semiHidden/>
    <w:rsid w:val="00167536"/>
    <w:rPr>
      <w:rFonts w:ascii="Consolas" w:hAnsi="Consolas"/>
      <w:sz w:val="21"/>
      <w:szCs w:val="21"/>
      <w:lang w:val="lv-LV"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lv-LV" w:eastAsia="en-US"/>
    </w:rPr>
  </w:style>
  <w:style w:type="character" w:customStyle="1" w:styleId="FooterCoverPageChar">
    <w:name w:val="Footer Cover Page Char"/>
    <w:link w:val="FooterCoverPage"/>
    <w:rsid w:val="00167536"/>
    <w:rPr>
      <w:color w:val="4F81BD"/>
      <w:sz w:val="24"/>
      <w:szCs w:val="24"/>
      <w:lang w:val="lv-LV"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lv-LV"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6D82F7-7097-42EC-8FBE-7AB7E2B90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4395</Words>
  <Characters>26668</Characters>
  <Application>Microsoft Office Word</Application>
  <DocSecurity>0</DocSecurity>
  <Lines>606</Lines>
  <Paragraphs>334</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30729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BEVALDE Evija (DGT)</cp:lastModifiedBy>
  <cp:revision>7</cp:revision>
  <cp:lastPrinted>2014-06-12T08:34:00Z</cp:lastPrinted>
  <dcterms:created xsi:type="dcterms:W3CDTF">2020-10-01T12:52:00Z</dcterms:created>
  <dcterms:modified xsi:type="dcterms:W3CDTF">2020-12-15T10:53:00Z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