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1FAE" w:rsidRPr="00F44D15" w:rsidRDefault="00941FAE" w:rsidP="00941FAE">
      <w:pPr>
        <w:spacing w:before="0"/>
        <w:jc w:val="center"/>
        <w:rPr>
          <w:rFonts w:ascii="Times New Roman" w:hAnsi="Times New Roman"/>
          <w:sz w:val="24"/>
        </w:rPr>
      </w:pPr>
      <w:bookmarkStart w:id="0" w:name="_Toc310414964"/>
      <w:r>
        <w:rPr>
          <w:rFonts w:ascii="Times New Roman" w:hAnsi="Times New Roman"/>
          <w:sz w:val="24"/>
        </w:rPr>
        <w:t>ANEXO XVII</w:t>
      </w:r>
    </w:p>
    <w:p w:rsidR="00941FAE" w:rsidRPr="001A22DE" w:rsidRDefault="00941FAE" w:rsidP="00941FAE">
      <w:pPr>
        <w:spacing w:before="0"/>
        <w:rPr>
          <w:rFonts w:ascii="Times New Roman" w:hAnsi="Times New Roman"/>
          <w:sz w:val="24"/>
        </w:rPr>
      </w:pPr>
    </w:p>
    <w:p w:rsidR="00941FAE" w:rsidRPr="001A22DE" w:rsidRDefault="00941FAE" w:rsidP="00941FAE">
      <w:pPr>
        <w:spacing w:before="0"/>
        <w:jc w:val="center"/>
        <w:rPr>
          <w:rFonts w:ascii="Times New Roman" w:hAnsi="Times New Roman"/>
          <w:b/>
          <w:sz w:val="24"/>
        </w:rPr>
      </w:pPr>
      <w:r>
        <w:rPr>
          <w:rFonts w:ascii="Times New Roman" w:hAnsi="Times New Roman"/>
          <w:b/>
          <w:sz w:val="24"/>
        </w:rPr>
        <w:t>INSTRUÇÕES RELATIVAS À COMUNICAÇÃO DE INFORMAÇÕES SOBRE A ONERAÇÃO DE ATIVOS</w:t>
      </w:r>
      <w:bookmarkStart w:id="1" w:name="_GoBack"/>
      <w:bookmarkEnd w:id="1"/>
    </w:p>
    <w:p w:rsidR="00941FAE" w:rsidRDefault="00941FAE" w:rsidP="00941FAE">
      <w:pPr>
        <w:pStyle w:val="InstructionsText2"/>
        <w:numPr>
          <w:ilvl w:val="0"/>
          <w:numId w:val="0"/>
        </w:numPr>
        <w:spacing w:after="120"/>
        <w:rPr>
          <w:sz w:val="24"/>
        </w:rPr>
      </w:pPr>
    </w:p>
    <w:p w:rsidR="00941FAE" w:rsidRPr="00E6052D" w:rsidRDefault="00941FAE" w:rsidP="00941FAE">
      <w:pPr>
        <w:pStyle w:val="InstructionsText2"/>
        <w:numPr>
          <w:ilvl w:val="0"/>
          <w:numId w:val="0"/>
        </w:numPr>
        <w:spacing w:after="120"/>
        <w:jc w:val="center"/>
        <w:rPr>
          <w:sz w:val="24"/>
        </w:rPr>
      </w:pPr>
      <w:r>
        <w:rPr>
          <w:sz w:val="24"/>
        </w:rPr>
        <w:t>Índice</w:t>
      </w:r>
    </w:p>
    <w:p w:rsidR="000B3548" w:rsidRDefault="00941FAE">
      <w:pPr>
        <w:pStyle w:val="TOC2"/>
        <w:rPr>
          <w:rFonts w:asciiTheme="minorHAnsi" w:eastAsiaTheme="minorEastAsia" w:hAnsiTheme="minorHAnsi" w:cstheme="minorBidi"/>
          <w:b w:val="0"/>
          <w:smallCaps w:val="0"/>
          <w:sz w:val="22"/>
          <w:lang w:val="en-US"/>
        </w:rPr>
      </w:pPr>
      <w:r>
        <w:rPr>
          <w:rFonts w:ascii="Times New Roman" w:hAnsi="Times New Roman"/>
          <w:sz w:val="24"/>
        </w:rPr>
        <w:fldChar w:fldCharType="begin"/>
      </w:r>
      <w:r>
        <w:rPr>
          <w:rFonts w:ascii="Times New Roman" w:hAnsi="Times New Roman"/>
          <w:sz w:val="24"/>
          <w:szCs w:val="24"/>
        </w:rPr>
        <w:instrText xml:space="preserve"> TOC \o "1-3" \h \z \u </w:instrText>
      </w:r>
      <w:r>
        <w:rPr>
          <w:rFonts w:ascii="Times New Roman" w:hAnsi="Times New Roman"/>
          <w:sz w:val="24"/>
        </w:rPr>
        <w:fldChar w:fldCharType="separate"/>
      </w:r>
      <w:hyperlink w:anchor="_Toc58600077" w:history="1">
        <w:r w:rsidR="000B3548" w:rsidRPr="00E75DC4">
          <w:rPr>
            <w:rStyle w:val="Hyperlink"/>
            <w:rFonts w:ascii="Times New Roman" w:hAnsi="Times New Roman"/>
          </w:rPr>
          <w:t>INSTRUÇÕES GENÉRICAS</w:t>
        </w:r>
        <w:r w:rsidR="000B3548">
          <w:rPr>
            <w:webHidden/>
          </w:rPr>
          <w:tab/>
        </w:r>
        <w:r w:rsidR="000B3548">
          <w:rPr>
            <w:webHidden/>
          </w:rPr>
          <w:fldChar w:fldCharType="begin"/>
        </w:r>
        <w:r w:rsidR="000B3548">
          <w:rPr>
            <w:webHidden/>
          </w:rPr>
          <w:instrText xml:space="preserve"> PAGEREF _Toc58600077 \h </w:instrText>
        </w:r>
        <w:r w:rsidR="000B3548">
          <w:rPr>
            <w:webHidden/>
          </w:rPr>
        </w:r>
        <w:r w:rsidR="000B3548">
          <w:rPr>
            <w:webHidden/>
          </w:rPr>
          <w:fldChar w:fldCharType="separate"/>
        </w:r>
        <w:r w:rsidR="000204BA">
          <w:rPr>
            <w:webHidden/>
          </w:rPr>
          <w:t>3</w:t>
        </w:r>
        <w:r w:rsidR="000B3548">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78" w:history="1">
        <w:r w:rsidRPr="00E75DC4">
          <w:rPr>
            <w:rStyle w:val="Hyperlink"/>
            <w:rFonts w:ascii="Times New Roman" w:hAnsi="Times New Roman"/>
          </w:rPr>
          <w:t>1. Estrutura e convenções</w:t>
        </w:r>
        <w:r>
          <w:rPr>
            <w:webHidden/>
          </w:rPr>
          <w:tab/>
        </w:r>
        <w:r>
          <w:rPr>
            <w:webHidden/>
          </w:rPr>
          <w:fldChar w:fldCharType="begin"/>
        </w:r>
        <w:r>
          <w:rPr>
            <w:webHidden/>
          </w:rPr>
          <w:instrText xml:space="preserve"> PAGEREF _Toc58600078 \h </w:instrText>
        </w:r>
        <w:r>
          <w:rPr>
            <w:webHidden/>
          </w:rPr>
        </w:r>
        <w:r>
          <w:rPr>
            <w:webHidden/>
          </w:rPr>
          <w:fldChar w:fldCharType="separate"/>
        </w:r>
        <w:r w:rsidR="000204BA">
          <w:rPr>
            <w:webHidden/>
          </w:rPr>
          <w:t>3</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79" w:history="1">
        <w:r w:rsidRPr="00E75DC4">
          <w:rPr>
            <w:rStyle w:val="Hyperlink"/>
            <w:rFonts w:ascii="Times New Roman" w:hAnsi="Times New Roman"/>
          </w:rPr>
          <w:t>1.1.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Estrutura</w:t>
        </w:r>
        <w:r>
          <w:rPr>
            <w:webHidden/>
          </w:rPr>
          <w:tab/>
        </w:r>
        <w:r>
          <w:rPr>
            <w:webHidden/>
          </w:rPr>
          <w:fldChar w:fldCharType="begin"/>
        </w:r>
        <w:r>
          <w:rPr>
            <w:webHidden/>
          </w:rPr>
          <w:instrText xml:space="preserve"> PAGEREF _Toc58600079 \h </w:instrText>
        </w:r>
        <w:r>
          <w:rPr>
            <w:webHidden/>
          </w:rPr>
        </w:r>
        <w:r>
          <w:rPr>
            <w:webHidden/>
          </w:rPr>
          <w:fldChar w:fldCharType="separate"/>
        </w:r>
        <w:r w:rsidR="000204BA">
          <w:rPr>
            <w:webHidden/>
          </w:rPr>
          <w:t>3</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80" w:history="1">
        <w:r w:rsidRPr="00E75DC4">
          <w:rPr>
            <w:rStyle w:val="Hyperlink"/>
            <w:rFonts w:ascii="Times New Roman" w:hAnsi="Times New Roman"/>
          </w:rPr>
          <w:t>1.2.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Norma contabilística</w:t>
        </w:r>
        <w:r>
          <w:rPr>
            <w:webHidden/>
          </w:rPr>
          <w:tab/>
        </w:r>
        <w:r>
          <w:rPr>
            <w:webHidden/>
          </w:rPr>
          <w:fldChar w:fldCharType="begin"/>
        </w:r>
        <w:r>
          <w:rPr>
            <w:webHidden/>
          </w:rPr>
          <w:instrText xml:space="preserve"> PAGEREF _Toc58600080 \h </w:instrText>
        </w:r>
        <w:r>
          <w:rPr>
            <w:webHidden/>
          </w:rPr>
        </w:r>
        <w:r>
          <w:rPr>
            <w:webHidden/>
          </w:rPr>
          <w:fldChar w:fldCharType="separate"/>
        </w:r>
        <w:r w:rsidR="000204BA">
          <w:rPr>
            <w:webHidden/>
          </w:rPr>
          <w:t>3</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81" w:history="1">
        <w:r w:rsidRPr="00E75DC4">
          <w:rPr>
            <w:rStyle w:val="Hyperlink"/>
            <w:rFonts w:ascii="Times New Roman" w:hAnsi="Times New Roman"/>
          </w:rPr>
          <w:t>1.3.</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Convenções relativas à numeração</w:t>
        </w:r>
        <w:r>
          <w:rPr>
            <w:webHidden/>
          </w:rPr>
          <w:tab/>
        </w:r>
        <w:r>
          <w:rPr>
            <w:webHidden/>
          </w:rPr>
          <w:fldChar w:fldCharType="begin"/>
        </w:r>
        <w:r>
          <w:rPr>
            <w:webHidden/>
          </w:rPr>
          <w:instrText xml:space="preserve"> PAGEREF _Toc58600081 \h </w:instrText>
        </w:r>
        <w:r>
          <w:rPr>
            <w:webHidden/>
          </w:rPr>
        </w:r>
        <w:r>
          <w:rPr>
            <w:webHidden/>
          </w:rPr>
          <w:fldChar w:fldCharType="separate"/>
        </w:r>
        <w:r w:rsidR="000204BA">
          <w:rPr>
            <w:webHidden/>
          </w:rPr>
          <w:t>3</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82" w:history="1">
        <w:r w:rsidRPr="00E75DC4">
          <w:rPr>
            <w:rStyle w:val="Hyperlink"/>
            <w:rFonts w:ascii="Times New Roman" w:hAnsi="Times New Roman"/>
          </w:rPr>
          <w:t>1.4.</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Sinais convencionados</w:t>
        </w:r>
        <w:r>
          <w:rPr>
            <w:webHidden/>
          </w:rPr>
          <w:tab/>
        </w:r>
        <w:r>
          <w:rPr>
            <w:webHidden/>
          </w:rPr>
          <w:fldChar w:fldCharType="begin"/>
        </w:r>
        <w:r>
          <w:rPr>
            <w:webHidden/>
          </w:rPr>
          <w:instrText xml:space="preserve"> PAGEREF _Toc58600082 \h </w:instrText>
        </w:r>
        <w:r>
          <w:rPr>
            <w:webHidden/>
          </w:rPr>
        </w:r>
        <w:r>
          <w:rPr>
            <w:webHidden/>
          </w:rPr>
          <w:fldChar w:fldCharType="separate"/>
        </w:r>
        <w:r w:rsidR="000204BA">
          <w:rPr>
            <w:webHidden/>
          </w:rPr>
          <w:t>4</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83" w:history="1">
        <w:r w:rsidRPr="00E75DC4">
          <w:rPr>
            <w:rStyle w:val="Hyperlink"/>
            <w:rFonts w:ascii="Times New Roman" w:hAnsi="Times New Roman"/>
          </w:rPr>
          <w:t>1.5.</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Nível de aplicação</w:t>
        </w:r>
        <w:r>
          <w:rPr>
            <w:webHidden/>
          </w:rPr>
          <w:tab/>
        </w:r>
        <w:r>
          <w:rPr>
            <w:webHidden/>
          </w:rPr>
          <w:fldChar w:fldCharType="begin"/>
        </w:r>
        <w:r>
          <w:rPr>
            <w:webHidden/>
          </w:rPr>
          <w:instrText xml:space="preserve"> PAGEREF _Toc58600083 \h </w:instrText>
        </w:r>
        <w:r>
          <w:rPr>
            <w:webHidden/>
          </w:rPr>
        </w:r>
        <w:r>
          <w:rPr>
            <w:webHidden/>
          </w:rPr>
          <w:fldChar w:fldCharType="separate"/>
        </w:r>
        <w:r w:rsidR="000204BA">
          <w:rPr>
            <w:webHidden/>
          </w:rPr>
          <w:t>4</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84" w:history="1">
        <w:r w:rsidRPr="00E75DC4">
          <w:rPr>
            <w:rStyle w:val="Hyperlink"/>
            <w:rFonts w:ascii="Times New Roman" w:hAnsi="Times New Roman"/>
          </w:rPr>
          <w:t>1.6.</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Proporcionalidade</w:t>
        </w:r>
        <w:r>
          <w:rPr>
            <w:webHidden/>
          </w:rPr>
          <w:tab/>
        </w:r>
        <w:r>
          <w:rPr>
            <w:webHidden/>
          </w:rPr>
          <w:fldChar w:fldCharType="begin"/>
        </w:r>
        <w:r>
          <w:rPr>
            <w:webHidden/>
          </w:rPr>
          <w:instrText xml:space="preserve"> PAGEREF _Toc58600084 \h </w:instrText>
        </w:r>
        <w:r>
          <w:rPr>
            <w:webHidden/>
          </w:rPr>
        </w:r>
        <w:r>
          <w:rPr>
            <w:webHidden/>
          </w:rPr>
          <w:fldChar w:fldCharType="separate"/>
        </w:r>
        <w:r w:rsidR="000204BA">
          <w:rPr>
            <w:webHidden/>
          </w:rPr>
          <w:t>4</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85" w:history="1">
        <w:r w:rsidRPr="00E75DC4">
          <w:rPr>
            <w:rStyle w:val="Hyperlink"/>
            <w:rFonts w:ascii="Times New Roman" w:hAnsi="Times New Roman"/>
          </w:rPr>
          <w:t>1.7.</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Definição do conceito de oneração</w:t>
        </w:r>
        <w:r>
          <w:rPr>
            <w:webHidden/>
          </w:rPr>
          <w:tab/>
        </w:r>
        <w:r>
          <w:rPr>
            <w:webHidden/>
          </w:rPr>
          <w:fldChar w:fldCharType="begin"/>
        </w:r>
        <w:r>
          <w:rPr>
            <w:webHidden/>
          </w:rPr>
          <w:instrText xml:space="preserve"> PAGEREF _Toc58600085 \h </w:instrText>
        </w:r>
        <w:r>
          <w:rPr>
            <w:webHidden/>
          </w:rPr>
        </w:r>
        <w:r>
          <w:rPr>
            <w:webHidden/>
          </w:rPr>
          <w:fldChar w:fldCharType="separate"/>
        </w:r>
        <w:r w:rsidR="000204BA">
          <w:rPr>
            <w:webHidden/>
          </w:rPr>
          <w:t>4</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86" w:history="1">
        <w:r w:rsidRPr="00E75DC4">
          <w:rPr>
            <w:rStyle w:val="Hyperlink"/>
            <w:rFonts w:ascii="Times New Roman" w:hAnsi="Times New Roman"/>
          </w:rPr>
          <w:t>INSTRUÇÕES RESPEITANTES AOS MODELOS</w:t>
        </w:r>
        <w:r>
          <w:rPr>
            <w:webHidden/>
          </w:rPr>
          <w:tab/>
        </w:r>
        <w:r>
          <w:rPr>
            <w:webHidden/>
          </w:rPr>
          <w:fldChar w:fldCharType="begin"/>
        </w:r>
        <w:r>
          <w:rPr>
            <w:webHidden/>
          </w:rPr>
          <w:instrText xml:space="preserve"> PAGEREF _Toc58600086 \h </w:instrText>
        </w:r>
        <w:r>
          <w:rPr>
            <w:webHidden/>
          </w:rPr>
        </w:r>
        <w:r>
          <w:rPr>
            <w:webHidden/>
          </w:rPr>
          <w:fldChar w:fldCharType="separate"/>
        </w:r>
        <w:r w:rsidR="000204BA">
          <w:rPr>
            <w:webHidden/>
          </w:rPr>
          <w:t>5</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87" w:history="1">
        <w:r w:rsidRPr="00E75DC4">
          <w:rPr>
            <w:rStyle w:val="Hyperlink"/>
            <w:rFonts w:ascii="Times New Roman" w:hAnsi="Times New Roman"/>
          </w:rPr>
          <w:t>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Parte A: Visão geral da oneração</w:t>
        </w:r>
        <w:r>
          <w:rPr>
            <w:webHidden/>
          </w:rPr>
          <w:tab/>
        </w:r>
        <w:r>
          <w:rPr>
            <w:webHidden/>
          </w:rPr>
          <w:fldChar w:fldCharType="begin"/>
        </w:r>
        <w:r>
          <w:rPr>
            <w:webHidden/>
          </w:rPr>
          <w:instrText xml:space="preserve"> PAGEREF _Toc58600087 \h </w:instrText>
        </w:r>
        <w:r>
          <w:rPr>
            <w:webHidden/>
          </w:rPr>
        </w:r>
        <w:r>
          <w:rPr>
            <w:webHidden/>
          </w:rPr>
          <w:fldChar w:fldCharType="separate"/>
        </w:r>
        <w:r w:rsidR="000204BA">
          <w:rPr>
            <w:webHidden/>
          </w:rPr>
          <w:t>5</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88" w:history="1">
        <w:r w:rsidRPr="00E75DC4">
          <w:rPr>
            <w:rStyle w:val="Hyperlink"/>
            <w:rFonts w:ascii="Times New Roman" w:hAnsi="Times New Roman"/>
          </w:rPr>
          <w:t>2.1.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Modelo AE-ASS. Ativos da instituição que relata</w:t>
        </w:r>
        <w:r>
          <w:rPr>
            <w:webHidden/>
          </w:rPr>
          <w:tab/>
        </w:r>
        <w:r>
          <w:rPr>
            <w:webHidden/>
          </w:rPr>
          <w:fldChar w:fldCharType="begin"/>
        </w:r>
        <w:r>
          <w:rPr>
            <w:webHidden/>
          </w:rPr>
          <w:instrText xml:space="preserve"> PAGEREF _Toc58600088 \h </w:instrText>
        </w:r>
        <w:r>
          <w:rPr>
            <w:webHidden/>
          </w:rPr>
        </w:r>
        <w:r>
          <w:rPr>
            <w:webHidden/>
          </w:rPr>
          <w:fldChar w:fldCharType="separate"/>
        </w:r>
        <w:r w:rsidR="000204BA">
          <w:rPr>
            <w:webHidden/>
          </w:rPr>
          <w:t>5</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89" w:history="1">
        <w:r w:rsidRPr="00E75DC4">
          <w:rPr>
            <w:rStyle w:val="Hyperlink"/>
            <w:rFonts w:ascii="Times New Roman" w:hAnsi="Times New Roman"/>
          </w:rPr>
          <w:t>2.1.1.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Observações gerais</w:t>
        </w:r>
        <w:r>
          <w:rPr>
            <w:webHidden/>
          </w:rPr>
          <w:tab/>
        </w:r>
        <w:r>
          <w:rPr>
            <w:webHidden/>
          </w:rPr>
          <w:fldChar w:fldCharType="begin"/>
        </w:r>
        <w:r>
          <w:rPr>
            <w:webHidden/>
          </w:rPr>
          <w:instrText xml:space="preserve"> PAGEREF _Toc58600089 \h </w:instrText>
        </w:r>
        <w:r>
          <w:rPr>
            <w:webHidden/>
          </w:rPr>
        </w:r>
        <w:r>
          <w:rPr>
            <w:webHidden/>
          </w:rPr>
          <w:fldChar w:fldCharType="separate"/>
        </w:r>
        <w:r w:rsidR="000204BA">
          <w:rPr>
            <w:webHidden/>
          </w:rPr>
          <w:t>5</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90" w:history="1">
        <w:r w:rsidRPr="00E75DC4">
          <w:rPr>
            <w:rStyle w:val="Hyperlink"/>
            <w:rFonts w:ascii="Times New Roman" w:hAnsi="Times New Roman"/>
          </w:rPr>
          <w:t>2.1.2.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sobre linhas específicas</w:t>
        </w:r>
        <w:r>
          <w:rPr>
            <w:webHidden/>
          </w:rPr>
          <w:tab/>
        </w:r>
        <w:r>
          <w:rPr>
            <w:webHidden/>
          </w:rPr>
          <w:fldChar w:fldCharType="begin"/>
        </w:r>
        <w:r>
          <w:rPr>
            <w:webHidden/>
          </w:rPr>
          <w:instrText xml:space="preserve"> PAGEREF _Toc58600090 \h </w:instrText>
        </w:r>
        <w:r>
          <w:rPr>
            <w:webHidden/>
          </w:rPr>
        </w:r>
        <w:r>
          <w:rPr>
            <w:webHidden/>
          </w:rPr>
          <w:fldChar w:fldCharType="separate"/>
        </w:r>
        <w:r w:rsidR="000204BA">
          <w:rPr>
            <w:webHidden/>
          </w:rPr>
          <w:t>8</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91" w:history="1">
        <w:r w:rsidRPr="00E75DC4">
          <w:rPr>
            <w:rStyle w:val="Hyperlink"/>
            <w:rFonts w:ascii="Times New Roman" w:hAnsi="Times New Roman"/>
          </w:rPr>
          <w:t>2.1.3.</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_Toc58600091 \h </w:instrText>
        </w:r>
        <w:r>
          <w:rPr>
            <w:webHidden/>
          </w:rPr>
        </w:r>
        <w:r>
          <w:rPr>
            <w:webHidden/>
          </w:rPr>
          <w:fldChar w:fldCharType="separate"/>
        </w:r>
        <w:r w:rsidR="000204BA">
          <w:rPr>
            <w:webHidden/>
          </w:rPr>
          <w:t>10</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92" w:history="1">
        <w:r w:rsidRPr="00E75DC4">
          <w:rPr>
            <w:rStyle w:val="Hyperlink"/>
            <w:rFonts w:ascii="Times New Roman" w:hAnsi="Times New Roman"/>
          </w:rPr>
          <w:t>2.2.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Modelo: AE-COL. Cauções recebidas pela instituição que relata</w:t>
        </w:r>
        <w:r>
          <w:rPr>
            <w:webHidden/>
          </w:rPr>
          <w:tab/>
        </w:r>
        <w:r>
          <w:rPr>
            <w:webHidden/>
          </w:rPr>
          <w:fldChar w:fldCharType="begin"/>
        </w:r>
        <w:r>
          <w:rPr>
            <w:webHidden/>
          </w:rPr>
          <w:instrText xml:space="preserve"> PAGEREF _Toc58600092 \h </w:instrText>
        </w:r>
        <w:r>
          <w:rPr>
            <w:webHidden/>
          </w:rPr>
        </w:r>
        <w:r>
          <w:rPr>
            <w:webHidden/>
          </w:rPr>
          <w:fldChar w:fldCharType="separate"/>
        </w:r>
        <w:r w:rsidR="000204BA">
          <w:rPr>
            <w:webHidden/>
          </w:rPr>
          <w:t>13</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93" w:history="1">
        <w:r w:rsidRPr="00E75DC4">
          <w:rPr>
            <w:rStyle w:val="Hyperlink"/>
            <w:rFonts w:ascii="Times New Roman" w:hAnsi="Times New Roman"/>
          </w:rPr>
          <w:t>2.2.1.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Observações gerais</w:t>
        </w:r>
        <w:r>
          <w:rPr>
            <w:webHidden/>
          </w:rPr>
          <w:tab/>
        </w:r>
        <w:r>
          <w:rPr>
            <w:webHidden/>
          </w:rPr>
          <w:fldChar w:fldCharType="begin"/>
        </w:r>
        <w:r>
          <w:rPr>
            <w:webHidden/>
          </w:rPr>
          <w:instrText xml:space="preserve"> PAGEREF _Toc58600093 \h </w:instrText>
        </w:r>
        <w:r>
          <w:rPr>
            <w:webHidden/>
          </w:rPr>
        </w:r>
        <w:r>
          <w:rPr>
            <w:webHidden/>
          </w:rPr>
          <w:fldChar w:fldCharType="separate"/>
        </w:r>
        <w:r w:rsidR="000204BA">
          <w:rPr>
            <w:webHidden/>
          </w:rPr>
          <w:t>13</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94" w:history="1">
        <w:r w:rsidRPr="00E75DC4">
          <w:rPr>
            <w:rStyle w:val="Hyperlink"/>
            <w:rFonts w:ascii="Times New Roman" w:hAnsi="Times New Roman"/>
          </w:rPr>
          <w:t>2.2.2.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sobre linhas específicas</w:t>
        </w:r>
        <w:r>
          <w:rPr>
            <w:webHidden/>
          </w:rPr>
          <w:tab/>
        </w:r>
        <w:r>
          <w:rPr>
            <w:webHidden/>
          </w:rPr>
          <w:fldChar w:fldCharType="begin"/>
        </w:r>
        <w:r>
          <w:rPr>
            <w:webHidden/>
          </w:rPr>
          <w:instrText xml:space="preserve"> PAGEREF _Toc58600094 \h </w:instrText>
        </w:r>
        <w:r>
          <w:rPr>
            <w:webHidden/>
          </w:rPr>
        </w:r>
        <w:r>
          <w:rPr>
            <w:webHidden/>
          </w:rPr>
          <w:fldChar w:fldCharType="separate"/>
        </w:r>
        <w:r w:rsidR="000204BA">
          <w:rPr>
            <w:webHidden/>
          </w:rPr>
          <w:t>13</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95" w:history="1">
        <w:r w:rsidRPr="00E75DC4">
          <w:rPr>
            <w:rStyle w:val="Hyperlink"/>
            <w:rFonts w:ascii="Times New Roman" w:hAnsi="Times New Roman"/>
          </w:rPr>
          <w:t>2.2.3.</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_Toc58600095 \h </w:instrText>
        </w:r>
        <w:r>
          <w:rPr>
            <w:webHidden/>
          </w:rPr>
        </w:r>
        <w:r>
          <w:rPr>
            <w:webHidden/>
          </w:rPr>
          <w:fldChar w:fldCharType="separate"/>
        </w:r>
        <w:r w:rsidR="000204BA">
          <w:rPr>
            <w:webHidden/>
          </w:rPr>
          <w:t>16</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96" w:history="1">
        <w:r w:rsidRPr="00E75DC4">
          <w:rPr>
            <w:rStyle w:val="Hyperlink"/>
            <w:rFonts w:ascii="Times New Roman" w:hAnsi="Times New Roman"/>
          </w:rPr>
          <w:t>2.3.</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Modelo: AE-NPL. Obrigações cobertas e titularizações próprias emitidas e ainda não dadas em garantia</w:t>
        </w:r>
        <w:r>
          <w:rPr>
            <w:webHidden/>
          </w:rPr>
          <w:tab/>
        </w:r>
        <w:r>
          <w:rPr>
            <w:webHidden/>
          </w:rPr>
          <w:fldChar w:fldCharType="begin"/>
        </w:r>
        <w:r>
          <w:rPr>
            <w:webHidden/>
          </w:rPr>
          <w:instrText xml:space="preserve"> PAGEREF _Toc58600096 \h </w:instrText>
        </w:r>
        <w:r>
          <w:rPr>
            <w:webHidden/>
          </w:rPr>
        </w:r>
        <w:r>
          <w:rPr>
            <w:webHidden/>
          </w:rPr>
          <w:fldChar w:fldCharType="separate"/>
        </w:r>
        <w:r w:rsidR="000204BA">
          <w:rPr>
            <w:webHidden/>
          </w:rPr>
          <w:t>18</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97" w:history="1">
        <w:r w:rsidRPr="00E75DC4">
          <w:rPr>
            <w:rStyle w:val="Hyperlink"/>
            <w:rFonts w:ascii="Times New Roman" w:hAnsi="Times New Roman"/>
          </w:rPr>
          <w:t>2.3.1.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Observações gerais</w:t>
        </w:r>
        <w:r>
          <w:rPr>
            <w:webHidden/>
          </w:rPr>
          <w:tab/>
        </w:r>
        <w:r>
          <w:rPr>
            <w:webHidden/>
          </w:rPr>
          <w:fldChar w:fldCharType="begin"/>
        </w:r>
        <w:r>
          <w:rPr>
            <w:webHidden/>
          </w:rPr>
          <w:instrText xml:space="preserve"> PAGEREF _Toc58600097 \h </w:instrText>
        </w:r>
        <w:r>
          <w:rPr>
            <w:webHidden/>
          </w:rPr>
        </w:r>
        <w:r>
          <w:rPr>
            <w:webHidden/>
          </w:rPr>
          <w:fldChar w:fldCharType="separate"/>
        </w:r>
        <w:r w:rsidR="000204BA">
          <w:rPr>
            <w:webHidden/>
          </w:rPr>
          <w:t>18</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98" w:history="1">
        <w:r w:rsidRPr="00E75DC4">
          <w:rPr>
            <w:rStyle w:val="Hyperlink"/>
            <w:rFonts w:ascii="Times New Roman" w:hAnsi="Times New Roman"/>
          </w:rPr>
          <w:t>2.3.2.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sobre linhas específicas</w:t>
        </w:r>
        <w:r>
          <w:rPr>
            <w:webHidden/>
          </w:rPr>
          <w:tab/>
        </w:r>
        <w:r>
          <w:rPr>
            <w:webHidden/>
          </w:rPr>
          <w:fldChar w:fldCharType="begin"/>
        </w:r>
        <w:r>
          <w:rPr>
            <w:webHidden/>
          </w:rPr>
          <w:instrText xml:space="preserve"> PAGEREF _Toc58600098 \h </w:instrText>
        </w:r>
        <w:r>
          <w:rPr>
            <w:webHidden/>
          </w:rPr>
        </w:r>
        <w:r>
          <w:rPr>
            <w:webHidden/>
          </w:rPr>
          <w:fldChar w:fldCharType="separate"/>
        </w:r>
        <w:r w:rsidR="000204BA">
          <w:rPr>
            <w:webHidden/>
          </w:rPr>
          <w:t>18</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099" w:history="1">
        <w:r w:rsidRPr="00E75DC4">
          <w:rPr>
            <w:rStyle w:val="Hyperlink"/>
            <w:rFonts w:ascii="Times New Roman" w:hAnsi="Times New Roman"/>
          </w:rPr>
          <w:t>2.3.3.</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_Toc58600099 \h </w:instrText>
        </w:r>
        <w:r>
          <w:rPr>
            <w:webHidden/>
          </w:rPr>
        </w:r>
        <w:r>
          <w:rPr>
            <w:webHidden/>
          </w:rPr>
          <w:fldChar w:fldCharType="separate"/>
        </w:r>
        <w:r w:rsidR="000204BA">
          <w:rPr>
            <w:webHidden/>
          </w:rPr>
          <w:t>19</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00" w:history="1">
        <w:r w:rsidRPr="00E75DC4">
          <w:rPr>
            <w:rStyle w:val="Hyperlink"/>
            <w:rFonts w:ascii="Times New Roman" w:hAnsi="Times New Roman"/>
          </w:rPr>
          <w:t>2.4.</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Modelo: AE-SOU. Fontes de oneração</w:t>
        </w:r>
        <w:r>
          <w:rPr>
            <w:webHidden/>
          </w:rPr>
          <w:tab/>
        </w:r>
        <w:r>
          <w:rPr>
            <w:webHidden/>
          </w:rPr>
          <w:fldChar w:fldCharType="begin"/>
        </w:r>
        <w:r>
          <w:rPr>
            <w:webHidden/>
          </w:rPr>
          <w:instrText xml:space="preserve"> PAGEREF _Toc58600100 \h </w:instrText>
        </w:r>
        <w:r>
          <w:rPr>
            <w:webHidden/>
          </w:rPr>
        </w:r>
        <w:r>
          <w:rPr>
            <w:webHidden/>
          </w:rPr>
          <w:fldChar w:fldCharType="separate"/>
        </w:r>
        <w:r w:rsidR="000204BA">
          <w:rPr>
            <w:webHidden/>
          </w:rPr>
          <w:t>20</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01" w:history="1">
        <w:r w:rsidRPr="00E75DC4">
          <w:rPr>
            <w:rStyle w:val="Hyperlink"/>
            <w:rFonts w:ascii="Times New Roman" w:hAnsi="Times New Roman"/>
          </w:rPr>
          <w:t>2.4.1.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Observações gerais</w:t>
        </w:r>
        <w:r>
          <w:rPr>
            <w:webHidden/>
          </w:rPr>
          <w:tab/>
        </w:r>
        <w:r>
          <w:rPr>
            <w:webHidden/>
          </w:rPr>
          <w:fldChar w:fldCharType="begin"/>
        </w:r>
        <w:r>
          <w:rPr>
            <w:webHidden/>
          </w:rPr>
          <w:instrText xml:space="preserve"> PAGEREF _Toc58600101 \h </w:instrText>
        </w:r>
        <w:r>
          <w:rPr>
            <w:webHidden/>
          </w:rPr>
        </w:r>
        <w:r>
          <w:rPr>
            <w:webHidden/>
          </w:rPr>
          <w:fldChar w:fldCharType="separate"/>
        </w:r>
        <w:r w:rsidR="000204BA">
          <w:rPr>
            <w:webHidden/>
          </w:rPr>
          <w:t>20</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02" w:history="1">
        <w:r w:rsidRPr="00E75DC4">
          <w:rPr>
            <w:rStyle w:val="Hyperlink"/>
            <w:rFonts w:ascii="Times New Roman" w:hAnsi="Times New Roman"/>
          </w:rPr>
          <w:t>2.4.2.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sobre linhas específicas</w:t>
        </w:r>
        <w:r>
          <w:rPr>
            <w:webHidden/>
          </w:rPr>
          <w:tab/>
        </w:r>
        <w:r>
          <w:rPr>
            <w:webHidden/>
          </w:rPr>
          <w:fldChar w:fldCharType="begin"/>
        </w:r>
        <w:r>
          <w:rPr>
            <w:webHidden/>
          </w:rPr>
          <w:instrText xml:space="preserve"> PAGEREF _Toc58600102 \h </w:instrText>
        </w:r>
        <w:r>
          <w:rPr>
            <w:webHidden/>
          </w:rPr>
        </w:r>
        <w:r>
          <w:rPr>
            <w:webHidden/>
          </w:rPr>
          <w:fldChar w:fldCharType="separate"/>
        </w:r>
        <w:r w:rsidR="000204BA">
          <w:rPr>
            <w:webHidden/>
          </w:rPr>
          <w:t>20</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03" w:history="1">
        <w:r w:rsidRPr="00E75DC4">
          <w:rPr>
            <w:rStyle w:val="Hyperlink"/>
            <w:rFonts w:ascii="Times New Roman" w:hAnsi="Times New Roman"/>
          </w:rPr>
          <w:t>2.4.3.</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_Toc58600103 \h </w:instrText>
        </w:r>
        <w:r>
          <w:rPr>
            <w:webHidden/>
          </w:rPr>
        </w:r>
        <w:r>
          <w:rPr>
            <w:webHidden/>
          </w:rPr>
          <w:fldChar w:fldCharType="separate"/>
        </w:r>
        <w:r w:rsidR="000204BA">
          <w:rPr>
            <w:webHidden/>
          </w:rPr>
          <w:t>22</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04" w:history="1">
        <w:r w:rsidRPr="00E75DC4">
          <w:rPr>
            <w:rStyle w:val="Hyperlink"/>
            <w:rFonts w:ascii="Times New Roman" w:hAnsi="Times New Roman"/>
          </w:rPr>
          <w:t>3.</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Parte B: Dados relativos ao vencimento</w:t>
        </w:r>
        <w:r>
          <w:rPr>
            <w:webHidden/>
          </w:rPr>
          <w:tab/>
        </w:r>
        <w:r>
          <w:rPr>
            <w:webHidden/>
          </w:rPr>
          <w:fldChar w:fldCharType="begin"/>
        </w:r>
        <w:r>
          <w:rPr>
            <w:webHidden/>
          </w:rPr>
          <w:instrText xml:space="preserve"> PAGEREF _Toc58600104 \h </w:instrText>
        </w:r>
        <w:r>
          <w:rPr>
            <w:webHidden/>
          </w:rPr>
        </w:r>
        <w:r>
          <w:rPr>
            <w:webHidden/>
          </w:rPr>
          <w:fldChar w:fldCharType="separate"/>
        </w:r>
        <w:r w:rsidR="000204BA">
          <w:rPr>
            <w:webHidden/>
          </w:rPr>
          <w:t>23</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05" w:history="1">
        <w:r w:rsidRPr="00E75DC4">
          <w:rPr>
            <w:rStyle w:val="Hyperlink"/>
            <w:rFonts w:ascii="Times New Roman" w:hAnsi="Times New Roman"/>
          </w:rPr>
          <w:t>3.1.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Observações gerais</w:t>
        </w:r>
        <w:r>
          <w:rPr>
            <w:webHidden/>
          </w:rPr>
          <w:tab/>
        </w:r>
        <w:r>
          <w:rPr>
            <w:webHidden/>
          </w:rPr>
          <w:fldChar w:fldCharType="begin"/>
        </w:r>
        <w:r>
          <w:rPr>
            <w:webHidden/>
          </w:rPr>
          <w:instrText xml:space="preserve"> PAGEREF _Toc58600105 \h </w:instrText>
        </w:r>
        <w:r>
          <w:rPr>
            <w:webHidden/>
          </w:rPr>
        </w:r>
        <w:r>
          <w:rPr>
            <w:webHidden/>
          </w:rPr>
          <w:fldChar w:fldCharType="separate"/>
        </w:r>
        <w:r w:rsidR="000204BA">
          <w:rPr>
            <w:webHidden/>
          </w:rPr>
          <w:t>23</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06" w:history="1">
        <w:r w:rsidRPr="00E75DC4">
          <w:rPr>
            <w:rStyle w:val="Hyperlink"/>
            <w:rFonts w:ascii="Times New Roman" w:hAnsi="Times New Roman"/>
          </w:rPr>
          <w:t>3.2.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Modelo: AE-MAT. Dados relativos ao vencimento</w:t>
        </w:r>
        <w:r>
          <w:rPr>
            <w:webHidden/>
          </w:rPr>
          <w:tab/>
        </w:r>
        <w:r>
          <w:rPr>
            <w:webHidden/>
          </w:rPr>
          <w:fldChar w:fldCharType="begin"/>
        </w:r>
        <w:r>
          <w:rPr>
            <w:webHidden/>
          </w:rPr>
          <w:instrText xml:space="preserve"> PAGEREF _Toc58600106 \h </w:instrText>
        </w:r>
        <w:r>
          <w:rPr>
            <w:webHidden/>
          </w:rPr>
        </w:r>
        <w:r>
          <w:rPr>
            <w:webHidden/>
          </w:rPr>
          <w:fldChar w:fldCharType="separate"/>
        </w:r>
        <w:r w:rsidR="000204BA">
          <w:rPr>
            <w:webHidden/>
          </w:rPr>
          <w:t>23</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07" w:history="1">
        <w:r w:rsidRPr="00E75DC4">
          <w:rPr>
            <w:rStyle w:val="Hyperlink"/>
            <w:rFonts w:ascii="Times New Roman" w:hAnsi="Times New Roman"/>
          </w:rPr>
          <w:t>3.2.1.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sobre linhas específicas</w:t>
        </w:r>
        <w:r>
          <w:rPr>
            <w:webHidden/>
          </w:rPr>
          <w:tab/>
        </w:r>
        <w:r>
          <w:rPr>
            <w:webHidden/>
          </w:rPr>
          <w:fldChar w:fldCharType="begin"/>
        </w:r>
        <w:r>
          <w:rPr>
            <w:webHidden/>
          </w:rPr>
          <w:instrText xml:space="preserve"> PAGEREF _Toc58600107 \h </w:instrText>
        </w:r>
        <w:r>
          <w:rPr>
            <w:webHidden/>
          </w:rPr>
        </w:r>
        <w:r>
          <w:rPr>
            <w:webHidden/>
          </w:rPr>
          <w:fldChar w:fldCharType="separate"/>
        </w:r>
        <w:r w:rsidR="000204BA">
          <w:rPr>
            <w:webHidden/>
          </w:rPr>
          <w:t>23</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08" w:history="1">
        <w:r w:rsidRPr="00E75DC4">
          <w:rPr>
            <w:rStyle w:val="Hyperlink"/>
            <w:rFonts w:ascii="Times New Roman" w:hAnsi="Times New Roman"/>
          </w:rPr>
          <w:t>3.2.2.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_Toc58600108 \h </w:instrText>
        </w:r>
        <w:r>
          <w:rPr>
            <w:webHidden/>
          </w:rPr>
        </w:r>
        <w:r>
          <w:rPr>
            <w:webHidden/>
          </w:rPr>
          <w:fldChar w:fldCharType="separate"/>
        </w:r>
        <w:r w:rsidR="000204BA">
          <w:rPr>
            <w:webHidden/>
          </w:rPr>
          <w:t>24</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09" w:history="1">
        <w:r w:rsidRPr="00E75DC4">
          <w:rPr>
            <w:rStyle w:val="Hyperlink"/>
            <w:rFonts w:ascii="Times New Roman" w:hAnsi="Times New Roman"/>
          </w:rPr>
          <w:t>4.</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Parte C: Oneração contingente</w:t>
        </w:r>
        <w:r>
          <w:rPr>
            <w:webHidden/>
          </w:rPr>
          <w:tab/>
        </w:r>
        <w:r>
          <w:rPr>
            <w:webHidden/>
          </w:rPr>
          <w:fldChar w:fldCharType="begin"/>
        </w:r>
        <w:r>
          <w:rPr>
            <w:webHidden/>
          </w:rPr>
          <w:instrText xml:space="preserve"> PAGEREF _Toc58600109 \h </w:instrText>
        </w:r>
        <w:r>
          <w:rPr>
            <w:webHidden/>
          </w:rPr>
        </w:r>
        <w:r>
          <w:rPr>
            <w:webHidden/>
          </w:rPr>
          <w:fldChar w:fldCharType="separate"/>
        </w:r>
        <w:r w:rsidR="000204BA">
          <w:rPr>
            <w:webHidden/>
          </w:rPr>
          <w:t>25</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10" w:history="1">
        <w:r w:rsidRPr="00E75DC4">
          <w:rPr>
            <w:rStyle w:val="Hyperlink"/>
            <w:rFonts w:ascii="Times New Roman" w:hAnsi="Times New Roman"/>
          </w:rPr>
          <w:t>4.1.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Observações gerais</w:t>
        </w:r>
        <w:r>
          <w:rPr>
            <w:webHidden/>
          </w:rPr>
          <w:tab/>
        </w:r>
        <w:r>
          <w:rPr>
            <w:webHidden/>
          </w:rPr>
          <w:fldChar w:fldCharType="begin"/>
        </w:r>
        <w:r>
          <w:rPr>
            <w:webHidden/>
          </w:rPr>
          <w:instrText xml:space="preserve"> PAGEREF _Toc58600110 \h </w:instrText>
        </w:r>
        <w:r>
          <w:rPr>
            <w:webHidden/>
          </w:rPr>
        </w:r>
        <w:r>
          <w:rPr>
            <w:webHidden/>
          </w:rPr>
          <w:fldChar w:fldCharType="separate"/>
        </w:r>
        <w:r w:rsidR="000204BA">
          <w:rPr>
            <w:webHidden/>
          </w:rPr>
          <w:t>25</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11" w:history="1">
        <w:r w:rsidRPr="00E75DC4">
          <w:rPr>
            <w:rStyle w:val="Hyperlink"/>
            <w:rFonts w:ascii="Times New Roman" w:hAnsi="Times New Roman"/>
          </w:rPr>
          <w:t>4.1.1.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Cenário A: Diminuição em 30 % dos ativos onerados</w:t>
        </w:r>
        <w:r>
          <w:rPr>
            <w:webHidden/>
          </w:rPr>
          <w:tab/>
        </w:r>
        <w:r>
          <w:rPr>
            <w:webHidden/>
          </w:rPr>
          <w:fldChar w:fldCharType="begin"/>
        </w:r>
        <w:r>
          <w:rPr>
            <w:webHidden/>
          </w:rPr>
          <w:instrText xml:space="preserve"> PAGEREF _Toc58600111 \h </w:instrText>
        </w:r>
        <w:r>
          <w:rPr>
            <w:webHidden/>
          </w:rPr>
        </w:r>
        <w:r>
          <w:rPr>
            <w:webHidden/>
          </w:rPr>
          <w:fldChar w:fldCharType="separate"/>
        </w:r>
        <w:r w:rsidR="000204BA">
          <w:rPr>
            <w:webHidden/>
          </w:rPr>
          <w:t>26</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12" w:history="1">
        <w:r w:rsidRPr="00E75DC4">
          <w:rPr>
            <w:rStyle w:val="Hyperlink"/>
            <w:rFonts w:ascii="Times New Roman" w:hAnsi="Times New Roman"/>
          </w:rPr>
          <w:t>4.1.2.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Cenário B: Depreciação de 10 % em divisas significativas</w:t>
        </w:r>
        <w:r>
          <w:rPr>
            <w:webHidden/>
          </w:rPr>
          <w:tab/>
        </w:r>
        <w:r>
          <w:rPr>
            <w:webHidden/>
          </w:rPr>
          <w:fldChar w:fldCharType="begin"/>
        </w:r>
        <w:r>
          <w:rPr>
            <w:webHidden/>
          </w:rPr>
          <w:instrText xml:space="preserve"> PAGEREF _Toc58600112 \h </w:instrText>
        </w:r>
        <w:r>
          <w:rPr>
            <w:webHidden/>
          </w:rPr>
        </w:r>
        <w:r>
          <w:rPr>
            <w:webHidden/>
          </w:rPr>
          <w:fldChar w:fldCharType="separate"/>
        </w:r>
        <w:r w:rsidR="000204BA">
          <w:rPr>
            <w:webHidden/>
          </w:rPr>
          <w:t>26</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13" w:history="1">
        <w:r w:rsidRPr="00E75DC4">
          <w:rPr>
            <w:rStyle w:val="Hyperlink"/>
            <w:rFonts w:ascii="Times New Roman" w:hAnsi="Times New Roman"/>
          </w:rPr>
          <w:t>4.2.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Modelo: AE-CONT. Oneração contingente</w:t>
        </w:r>
        <w:r>
          <w:rPr>
            <w:webHidden/>
          </w:rPr>
          <w:tab/>
        </w:r>
        <w:r>
          <w:rPr>
            <w:webHidden/>
          </w:rPr>
          <w:fldChar w:fldCharType="begin"/>
        </w:r>
        <w:r>
          <w:rPr>
            <w:webHidden/>
          </w:rPr>
          <w:instrText xml:space="preserve"> PAGEREF _Toc58600113 \h </w:instrText>
        </w:r>
        <w:r>
          <w:rPr>
            <w:webHidden/>
          </w:rPr>
        </w:r>
        <w:r>
          <w:rPr>
            <w:webHidden/>
          </w:rPr>
          <w:fldChar w:fldCharType="separate"/>
        </w:r>
        <w:r w:rsidR="000204BA">
          <w:rPr>
            <w:webHidden/>
          </w:rPr>
          <w:t>26</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14" w:history="1">
        <w:r w:rsidRPr="00E75DC4">
          <w:rPr>
            <w:rStyle w:val="Hyperlink"/>
            <w:rFonts w:ascii="Times New Roman" w:hAnsi="Times New Roman"/>
          </w:rPr>
          <w:t>4.2.1.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sobre linhas específicas</w:t>
        </w:r>
        <w:r>
          <w:rPr>
            <w:webHidden/>
          </w:rPr>
          <w:tab/>
        </w:r>
        <w:r>
          <w:rPr>
            <w:webHidden/>
          </w:rPr>
          <w:fldChar w:fldCharType="begin"/>
        </w:r>
        <w:r>
          <w:rPr>
            <w:webHidden/>
          </w:rPr>
          <w:instrText xml:space="preserve"> PAGEREF _Toc58600114 \h </w:instrText>
        </w:r>
        <w:r>
          <w:rPr>
            <w:webHidden/>
          </w:rPr>
        </w:r>
        <w:r>
          <w:rPr>
            <w:webHidden/>
          </w:rPr>
          <w:fldChar w:fldCharType="separate"/>
        </w:r>
        <w:r w:rsidR="000204BA">
          <w:rPr>
            <w:webHidden/>
          </w:rPr>
          <w:t>26</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15" w:history="1">
        <w:r w:rsidRPr="00E75DC4">
          <w:rPr>
            <w:rStyle w:val="Hyperlink"/>
            <w:rFonts w:ascii="Times New Roman" w:hAnsi="Times New Roman"/>
          </w:rPr>
          <w:t>4.2.2.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_Toc58600115 \h </w:instrText>
        </w:r>
        <w:r>
          <w:rPr>
            <w:webHidden/>
          </w:rPr>
        </w:r>
        <w:r>
          <w:rPr>
            <w:webHidden/>
          </w:rPr>
          <w:fldChar w:fldCharType="separate"/>
        </w:r>
        <w:r w:rsidR="000204BA">
          <w:rPr>
            <w:webHidden/>
          </w:rPr>
          <w:t>26</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16" w:history="1">
        <w:r w:rsidRPr="00E75DC4">
          <w:rPr>
            <w:rStyle w:val="Hyperlink"/>
            <w:rFonts w:ascii="Times New Roman" w:hAnsi="Times New Roman"/>
          </w:rPr>
          <w:t>5.</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Parte D: Obrigações cobertas</w:t>
        </w:r>
        <w:r>
          <w:rPr>
            <w:webHidden/>
          </w:rPr>
          <w:tab/>
        </w:r>
        <w:r>
          <w:rPr>
            <w:webHidden/>
          </w:rPr>
          <w:fldChar w:fldCharType="begin"/>
        </w:r>
        <w:r>
          <w:rPr>
            <w:webHidden/>
          </w:rPr>
          <w:instrText xml:space="preserve"> PAGEREF _Toc58600116 \h </w:instrText>
        </w:r>
        <w:r>
          <w:rPr>
            <w:webHidden/>
          </w:rPr>
        </w:r>
        <w:r>
          <w:rPr>
            <w:webHidden/>
          </w:rPr>
          <w:fldChar w:fldCharType="separate"/>
        </w:r>
        <w:r w:rsidR="000204BA">
          <w:rPr>
            <w:webHidden/>
          </w:rPr>
          <w:t>27</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17" w:history="1">
        <w:r w:rsidRPr="00E75DC4">
          <w:rPr>
            <w:rStyle w:val="Hyperlink"/>
            <w:rFonts w:ascii="Times New Roman" w:hAnsi="Times New Roman"/>
          </w:rPr>
          <w:t>5.1.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Observações gerais</w:t>
        </w:r>
        <w:r>
          <w:rPr>
            <w:webHidden/>
          </w:rPr>
          <w:tab/>
        </w:r>
        <w:r>
          <w:rPr>
            <w:webHidden/>
          </w:rPr>
          <w:fldChar w:fldCharType="begin"/>
        </w:r>
        <w:r>
          <w:rPr>
            <w:webHidden/>
          </w:rPr>
          <w:instrText xml:space="preserve"> PAGEREF _Toc58600117 \h </w:instrText>
        </w:r>
        <w:r>
          <w:rPr>
            <w:webHidden/>
          </w:rPr>
        </w:r>
        <w:r>
          <w:rPr>
            <w:webHidden/>
          </w:rPr>
          <w:fldChar w:fldCharType="separate"/>
        </w:r>
        <w:r w:rsidR="000204BA">
          <w:rPr>
            <w:webHidden/>
          </w:rPr>
          <w:t>27</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18" w:history="1">
        <w:r w:rsidRPr="00E75DC4">
          <w:rPr>
            <w:rStyle w:val="Hyperlink"/>
            <w:rFonts w:ascii="Times New Roman" w:hAnsi="Times New Roman"/>
          </w:rPr>
          <w:t>5.2.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Modelo: AE-CB. Emissão de obrigações cobertas</w:t>
        </w:r>
        <w:r>
          <w:rPr>
            <w:webHidden/>
          </w:rPr>
          <w:tab/>
        </w:r>
        <w:r>
          <w:rPr>
            <w:webHidden/>
          </w:rPr>
          <w:fldChar w:fldCharType="begin"/>
        </w:r>
        <w:r>
          <w:rPr>
            <w:webHidden/>
          </w:rPr>
          <w:instrText xml:space="preserve"> PAGEREF _Toc58600118 \h </w:instrText>
        </w:r>
        <w:r>
          <w:rPr>
            <w:webHidden/>
          </w:rPr>
        </w:r>
        <w:r>
          <w:rPr>
            <w:webHidden/>
          </w:rPr>
          <w:fldChar w:fldCharType="separate"/>
        </w:r>
        <w:r w:rsidR="000204BA">
          <w:rPr>
            <w:webHidden/>
          </w:rPr>
          <w:t>28</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19" w:history="1">
        <w:r w:rsidRPr="00E75DC4">
          <w:rPr>
            <w:rStyle w:val="Hyperlink"/>
            <w:rFonts w:ascii="Times New Roman" w:hAnsi="Times New Roman"/>
          </w:rPr>
          <w:t>5.2.1.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relativas ao eixo dos z</w:t>
        </w:r>
        <w:r>
          <w:rPr>
            <w:webHidden/>
          </w:rPr>
          <w:tab/>
        </w:r>
        <w:r>
          <w:rPr>
            <w:webHidden/>
          </w:rPr>
          <w:fldChar w:fldCharType="begin"/>
        </w:r>
        <w:r>
          <w:rPr>
            <w:webHidden/>
          </w:rPr>
          <w:instrText xml:space="preserve"> PAGEREF _Toc58600119 \h </w:instrText>
        </w:r>
        <w:r>
          <w:rPr>
            <w:webHidden/>
          </w:rPr>
        </w:r>
        <w:r>
          <w:rPr>
            <w:webHidden/>
          </w:rPr>
          <w:fldChar w:fldCharType="separate"/>
        </w:r>
        <w:r w:rsidR="000204BA">
          <w:rPr>
            <w:webHidden/>
          </w:rPr>
          <w:t>28</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20" w:history="1">
        <w:r w:rsidRPr="00E75DC4">
          <w:rPr>
            <w:rStyle w:val="Hyperlink"/>
            <w:rFonts w:ascii="Times New Roman" w:hAnsi="Times New Roman"/>
          </w:rPr>
          <w:t>5.2.2.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sobre linhas específicas</w:t>
        </w:r>
        <w:r>
          <w:rPr>
            <w:webHidden/>
          </w:rPr>
          <w:tab/>
        </w:r>
        <w:r>
          <w:rPr>
            <w:webHidden/>
          </w:rPr>
          <w:fldChar w:fldCharType="begin"/>
        </w:r>
        <w:r>
          <w:rPr>
            <w:webHidden/>
          </w:rPr>
          <w:instrText xml:space="preserve"> PAGEREF _Toc58600120 \h </w:instrText>
        </w:r>
        <w:r>
          <w:rPr>
            <w:webHidden/>
          </w:rPr>
        </w:r>
        <w:r>
          <w:rPr>
            <w:webHidden/>
          </w:rPr>
          <w:fldChar w:fldCharType="separate"/>
        </w:r>
        <w:r w:rsidR="000204BA">
          <w:rPr>
            <w:webHidden/>
          </w:rPr>
          <w:t>28</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21" w:history="1">
        <w:r w:rsidRPr="00E75DC4">
          <w:rPr>
            <w:rStyle w:val="Hyperlink"/>
            <w:rFonts w:ascii="Times New Roman" w:hAnsi="Times New Roman"/>
          </w:rPr>
          <w:t>5.2.3.</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_Toc58600121 \h </w:instrText>
        </w:r>
        <w:r>
          <w:rPr>
            <w:webHidden/>
          </w:rPr>
        </w:r>
        <w:r>
          <w:rPr>
            <w:webHidden/>
          </w:rPr>
          <w:fldChar w:fldCharType="separate"/>
        </w:r>
        <w:r w:rsidR="000204BA">
          <w:rPr>
            <w:webHidden/>
          </w:rPr>
          <w:t>28</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22" w:history="1">
        <w:r w:rsidRPr="00E75DC4">
          <w:rPr>
            <w:rStyle w:val="Hyperlink"/>
            <w:rFonts w:ascii="Times New Roman" w:hAnsi="Times New Roman"/>
          </w:rPr>
          <w:t>6.</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Parte E: Dados avançados</w:t>
        </w:r>
        <w:r>
          <w:rPr>
            <w:webHidden/>
          </w:rPr>
          <w:tab/>
        </w:r>
        <w:r>
          <w:rPr>
            <w:webHidden/>
          </w:rPr>
          <w:fldChar w:fldCharType="begin"/>
        </w:r>
        <w:r>
          <w:rPr>
            <w:webHidden/>
          </w:rPr>
          <w:instrText xml:space="preserve"> PAGEREF _Toc58600122 \h </w:instrText>
        </w:r>
        <w:r>
          <w:rPr>
            <w:webHidden/>
          </w:rPr>
        </w:r>
        <w:r>
          <w:rPr>
            <w:webHidden/>
          </w:rPr>
          <w:fldChar w:fldCharType="separate"/>
        </w:r>
        <w:r w:rsidR="000204BA">
          <w:rPr>
            <w:webHidden/>
          </w:rPr>
          <w:t>32</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23" w:history="1">
        <w:r w:rsidRPr="00E75DC4">
          <w:rPr>
            <w:rStyle w:val="Hyperlink"/>
            <w:rFonts w:ascii="Times New Roman" w:hAnsi="Times New Roman"/>
          </w:rPr>
          <w:t>6.1.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Observações gerais</w:t>
        </w:r>
        <w:r>
          <w:rPr>
            <w:webHidden/>
          </w:rPr>
          <w:tab/>
        </w:r>
        <w:r>
          <w:rPr>
            <w:webHidden/>
          </w:rPr>
          <w:fldChar w:fldCharType="begin"/>
        </w:r>
        <w:r>
          <w:rPr>
            <w:webHidden/>
          </w:rPr>
          <w:instrText xml:space="preserve"> PAGEREF _Toc58600123 \h </w:instrText>
        </w:r>
        <w:r>
          <w:rPr>
            <w:webHidden/>
          </w:rPr>
        </w:r>
        <w:r>
          <w:rPr>
            <w:webHidden/>
          </w:rPr>
          <w:fldChar w:fldCharType="separate"/>
        </w:r>
        <w:r w:rsidR="000204BA">
          <w:rPr>
            <w:webHidden/>
          </w:rPr>
          <w:t>32</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24" w:history="1">
        <w:r w:rsidRPr="00E75DC4">
          <w:rPr>
            <w:rStyle w:val="Hyperlink"/>
            <w:rFonts w:ascii="Times New Roman" w:hAnsi="Times New Roman"/>
          </w:rPr>
          <w:t>6.2.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Modelo: AE-ADV1. Modelo avançado para os ativos da instituição que relata</w:t>
        </w:r>
        <w:r>
          <w:rPr>
            <w:webHidden/>
          </w:rPr>
          <w:tab/>
        </w:r>
        <w:r>
          <w:rPr>
            <w:webHidden/>
          </w:rPr>
          <w:fldChar w:fldCharType="begin"/>
        </w:r>
        <w:r>
          <w:rPr>
            <w:webHidden/>
          </w:rPr>
          <w:instrText xml:space="preserve"> PAGEREF _Toc58600124 \h </w:instrText>
        </w:r>
        <w:r>
          <w:rPr>
            <w:webHidden/>
          </w:rPr>
        </w:r>
        <w:r>
          <w:rPr>
            <w:webHidden/>
          </w:rPr>
          <w:fldChar w:fldCharType="separate"/>
        </w:r>
        <w:r w:rsidR="000204BA">
          <w:rPr>
            <w:webHidden/>
          </w:rPr>
          <w:t>32</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25" w:history="1">
        <w:r w:rsidRPr="00E75DC4">
          <w:rPr>
            <w:rStyle w:val="Hyperlink"/>
            <w:rFonts w:ascii="Times New Roman" w:hAnsi="Times New Roman"/>
          </w:rPr>
          <w:t>6.2.1.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sobre linhas específicas</w:t>
        </w:r>
        <w:r>
          <w:rPr>
            <w:webHidden/>
          </w:rPr>
          <w:tab/>
        </w:r>
        <w:r>
          <w:rPr>
            <w:webHidden/>
          </w:rPr>
          <w:fldChar w:fldCharType="begin"/>
        </w:r>
        <w:r>
          <w:rPr>
            <w:webHidden/>
          </w:rPr>
          <w:instrText xml:space="preserve"> PAGEREF _Toc58600125 \h </w:instrText>
        </w:r>
        <w:r>
          <w:rPr>
            <w:webHidden/>
          </w:rPr>
        </w:r>
        <w:r>
          <w:rPr>
            <w:webHidden/>
          </w:rPr>
          <w:fldChar w:fldCharType="separate"/>
        </w:r>
        <w:r w:rsidR="000204BA">
          <w:rPr>
            <w:webHidden/>
          </w:rPr>
          <w:t>32</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26" w:history="1">
        <w:r w:rsidRPr="00E75DC4">
          <w:rPr>
            <w:rStyle w:val="Hyperlink"/>
            <w:rFonts w:ascii="Times New Roman" w:hAnsi="Times New Roman"/>
          </w:rPr>
          <w:t>6.2.2.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_Toc58600126 \h </w:instrText>
        </w:r>
        <w:r>
          <w:rPr>
            <w:webHidden/>
          </w:rPr>
        </w:r>
        <w:r>
          <w:rPr>
            <w:webHidden/>
          </w:rPr>
          <w:fldChar w:fldCharType="separate"/>
        </w:r>
        <w:r w:rsidR="000204BA">
          <w:rPr>
            <w:webHidden/>
          </w:rPr>
          <w:t>34</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27" w:history="1">
        <w:r w:rsidRPr="00E75DC4">
          <w:rPr>
            <w:rStyle w:val="Hyperlink"/>
            <w:rFonts w:ascii="Times New Roman" w:hAnsi="Times New Roman"/>
          </w:rPr>
          <w:t>6.3.</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Modelo: AE-ADV2. Modelo avançado para as cauções recebidas pela instituição que relata</w:t>
        </w:r>
        <w:r>
          <w:rPr>
            <w:webHidden/>
          </w:rPr>
          <w:tab/>
        </w:r>
        <w:r>
          <w:rPr>
            <w:webHidden/>
          </w:rPr>
          <w:fldChar w:fldCharType="begin"/>
        </w:r>
        <w:r>
          <w:rPr>
            <w:webHidden/>
          </w:rPr>
          <w:instrText xml:space="preserve"> PAGEREF _Toc58600127 \h </w:instrText>
        </w:r>
        <w:r>
          <w:rPr>
            <w:webHidden/>
          </w:rPr>
        </w:r>
        <w:r>
          <w:rPr>
            <w:webHidden/>
          </w:rPr>
          <w:fldChar w:fldCharType="separate"/>
        </w:r>
        <w:r w:rsidR="000204BA">
          <w:rPr>
            <w:webHidden/>
          </w:rPr>
          <w:t>35</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28" w:history="1">
        <w:r w:rsidRPr="00E75DC4">
          <w:rPr>
            <w:rStyle w:val="Hyperlink"/>
            <w:rFonts w:ascii="Times New Roman" w:hAnsi="Times New Roman"/>
          </w:rPr>
          <w:t>6.3.1.</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sobre linhas específicas</w:t>
        </w:r>
        <w:r>
          <w:rPr>
            <w:webHidden/>
          </w:rPr>
          <w:tab/>
        </w:r>
        <w:r>
          <w:rPr>
            <w:webHidden/>
          </w:rPr>
          <w:fldChar w:fldCharType="begin"/>
        </w:r>
        <w:r>
          <w:rPr>
            <w:webHidden/>
          </w:rPr>
          <w:instrText xml:space="preserve"> PAGEREF _Toc58600128 \h </w:instrText>
        </w:r>
        <w:r>
          <w:rPr>
            <w:webHidden/>
          </w:rPr>
        </w:r>
        <w:r>
          <w:rPr>
            <w:webHidden/>
          </w:rPr>
          <w:fldChar w:fldCharType="separate"/>
        </w:r>
        <w:r w:rsidR="000204BA">
          <w:rPr>
            <w:webHidden/>
          </w:rPr>
          <w:t>35</w:t>
        </w:r>
        <w:r>
          <w:rPr>
            <w:webHidden/>
          </w:rPr>
          <w:fldChar w:fldCharType="end"/>
        </w:r>
      </w:hyperlink>
    </w:p>
    <w:p w:rsidR="000B3548" w:rsidRDefault="000B3548">
      <w:pPr>
        <w:pStyle w:val="TOC2"/>
        <w:rPr>
          <w:rFonts w:asciiTheme="minorHAnsi" w:eastAsiaTheme="minorEastAsia" w:hAnsiTheme="minorHAnsi" w:cstheme="minorBidi"/>
          <w:b w:val="0"/>
          <w:smallCaps w:val="0"/>
          <w:sz w:val="22"/>
          <w:lang w:val="en-US"/>
        </w:rPr>
      </w:pPr>
      <w:hyperlink w:anchor="_Toc58600129" w:history="1">
        <w:r w:rsidRPr="00E75DC4">
          <w:rPr>
            <w:rStyle w:val="Hyperlink"/>
            <w:rFonts w:ascii="Times New Roman" w:hAnsi="Times New Roman"/>
          </w:rPr>
          <w:t>6.3.2.</w:t>
        </w:r>
        <w:r>
          <w:rPr>
            <w:rFonts w:asciiTheme="minorHAnsi" w:eastAsiaTheme="minorEastAsia" w:hAnsiTheme="minorHAnsi" w:cstheme="minorBidi"/>
            <w:b w:val="0"/>
            <w:smallCaps w:val="0"/>
            <w:sz w:val="22"/>
            <w:lang w:val="en-US"/>
          </w:rPr>
          <w:tab/>
        </w:r>
        <w:r w:rsidRPr="00E75DC4">
          <w:rPr>
            <w:rStyle w:val="Hyperlink"/>
            <w:rFonts w:ascii="Times New Roman" w:hAnsi="Times New Roman"/>
          </w:rPr>
          <w:t>Instruções relativas a colunas específicas</w:t>
        </w:r>
        <w:r>
          <w:rPr>
            <w:webHidden/>
          </w:rPr>
          <w:tab/>
        </w:r>
        <w:r>
          <w:rPr>
            <w:webHidden/>
          </w:rPr>
          <w:fldChar w:fldCharType="begin"/>
        </w:r>
        <w:r>
          <w:rPr>
            <w:webHidden/>
          </w:rPr>
          <w:instrText xml:space="preserve"> PAGEREF _Toc58600129 \h </w:instrText>
        </w:r>
        <w:r>
          <w:rPr>
            <w:webHidden/>
          </w:rPr>
        </w:r>
        <w:r>
          <w:rPr>
            <w:webHidden/>
          </w:rPr>
          <w:fldChar w:fldCharType="separate"/>
        </w:r>
        <w:r w:rsidR="000204BA">
          <w:rPr>
            <w:webHidden/>
          </w:rPr>
          <w:t>35</w:t>
        </w:r>
        <w:r>
          <w:rPr>
            <w:webHidden/>
          </w:rPr>
          <w:fldChar w:fldCharType="end"/>
        </w:r>
      </w:hyperlink>
    </w:p>
    <w:p w:rsidR="00941FAE" w:rsidRPr="00A67D5A" w:rsidRDefault="00941FAE" w:rsidP="00941FAE">
      <w:pPr>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Pr>
          <w:rFonts w:ascii="Times New Roman" w:hAnsi="Times New Roman"/>
          <w:sz w:val="24"/>
        </w:rPr>
        <w:fldChar w:fldCharType="end"/>
      </w:r>
    </w:p>
    <w:p w:rsidR="00941FAE" w:rsidRDefault="00941FAE" w:rsidP="00941FAE">
      <w:pPr>
        <w:pStyle w:val="Heading2"/>
        <w:spacing w:before="0"/>
        <w:rPr>
          <w:rFonts w:ascii="Times New Roman" w:hAnsi="Times New Roman"/>
        </w:rPr>
      </w:pPr>
      <w:bookmarkStart w:id="2" w:name="_Toc322687864"/>
      <w:bookmarkStart w:id="3" w:name="_Toc58600077"/>
      <w:r>
        <w:rPr>
          <w:rFonts w:ascii="Times New Roman" w:hAnsi="Times New Roman"/>
        </w:rPr>
        <w:lastRenderedPageBreak/>
        <w:t>INSTRUÇÕES GENÉRICAS</w:t>
      </w:r>
      <w:bookmarkEnd w:id="2"/>
      <w:bookmarkEnd w:id="3"/>
      <w:r>
        <w:rPr>
          <w:rFonts w:ascii="Times New Roman" w:hAnsi="Times New Roman"/>
        </w:rPr>
        <w:t xml:space="preserve"> </w:t>
      </w:r>
      <w:bookmarkStart w:id="4" w:name="_Toc322687865"/>
    </w:p>
    <w:p w:rsidR="00941FAE" w:rsidRPr="00361B13" w:rsidRDefault="00941FAE" w:rsidP="00941FAE">
      <w:pPr>
        <w:pStyle w:val="Heading2"/>
        <w:spacing w:before="0"/>
        <w:rPr>
          <w:rFonts w:ascii="Times New Roman" w:hAnsi="Times New Roman"/>
        </w:rPr>
      </w:pPr>
      <w:bookmarkStart w:id="5" w:name="_Toc58600078"/>
      <w:r>
        <w:rPr>
          <w:rFonts w:ascii="Times New Roman" w:hAnsi="Times New Roman"/>
        </w:rPr>
        <w:t>1. Estrutura e convenções</w:t>
      </w:r>
      <w:bookmarkEnd w:id="4"/>
      <w:bookmarkEnd w:id="5"/>
    </w:p>
    <w:p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 w:name="_Toc322687866"/>
      <w:bookmarkStart w:id="7" w:name="_Toc264038399"/>
      <w:bookmarkStart w:id="8" w:name="_Toc294018834"/>
      <w:bookmarkStart w:id="9" w:name="_Toc58600079"/>
      <w:r>
        <w:rPr>
          <w:rFonts w:ascii="Times New Roman" w:hAnsi="Times New Roman"/>
          <w:sz w:val="24"/>
          <w:u w:val="none"/>
        </w:rPr>
        <w:t>Estrutura</w:t>
      </w:r>
      <w:bookmarkEnd w:id="6"/>
      <w:bookmarkEnd w:id="9"/>
    </w:p>
    <w:p w:rsidR="00941FAE" w:rsidRPr="00E6052D" w:rsidRDefault="00941FAE" w:rsidP="00941FAE">
      <w:pPr>
        <w:pStyle w:val="InstructionsText2"/>
        <w:shd w:val="clear" w:color="auto" w:fill="FFFFFF"/>
        <w:spacing w:after="120"/>
        <w:rPr>
          <w:sz w:val="24"/>
        </w:rPr>
      </w:pPr>
      <w:r>
        <w:rPr>
          <w:sz w:val="24"/>
        </w:rPr>
        <w:t>O sistema consiste em cinco conjuntos de modelos que incluem um total de nove modelos, de acordo com o seguinte esquema:</w:t>
      </w:r>
    </w:p>
    <w:p w:rsidR="00941FAE" w:rsidRPr="00B93E25" w:rsidRDefault="00941FAE" w:rsidP="00941FAE">
      <w:pPr>
        <w:pStyle w:val="ListParagraph"/>
        <w:numPr>
          <w:ilvl w:val="0"/>
          <w:numId w:val="8"/>
        </w:numPr>
        <w:spacing w:before="0"/>
        <w:rPr>
          <w:rFonts w:ascii="Times New Roman" w:hAnsi="Times New Roman"/>
          <w:sz w:val="24"/>
        </w:rPr>
      </w:pPr>
      <w:r>
        <w:rPr>
          <w:rFonts w:ascii="Times New Roman" w:hAnsi="Times New Roman"/>
          <w:sz w:val="24"/>
        </w:rPr>
        <w:t>Parte A: Visão geral da oneração:</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Modelo AE-ASS. Ativos da instituição que relata;</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Modelo AE-COL. Cauções recebidas pela instituição que relata;</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Modelo AE-NPL. Obrigações cobertas e titularizações próprias emitidas e ainda não dadas em garantia;</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Modelo AE-SOU. Fontes de oneração;</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 B: Dados relativos ao vencimento:</w:t>
      </w:r>
    </w:p>
    <w:p w:rsidR="00941FAE" w:rsidRPr="000F059F" w:rsidRDefault="00941FAE" w:rsidP="00941FAE">
      <w:pPr>
        <w:pStyle w:val="ListParagraph"/>
        <w:numPr>
          <w:ilvl w:val="1"/>
          <w:numId w:val="8"/>
        </w:numPr>
        <w:rPr>
          <w:rFonts w:ascii="Times New Roman" w:hAnsi="Times New Roman"/>
          <w:sz w:val="24"/>
        </w:rPr>
      </w:pPr>
      <w:r>
        <w:rPr>
          <w:rFonts w:ascii="Times New Roman" w:hAnsi="Times New Roman"/>
          <w:sz w:val="24"/>
        </w:rPr>
        <w:t>Modelo AE-MAT. Dados relativos ao vencimento;</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 C: Oneração contingente:</w:t>
      </w:r>
    </w:p>
    <w:p w:rsidR="00941FAE" w:rsidRPr="00141A4E" w:rsidRDefault="00941FAE" w:rsidP="00941FAE">
      <w:pPr>
        <w:pStyle w:val="ListParagraph"/>
        <w:numPr>
          <w:ilvl w:val="1"/>
          <w:numId w:val="8"/>
        </w:numPr>
        <w:rPr>
          <w:rFonts w:ascii="Times New Roman" w:hAnsi="Times New Roman"/>
          <w:sz w:val="24"/>
        </w:rPr>
      </w:pPr>
      <w:r>
        <w:rPr>
          <w:rFonts w:ascii="Times New Roman" w:hAnsi="Times New Roman"/>
          <w:sz w:val="24"/>
        </w:rPr>
        <w:t>Modelo AE-CONT. Oneração contingente;</w:t>
      </w:r>
    </w:p>
    <w:p w:rsidR="00941FAE" w:rsidRPr="000F059F" w:rsidRDefault="00941FAE" w:rsidP="00941FAE">
      <w:pPr>
        <w:pStyle w:val="ListParagraph"/>
        <w:numPr>
          <w:ilvl w:val="0"/>
          <w:numId w:val="8"/>
        </w:numPr>
        <w:rPr>
          <w:rFonts w:ascii="Times New Roman" w:hAnsi="Times New Roman"/>
          <w:sz w:val="24"/>
        </w:rPr>
      </w:pPr>
      <w:r>
        <w:rPr>
          <w:rFonts w:ascii="Times New Roman" w:hAnsi="Times New Roman"/>
          <w:sz w:val="24"/>
        </w:rPr>
        <w:t>Parte D: Obrigações cobertas:</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Modelo AE-CB. Emissão de obrigações cobertas;</w:t>
      </w:r>
    </w:p>
    <w:p w:rsidR="00941FAE" w:rsidRPr="00361B13" w:rsidRDefault="00941FAE" w:rsidP="00941FAE">
      <w:pPr>
        <w:pStyle w:val="ListParagraph"/>
        <w:numPr>
          <w:ilvl w:val="0"/>
          <w:numId w:val="8"/>
        </w:numPr>
        <w:rPr>
          <w:rFonts w:ascii="Times New Roman" w:hAnsi="Times New Roman"/>
          <w:sz w:val="24"/>
        </w:rPr>
      </w:pPr>
      <w:r>
        <w:rPr>
          <w:rFonts w:ascii="Times New Roman" w:hAnsi="Times New Roman"/>
          <w:sz w:val="24"/>
        </w:rPr>
        <w:t>Parte E: Dados avançados:</w:t>
      </w:r>
    </w:p>
    <w:p w:rsidR="00941FAE" w:rsidRPr="00A67D5A" w:rsidRDefault="00941FAE" w:rsidP="00941FAE">
      <w:pPr>
        <w:pStyle w:val="ListParagraph"/>
        <w:numPr>
          <w:ilvl w:val="1"/>
          <w:numId w:val="8"/>
        </w:numPr>
        <w:rPr>
          <w:rFonts w:ascii="Times New Roman" w:hAnsi="Times New Roman"/>
          <w:sz w:val="24"/>
        </w:rPr>
      </w:pPr>
      <w:r>
        <w:rPr>
          <w:rFonts w:ascii="Times New Roman" w:hAnsi="Times New Roman"/>
          <w:sz w:val="24"/>
        </w:rPr>
        <w:t>Modelo AE-ADV-1. Modelo avançado para os ativos da instituição que relata;</w:t>
      </w:r>
    </w:p>
    <w:p w:rsidR="00941FAE" w:rsidRPr="00B93E25" w:rsidRDefault="00941FAE" w:rsidP="00941FAE">
      <w:pPr>
        <w:pStyle w:val="ListParagraph"/>
        <w:numPr>
          <w:ilvl w:val="1"/>
          <w:numId w:val="8"/>
        </w:numPr>
        <w:spacing w:before="0"/>
        <w:rPr>
          <w:rFonts w:ascii="Times New Roman" w:hAnsi="Times New Roman"/>
          <w:sz w:val="24"/>
        </w:rPr>
      </w:pPr>
      <w:r>
        <w:rPr>
          <w:rFonts w:ascii="Times New Roman" w:hAnsi="Times New Roman"/>
          <w:sz w:val="24"/>
        </w:rPr>
        <w:t>Modelo AE-ADV-2. Modelo avançado para as cauções recebidas pela instituição que relata.</w:t>
      </w:r>
    </w:p>
    <w:p w:rsidR="00941FAE" w:rsidRPr="005F7E60" w:rsidRDefault="00941FAE" w:rsidP="00941FAE">
      <w:pPr>
        <w:pStyle w:val="InstructionsText2"/>
        <w:shd w:val="clear" w:color="auto" w:fill="FFFFFF"/>
        <w:spacing w:after="120"/>
        <w:rPr>
          <w:sz w:val="24"/>
        </w:rPr>
      </w:pPr>
      <w:r>
        <w:rPr>
          <w:sz w:val="24"/>
        </w:rPr>
        <w:t>Para cada modelo são fornecidas as referências jurídicas, bem como informações mais pormenorizadas sobre aspetos mais gerais do relato.</w:t>
      </w:r>
    </w:p>
    <w:p w:rsidR="00941FAE" w:rsidRPr="000F059F" w:rsidRDefault="00941FAE" w:rsidP="00941FAE">
      <w:pPr>
        <w:pStyle w:val="Instructionsberschrift2"/>
        <w:numPr>
          <w:ilvl w:val="1"/>
          <w:numId w:val="3"/>
        </w:numPr>
        <w:shd w:val="clear" w:color="auto" w:fill="FFFFFF"/>
        <w:spacing w:before="0" w:after="120"/>
        <w:rPr>
          <w:sz w:val="24"/>
        </w:rPr>
      </w:pPr>
      <w:bookmarkStart w:id="10" w:name="_Toc58600080"/>
      <w:r>
        <w:rPr>
          <w:rFonts w:ascii="Times New Roman" w:hAnsi="Times New Roman"/>
          <w:sz w:val="24"/>
          <w:u w:val="none"/>
        </w:rPr>
        <w:t>Norma contabilística</w:t>
      </w:r>
      <w:bookmarkEnd w:id="10"/>
    </w:p>
    <w:p w:rsidR="00941FAE" w:rsidRPr="000F059F" w:rsidRDefault="00941FAE" w:rsidP="00941FAE">
      <w:pPr>
        <w:pStyle w:val="InstructionsText2"/>
        <w:shd w:val="clear" w:color="auto" w:fill="FFFFFF"/>
        <w:spacing w:after="120"/>
        <w:rPr>
          <w:sz w:val="24"/>
        </w:rPr>
      </w:pPr>
      <w:r>
        <w:rPr>
          <w:sz w:val="24"/>
        </w:rPr>
        <w:t>As instituições devem comunicar os montantes escriturados de acordo com o sistema de contabilidade que utilizam para a prestação de informações financeiras nos termos dos artigos 9.º a 11.º. As instituições que não são obrigadas a prestar informações financeiras devem utilizar o seu respetivo sistema de contabilidade. No modelo AE-SOU, as instituições devem, em geral, comunicar os montantes escriturados antes da compensação contabilística, caso exista, em conformidade com a comunicação, em termos brutos, da oneração de ativos e cauções.</w:t>
      </w:r>
    </w:p>
    <w:p w:rsidR="00941FAE" w:rsidRPr="000F059F" w:rsidRDefault="00941FAE" w:rsidP="00941FAE">
      <w:pPr>
        <w:pStyle w:val="InstructionsText2"/>
        <w:shd w:val="clear" w:color="auto" w:fill="FFFFFF"/>
        <w:spacing w:after="120"/>
        <w:rPr>
          <w:sz w:val="24"/>
        </w:rPr>
      </w:pPr>
      <w:r>
        <w:rPr>
          <w:sz w:val="24"/>
        </w:rPr>
        <w:t>Para efeitos do presente anexo, os termos «IAS» e «IFRS» referem-se às normas internacionais de contabilidade, tal como definidas no artigo 2.º do Regulamento (CE) n.º 1606/2002</w:t>
      </w:r>
      <w:r>
        <w:rPr>
          <w:sz w:val="24"/>
          <w:szCs w:val="24"/>
        </w:rPr>
        <w:t>.</w:t>
      </w:r>
      <w:r>
        <w:rPr>
          <w:sz w:val="24"/>
        </w:rPr>
        <w:t xml:space="preserve"> Para as instituições que prestam informações de acordo com as normas IFRS, foram introduzidas referências às IFRS relevantes. </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 w:name="_Toc322687867"/>
      <w:bookmarkStart w:id="12" w:name="_Toc58600081"/>
      <w:r>
        <w:rPr>
          <w:rFonts w:ascii="Times New Roman" w:hAnsi="Times New Roman"/>
          <w:sz w:val="24"/>
          <w:u w:val="none"/>
        </w:rPr>
        <w:t>Convenções relativas à numeração</w:t>
      </w:r>
      <w:bookmarkEnd w:id="12"/>
    </w:p>
    <w:p w:rsidR="00941FAE" w:rsidRPr="000F059F" w:rsidRDefault="00941FAE" w:rsidP="00941FAE">
      <w:pPr>
        <w:pStyle w:val="InstructionsText2"/>
        <w:shd w:val="clear" w:color="auto" w:fill="FFFFFF"/>
        <w:spacing w:after="120"/>
        <w:rPr>
          <w:sz w:val="24"/>
        </w:rPr>
      </w:pPr>
      <w:r>
        <w:rPr>
          <w:sz w:val="24"/>
        </w:rPr>
        <w:t>Nas presentes instruções é utilizada a seguinte notação geral para se referir às colunas, linhas e células de um modelo: {Modelo; Linha; Coluna}. Um asterisco indica que a validação se aplica à totalidade da linha ou coluna. Por exemplo, {AE-ASS; *; 2} refere-se aos dados de qualquer linha da coluna 2 do modelo AE-ASS.</w:t>
      </w:r>
    </w:p>
    <w:p w:rsidR="00941FAE" w:rsidRPr="000F059F" w:rsidRDefault="00941FAE" w:rsidP="00941FAE">
      <w:pPr>
        <w:pStyle w:val="InstructionsText2"/>
        <w:shd w:val="clear" w:color="auto" w:fill="FFFFFF"/>
        <w:spacing w:after="120"/>
        <w:rPr>
          <w:sz w:val="24"/>
        </w:rPr>
      </w:pPr>
      <w:r>
        <w:rPr>
          <w:sz w:val="24"/>
        </w:rPr>
        <w:t>No caso de validações num modelo utiliza-se a seguinte notação para designar os dados desse modelo: {Linha; Coluna}.</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3" w:name="_Toc322687868"/>
      <w:bookmarkStart w:id="14" w:name="_Toc58600082"/>
      <w:r>
        <w:rPr>
          <w:rFonts w:ascii="Times New Roman" w:hAnsi="Times New Roman"/>
          <w:sz w:val="24"/>
          <w:u w:val="none"/>
        </w:rPr>
        <w:lastRenderedPageBreak/>
        <w:t>Sinais convencionados</w:t>
      </w:r>
      <w:bookmarkEnd w:id="13"/>
      <w:bookmarkEnd w:id="14"/>
    </w:p>
    <w:p w:rsidR="00941FAE" w:rsidRPr="00361B13" w:rsidRDefault="00941FAE" w:rsidP="00941FAE">
      <w:pPr>
        <w:pStyle w:val="InstructionsText2"/>
        <w:shd w:val="clear" w:color="auto" w:fill="FFFFFF"/>
        <w:spacing w:after="120"/>
        <w:rPr>
          <w:sz w:val="24"/>
        </w:rPr>
      </w:pPr>
    </w:p>
    <w:p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8600083"/>
      <w:r>
        <w:rPr>
          <w:rFonts w:ascii="Times New Roman" w:hAnsi="Times New Roman"/>
          <w:sz w:val="24"/>
          <w:u w:val="none"/>
        </w:rPr>
        <w:t>Nível de aplicação</w:t>
      </w:r>
      <w:bookmarkEnd w:id="15"/>
    </w:p>
    <w:p w:rsidR="00941FAE" w:rsidRPr="000F059F" w:rsidRDefault="00941FAE" w:rsidP="00941FAE">
      <w:pPr>
        <w:pStyle w:val="InstructionsText2"/>
        <w:spacing w:after="120"/>
        <w:rPr>
          <w:sz w:val="24"/>
        </w:rPr>
      </w:pPr>
      <w:r>
        <w:rPr>
          <w:sz w:val="24"/>
        </w:rPr>
        <w:t>O nível de aplicação da prestação de informações sobre a oneração de ativos corresponde ao dos requisitos de prestação de informações sobre os fundos próprios em conformidade com o artigo 99.º, n.º 1, primeiro parágrafo, do Regulamento (UE) n.º 575/2013 (CRR). Por conseguinte, as instituições que não estão sujeitas à aplicação de requisitos prudenciais de acordo com o artigo 7.º do CRR não são obrigadas a prestar informações sobre a oneração de ativos.</w:t>
      </w:r>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8600084"/>
      <w:r>
        <w:rPr>
          <w:rFonts w:ascii="Times New Roman" w:hAnsi="Times New Roman"/>
          <w:sz w:val="24"/>
          <w:u w:val="none"/>
        </w:rPr>
        <w:t>Proporcionalidade</w:t>
      </w:r>
      <w:bookmarkEnd w:id="16"/>
    </w:p>
    <w:p w:rsidR="00941FAE" w:rsidRPr="000F059F" w:rsidRDefault="00941FAE" w:rsidP="00941FAE">
      <w:pPr>
        <w:pStyle w:val="InstructionsText2"/>
        <w:spacing w:after="120"/>
        <w:rPr>
          <w:sz w:val="24"/>
        </w:rPr>
      </w:pPr>
      <w:r>
        <w:rPr>
          <w:sz w:val="24"/>
        </w:rPr>
        <w:t>Para efeitos do artigo 16.º-A</w:t>
      </w:r>
      <w:r>
        <w:rPr>
          <w:sz w:val="24"/>
          <w:szCs w:val="24"/>
        </w:rPr>
        <w:t>, n.º </w:t>
      </w:r>
      <w:r>
        <w:rPr>
          <w:sz w:val="24"/>
        </w:rPr>
        <w:t>2</w:t>
      </w:r>
      <w:r>
        <w:rPr>
          <w:sz w:val="24"/>
          <w:szCs w:val="24"/>
        </w:rPr>
        <w:t xml:space="preserve">, alínea </w:t>
      </w:r>
      <w:r>
        <w:rPr>
          <w:sz w:val="24"/>
        </w:rPr>
        <w:t>b), o nível de oneração dos ativos</w:t>
      </w:r>
      <w:r>
        <w:rPr>
          <w:sz w:val="24"/>
          <w:szCs w:val="24"/>
        </w:rPr>
        <w:t xml:space="preserve"> é calculado </w:t>
      </w:r>
      <w:r>
        <w:rPr>
          <w:sz w:val="24"/>
        </w:rPr>
        <w:t>do seguinte modo:</w:t>
      </w:r>
    </w:p>
    <w:p w:rsidR="00941FAE" w:rsidRPr="00A67D5A" w:rsidRDefault="00941FAE" w:rsidP="00941FAE">
      <w:pPr>
        <w:pStyle w:val="InstructionsText2"/>
        <w:numPr>
          <w:ilvl w:val="1"/>
          <w:numId w:val="2"/>
        </w:numPr>
        <w:spacing w:after="120"/>
        <w:rPr>
          <w:sz w:val="24"/>
        </w:rPr>
      </w:pPr>
      <w:r>
        <w:rPr>
          <w:sz w:val="24"/>
        </w:rPr>
        <w:t>Montante escriturado dos ativos onerados e cauções = {AE-ASS;010;010}+{AE-COL;130;010};</w:t>
      </w:r>
    </w:p>
    <w:p w:rsidR="00941FAE" w:rsidRPr="00A67D5A" w:rsidRDefault="00941FAE" w:rsidP="00941FAE">
      <w:pPr>
        <w:pStyle w:val="InstructionsText2"/>
        <w:numPr>
          <w:ilvl w:val="1"/>
          <w:numId w:val="2"/>
        </w:numPr>
        <w:spacing w:after="120"/>
        <w:rPr>
          <w:sz w:val="24"/>
        </w:rPr>
      </w:pPr>
      <w:r>
        <w:rPr>
          <w:sz w:val="24"/>
        </w:rPr>
        <w:t>Total dos ativos e cauções = {AE-ASS;010;010}+ {AE-ASS;010;060}+{AE-COL;130;010}+{AE-COL;130;040};</w:t>
      </w:r>
    </w:p>
    <w:p w:rsidR="00941FAE" w:rsidRPr="00A67D5A" w:rsidRDefault="00941FAE" w:rsidP="00941FAE">
      <w:pPr>
        <w:pStyle w:val="InstructionsText2"/>
        <w:numPr>
          <w:ilvl w:val="1"/>
          <w:numId w:val="2"/>
        </w:numPr>
        <w:spacing w:after="120"/>
        <w:rPr>
          <w:sz w:val="24"/>
        </w:rPr>
      </w:pPr>
      <w:r>
        <w:rPr>
          <w:sz w:val="24"/>
        </w:rPr>
        <w:t>Rácio de oneração dos ativos = (Montante escriturado dos ativos</w:t>
      </w:r>
      <w:ins w:id="17" w:author="raposnu" w:date="2020-12-08T09:50:00Z">
        <w:r>
          <w:rPr>
            <w:sz w:val="24"/>
          </w:rPr>
          <w:t xml:space="preserve"> onerados</w:t>
        </w:r>
      </w:ins>
      <w:r>
        <w:rPr>
          <w:sz w:val="24"/>
        </w:rPr>
        <w:t xml:space="preserve"> e cauções</w:t>
      </w:r>
      <w:del w:id="18" w:author="raposnu" w:date="2020-12-08T09:50:00Z">
        <w:r>
          <w:rPr>
            <w:sz w:val="24"/>
          </w:rPr>
          <w:delText xml:space="preserve"> onerados</w:delText>
        </w:r>
      </w:del>
      <w:r>
        <w:rPr>
          <w:sz w:val="24"/>
        </w:rPr>
        <w:t>)/(Total dos ativos e cauções).</w:t>
      </w:r>
    </w:p>
    <w:p w:rsidR="00941FAE" w:rsidRPr="00E6052D" w:rsidRDefault="00941FAE" w:rsidP="00941FAE">
      <w:pPr>
        <w:pStyle w:val="InstructionsText2"/>
        <w:spacing w:after="120"/>
        <w:rPr>
          <w:sz w:val="24"/>
        </w:rPr>
      </w:pPr>
      <w:r>
        <w:rPr>
          <w:sz w:val="24"/>
        </w:rPr>
        <w:t xml:space="preserve">Para efeitos do artigo </w:t>
      </w:r>
      <w:r>
        <w:rPr>
          <w:sz w:val="24"/>
          <w:szCs w:val="24"/>
        </w:rPr>
        <w:t>16.º-A, n.º 2, alínea a),</w:t>
      </w:r>
      <w:r>
        <w:rPr>
          <w:sz w:val="24"/>
        </w:rPr>
        <w:t xml:space="preserve"> a soma do total dos ativos é calculada do seguinte modo:</w:t>
      </w:r>
    </w:p>
    <w:p w:rsidR="00941FAE" w:rsidRPr="005F7E60" w:rsidRDefault="00941FAE" w:rsidP="00941FAE">
      <w:pPr>
        <w:pStyle w:val="InstructionsText2"/>
        <w:numPr>
          <w:ilvl w:val="1"/>
          <w:numId w:val="2"/>
        </w:numPr>
        <w:spacing w:after="120"/>
        <w:rPr>
          <w:sz w:val="24"/>
        </w:rPr>
      </w:pPr>
      <w:r>
        <w:rPr>
          <w:sz w:val="24"/>
        </w:rPr>
        <w:t>Total dos ativos = {AE-ASS;010;010}+</w:t>
      </w:r>
      <w:del w:id="19" w:author="raposnu" w:date="2020-12-08T09:51:00Z">
        <w:r>
          <w:rPr>
            <w:sz w:val="24"/>
          </w:rPr>
          <w:delText xml:space="preserve"> </w:delText>
        </w:r>
      </w:del>
      <w:r>
        <w:rPr>
          <w:sz w:val="24"/>
        </w:rPr>
        <w:t>{AE-ASS;010;060}</w:t>
      </w:r>
    </w:p>
    <w:p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20" w:name="_Toc58600085"/>
      <w:r>
        <w:rPr>
          <w:rFonts w:ascii="Times New Roman" w:hAnsi="Times New Roman"/>
          <w:sz w:val="24"/>
          <w:u w:val="none"/>
        </w:rPr>
        <w:t>Definição do conceito de oneração</w:t>
      </w:r>
      <w:bookmarkEnd w:id="20"/>
    </w:p>
    <w:p w:rsidR="00941FAE" w:rsidRPr="000F059F" w:rsidRDefault="00941FAE" w:rsidP="00941FAE">
      <w:pPr>
        <w:pStyle w:val="InstructionsText2"/>
        <w:spacing w:after="120"/>
        <w:rPr>
          <w:sz w:val="24"/>
        </w:rPr>
      </w:pPr>
      <w:r>
        <w:rPr>
          <w:sz w:val="24"/>
        </w:rPr>
        <w:t>Para efeitos do presente anexo e do anexo XVI, um ativo deve ser considerado como onerado se tiver sido dado em garantia ou se for objeto de qualquer forma de acordo que tenha por objetivo garantir, caucionar ou melhorar a qualidade creditícia de uma transação, do qual não possa ser livremente retirado.</w:t>
      </w:r>
    </w:p>
    <w:p w:rsidR="00941FAE" w:rsidRPr="000F059F" w:rsidRDefault="00941FAE" w:rsidP="00941FAE">
      <w:pPr>
        <w:pStyle w:val="InstructionsText2"/>
        <w:numPr>
          <w:ilvl w:val="0"/>
          <w:numId w:val="0"/>
        </w:numPr>
        <w:spacing w:after="120"/>
        <w:ind w:left="720"/>
        <w:rPr>
          <w:sz w:val="24"/>
        </w:rPr>
      </w:pPr>
      <w:r>
        <w:rPr>
          <w:sz w:val="24"/>
        </w:rPr>
        <w:t xml:space="preserve">É importante salientar que todos os ativos dados em garantia e sujeitos a restrições de retirada como garantia, como por exemplo ativos que requerem aprovação prévia antes da sua retirada como caução ou da sua substituição por outros ativos, devem ser considerados onerados. Esta definição não se baseia numa definição jurídica explícita, como por exemplo a transferência de titularidade, mas sim em princípios económicos, uma vez que os quadros jurídicos podem diferir a este respeito de um país para outro. Todavia, está estreitamente associada às condições contratuais. A EBA considera que os seguintes tipos de contratos são adequadamente abrangidos pela definição (lista não exaustiva): </w:t>
      </w:r>
    </w:p>
    <w:p w:rsidR="00941FAE" w:rsidRPr="000F059F" w:rsidRDefault="00941FAE" w:rsidP="00941FAE">
      <w:pPr>
        <w:pStyle w:val="InstructionsText2"/>
        <w:numPr>
          <w:ilvl w:val="0"/>
          <w:numId w:val="21"/>
        </w:numPr>
        <w:spacing w:after="120"/>
        <w:rPr>
          <w:sz w:val="24"/>
        </w:rPr>
      </w:pPr>
      <w:r>
        <w:rPr>
          <w:sz w:val="24"/>
        </w:rPr>
        <w:t xml:space="preserve">operações de financiamento </w:t>
      </w:r>
      <w:r>
        <w:rPr>
          <w:sz w:val="24"/>
          <w:szCs w:val="24"/>
        </w:rPr>
        <w:t>com garantia</w:t>
      </w:r>
      <w:r>
        <w:rPr>
          <w:sz w:val="24"/>
        </w:rPr>
        <w:t>, incluindo contratos e acordos de recompra, empréstimo de valores mobiliários e outras formas de empréstimos com garantia</w:t>
      </w:r>
      <w:r>
        <w:rPr>
          <w:sz w:val="24"/>
          <w:szCs w:val="24"/>
        </w:rPr>
        <w:t>;</w:t>
      </w:r>
    </w:p>
    <w:p w:rsidR="00941FAE" w:rsidRPr="000F059F" w:rsidRDefault="00941FAE" w:rsidP="00941FAE">
      <w:pPr>
        <w:pStyle w:val="InstructionsText2"/>
        <w:numPr>
          <w:ilvl w:val="0"/>
          <w:numId w:val="21"/>
        </w:numPr>
        <w:spacing w:after="120"/>
        <w:rPr>
          <w:sz w:val="24"/>
        </w:rPr>
      </w:pPr>
      <w:r>
        <w:rPr>
          <w:sz w:val="24"/>
        </w:rPr>
        <w:t xml:space="preserve">acordos de caução </w:t>
      </w:r>
      <w:r>
        <w:rPr>
          <w:sz w:val="24"/>
          <w:szCs w:val="24"/>
        </w:rPr>
        <w:t>diversos</w:t>
      </w:r>
      <w:r>
        <w:rPr>
          <w:sz w:val="24"/>
        </w:rPr>
        <w:t>, por exemplo, cauções constituídas para o valor de mercado das transações em derivados</w:t>
      </w:r>
      <w:r>
        <w:rPr>
          <w:sz w:val="24"/>
          <w:szCs w:val="24"/>
        </w:rPr>
        <w:t>;</w:t>
      </w:r>
    </w:p>
    <w:p w:rsidR="00941FAE" w:rsidRPr="000F059F" w:rsidRDefault="00941FAE" w:rsidP="00941FAE">
      <w:pPr>
        <w:pStyle w:val="InstructionsText2"/>
        <w:numPr>
          <w:ilvl w:val="0"/>
          <w:numId w:val="21"/>
        </w:numPr>
        <w:spacing w:after="120"/>
        <w:rPr>
          <w:sz w:val="24"/>
        </w:rPr>
      </w:pPr>
      <w:r>
        <w:rPr>
          <w:sz w:val="24"/>
        </w:rPr>
        <w:t xml:space="preserve">garantias </w:t>
      </w:r>
      <w:r>
        <w:rPr>
          <w:sz w:val="24"/>
          <w:szCs w:val="24"/>
        </w:rPr>
        <w:t>financeiras</w:t>
      </w:r>
      <w:r>
        <w:rPr>
          <w:sz w:val="24"/>
        </w:rPr>
        <w:t xml:space="preserve"> que envolvem caução. Note-se que se não existirem impedimentos à retirada da caução, como, por exemplo, a necessidade de </w:t>
      </w:r>
      <w:r>
        <w:rPr>
          <w:sz w:val="24"/>
        </w:rPr>
        <w:lastRenderedPageBreak/>
        <w:t xml:space="preserve">aprovação prévia, para a parte não utilizada da garantia, apenas deve ser afetado o montante utilizado (afetação </w:t>
      </w:r>
      <w:r>
        <w:rPr>
          <w:i/>
          <w:sz w:val="24"/>
        </w:rPr>
        <w:t>pro rata</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cauções</w:t>
      </w:r>
      <w:r>
        <w:rPr>
          <w:sz w:val="24"/>
        </w:rPr>
        <w:t xml:space="preserve"> constituídas em sistemas de compensação, CCP e outras instituições de infraestrutura</w:t>
      </w:r>
      <w:ins w:id="21" w:author="raposnu" w:date="2020-12-08T09:54:00Z">
        <w:r>
          <w:rPr>
            <w:sz w:val="24"/>
          </w:rPr>
          <w:t>s</w:t>
        </w:r>
      </w:ins>
      <w:r>
        <w:rPr>
          <w:sz w:val="24"/>
        </w:rPr>
        <w:t xml:space="preserve"> como condição para ter acesso ao serviço. Incluem-se os fundos para incumprimento e as margens iniciais</w:t>
      </w:r>
      <w:r>
        <w:rPr>
          <w:sz w:val="24"/>
          <w:szCs w:val="24"/>
        </w:rPr>
        <w:t>;</w:t>
      </w:r>
    </w:p>
    <w:p w:rsidR="00941FAE" w:rsidRPr="005F7E60" w:rsidRDefault="00941FAE" w:rsidP="00941FAE">
      <w:pPr>
        <w:pStyle w:val="InstructionsText2"/>
        <w:numPr>
          <w:ilvl w:val="0"/>
          <w:numId w:val="21"/>
        </w:numPr>
        <w:spacing w:after="120"/>
        <w:rPr>
          <w:sz w:val="24"/>
        </w:rPr>
      </w:pPr>
      <w:r>
        <w:rPr>
          <w:sz w:val="24"/>
        </w:rPr>
        <w:t xml:space="preserve">facilidades de crédito do banco </w:t>
      </w:r>
      <w:r>
        <w:rPr>
          <w:sz w:val="24"/>
          <w:szCs w:val="24"/>
        </w:rPr>
        <w:t>central</w:t>
      </w:r>
      <w:r>
        <w:rPr>
          <w:sz w:val="24"/>
        </w:rPr>
        <w:t>. Os ativos pré-posicionados não devem ser considerados onerados, a menos que o banco central não permita a retirada de quaisquer ativos colocados sem aprovação prévia. Tal como para as garantias financeiras não utilizadas, a parte não utilizada, ou seja, a parte que excede o montante mínimo exigido pelo banco central, deve ser repartida proporcionalmente entre os ativos colocados no banco central</w:t>
      </w:r>
      <w:r>
        <w:rPr>
          <w:sz w:val="24"/>
          <w:szCs w:val="24"/>
        </w:rPr>
        <w:t>;</w:t>
      </w:r>
    </w:p>
    <w:p w:rsidR="00941FAE" w:rsidRPr="000F059F" w:rsidRDefault="00941FAE" w:rsidP="00941FAE">
      <w:pPr>
        <w:pStyle w:val="InstructionsText2"/>
        <w:numPr>
          <w:ilvl w:val="0"/>
          <w:numId w:val="21"/>
        </w:numPr>
        <w:spacing w:after="120"/>
        <w:rPr>
          <w:sz w:val="24"/>
        </w:rPr>
      </w:pPr>
      <w:r>
        <w:rPr>
          <w:sz w:val="24"/>
        </w:rPr>
        <w:t xml:space="preserve">ativos </w:t>
      </w:r>
      <w:r>
        <w:rPr>
          <w:sz w:val="24"/>
          <w:szCs w:val="24"/>
        </w:rPr>
        <w:t>subjacentes</w:t>
      </w:r>
      <w:r>
        <w:rPr>
          <w:sz w:val="24"/>
        </w:rPr>
        <w:t xml:space="preserve"> de estruturas de titularização, caso os ativos financeiros não tenham sido desreconhecidos nos ativos financeiros da instituição. Os ativos que sejam subjacentes a valores mobiliários retidos não contam como onerados, a menos que esses valores mobiliários sejam dados em garantia ou </w:t>
      </w:r>
      <w:r>
        <w:rPr>
          <w:sz w:val="24"/>
          <w:szCs w:val="24"/>
        </w:rPr>
        <w:t>fornecidos como caução</w:t>
      </w:r>
      <w:r>
        <w:rPr>
          <w:sz w:val="24"/>
        </w:rPr>
        <w:t xml:space="preserve"> de qualquer forma para garantir uma transação</w:t>
      </w:r>
      <w:r>
        <w:rPr>
          <w:sz w:val="24"/>
          <w:szCs w:val="24"/>
        </w:rPr>
        <w:t>;</w:t>
      </w:r>
    </w:p>
    <w:p w:rsidR="00941FAE" w:rsidRPr="000F059F" w:rsidRDefault="00941FAE" w:rsidP="00941FAE">
      <w:pPr>
        <w:pStyle w:val="InstructionsText2"/>
        <w:numPr>
          <w:ilvl w:val="0"/>
          <w:numId w:val="21"/>
        </w:numPr>
        <w:spacing w:after="120"/>
        <w:rPr>
          <w:sz w:val="24"/>
        </w:rPr>
      </w:pPr>
      <w:r>
        <w:rPr>
          <w:sz w:val="24"/>
          <w:szCs w:val="24"/>
        </w:rPr>
        <w:t>ativos</w:t>
      </w:r>
      <w:r>
        <w:rPr>
          <w:sz w:val="24"/>
        </w:rPr>
        <w:t xml:space="preserve"> pertencentes a fundos comuns de cobertura utilizados para a emissão de obrigações cobertas. Os ativos que sejam subjacentes a obrigações cobertas contam como onerados, exceto em certas situações em que a instituição detém as obrigações cobertas correspondentes («obrigações emitidas próprias»</w:t>
      </w:r>
      <w:r>
        <w:rPr>
          <w:sz w:val="24"/>
          <w:szCs w:val="24"/>
        </w:rPr>
        <w:t>);</w:t>
      </w:r>
      <w:r>
        <w:rPr>
          <w:sz w:val="24"/>
        </w:rPr>
        <w:t xml:space="preserve"> </w:t>
      </w:r>
    </w:p>
    <w:p w:rsidR="00941FAE" w:rsidRPr="00B93E25" w:rsidRDefault="00941FAE" w:rsidP="00941FAE">
      <w:pPr>
        <w:pStyle w:val="InstructionsText2"/>
        <w:numPr>
          <w:ilvl w:val="0"/>
          <w:numId w:val="21"/>
        </w:numPr>
        <w:spacing w:after="120"/>
        <w:rPr>
          <w:sz w:val="24"/>
        </w:rPr>
      </w:pPr>
      <w:r>
        <w:rPr>
          <w:sz w:val="24"/>
          <w:szCs w:val="24"/>
        </w:rPr>
        <w:t>como</w:t>
      </w:r>
      <w:r>
        <w:rPr>
          <w:sz w:val="24"/>
        </w:rPr>
        <w:t xml:space="preserve"> princípio geral, os ativos que são colocados em facilidades de crédito que não são utilizados e podem ser livremente retirados não devem ser considerados onerados.</w:t>
      </w:r>
    </w:p>
    <w:p w:rsidR="00941FAE" w:rsidRPr="000F059F" w:rsidRDefault="00941FAE" w:rsidP="00941FAE">
      <w:pPr>
        <w:pStyle w:val="Heading2"/>
        <w:spacing w:before="0"/>
        <w:rPr>
          <w:rFonts w:ascii="Times New Roman" w:hAnsi="Times New Roman"/>
        </w:rPr>
      </w:pPr>
      <w:bookmarkStart w:id="22" w:name="_Toc58600086"/>
      <w:bookmarkEnd w:id="7"/>
      <w:bookmarkEnd w:id="8"/>
      <w:bookmarkEnd w:id="11"/>
      <w:r>
        <w:rPr>
          <w:rFonts w:ascii="Times New Roman" w:hAnsi="Times New Roman"/>
        </w:rPr>
        <w:t>INSTRUÇÕES RESPEITANTES AOS MODELOS</w:t>
      </w:r>
      <w:bookmarkEnd w:id="0"/>
      <w:bookmarkEnd w:id="22"/>
    </w:p>
    <w:p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23" w:name="_Toc58600087"/>
      <w:r>
        <w:rPr>
          <w:rFonts w:ascii="Times New Roman" w:hAnsi="Times New Roman"/>
          <w:b/>
          <w:sz w:val="24"/>
          <w:u w:val="none"/>
        </w:rPr>
        <w:t>Parte A: Visão geral da oneração</w:t>
      </w:r>
      <w:bookmarkEnd w:id="23"/>
    </w:p>
    <w:p w:rsidR="00941FAE" w:rsidRPr="000F059F" w:rsidRDefault="00941FAE" w:rsidP="00941FAE">
      <w:pPr>
        <w:pStyle w:val="InstructionsText2"/>
        <w:spacing w:after="120"/>
        <w:rPr>
          <w:sz w:val="24"/>
        </w:rPr>
      </w:pPr>
      <w:r>
        <w:rPr>
          <w:sz w:val="24"/>
        </w:rPr>
        <w:t xml:space="preserve">O modelo que diz respeito à visão geral da </w:t>
      </w:r>
      <w:r>
        <w:rPr>
          <w:sz w:val="24"/>
          <w:szCs w:val="24"/>
        </w:rPr>
        <w:t>oneração</w:t>
      </w:r>
      <w:r>
        <w:rPr>
          <w:sz w:val="24"/>
        </w:rPr>
        <w:t xml:space="preserve"> estabelece uma distinção entre os ativos que são utilizados para apoiar necessidades de financiamento ou de caução à data do balanço </w:t>
      </w:r>
      <w:r>
        <w:rPr>
          <w:sz w:val="24"/>
          <w:szCs w:val="24"/>
        </w:rPr>
        <w:t>(«</w:t>
      </w:r>
      <w:r>
        <w:rPr>
          <w:sz w:val="24"/>
        </w:rPr>
        <w:t>oneração</w:t>
      </w:r>
      <w:r>
        <w:rPr>
          <w:sz w:val="24"/>
          <w:szCs w:val="24"/>
        </w:rPr>
        <w:t xml:space="preserve"> num dado momento»)</w:t>
      </w:r>
      <w:r>
        <w:rPr>
          <w:sz w:val="24"/>
        </w:rPr>
        <w:t xml:space="preserve"> e os ativos que estão disponíveis para potenciais necessidades de financiamento. </w:t>
      </w:r>
    </w:p>
    <w:p w:rsidR="00941FAE" w:rsidRPr="000F059F" w:rsidRDefault="00941FAE" w:rsidP="00941FAE">
      <w:pPr>
        <w:pStyle w:val="InstructionsText2"/>
        <w:spacing w:after="120"/>
        <w:rPr>
          <w:sz w:val="24"/>
        </w:rPr>
      </w:pPr>
      <w:r>
        <w:rPr>
          <w:sz w:val="24"/>
        </w:rPr>
        <w:t xml:space="preserve">Este modelo apresenta o montante de ativos onerados e não onerados da instituição que relata, sob a forma de quadros, por produtos. A mesma </w:t>
      </w:r>
      <w:r>
        <w:rPr>
          <w:sz w:val="24"/>
          <w:szCs w:val="24"/>
        </w:rPr>
        <w:t>repartição</w:t>
      </w:r>
      <w:r>
        <w:rPr>
          <w:sz w:val="24"/>
        </w:rPr>
        <w:t xml:space="preserve"> aplica-se igualmente às cauções recebidas e aos títulos de dívida próprios emitidos com exceção das obrigações cobertas e das operações de titularização.</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4" w:name="_Toc58600088"/>
      <w:r>
        <w:rPr>
          <w:rFonts w:ascii="Times New Roman" w:hAnsi="Times New Roman"/>
          <w:sz w:val="24"/>
          <w:u w:val="none"/>
        </w:rPr>
        <w:t>Modelo AE-ASS. Ativos da instituição que relata</w:t>
      </w:r>
      <w:bookmarkEnd w:id="2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5" w:name="_Toc308175819"/>
      <w:bookmarkStart w:id="26" w:name="_Toc310414966"/>
      <w:bookmarkStart w:id="27" w:name="_Toc348096564"/>
      <w:bookmarkStart w:id="28" w:name="_Toc348097325"/>
      <w:bookmarkStart w:id="29" w:name="_Toc348101345"/>
      <w:bookmarkStart w:id="30" w:name="_Toc58600089"/>
      <w:r>
        <w:rPr>
          <w:rFonts w:ascii="Times New Roman" w:hAnsi="Times New Roman"/>
          <w:sz w:val="24"/>
          <w:u w:val="none"/>
        </w:rPr>
        <w:t>Observações gerais</w:t>
      </w:r>
      <w:bookmarkEnd w:id="25"/>
      <w:bookmarkEnd w:id="26"/>
      <w:bookmarkEnd w:id="30"/>
    </w:p>
    <w:p w:rsidR="00941FAE" w:rsidRPr="000F059F" w:rsidRDefault="00941FAE" w:rsidP="00941FAE">
      <w:pPr>
        <w:pStyle w:val="InstructionsText2"/>
        <w:shd w:val="clear" w:color="auto" w:fill="FFFFFF"/>
        <w:spacing w:after="120"/>
        <w:rPr>
          <w:sz w:val="24"/>
        </w:rPr>
      </w:pPr>
      <w:r>
        <w:rPr>
          <w:sz w:val="24"/>
        </w:rPr>
        <w:t>Este ponto contém instruções que se aplicam aos principais tipos de transações que são relevantes para o preenchimento dos diversos modelos AE:</w:t>
      </w:r>
    </w:p>
    <w:tbl>
      <w:tblPr>
        <w:tblW w:w="9214" w:type="dxa"/>
        <w:tblLook w:val="04A0" w:firstRow="1" w:lastRow="0" w:firstColumn="1" w:lastColumn="0" w:noHBand="0" w:noVBand="1"/>
      </w:tblPr>
      <w:tblGrid>
        <w:gridCol w:w="9214"/>
      </w:tblGrid>
      <w:tr w:rsidR="00941FAE" w:rsidRPr="000F059F" w:rsidTr="005C7383">
        <w:trPr>
          <w:trHeight w:val="8505"/>
        </w:trPr>
        <w:tc>
          <w:tcPr>
            <w:tcW w:w="9214"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Todas as transações que aumentam o nível de oneração de uma instituição têm duas vertentes que devem ser comunicadas de forma independente em todos os modelos AE. Essas transações devem ser comunicadas tanto a título de fonte de oneração como a título de ativo ou caução onerado.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seguintes exemplos ilustram o modo de comunicar um tipo de transação na presente parte, mas as mesmas regras são aplicáveis aos outros modelos AE.</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 xml:space="preserve">Depósitos com caução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Um depósito com caução deve ser comunicado da seguinte forma:</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 montante escriturado do depósito deve ser registado como fonte de oneração em {AE-SOU; r070; c010};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a caução seja um ativo da instituição que relata: o seu montante escriturado deve ser comunicado em {AE-ASS; *; c010} e {AE-SOU; r070; c030}; o seu justo valor deve ser comunicado em {AE-ASS; *; c040};</w:t>
            </w:r>
          </w:p>
          <w:p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a caução tenha sido recebida pela instituição que relata, o seu justo valor deve ser comunicado em {AE-COL; *; c010}, {AE-SOU; r070; c030} e {AE-SOU; r070;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Vendas com acordo de recompra/vendas com acordo de recompra de contrapartida</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Uma venda com acordo de recompra (</w:t>
            </w:r>
            <w:r>
              <w:rPr>
                <w:rStyle w:val="InstructionsTabelleberschrift"/>
                <w:rFonts w:ascii="Times New Roman" w:hAnsi="Times New Roman"/>
                <w:b w:val="0"/>
                <w:i/>
                <w:iCs/>
                <w:sz w:val="24"/>
                <w:u w:val="none"/>
              </w:rPr>
              <w:t>repo</w:t>
            </w:r>
            <w:r>
              <w:rPr>
                <w:rStyle w:val="InstructionsTabelleberschrift"/>
                <w:rFonts w:ascii="Times New Roman" w:hAnsi="Times New Roman"/>
                <w:b w:val="0"/>
                <w:sz w:val="24"/>
                <w:u w:val="none"/>
              </w:rPr>
              <w:t>) deve ser comunicada da seguinte forma:</w:t>
            </w:r>
          </w:p>
          <w:p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 montante escriturado bruto da venda com acordo de recompra deve ser comunicado como fonte de oneração em {AE-SOU; r050; c010};</w:t>
            </w:r>
          </w:p>
          <w:p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 caução da venda com acordo de recompra deve ser comunicada da seguinte forma:</w:t>
            </w:r>
          </w:p>
          <w:p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a caução seja um ativo da instituição que relata: o seu montante escriturado deve ser comunicado em {AE-ASS; *; c010} e {AE-SOU; r050; c030}; o seu justo valor deve ser comunicado em {AE-ASS; *; c040};</w:t>
            </w:r>
          </w:p>
          <w:p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a caução tenha sido recebida pela instituição que relata através de um acordo anterior de revenda (acordo de recompra de contrapartida), o seu justo valor deve ser comunicado em {AE-COL; *; c010}, {AE-SOU; r050; c030} e em {AE-SOU; r050; c040}.</w:t>
            </w:r>
          </w:p>
          <w:p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Pr>
                <w:rStyle w:val="InstructionsTabelleberschrift"/>
                <w:rFonts w:ascii="Times New Roman" w:hAnsi="Times New Roman"/>
                <w:sz w:val="24"/>
              </w:rPr>
              <w:t>Financiamento do banco central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Uma vez que o financiamento do banco central com caução constitui apenas um caso específico de depósito com caução ou de acordo de recompra em que a contraparte é um banco central, as regras referidas em i) e ii) são aplicáveis.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Relativamente às operações em que não é possível identificar uma caução específica para cada operação, em virtude de as cauções serem conjuntas, a repartição das cauções deve ser efetuada de modo proporcional, em função da composição do conjunto de cauções.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ativos que tenham sido pré-posicionados junto dos bancos centrais não são considerados ativos onerados a não ser que o banco central não permita a retirada de quaisquer ativos colocados sem aprovação prévia. Relativamente às garantias financeiras não utilizadas, a parte não utilizada, ou seja, a parte que excede o montante mínimo exigido pelo banco central, deve ser repartida proporcionalmente entre os ativos colocados junto do banco central.</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lastRenderedPageBreak/>
              <w:t xml:space="preserve">Empréstimo de títulos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Relativamente aos empréstimos de valores mobiliários com caução monetária, aplicam-se as mesmas regras que aos acordos de recompra/acordos de recompra de contrapartida.</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empréstimos de valores mobiliários sem caução monetária devem ser comunicados da seguinte forma:</w:t>
            </w:r>
          </w:p>
          <w:p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 justo valor dos valores mobiliários obtidos em empréstimo deve ser comunicado como fonte de oneração em {AE-SOU; r150; c010}. Caso o mutuante não receba quaisquer valores mobiliários em troca dos valores mobiliários emprestados, mas receba em lugar disso uma comissão, {AE-SOU; r150; c010} deve ser comunicado como sendo zero;</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os valores mobiliários emprestados como caução sejam um ativo da instituição que relata: o seu montante escriturado deve ser comunicado em {AE-ASS; *; c010} e {AE-SOU; r150; c030}; o seu justo valor deve ser comunicado em {AE-ASS; *; c040};</w:t>
            </w:r>
          </w:p>
          <w:p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os valores mobiliários emprestados como caução sejam recebidos pela instituição que relata, o seu montante escriturado deve ser comunicado em {AE-COL; *; c010}, {AE-SOU; r150; c030} e {AE-SOU; r150; c040}.</w:t>
            </w:r>
          </w:p>
          <w:p w:rsidR="00941FAE" w:rsidRPr="000F059F" w:rsidRDefault="00941FAE" w:rsidP="000B3548">
            <w:pPr>
              <w:pStyle w:val="ListParagraph"/>
              <w:numPr>
                <w:ilvl w:val="0"/>
                <w:numId w:val="9"/>
              </w:numPr>
              <w:ind w:left="357" w:hanging="357"/>
              <w:rPr>
                <w:rStyle w:val="InstructionsTabelleberschrift"/>
                <w:rFonts w:ascii="Times New Roman" w:hAnsi="Times New Roman"/>
                <w:b w:val="0"/>
                <w:smallCaps/>
                <w:sz w:val="24"/>
              </w:rPr>
            </w:pPr>
            <w:r>
              <w:rPr>
                <w:rStyle w:val="InstructionsTabelleberschrift"/>
                <w:rFonts w:ascii="Times New Roman" w:hAnsi="Times New Roman"/>
                <w:sz w:val="24"/>
              </w:rPr>
              <w:t>Derivados (passivos)</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derivados com caução cujo justo valor seja negativo devem ser comunicados da seguinte forma:</w:t>
            </w:r>
          </w:p>
          <w:p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 montante escriturado do derivado deve ser comunicado como fonte de oneração em {AE-SOU; r020; c010};</w:t>
            </w:r>
          </w:p>
          <w:p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as cauções (margens iniciais necessárias para abrir a posição e eventuais cauções constituídas para o valor de mercado das transações de derivados) devem ser comunicadas do seguinte modo:</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seja um ativo da instituição que relata: o seu montante escriturado deve ser comunicado em {AE-ASS; *; c010} e {AE-SOU; r020; c030}; o seu justo valor deve ser comunicado em {AE-ASS; *; c040};</w:t>
            </w:r>
          </w:p>
          <w:p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seja uma caução recebida pela instituição que relata, o seu justo valor deve ser comunicado em {AE-COL; *; c010}, {AE-SOU; r020; c030} e {AE-SOU; r020; c040}.</w:t>
            </w:r>
          </w:p>
          <w:p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Pr>
                <w:rStyle w:val="InstructionsTabelleberschrift"/>
                <w:rFonts w:ascii="Times New Roman" w:hAnsi="Times New Roman"/>
                <w:sz w:val="24"/>
              </w:rPr>
              <w:t>Obrigações cobertas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efeitos de prestação de informações sobre a oneração de ativos, considera-se como obrigações cobertas os instrumentos a que se refere o artigo 52.º, n.º 4, primeiro parágrafo, da Diretiva 2009/65/UE, independentemente de assumirem ou não a forma jurídica de um valor mobiliário.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Não se aplicam regras específicas às obrigações cobertas quando não existir retenção de uma parte dos valores mobiliários emitidos pela instituição que relata.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No caso de retenção de uma parte da emissão e a fim de evitar uma dupla contagem, aplica-se o seguinte procedimento:</w:t>
            </w:r>
          </w:p>
          <w:p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 xml:space="preserve">caso as obrigações cobertas próprias não estejam dadas em garantia, o montante do fundo comum de cobertura que apoia os valores mobiliários retidos e ainda não dados em garantia deve ser comunicado no modelo AE-ASS como ativo não onerado. </w:t>
            </w:r>
            <w:r>
              <w:rPr>
                <w:rStyle w:val="InstructionsTabelleberschrift"/>
                <w:rFonts w:ascii="Times New Roman" w:hAnsi="Times New Roman"/>
                <w:b w:val="0"/>
                <w:sz w:val="24"/>
                <w:u w:val="none"/>
              </w:rPr>
              <w:lastRenderedPageBreak/>
              <w:t>Informações adicionais sobre as obrigações cobertas retidas ainda não dadas em garantia (ativos subjacentes, justo valor e elegibilidade das que estão disponíveis para oneração, valor nominal das que não estão disponíveis para oneração) devem ser comunicadas no modelo AE-NPL;</w:t>
            </w:r>
          </w:p>
          <w:p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caso as obrigações cobertas próprias estejam dadas em garantia, o montante do fundo comum de cobertura que apoia os valores mobiliários retidos e dados em garantia deve ser comunicado nos modelo AE-ASS como ativo onerado.</w:t>
            </w:r>
          </w:p>
          <w:p w:rsidR="00941FAE" w:rsidRPr="000F059F" w:rsidRDefault="00941FAE" w:rsidP="005150E8">
            <w:pPr>
              <w:spacing w:before="0"/>
              <w:rPr>
                <w:rStyle w:val="InstructionsTabelleberschrift"/>
                <w:rFonts w:ascii="Times New Roman" w:hAnsi="Times New Roman"/>
                <w:b w:val="0"/>
                <w:smallCaps/>
                <w:sz w:val="24"/>
                <w:u w:val="none"/>
              </w:rPr>
            </w:pPr>
            <w:r>
              <w:rPr>
                <w:rStyle w:val="InstructionsTabelleberschrift"/>
                <w:rFonts w:ascii="Times New Roman" w:hAnsi="Times New Roman"/>
                <w:b w:val="0"/>
                <w:sz w:val="24"/>
                <w:u w:val="none"/>
              </w:rPr>
              <w:t>O quadro seguinte estabelece o modo de comunicar uma emissão de obrigações cobertas no montante de 100 EUR das quais 15 % são retidas e não dadas em caução e 10 % são retidas e dadas em caução num acordo de recompra a 11 EUR com um banco central, em que o fundo comum de cobertura inclui empréstimos não garantidos e o montante escriturado dos empréstimos é de 150 EUR.</w:t>
            </w:r>
          </w:p>
          <w:p w:rsidR="00941FAE" w:rsidRPr="00A67D5A" w:rsidRDefault="00941FAE" w:rsidP="005150E8">
            <w:pPr>
              <w:spacing w:before="0"/>
              <w:rPr>
                <w:rStyle w:val="InstructionsTabelleberschrift"/>
                <w:rFonts w:ascii="Times New Roman" w:hAnsi="Times New Roman"/>
                <w:b w:val="0"/>
                <w:sz w:val="24"/>
                <w:u w:val="none"/>
              </w:rPr>
            </w:pPr>
            <w:r>
              <w:rPr>
                <w:rFonts w:ascii="Times New Roman" w:hAnsi="Times New Roman"/>
                <w:noProof/>
                <w:sz w:val="24"/>
                <w:lang w:val="en-US"/>
              </w:rPr>
              <w:drawing>
                <wp:inline distT="0" distB="0" distL="0" distR="0" wp14:anchorId="5DCB2BF7" wp14:editId="56628662">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rsidR="00941FAE" w:rsidRPr="00361B13" w:rsidRDefault="00941FAE" w:rsidP="005150E8">
            <w:pPr>
              <w:spacing w:before="0"/>
              <w:rPr>
                <w:rStyle w:val="InstructionsTabelleberschrift"/>
                <w:rFonts w:ascii="Times New Roman" w:hAnsi="Times New Roman"/>
                <w:b w:val="0"/>
                <w:sz w:val="24"/>
                <w:u w:val="none"/>
                <w:lang w:eastAsia="de-DE"/>
              </w:rPr>
            </w:pPr>
          </w:p>
          <w:p w:rsidR="00941FAE" w:rsidRPr="00361B13" w:rsidRDefault="00941FAE" w:rsidP="005150E8">
            <w:pPr>
              <w:pStyle w:val="ListParagraph"/>
              <w:numPr>
                <w:ilvl w:val="0"/>
                <w:numId w:val="9"/>
              </w:numPr>
              <w:spacing w:before="0"/>
              <w:rPr>
                <w:rStyle w:val="InstructionsTabelleberschrift"/>
                <w:rFonts w:ascii="Times New Roman" w:hAnsi="Times New Roman"/>
                <w:sz w:val="24"/>
              </w:rPr>
            </w:pPr>
            <w:r>
              <w:rPr>
                <w:rStyle w:val="InstructionsTabelleberschrift"/>
                <w:rFonts w:ascii="Times New Roman" w:hAnsi="Times New Roman"/>
                <w:sz w:val="24"/>
              </w:rPr>
              <w:t>Titularizações</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Por titularizações entende-se títulos de dívida detidos pela instituição que relata e que têm origem numa operação de titularização tal como definida no artigo 4.º, n.º 1, ponto 61, do CRR.</w:t>
            </w:r>
            <w:r>
              <w:rPr>
                <w:rStyle w:val="InstructionsTabelleberschrift"/>
                <w:rFonts w:ascii="Times New Roman" w:hAnsi="Times New Roman"/>
                <w:b w:val="0"/>
                <w:i/>
                <w:sz w:val="24"/>
                <w:highlight w:val="yellow"/>
                <w:u w:val="none"/>
              </w:rPr>
              <w:t xml:space="preserve"> </w:t>
            </w:r>
          </w:p>
          <w:p w:rsidR="00941FAE" w:rsidRPr="00E6052D"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Relativamente às titularizações que permanecem no balanço (não desreconhecidas), aplicam-se as mesmas regras que às obrigações cobertas.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Para as titularizações desreconhecidas, não existe qualquer oneração caso a instituição detenha alguns valores mobiliários. Estes valores mobiliários deverão figurar na carteira de negociação ou na carteira bancária das instituições que prestam as informações, tal como quaisquer outros valores mobiliários emitidos por terceiros.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31" w:name="_Toc58600090"/>
      <w:r>
        <w:rPr>
          <w:rFonts w:ascii="Times New Roman" w:hAnsi="Times New Roman"/>
          <w:sz w:val="24"/>
          <w:u w:val="none"/>
        </w:rPr>
        <w:lastRenderedPageBreak/>
        <w:t>Instruções sobre linhas específicas</w:t>
      </w:r>
      <w:bookmarkEnd w:id="27"/>
      <w:bookmarkEnd w:id="28"/>
      <w:bookmarkEnd w:id="29"/>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Ativos da instituição que relata</w:t>
            </w:r>
          </w:p>
          <w:p w:rsidR="00941FAE" w:rsidRPr="00361B13"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IAS 1.9 (a), Orientações de Aplicação (IG) 6; Total dos ativos registados no balanço da instituição que relata.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Empréstimos à vista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IAS 1.54 (i)</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instituições devem comunicar os saldos a receber à vista junto de bancos centrais e outras instituições. O dinheiro em caixa, ou seja, as notas e moedas </w:t>
            </w:r>
            <w:r>
              <w:rPr>
                <w:rStyle w:val="InstructionsTabelleberschrift"/>
                <w:rFonts w:ascii="Times New Roman" w:hAnsi="Times New Roman"/>
                <w:b w:val="0"/>
                <w:sz w:val="24"/>
                <w:u w:val="none"/>
              </w:rPr>
              <w:lastRenderedPageBreak/>
              <w:t xml:space="preserve">nacionais e estrangeiras em circulação detidas que são normalmente utilizadas para fazer pagamentos devem ser incluídas na </w:t>
            </w:r>
            <w:r>
              <w:rPr>
                <w:rStyle w:val="InstructionsTabelleberschrift"/>
                <w:rFonts w:ascii="Times New Roman" w:hAnsi="Times New Roman"/>
                <w:b w:val="0"/>
                <w:bCs w:val="0"/>
                <w:sz w:val="24"/>
                <w:u w:val="none"/>
              </w:rPr>
              <w:t>linha «outros ativos».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capital próprio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Instrumentos de capital próprio detidos pela instituição que relata, tal como definidos na IAS 32.1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Títulos de dívida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Anexo V, </w:t>
            </w:r>
            <w:r>
              <w:rPr>
                <w:rStyle w:val="InstructionsTabelleberschrift"/>
                <w:rFonts w:ascii="Times New Roman" w:hAnsi="Times New Roman"/>
                <w:b w:val="0"/>
                <w:bCs w:val="0"/>
                <w:sz w:val="24"/>
                <w:u w:val="none"/>
              </w:rPr>
              <w:t xml:space="preserve">parte </w:t>
            </w:r>
            <w:r>
              <w:rPr>
                <w:rStyle w:val="InstructionsTabelleberschrift"/>
                <w:rFonts w:ascii="Times New Roman" w:hAnsi="Times New Roman"/>
                <w:b w:val="0"/>
                <w:sz w:val="24"/>
                <w:u w:val="none"/>
              </w:rPr>
              <w:t>1</w:t>
            </w:r>
            <w:r>
              <w:rPr>
                <w:rStyle w:val="InstructionsTabelleberschrift"/>
                <w:rFonts w:ascii="Times New Roman" w:hAnsi="Times New Roman"/>
                <w:b w:val="0"/>
                <w:bCs w:val="0"/>
                <w:sz w:val="24"/>
                <w:u w:val="none"/>
              </w:rPr>
              <w:t xml:space="preserve">, ponto </w:t>
            </w:r>
            <w:r>
              <w:rPr>
                <w:rStyle w:val="InstructionsTabelleberschrift"/>
                <w:rFonts w:ascii="Times New Roman" w:hAnsi="Times New Roman"/>
                <w:b w:val="0"/>
                <w:sz w:val="24"/>
                <w:u w:val="none"/>
              </w:rPr>
              <w:t>31</w:t>
            </w:r>
          </w:p>
          <w:p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 instituições devem comunicar instrumentos de dívida detidos pela instituição que relata, emitidos como valores mobiliários e que não constituem empréstimos nos termos do Regulamento do BCE relativo aos Elementos do Balanço.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obrigações cobertas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Títulos de dívida detidos pela instituição que relata e que constituem obrigações do tipo referido no </w:t>
            </w:r>
            <w:r>
              <w:rPr>
                <w:rFonts w:ascii="Times New Roman" w:hAnsi="Times New Roman"/>
                <w:sz w:val="24"/>
              </w:rPr>
              <w:t>artigo 52.º, n.º 4, primeiro parágrafo, da Diretiva 2009/65/CE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titularizações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Títulos de dívida detidos pela instituição que relata e que constituem titularizações tal como </w:t>
            </w:r>
            <w:r>
              <w:rPr>
                <w:rStyle w:val="InstructionsTabelleberschrift"/>
                <w:rFonts w:ascii="Times New Roman" w:hAnsi="Times New Roman"/>
                <w:b w:val="0"/>
                <w:bCs w:val="0"/>
                <w:sz w:val="24"/>
                <w:u w:val="none"/>
              </w:rPr>
              <w:t xml:space="preserve">definido </w:t>
            </w:r>
            <w:r>
              <w:rPr>
                <w:rStyle w:val="InstructionsTabelleberschrift"/>
                <w:rFonts w:ascii="Times New Roman" w:hAnsi="Times New Roman"/>
                <w:b w:val="0"/>
                <w:sz w:val="24"/>
                <w:u w:val="none"/>
              </w:rPr>
              <w:t xml:space="preserve">no artigo </w:t>
            </w:r>
            <w:r>
              <w:rPr>
                <w:rStyle w:val="InstructionsTabelleberschrift"/>
                <w:rFonts w:ascii="Times New Roman" w:hAnsi="Times New Roman"/>
                <w:b w:val="0"/>
                <w:bCs w:val="0"/>
                <w:sz w:val="24"/>
                <w:u w:val="none"/>
              </w:rPr>
              <w:t>4.º</w:t>
            </w:r>
            <w:r>
              <w:rPr>
                <w:rStyle w:val="InstructionsTabelleberschrift"/>
                <w:rFonts w:ascii="Times New Roman" w:hAnsi="Times New Roman"/>
                <w:b w:val="0"/>
                <w:sz w:val="24"/>
                <w:u w:val="none"/>
              </w:rPr>
              <w:t>, n.º 1, ponto 61, do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dos quais: emitidos por administrações públicas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Títulos de dívida detidos pela instituição que relata e que são emitidos por administrações públicas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dos quais: emitidos por empresas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Títulos de dívida detidos pela instituição que relata e que são emitidos por empresas financeiras, tal como definidas no anexo V, parte 1, </w:t>
            </w:r>
            <w:r>
              <w:rPr>
                <w:rStyle w:val="InstructionsTabelleberschrift"/>
                <w:rFonts w:ascii="Times New Roman" w:hAnsi="Times New Roman"/>
                <w:b w:val="0"/>
                <w:bCs w:val="0"/>
                <w:sz w:val="24"/>
                <w:u w:val="none"/>
              </w:rPr>
              <w:t>ponto 42, alíneas c) e d)</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empresas não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Títulos de dívida detidos pela instituição que relata e que são emitidos por empresas não financeiras, tal como definidas no anexo V, parte 1, </w:t>
            </w:r>
            <w:r>
              <w:rPr>
                <w:rStyle w:val="InstructionsTabelleberschrift"/>
                <w:rFonts w:ascii="Times New Roman" w:hAnsi="Times New Roman"/>
                <w:b w:val="0"/>
                <w:bCs w:val="0"/>
                <w:sz w:val="24"/>
                <w:u w:val="none"/>
              </w:rPr>
              <w:t>ponto 42, alínea e)</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Empréstimos e adiantamentos com exceção dos empréstimos à vista</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que constituem instrumentos de dívida detidos pelas instituições que relatam e que não são valores mobiliários; com exceção de saldos a receber à vista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xml:space="preserve">dos quais: empréstimos caucionados por imóveis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Empréstimos e adiantamentos com exceção de empréstimos à vista que são caucionados por imóveis de acordo com o </w:t>
            </w:r>
            <w:r>
              <w:rPr>
                <w:rStyle w:val="InstructionsTabelleberschrift"/>
                <w:rFonts w:ascii="Times New Roman" w:hAnsi="Times New Roman"/>
                <w:b w:val="0"/>
                <w:bCs w:val="0"/>
                <w:sz w:val="24"/>
                <w:u w:val="none"/>
              </w:rPr>
              <w:t>anexo V, parte 2, ponto 86</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Outros ativos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Outros ativos registados no balanço da instituição que relata, para além dos referidos nas linhas precedentes, e com exceção dos títulos de dívida próprios e dos instrumentos de capital próprio que não podem ser desreconhecidos no balanço por uma instituição não sujeita às IFRS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Neste caso, os títulos de dívida próprios devem ser incluídos na linha 240 do </w:t>
            </w:r>
            <w:r>
              <w:rPr>
                <w:rStyle w:val="InstructionsTabelleberschrift"/>
                <w:rFonts w:ascii="Times New Roman" w:hAnsi="Times New Roman"/>
                <w:b w:val="0"/>
                <w:sz w:val="24"/>
                <w:u w:val="none"/>
              </w:rPr>
              <w:lastRenderedPageBreak/>
              <w:t>modelo AE-COL e os instrumentos de capital próprio excluídos do âmbito da prestação de informações sobre a oneração de ativos.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32" w:name="_Toc348096565"/>
      <w:bookmarkStart w:id="33" w:name="_Toc348097326"/>
      <w:bookmarkStart w:id="34" w:name="_Toc348101346"/>
      <w:bookmarkStart w:id="35" w:name="_Toc58600091"/>
      <w:r>
        <w:rPr>
          <w:rFonts w:ascii="Times New Roman" w:hAnsi="Times New Roman"/>
          <w:sz w:val="24"/>
          <w:u w:val="none"/>
        </w:rPr>
        <w:lastRenderedPageBreak/>
        <w:t>Instruções relativas a colunas específicas</w:t>
      </w:r>
      <w:bookmarkEnd w:id="32"/>
      <w:bookmarkEnd w:id="33"/>
      <w:bookmarkEnd w:id="34"/>
      <w:bookmarkEnd w:id="3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 escriturado dos ativos onerados</w:t>
            </w:r>
          </w:p>
          <w:p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devem comunicar o </w:t>
            </w:r>
            <w:r>
              <w:rPr>
                <w:rStyle w:val="InstructionsTabelleberschrift"/>
                <w:rFonts w:ascii="Times New Roman" w:hAnsi="Times New Roman"/>
                <w:b w:val="0"/>
                <w:color w:val="auto"/>
                <w:sz w:val="24"/>
                <w:u w:val="none"/>
              </w:rPr>
              <w:t xml:space="preserve">montante escriturado dos seus ativos que se encontrem onerados em conformidade com a definição de oneração de ativos a que se refere o </w:t>
            </w:r>
            <w:r>
              <w:rPr>
                <w:rStyle w:val="InstructionsTabelleberschrift"/>
                <w:rFonts w:ascii="Times New Roman" w:hAnsi="Times New Roman"/>
                <w:b w:val="0"/>
                <w:sz w:val="24"/>
                <w:u w:val="none"/>
              </w:rPr>
              <w:t>ponto 11 do presente anexo</w:t>
            </w:r>
            <w:r>
              <w:rPr>
                <w:rStyle w:val="InstructionsTabelleberschrift"/>
                <w:rFonts w:ascii="Times New Roman" w:hAnsi="Times New Roman"/>
                <w:b w:val="0"/>
                <w:color w:val="auto"/>
                <w:sz w:val="24"/>
                <w:u w:val="none"/>
              </w:rPr>
              <w:t>. Por montante escriturado entende-se o montante inscrito no lado do ativo do balanço.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outras entidades do grupo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dos ativos onerados detidos pela instituição que relata que são emitidos por qualquer entidade pertencente ao perímetro de consolidação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elegíveis para operações com os bancos centrais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Montante escriturado dos ativos onerados detidos pela instituição que relata que são elegíveis para operações com os bancos centrais aos quais essa instituição tem acesso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Pr>
                <w:rStyle w:val="instructionstabelleberschrift0"/>
                <w:rFonts w:ascii="Times New Roman" w:hAnsi="Times New Roman"/>
                <w:sz w:val="24"/>
              </w:rPr>
              <w:t>ou seja, podem deixar este campo em branco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EHQLA e HQLA nocionalmente elegíveis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montante escriturado dos ativos onerados que são nocionalmente elegíveis para a qualificação como ativos com liquidez e qualidade de crédito extremamente elevadas (EHQLA) e ativos com liquidez e qualidade de crédito elevadas (HQLA) </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Para efeitos do presente regulamento, os EHQLA onerados nocionalmente elegíveis e os HQLA onerados nocionalmente elegíveis são os ativos enumerados nos artigos 10.º, 11.º, 12.º e 13.º do Regulamento Delegado (UE) 2015/61 e que cumpririam os requisitos gerais e operacionais estabelecidos nos artigos 7.º e 8.º do referido regulamento delegado, não fosse o seu estatuto de ativos onerados em conformidade com o anexo XVII do Regulamento de Execução (UE) n.º 680/2014.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Os EHQLA onerados nocionalmente elegíveis e os HQLA onerados nocionalmente elegíveis devem também cumprir os requisitos específicos da classe de risco estabelecidos nos artigos 10.º a 16.º e 35.º a 37.º do Regulamento Delegado (UE) 2015/61. O montante escriturado dos EHQLA onerados nocionalmente elegíveis e dos HQLA onerados nocionalmente elegíveis deve ser o montante escriturado antes da aplicação das margens de avaliação especificadas </w:t>
            </w:r>
            <w:r>
              <w:rPr>
                <w:rStyle w:val="InstructionsTabelleberschrift"/>
                <w:rFonts w:ascii="Times New Roman" w:hAnsi="Times New Roman"/>
                <w:b w:val="0"/>
                <w:sz w:val="24"/>
                <w:u w:val="none"/>
              </w:rPr>
              <w:lastRenderedPageBreak/>
              <w:t>nos artigos 10.º a 16.º do Regulamento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dos ativos onerados</w:t>
            </w:r>
          </w:p>
          <w:p w:rsidR="00941FAE" w:rsidRPr="00361B13"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IFRS 13 e </w:t>
            </w:r>
            <w:r>
              <w:rPr>
                <w:rStyle w:val="InstructionsTabelleberschrift"/>
                <w:rFonts w:ascii="Times New Roman" w:hAnsi="Times New Roman"/>
                <w:b w:val="0"/>
                <w:bCs w:val="0"/>
                <w:sz w:val="24"/>
                <w:u w:val="none"/>
              </w:rPr>
              <w:t xml:space="preserve">artigo 8.º da </w:t>
            </w:r>
            <w:r>
              <w:rPr>
                <w:rStyle w:val="InstructionsTabelleberschrift"/>
                <w:rFonts w:ascii="Times New Roman" w:hAnsi="Times New Roman"/>
                <w:b w:val="0"/>
                <w:sz w:val="24"/>
                <w:u w:val="none"/>
              </w:rPr>
              <w:t xml:space="preserve">Diretiva </w:t>
            </w:r>
            <w:r>
              <w:rPr>
                <w:rStyle w:val="InstructionsTabelleberschrift"/>
                <w:rFonts w:ascii="Times New Roman" w:hAnsi="Times New Roman"/>
                <w:b w:val="0"/>
                <w:bCs w:val="0"/>
                <w:sz w:val="24"/>
                <w:u w:val="none"/>
              </w:rPr>
              <w:t>2013/34/UE do Parlamento Europeu e do Conselho</w:t>
            </w:r>
            <w:r>
              <w:rPr>
                <w:rStyle w:val="FootnoteReference"/>
                <w:rFonts w:ascii="Times New Roman" w:hAnsi="Times New Roman"/>
                <w:sz w:val="24"/>
                <w:lang w:eastAsia="de-DE"/>
              </w:rPr>
              <w:footnoteReference w:id="1"/>
            </w:r>
            <w:r>
              <w:rPr>
                <w:rStyle w:val="InstructionsTabelleberschrift"/>
                <w:rFonts w:ascii="Times New Roman" w:hAnsi="Times New Roman"/>
                <w:b w:val="0"/>
                <w:sz w:val="24"/>
                <w:u w:val="none"/>
              </w:rPr>
              <w:t xml:space="preserve"> para as instituições não sujeitas às IFRS</w:t>
            </w:r>
            <w:r>
              <w:rPr>
                <w:rStyle w:val="InstructionsTabelleberschrift"/>
                <w:rFonts w:ascii="Times New Roman" w:hAnsi="Times New Roman"/>
                <w:b w:val="0"/>
                <w:bCs w:val="0"/>
                <w:sz w:val="24"/>
                <w:u w:val="none"/>
              </w:rPr>
              <w:t xml:space="preserve"> </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devem comunicar o justo valor dos seus títulos de dívida que se encontrem onerados em conformidade com a definição de oneração de ativos a que se refere o ponto 11 do presente anexo. </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justo valor de um instrumento financeiro é o preço que seria recebido pela venda de um ativo ou pago pela transferência de um passivo numa transação normal entre participantes no mercado à data da avaliação (ver IFRS 13 Mensuração pelo Justo Valor).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elegíveis para operações com os bancos centrais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Justo valor dos títulos de dívida onerados detidos pela instituição que relata que são elegíveis para operações com os bancos centrais aos quais essa instituição tem acesso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Pr>
                <w:rStyle w:val="instructionstabelleberschrift0"/>
                <w:rFonts w:ascii="Times New Roman" w:hAnsi="Times New Roman"/>
                <w:sz w:val="24"/>
              </w:rPr>
              <w:t>ou seja, podem deixar este campo em branco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EHQLA e HQLA nocionalmente elegíveis</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Justo valor dos ativos onerados que são nocionalmente elegíveis para a qualificação como EHQLA e HQLA </w:t>
            </w:r>
          </w:p>
          <w:p w:rsidR="00941FAE" w:rsidRPr="00A67D5A" w:rsidRDefault="00941FAE" w:rsidP="005150E8">
            <w:pPr>
              <w:spacing w:before="0"/>
              <w:rPr>
                <w:rStyle w:val="InstructionsTabelleberschrift"/>
                <w:b w:val="0"/>
                <w:bCs w:val="0"/>
                <w:u w:val="none"/>
              </w:rPr>
            </w:pPr>
            <w:r>
              <w:rPr>
                <w:rStyle w:val="TeksttreciTimesNewRoman105ptOdstpy0pt"/>
                <w:sz w:val="24"/>
              </w:rPr>
              <w:t>Para efeitos do presente regulamento, os EHQLA onerados nocionalmente elegíveis e os HQLA onerados nocionalmente elegíveis são os ativos enumerados nos artigos 10.º, 11.º, 12.º e 13.º do Regulamento Delegado (UE) 2015/61 e que cumpririam os requisitos gerais e operacionais estabelecidos nos artigos 7.º e 8.º do referido regulamento delegado, não fosse o seu estatuto de ativos onerados em conformidade com o anexo XVII do Regulamento de Execução (UE) n.º 680/2014. Os EHQLA onerados nocionalmente elegíveis e os HQLA onerados nocionalmente elegíveis devem também cumprir os requisitos específicos da classe de risco estabelecidos nos artigos 10.º a 16.º e 35.º a 37.º do Regulamento Delegado (UE) 2015/61. O justo valor dos EHQLA onerados nocionalmente elegíveis e dos HQLA onerados nocionalmente elegíveis deve ser o justo valor antes da aplicação das margens de avaliação especificadas nos artigos 10.º a 16.º do Regulamento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 escriturado dos ativos não onerados</w:t>
            </w:r>
          </w:p>
          <w:p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As instituições devem comunicar o montante escriturado dos seus ativos que não se encontrem onerados em conformidade com a definição de oneração de ativos a que se refere o ponto 11 do presente anexo.</w:t>
            </w:r>
          </w:p>
          <w:p w:rsidR="00941FAE" w:rsidRPr="00B93E25"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color w:val="auto"/>
                <w:sz w:val="24"/>
                <w:u w:val="none"/>
              </w:rPr>
              <w:t>Por montante escriturado entende-se o montante inscrito no lado do ativo do balanço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outras entidades do grupo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dos ativos não onerados detidos pela instituição que relata que são emitidos por qualquer entidade pertencente ao perímetro de consolidação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elegíveis para operações com os bancos centrais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Montante escriturado dos ativos não onerados detidos pela instituição que relata que são elegíveis para operações com os bancos centrais aos quais essa instituição tem acesso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Pr>
                <w:rStyle w:val="instructionstabelleberschrift0"/>
                <w:rFonts w:ascii="Times New Roman" w:hAnsi="Times New Roman"/>
                <w:sz w:val="24"/>
              </w:rPr>
              <w:t>ou seja, podem deixar este campo em branco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EHQLA e HQLA</w:t>
            </w:r>
          </w:p>
          <w:p w:rsidR="00941FAE" w:rsidRDefault="00941FAE" w:rsidP="005150E8">
            <w:pPr>
              <w:spacing w:before="0"/>
              <w:rPr>
                <w:rStyle w:val="TeksttreciTimesNewRoman105ptOdstpy0pt"/>
                <w:rFonts w:eastAsia="Calibri"/>
                <w:sz w:val="24"/>
              </w:rPr>
            </w:pPr>
            <w:r>
              <w:rPr>
                <w:rStyle w:val="TeksttreciTimesNewRoman105ptOdstpy0pt"/>
                <w:sz w:val="24"/>
              </w:rPr>
              <w:t>O montante escriturado dos EHQLA e HQLA não onerados mencionados nos artigos 10.º, 11.º, 12.º e 13.º do Regulamento Delegado (UE) 2015/61 e que cumpram os requisitos gerais e operacionais estabelecidos nos artigos 7.º e 8.º desse regulamento delegado, bem como os requisitos específicos da classe de risco previstos nos artigos 10.º a 16.º e 35.º a 37.º do referido regulamento delegado</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O montante escriturado dos EHQLA e dos HQLA deve ser o montante escriturado antes da aplicação das margens de avaliação especificadas nos artigos 10.º a 16.º do Regulamento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dos ativos não onerados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IFRS 13 e </w:t>
            </w:r>
            <w:r>
              <w:rPr>
                <w:rStyle w:val="InstructionsTabelleberschrift"/>
                <w:rFonts w:ascii="Times New Roman" w:hAnsi="Times New Roman"/>
                <w:b w:val="0"/>
                <w:bCs w:val="0"/>
                <w:sz w:val="24"/>
                <w:u w:val="none"/>
              </w:rPr>
              <w:t>artigo 8.º</w:t>
            </w:r>
            <w:r>
              <w:rPr>
                <w:rStyle w:val="InstructionsTabelleberschrift"/>
                <w:rFonts w:ascii="Times New Roman" w:hAnsi="Times New Roman"/>
                <w:b w:val="0"/>
                <w:sz w:val="24"/>
                <w:u w:val="none"/>
              </w:rPr>
              <w:t xml:space="preserve"> da Diretiva </w:t>
            </w:r>
            <w:r>
              <w:rPr>
                <w:rStyle w:val="InstructionsTabelleberschrift"/>
                <w:rFonts w:ascii="Times New Roman" w:hAnsi="Times New Roman"/>
                <w:b w:val="0"/>
                <w:bCs w:val="0"/>
                <w:sz w:val="24"/>
                <w:u w:val="none"/>
              </w:rPr>
              <w:t>2013/34/UE</w:t>
            </w:r>
            <w:r>
              <w:rPr>
                <w:rStyle w:val="InstructionsTabelleberschrift"/>
                <w:rFonts w:ascii="Times New Roman" w:hAnsi="Times New Roman"/>
                <w:b w:val="0"/>
                <w:sz w:val="24"/>
                <w:u w:val="none"/>
              </w:rPr>
              <w:t xml:space="preserve"> para as instituições não sujeitas às IFRS</w:t>
            </w:r>
          </w:p>
          <w:p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comunicar o justo valor dos seus títulos de dívida que não se encontrem onerados em conformidade com a definição de oneração de ativos a que se refere o ponto 11 do presente anexo.</w:t>
            </w:r>
          </w:p>
          <w:p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justo valor de um instrumento financeiro é o preço que seria recebido pela venda de um ativo ou pago pela transferência de um passivo numa transação normal entre participantes no mercado à data da avaliação (ver IFRS 13 Mensuração pelo Justo Valor).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elegíveis para operações com os bancos centrais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Justo valor dos títulos de dívida não onerados detidos pela instituição que relata que são elegíveis para operações com os bancos centrais aos quais essa </w:t>
            </w:r>
            <w:r>
              <w:rPr>
                <w:rStyle w:val="InstructionsTabelleberschrift"/>
                <w:rFonts w:ascii="Times New Roman" w:hAnsi="Times New Roman"/>
                <w:b w:val="0"/>
                <w:sz w:val="24"/>
                <w:u w:val="none"/>
              </w:rPr>
              <w:lastRenderedPageBreak/>
              <w:t xml:space="preserve">instituição tem acesso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Pr>
                <w:rStyle w:val="instructionstabelleberschrift0"/>
                <w:rFonts w:ascii="Times New Roman" w:hAnsi="Times New Roman"/>
                <w:sz w:val="24"/>
              </w:rPr>
              <w:t>ou seja, podem deixar este campo em branco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105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EHQLA e HQLA</w:t>
            </w:r>
          </w:p>
          <w:p w:rsidR="00941FAE" w:rsidRDefault="00941FAE" w:rsidP="005150E8">
            <w:pPr>
              <w:spacing w:before="0"/>
              <w:rPr>
                <w:rStyle w:val="TeksttreciTimesNewRoman105ptOdstpy0pt"/>
                <w:rFonts w:eastAsia="Calibri"/>
                <w:sz w:val="24"/>
              </w:rPr>
            </w:pPr>
            <w:r>
              <w:rPr>
                <w:rStyle w:val="TeksttreciTimesNewRoman105ptOdstpy0pt"/>
                <w:sz w:val="24"/>
              </w:rPr>
              <w:t>O justo valor dos EHQLA e HQLA não onerados mencionados nos artigos 10.º, 11.º, 12.º e 13.º do Regulamento Delegado (UE) 2015/61 e que cumpram os requisitos gerais e operacionais estabelecidos nos artigos 7.º e 8.º desse regulamento delegado, bem como os requisitos específicos da classe de risco previstos nos artigos 10.º a 16.º e 35.º a 37.º do referido regulamento delegado</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O justo valor dos EHQLA e dos HQLA deve ser o justo valor antes da aplicação das margens de avaliação especificadas nos artigos 10.º a 16.º do Regulamento Delegado (UE) 2015/61.</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36" w:name="_Toc348096566"/>
      <w:bookmarkStart w:id="37" w:name="_Toc58600092"/>
      <w:r>
        <w:rPr>
          <w:rFonts w:ascii="Times New Roman" w:hAnsi="Times New Roman"/>
          <w:sz w:val="24"/>
          <w:u w:val="none"/>
        </w:rPr>
        <w:t>Modelo: AE-COL. Cauções recebidas pela instituição que relata</w:t>
      </w:r>
      <w:bookmarkEnd w:id="36"/>
      <w:bookmarkEnd w:id="37"/>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8" w:name="_Toc348096567"/>
      <w:bookmarkStart w:id="39" w:name="_Toc348097328"/>
      <w:bookmarkStart w:id="40" w:name="_Toc58600093"/>
      <w:r>
        <w:rPr>
          <w:rFonts w:ascii="Times New Roman" w:hAnsi="Times New Roman"/>
          <w:sz w:val="24"/>
          <w:u w:val="none"/>
        </w:rPr>
        <w:t>Observações gerais</w:t>
      </w:r>
      <w:bookmarkEnd w:id="40"/>
    </w:p>
    <w:p w:rsidR="00941FAE" w:rsidRPr="000F059F" w:rsidRDefault="00941FAE" w:rsidP="00941FAE">
      <w:pPr>
        <w:pStyle w:val="InstructionsText2"/>
        <w:shd w:val="clear" w:color="auto" w:fill="FFFFFF"/>
        <w:spacing w:after="120"/>
        <w:rPr>
          <w:sz w:val="24"/>
        </w:rPr>
      </w:pPr>
      <w:r>
        <w:rPr>
          <w:sz w:val="24"/>
        </w:rPr>
        <w:t>Relativamente às cauções recebidas pela instituição que relata e aos títulos de dívida próprios emitidos com exceção de obrigações cobertas ou titularizações próprias, a categoria dos ativos «não onerados» é dividida entre os «disponíveis para oneração», ou potencialmente elegíveis para serem onerados, e os «não disponíveis para oneração».</w:t>
      </w:r>
    </w:p>
    <w:p w:rsidR="00941FAE" w:rsidRPr="000F059F" w:rsidRDefault="00941FAE" w:rsidP="00941FAE">
      <w:pPr>
        <w:pStyle w:val="InstructionsText2"/>
        <w:shd w:val="clear" w:color="auto" w:fill="FFFFFF"/>
        <w:spacing w:after="120"/>
        <w:rPr>
          <w:sz w:val="24"/>
        </w:rPr>
      </w:pPr>
      <w:r>
        <w:rPr>
          <w:sz w:val="24"/>
        </w:rPr>
        <w:t>Considera-se que os ativos são «não disponíveis para oneração» quando tiverem sido recebidos como caução e a instituição que relata não está autorizada a vender ou a voltar a dar em caução esses mesmos ativos, exceto em caso de incumprimento pelo proprietário da caução. Os títulos de dívida próprios emitidos, com exceção das obrigações cobertas ou titularizações próprias, não estão disponíveis para oneração se existir qualquer restrição, nas condições de emissão, à venda ou dação em garantia dos valores mobiliários detidos.</w:t>
      </w:r>
    </w:p>
    <w:p w:rsidR="00941FAE" w:rsidRPr="005F7E60" w:rsidRDefault="00941FAE" w:rsidP="00941FAE">
      <w:pPr>
        <w:pStyle w:val="InstructionsText2"/>
        <w:shd w:val="clear" w:color="auto" w:fill="FFFFFF"/>
        <w:spacing w:after="120"/>
        <w:rPr>
          <w:sz w:val="24"/>
        </w:rPr>
      </w:pPr>
      <w:r>
        <w:rPr>
          <w:sz w:val="24"/>
        </w:rPr>
        <w:t>Para efeitos de prestação de informações sobre a oneração de ativos, os valores mobiliários obtidos em empréstimo em troca de uma comissão, sem constituição de uma caução monetária ou não monetária, devem ser comunicados como cauções recebidas.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1" w:name="_Toc348101349"/>
      <w:bookmarkStart w:id="42" w:name="_Toc58600094"/>
      <w:r>
        <w:rPr>
          <w:rFonts w:ascii="Times New Roman" w:hAnsi="Times New Roman"/>
          <w:sz w:val="24"/>
          <w:u w:val="none"/>
        </w:rPr>
        <w:t>Instruções sobre linhas específicas</w:t>
      </w:r>
      <w:bookmarkEnd w:id="38"/>
      <w:bookmarkEnd w:id="39"/>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Cauções recebidas pela instituição que relata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Todos os tipos de cauções recebidas pela instituição que relata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Empréstimos à vista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relata que incluem empréstimos à vista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Ver referências jurídicas e instruções </w:t>
            </w:r>
            <w:r>
              <w:rPr>
                <w:rStyle w:val="InstructionsTabelleberschrift"/>
                <w:rFonts w:ascii="Times New Roman" w:hAnsi="Times New Roman"/>
                <w:b w:val="0"/>
                <w:bCs w:val="0"/>
                <w:sz w:val="24"/>
                <w:u w:val="none"/>
              </w:rPr>
              <w:t xml:space="preserve">relativas </w:t>
            </w:r>
            <w:r>
              <w:rPr>
                <w:rStyle w:val="InstructionsTabelleberschrift"/>
                <w:rFonts w:ascii="Times New Roman" w:hAnsi="Times New Roman"/>
                <w:b w:val="0"/>
                <w:sz w:val="24"/>
                <w:u w:val="none"/>
              </w:rPr>
              <w:t xml:space="preserve">à linha 020 </w:t>
            </w:r>
            <w:r>
              <w:rPr>
                <w:rStyle w:val="InstructionsTabelleberschrift"/>
                <w:rFonts w:ascii="Times New Roman" w:hAnsi="Times New Roman"/>
                <w:b w:val="0"/>
                <w:bCs w:val="0"/>
                <w:sz w:val="24"/>
                <w:u w:val="none"/>
              </w:rPr>
              <w:t xml:space="preserve">do </w:t>
            </w:r>
            <w:r>
              <w:rPr>
                <w:rStyle w:val="InstructionsTabelleberschrift"/>
                <w:rFonts w:ascii="Times New Roman" w:hAnsi="Times New Roman"/>
                <w:b w:val="0"/>
                <w:sz w:val="24"/>
                <w:u w:val="none"/>
              </w:rPr>
              <w:t>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capital próprio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relata que incluem instrumentos de capital próprio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030 do 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Títulos de dívida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relata que incluem títulos de dívida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referências jurídicas e instruções </w:t>
            </w:r>
            <w:r>
              <w:rPr>
                <w:rStyle w:val="InstructionsTabelleberschrift"/>
                <w:rFonts w:ascii="Times New Roman" w:hAnsi="Times New Roman"/>
                <w:b w:val="0"/>
                <w:bCs w:val="0"/>
                <w:sz w:val="24"/>
                <w:u w:val="none"/>
              </w:rPr>
              <w:t xml:space="preserve">relativas </w:t>
            </w:r>
            <w:r>
              <w:rPr>
                <w:rStyle w:val="InstructionsTabelleberschrift"/>
                <w:rFonts w:ascii="Times New Roman" w:hAnsi="Times New Roman"/>
                <w:b w:val="0"/>
                <w:sz w:val="24"/>
                <w:u w:val="none"/>
              </w:rPr>
              <w:t xml:space="preserve">à linha 040 </w:t>
            </w:r>
            <w:r>
              <w:rPr>
                <w:rStyle w:val="InstructionsTabelleberschrift"/>
                <w:rFonts w:ascii="Times New Roman" w:hAnsi="Times New Roman"/>
                <w:b w:val="0"/>
                <w:bCs w:val="0"/>
                <w:sz w:val="24"/>
                <w:u w:val="none"/>
              </w:rPr>
              <w:t xml:space="preserve">do </w:t>
            </w:r>
            <w:r>
              <w:rPr>
                <w:rStyle w:val="InstructionsTabelleberschrift"/>
                <w:rFonts w:ascii="Times New Roman" w:hAnsi="Times New Roman"/>
                <w:b w:val="0"/>
                <w:sz w:val="24"/>
                <w:u w:val="none"/>
              </w:rPr>
              <w:t>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obrigações cobertas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relata que incluem obrigações cobertas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referências jurídicas e instruções </w:t>
            </w:r>
            <w:r>
              <w:rPr>
                <w:rStyle w:val="InstructionsTabelleberschrift"/>
                <w:rFonts w:ascii="Times New Roman" w:hAnsi="Times New Roman"/>
                <w:b w:val="0"/>
                <w:bCs w:val="0"/>
                <w:sz w:val="24"/>
                <w:u w:val="none"/>
              </w:rPr>
              <w:t xml:space="preserve">relativas </w:t>
            </w:r>
            <w:r>
              <w:rPr>
                <w:rStyle w:val="InstructionsTabelleberschrift"/>
                <w:rFonts w:ascii="Times New Roman" w:hAnsi="Times New Roman"/>
                <w:b w:val="0"/>
                <w:sz w:val="24"/>
                <w:u w:val="none"/>
              </w:rPr>
              <w:t xml:space="preserve">à linha 050 </w:t>
            </w:r>
            <w:r>
              <w:rPr>
                <w:rStyle w:val="InstructionsTabelleberschrift"/>
                <w:rFonts w:ascii="Times New Roman" w:hAnsi="Times New Roman"/>
                <w:b w:val="0"/>
                <w:bCs w:val="0"/>
                <w:sz w:val="24"/>
                <w:u w:val="none"/>
              </w:rPr>
              <w:t xml:space="preserve">do </w:t>
            </w:r>
            <w:r>
              <w:rPr>
                <w:rStyle w:val="InstructionsTabelleberschrift"/>
                <w:rFonts w:ascii="Times New Roman" w:hAnsi="Times New Roman"/>
                <w:b w:val="0"/>
                <w:sz w:val="24"/>
                <w:u w:val="none"/>
              </w:rPr>
              <w:t>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titularizações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relata que incluem titularizações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referências jurídicas e instruções </w:t>
            </w:r>
            <w:r>
              <w:rPr>
                <w:rStyle w:val="InstructionsTabelleberschrift"/>
                <w:rFonts w:ascii="Times New Roman" w:hAnsi="Times New Roman"/>
                <w:b w:val="0"/>
                <w:bCs w:val="0"/>
                <w:sz w:val="24"/>
                <w:u w:val="none"/>
              </w:rPr>
              <w:t xml:space="preserve">relativas </w:t>
            </w:r>
            <w:r>
              <w:rPr>
                <w:rStyle w:val="InstructionsTabelleberschrift"/>
                <w:rFonts w:ascii="Times New Roman" w:hAnsi="Times New Roman"/>
                <w:b w:val="0"/>
                <w:sz w:val="24"/>
                <w:u w:val="none"/>
              </w:rPr>
              <w:t xml:space="preserve">à linha 060 </w:t>
            </w:r>
            <w:r>
              <w:rPr>
                <w:rStyle w:val="InstructionsTabelleberschrift"/>
                <w:rFonts w:ascii="Times New Roman" w:hAnsi="Times New Roman"/>
                <w:b w:val="0"/>
                <w:bCs w:val="0"/>
                <w:sz w:val="24"/>
                <w:u w:val="none"/>
              </w:rPr>
              <w:t xml:space="preserve">do </w:t>
            </w:r>
            <w:r>
              <w:rPr>
                <w:rStyle w:val="InstructionsTabelleberschrift"/>
                <w:rFonts w:ascii="Times New Roman" w:hAnsi="Times New Roman"/>
                <w:b w:val="0"/>
                <w:sz w:val="24"/>
                <w:u w:val="none"/>
              </w:rPr>
              <w:t>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administrações públicas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relata que incluem títulos de dívida emitidos por administrações públicas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referências jurídicas e instruções relativas à linha 070 do 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empresas financeiras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relata que incluem títulos de dívida emitidos por empresas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referências jurídicas e instruções </w:t>
            </w:r>
            <w:r>
              <w:rPr>
                <w:rStyle w:val="InstructionsTabelleberschrift"/>
                <w:rFonts w:ascii="Times New Roman" w:hAnsi="Times New Roman"/>
                <w:b w:val="0"/>
                <w:bCs w:val="0"/>
                <w:sz w:val="24"/>
                <w:u w:val="none"/>
              </w:rPr>
              <w:t xml:space="preserve">relativas </w:t>
            </w:r>
            <w:r>
              <w:rPr>
                <w:rStyle w:val="InstructionsTabelleberschrift"/>
                <w:rFonts w:ascii="Times New Roman" w:hAnsi="Times New Roman"/>
                <w:b w:val="0"/>
                <w:sz w:val="24"/>
                <w:u w:val="none"/>
              </w:rPr>
              <w:t xml:space="preserve">à linha 080 </w:t>
            </w:r>
            <w:r>
              <w:rPr>
                <w:rStyle w:val="InstructionsTabelleberschrift"/>
                <w:rFonts w:ascii="Times New Roman" w:hAnsi="Times New Roman"/>
                <w:b w:val="0"/>
                <w:bCs w:val="0"/>
                <w:sz w:val="24"/>
                <w:u w:val="none"/>
              </w:rPr>
              <w:t xml:space="preserve">do </w:t>
            </w:r>
            <w:r>
              <w:rPr>
                <w:rStyle w:val="InstructionsTabelleberschrift"/>
                <w:rFonts w:ascii="Times New Roman" w:hAnsi="Times New Roman"/>
                <w:b w:val="0"/>
                <w:sz w:val="24"/>
                <w:u w:val="none"/>
              </w:rPr>
              <w:t>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empresas não financeiras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relata que incluem títulos de dívida emitidos por empresas não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referências jurídicas e instruções </w:t>
            </w:r>
            <w:r>
              <w:rPr>
                <w:rStyle w:val="InstructionsTabelleberschrift"/>
                <w:rFonts w:ascii="Times New Roman" w:hAnsi="Times New Roman"/>
                <w:b w:val="0"/>
                <w:bCs w:val="0"/>
                <w:sz w:val="24"/>
                <w:u w:val="none"/>
              </w:rPr>
              <w:t xml:space="preserve">relativas </w:t>
            </w:r>
            <w:r>
              <w:rPr>
                <w:rStyle w:val="InstructionsTabelleberschrift"/>
                <w:rFonts w:ascii="Times New Roman" w:hAnsi="Times New Roman"/>
                <w:b w:val="0"/>
                <w:sz w:val="24"/>
                <w:u w:val="none"/>
              </w:rPr>
              <w:t xml:space="preserve">à linha 090 </w:t>
            </w:r>
            <w:r>
              <w:rPr>
                <w:rStyle w:val="InstructionsTabelleberschrift"/>
                <w:rFonts w:ascii="Times New Roman" w:hAnsi="Times New Roman"/>
                <w:b w:val="0"/>
                <w:bCs w:val="0"/>
                <w:sz w:val="24"/>
                <w:u w:val="none"/>
              </w:rPr>
              <w:t xml:space="preserve">do </w:t>
            </w:r>
            <w:r>
              <w:rPr>
                <w:rStyle w:val="InstructionsTabelleberschrift"/>
                <w:rFonts w:ascii="Times New Roman" w:hAnsi="Times New Roman"/>
                <w:b w:val="0"/>
                <w:sz w:val="24"/>
                <w:u w:val="none"/>
              </w:rPr>
              <w:t>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Empréstimos e adiantamentos com exceção dos empréstimos à vista</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relata que incluem empréstimos e adiantamentos com exceção dos empréstimos à vista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referências jurídicas e instruções </w:t>
            </w:r>
            <w:r>
              <w:rPr>
                <w:rStyle w:val="InstructionsTabelleberschrift"/>
                <w:rFonts w:ascii="Times New Roman" w:hAnsi="Times New Roman"/>
                <w:b w:val="0"/>
                <w:bCs w:val="0"/>
                <w:sz w:val="24"/>
                <w:u w:val="none"/>
              </w:rPr>
              <w:t xml:space="preserve">relativas </w:t>
            </w:r>
            <w:r>
              <w:rPr>
                <w:rStyle w:val="InstructionsTabelleberschrift"/>
                <w:rFonts w:ascii="Times New Roman" w:hAnsi="Times New Roman"/>
                <w:b w:val="0"/>
                <w:sz w:val="24"/>
                <w:u w:val="none"/>
              </w:rPr>
              <w:t xml:space="preserve">à linha 100 </w:t>
            </w:r>
            <w:r>
              <w:rPr>
                <w:rStyle w:val="InstructionsTabelleberschrift"/>
                <w:rFonts w:ascii="Times New Roman" w:hAnsi="Times New Roman"/>
                <w:b w:val="0"/>
                <w:bCs w:val="0"/>
                <w:sz w:val="24"/>
                <w:u w:val="none"/>
              </w:rPr>
              <w:t xml:space="preserve">do </w:t>
            </w:r>
            <w:r>
              <w:rPr>
                <w:rStyle w:val="InstructionsTabelleberschrift"/>
                <w:rFonts w:ascii="Times New Roman" w:hAnsi="Times New Roman"/>
                <w:b w:val="0"/>
                <w:sz w:val="24"/>
                <w:u w:val="none"/>
              </w:rPr>
              <w:t>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Outras cauções recebidas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Cauções recebidas pela instituição que relata que incluem outros ativos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referências jurídicas e instruções </w:t>
            </w:r>
            <w:r>
              <w:rPr>
                <w:rStyle w:val="InstructionsTabelleberschrift"/>
                <w:rFonts w:ascii="Times New Roman" w:hAnsi="Times New Roman"/>
                <w:b w:val="0"/>
                <w:bCs w:val="0"/>
                <w:sz w:val="24"/>
                <w:u w:val="none"/>
              </w:rPr>
              <w:t xml:space="preserve">relativas </w:t>
            </w:r>
            <w:r>
              <w:rPr>
                <w:rStyle w:val="InstructionsTabelleberschrift"/>
                <w:rFonts w:ascii="Times New Roman" w:hAnsi="Times New Roman"/>
                <w:b w:val="0"/>
                <w:sz w:val="24"/>
                <w:u w:val="none"/>
              </w:rPr>
              <w:t xml:space="preserve">à linha 120 </w:t>
            </w:r>
            <w:r>
              <w:rPr>
                <w:rStyle w:val="InstructionsTabelleberschrift"/>
                <w:rFonts w:ascii="Times New Roman" w:hAnsi="Times New Roman"/>
                <w:b w:val="0"/>
                <w:bCs w:val="0"/>
                <w:sz w:val="24"/>
                <w:u w:val="none"/>
              </w:rPr>
              <w:t xml:space="preserve">do </w:t>
            </w:r>
            <w:r>
              <w:rPr>
                <w:rStyle w:val="InstructionsTabelleberschrift"/>
                <w:rFonts w:ascii="Times New Roman" w:hAnsi="Times New Roman"/>
                <w:b w:val="0"/>
                <w:sz w:val="24"/>
                <w:u w:val="none"/>
              </w:rPr>
              <w:t>modelo AE-ASS.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240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Títulos de dívida próprios emitidos com exceção de obrigações cobertas ou titularizações próprias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Títulos de dívida próprios emitidos retidos pela instituição que relata que não </w:t>
            </w:r>
            <w:r>
              <w:rPr>
                <w:rStyle w:val="InstructionsTabelleberschrift"/>
                <w:rFonts w:ascii="Times New Roman" w:hAnsi="Times New Roman"/>
                <w:b w:val="0"/>
                <w:sz w:val="24"/>
                <w:u w:val="none"/>
              </w:rPr>
              <w:lastRenderedPageBreak/>
              <w:t xml:space="preserve">sejam obrigações cobertas próprias emitidas ou titularizações próprias emitidas.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Uma vez que os títulos de dívida próprios emitidos retidos ou recomprados, de acordo com a IAS 39.42, diminuem os passivos financeiros relacionados, esses valores mobiliários não devem ser incluídos na categoria dos ativos da instituição que relata (linha 010 </w:t>
            </w:r>
            <w:r>
              <w:rPr>
                <w:rStyle w:val="InstructionsTabelleberschrift"/>
                <w:rFonts w:ascii="Times New Roman" w:hAnsi="Times New Roman"/>
                <w:b w:val="0"/>
                <w:bCs w:val="0"/>
                <w:sz w:val="24"/>
                <w:u w:val="none"/>
              </w:rPr>
              <w:t>do</w:t>
            </w:r>
            <w:r>
              <w:rPr>
                <w:rStyle w:val="InstructionsTabelleberschrift"/>
                <w:rFonts w:ascii="Times New Roman" w:hAnsi="Times New Roman"/>
                <w:b w:val="0"/>
                <w:sz w:val="24"/>
                <w:u w:val="none"/>
              </w:rPr>
              <w:t xml:space="preserve"> modelo AE-ASS). Os títulos de dívida próprios que não podem ser desreconhecidos no balanço por uma instituição não sujeita às IFRS devem ser incluídos nesta linha.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obrigações cobertas próprias emitidas ou as titularizações próprias emitidas não devem ser comunicadas nesta categoria, uma vez que são aplicáveis regras diferentes para estes casos, a fim de evitar uma dupla contagem:</w:t>
            </w:r>
          </w:p>
          <w:p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caso os títulos de dívida próprios estejam dados em garantia, o montante do fundo comum de cobertura/dos ativos subjacentes que apoiam os valores mobiliários retidos e dados em garantia deve ser comunicado no modelo AE-ASS como ativos onerados;</w:t>
            </w:r>
          </w:p>
          <w:p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caso os títulos de dívida próprios não estejam ainda dados em garantia, o montante do fundo comum de cobertura/dos ativos subjacentes que apoiam os valores mobiliários retidos e ainda não dados em garantia deve ser comunicado no modelo AE-ASS como ativos não onerados. Informações adicionais sobre este segundo tipo de títulos de dívida próprios ainda não dados em garantia (ativos subjacentes, justo valor e elegibilidade dos que estão disponíveis para oneração, valor nominal dos que não estão disponíveis para oneração) devem ser apresentadas no modelo AE-NPL.</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lastRenderedPageBreak/>
              <w:t>245</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Obrigações cobertas e titularizações próprias emitidas e ainda não dadas em garantia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Obrigações cobertas e titularizações próprias emitidas que são retidas pela instituição que relata e não oneradas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evitar uma dupla contagem, aplica-se a seguinte regra em relação às obrigações cobertas e titularizações próprias emitidas e retidas pela instituição que relata:</w:t>
            </w:r>
          </w:p>
          <w:p w:rsidR="00941FAE" w:rsidRPr="005F7E60" w:rsidRDefault="00941FAE" w:rsidP="005150E8">
            <w:pPr>
              <w:spacing w:before="0"/>
              <w:ind w:left="72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caso estes valores mobiliários estejam dados em garantia, o montante do fundo comum de cobertura/dos ativos subjacentes que os apoiam deve ser comunicado no modelo AE-ASS (F32.01) como ativos onerados. A fonte de financiamento no caso de dação em garantia de obrigações cobertas próprias e titularizações próprias é a nova transação em que os valores mobiliários são dados em garantia (financiamento de um banco central ou outro tipo de financiamento garantido) e não a emissão inicial de obrigações cobertas ou titularizações;</w:t>
            </w:r>
          </w:p>
          <w:p w:rsidR="00941FAE" w:rsidRPr="000F059F" w:rsidRDefault="00941FAE" w:rsidP="005150E8">
            <w:pPr>
              <w:spacing w:before="0"/>
              <w:ind w:left="720"/>
              <w:rPr>
                <w:rStyle w:val="InstructionsTabelleberschrift"/>
                <w:rFonts w:ascii="Times New Roman" w:hAnsi="Times New Roman"/>
                <w:sz w:val="24"/>
              </w:rPr>
            </w:pPr>
            <w:r>
              <w:rPr>
                <w:rStyle w:val="InstructionsTabelleberschrift"/>
                <w:rFonts w:ascii="Times New Roman" w:hAnsi="Times New Roman"/>
                <w:b w:val="0"/>
                <w:sz w:val="24"/>
                <w:u w:val="none"/>
              </w:rPr>
              <w:t>b) caso estes valores mobiliários não estejam ainda dados em garantia, o montante do fundo comum de cobertura/dos ativos subjacentes que respaldam estes valores mobiliários deve ser comunicado no modelo AE-ASS (F32.01) como ativos não onerados.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250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DOS ATIVOS, CAUÇÕES RECEBIDAS E TÍTULOS DE DÍVIDA PRÓPRIOS EMITIDOS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Todos os ativos registados no balanço da instituição que relata, todos os tipos de </w:t>
            </w:r>
            <w:r>
              <w:rPr>
                <w:rStyle w:val="InstructionsTabelleberschrift"/>
                <w:rFonts w:ascii="Times New Roman" w:hAnsi="Times New Roman"/>
                <w:b w:val="0"/>
                <w:sz w:val="24"/>
                <w:u w:val="none"/>
              </w:rPr>
              <w:lastRenderedPageBreak/>
              <w:t>cauções por ela recebidas e títulos de dívida próprios emitidos por ela retidos que não sejam obrigações cobertas próprias emitidas ou titularizações próprias emitidas.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43" w:name="_Toc348096568"/>
      <w:bookmarkStart w:id="44" w:name="_Toc348097329"/>
      <w:bookmarkStart w:id="45" w:name="_Toc348101350"/>
      <w:bookmarkStart w:id="46" w:name="_Toc58600095"/>
      <w:r>
        <w:rPr>
          <w:rFonts w:ascii="Times New Roman" w:hAnsi="Times New Roman"/>
          <w:sz w:val="24"/>
          <w:u w:val="none"/>
        </w:rPr>
        <w:lastRenderedPageBreak/>
        <w:t>Instruções relativas a colunas específicas</w:t>
      </w:r>
      <w:bookmarkEnd w:id="43"/>
      <w:bookmarkEnd w:id="44"/>
      <w:bookmarkEnd w:id="45"/>
      <w:bookmarkEnd w:id="4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das cauções oneradas recebidas ou dos títulos de dívida próprios emitidos</w:t>
            </w:r>
          </w:p>
          <w:p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instituições devem comunicar o justo valor das cauções recebidas ou dos títulos de dívida próprios por elas detidos/retidos, que se encontrem onerados em conformidade com a definição de oneração de ativos a que se refere o ponto 11 do presente anexo.</w:t>
            </w:r>
          </w:p>
          <w:p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 justo valor de um instrumento financeiro é o preço que seria recebido pela venda de um ativo ou pago pela transferência de um passivo numa transação normal entre participantes no mercado à data da avaliação (ver IFRS 13 Mensuração pelo Justo Valor).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outras entidades do grupo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cauções recebidas oneradas ou dos títulos de dívida próprios emitidos detidos/retidos pela instituição que relata e que são emitidos por qualquer entidade pertencente ao perímetro de consolidação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elegíveis para operações com os bancos centrais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cauções oneradas recebidas ou dos títulos de dívida próprios emitidos detidos/retidos pela instituição que relata que são elegíveis para operações com os bancos centrais aos quais essa instituição tem acesso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Pr>
                <w:rStyle w:val="instructionstabelleberschrift0"/>
                <w:rFonts w:ascii="Times New Roman" w:hAnsi="Times New Roman"/>
                <w:sz w:val="24"/>
              </w:rPr>
              <w:t>ou seja, podem deixar este campo em branco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EHQLA e HQLA nocionalmente elegíveis</w:t>
            </w:r>
          </w:p>
          <w:p w:rsidR="00941FAE" w:rsidRDefault="00941FAE" w:rsidP="005150E8">
            <w:pPr>
              <w:spacing w:before="0"/>
              <w:rPr>
                <w:rStyle w:val="TeksttreciTimesNewRoman105ptOdstpy0pt"/>
                <w:rFonts w:eastAsia="Calibri"/>
                <w:sz w:val="24"/>
              </w:rPr>
            </w:pPr>
            <w:r>
              <w:rPr>
                <w:rStyle w:val="TeksttreciTimesNewRoman105ptOdstpy0pt"/>
                <w:sz w:val="24"/>
              </w:rPr>
              <w:t>Justo valor das cauções oneradas recebidas, incluindo qualquer operação de contração de empréstimos de valores mobiliários, ou títulos de dívida próprios emitidos detidos/retidos pela instituição que sejam nocionalmente elegíveis para qualificação como EHQLA e HQLA</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 xml:space="preserve">Para efeitos do presente regulamento, os EHQLA onerados nocionalmente elegíveis e os HQLA onerados nocionalmente elegíveis são os elementos de caução recebidos ou os títulos de dívida próprios emitidos detidos/retidos pela instituição enumerados nos artigos 10.º, 11.º, 12.º e 13.º do Regulamento Delegado (UE) 2015/61 e que cumpririam os requisitos gerais e operacionais estabelecidos nos artigos 7.º e 8.º do referido regulamento delegado, não fosse o seu estatuto de ativos onerados em conformidade com o anexo XVII do </w:t>
            </w:r>
            <w:r>
              <w:rPr>
                <w:rStyle w:val="TeksttreciTimesNewRoman105ptOdstpy0pt"/>
                <w:sz w:val="24"/>
              </w:rPr>
              <w:lastRenderedPageBreak/>
              <w:t>Regulamento de Execução (UE) n.º 680/2014. Os EHQLA onerados e os HQLA onerados nocionalmente elegíveis devem também cumprir os requisitos específicos da classe de risco estabelecidos nos artigos 10.º a 16.º e 35.º a 37.º do Regulamento Delegado (UE) 2015/61. O justo valor dos EHQLA onerados nocionalmente elegíveis e dos HQLA onerados nocionalmente elegíveis deve ser o justo valor antes da aplicação das margens de avaliação especificadas nos artigos 10.º a 16.º do Regulamento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das cauções recebidas ou dos títulos de dívida próprios emitidos disponíveis para oneração</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cauções recebidas pela instituição que relata que não se encontram oneradas mas estão disponíveis para oneração uma vez que essa instituição pode vendê-los ou dá-los em garantia na ausência de incumprimento pelo proprietário da caução. Inclui também o justo valor dos títulos de dívida próprios emitidos, com exceção de obrigações cobertas ou titularizações próprias, que não se encontram onerados mas estão disponíveis para oneração.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dos quais: emitidos por outras entidades do grupo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cauções recebidas ou títulos de dívida próprios emitidos, com exceção de obrigações cobertas ou titularizações próprias, disponíveis para oneração e que são emitidos por qualquer entidade pertencente ao perímetro de consolidação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dos quais: elegíveis para operações com os bancos centrais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Justo valor das cauções recebidas ou dos títulos de dívida próprios emitidos, com exceção de obrigações cobertas ou titularizações próprias, disponíveis para oneração e que são elegíveis para operações com os bancos centrais aos quais essa instituição tem acesso.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Pr>
                <w:rStyle w:val="instructionstabelleberschrift0"/>
                <w:rFonts w:ascii="Times New Roman" w:hAnsi="Times New Roman"/>
                <w:sz w:val="24"/>
              </w:rPr>
              <w:t>ou seja, podem deixar este campo em branco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EHQLA e HQLA</w:t>
            </w:r>
          </w:p>
          <w:p w:rsidR="00941FAE" w:rsidRDefault="00941FAE" w:rsidP="005150E8">
            <w:pPr>
              <w:spacing w:before="0"/>
              <w:rPr>
                <w:rStyle w:val="TeksttreciTimesNewRoman105ptOdstpy0pt"/>
                <w:rFonts w:eastAsia="Calibri"/>
                <w:sz w:val="24"/>
              </w:rPr>
            </w:pPr>
            <w:r>
              <w:rPr>
                <w:rStyle w:val="TeksttreciTimesNewRoman105ptOdstpy0pt"/>
                <w:sz w:val="24"/>
              </w:rPr>
              <w:t xml:space="preserve">Justo valor das cauções não oneradas recebidas ou dos títulos de dívida próprios emitidos detidos/retidos pela instituição com exceção das obrigações cobertas próprias ou das posições de titularização disponíveis para oneração elegíveis como EHQLA e HQLA mencionados nos artigos 10.º, 11.º, 12.º e 13.º do Regulamento Delegado (UE) 2015/61 e que cumpram os requisitos gerais e operacionais estabelecidos nos artigos 7.º e 8.º desse regulamento delegado, bem como os requisitos específicos da classe de risco previstos nos artigos 10.º a 16.º e 35.º a 37.º do referido regulamento delegado </w:t>
            </w:r>
          </w:p>
          <w:p w:rsidR="00941FAE" w:rsidRPr="00A67D5A" w:rsidRDefault="00941FAE" w:rsidP="005150E8">
            <w:pPr>
              <w:spacing w:before="0"/>
              <w:rPr>
                <w:rStyle w:val="InstructionsTabelleberschrift"/>
                <w:rFonts w:ascii="Times New Roman" w:hAnsi="Times New Roman"/>
                <w:sz w:val="24"/>
              </w:rPr>
            </w:pPr>
            <w:r>
              <w:rPr>
                <w:rStyle w:val="TeksttreciTimesNewRoman105ptOdstpy0pt"/>
                <w:sz w:val="24"/>
              </w:rPr>
              <w:t>O justo valor dos EHQLA e dos HQLA deve ser o justo valor antes da aplicação das margens de avaliação especificadas nos artigos 10.º a 16.º do Regulamento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das cauções recebidas ou dos títulos de dívida próprios emitidos não disponíveis para oneração</w:t>
            </w:r>
          </w:p>
          <w:p w:rsidR="00941FA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Montante nominal das cauções recebidas detidas pela instituição que relata que não se encontram oneradas e não estão disponíveis para oneração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Deve incluir o valor nominal dos títulos de dívida próprios emitidos, com exceção de obrigações cobertas ou titularizações próprias, retidas pela instituição que relata, que não se encontram onerados nem estão disponíveis para oneração.</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47" w:name="_Toc58600096"/>
      <w:r>
        <w:rPr>
          <w:rFonts w:ascii="Times New Roman" w:hAnsi="Times New Roman"/>
          <w:sz w:val="24"/>
          <w:u w:val="none"/>
        </w:rPr>
        <w:t>Modelo: AE-NPL. Obrigações cobertas e titularizações próprias emitidas e ainda não dadas em garantia</w:t>
      </w:r>
      <w:bookmarkEnd w:id="47"/>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8" w:name="_Toc58600097"/>
      <w:r>
        <w:rPr>
          <w:rFonts w:ascii="Times New Roman" w:hAnsi="Times New Roman"/>
          <w:sz w:val="24"/>
          <w:u w:val="none"/>
        </w:rPr>
        <w:t>Observações gerais</w:t>
      </w:r>
      <w:bookmarkEnd w:id="48"/>
    </w:p>
    <w:p w:rsidR="00941FAE" w:rsidRPr="000F059F" w:rsidRDefault="00941FAE" w:rsidP="00941FAE">
      <w:pPr>
        <w:pStyle w:val="InstructionsText2"/>
        <w:shd w:val="clear" w:color="auto" w:fill="FFFFFF"/>
        <w:spacing w:after="120"/>
        <w:rPr>
          <w:sz w:val="24"/>
        </w:rPr>
      </w:pPr>
      <w:r>
        <w:rPr>
          <w:sz w:val="24"/>
        </w:rPr>
        <w:t>Para evitar uma dupla contagem, aplica-se a seguinte regra em relação às obrigações cobertas e titularizações próprias emitidas e retidas pela instituição que relata:</w:t>
      </w:r>
    </w:p>
    <w:p w:rsidR="00941FAE" w:rsidRPr="000F059F" w:rsidRDefault="00941FAE" w:rsidP="00941FAE">
      <w:pPr>
        <w:pStyle w:val="InstructionsText2"/>
        <w:numPr>
          <w:ilvl w:val="0"/>
          <w:numId w:val="5"/>
        </w:numPr>
        <w:shd w:val="clear" w:color="auto" w:fill="FFFFFF"/>
        <w:spacing w:after="120"/>
        <w:rPr>
          <w:sz w:val="24"/>
        </w:rPr>
      </w:pPr>
      <w:r>
        <w:rPr>
          <w:sz w:val="24"/>
        </w:rPr>
        <w:t>caso estes valores mobiliários estejam dados em garantia, o montante do fundo comum de cobertura/dos ativos subjacentes que os apoiam deve ser comunicado no modelo AE-ASS como ativos onerados. A fonte de financiamento no caso de dação em garantia de obrigações cobertas próprias e titularizações próprias é a nova transação em que os valores mobiliários são dados em garantia (financiamento de um banco central ou outro tipo de financiamento garantido) e não a emissão inicial de obrigações cobertas ou titularizações;</w:t>
      </w:r>
    </w:p>
    <w:p w:rsidR="00941FAE" w:rsidRPr="000F059F" w:rsidRDefault="00941FAE" w:rsidP="00941FAE">
      <w:pPr>
        <w:pStyle w:val="InstructionsText2"/>
        <w:numPr>
          <w:ilvl w:val="0"/>
          <w:numId w:val="5"/>
        </w:numPr>
        <w:shd w:val="clear" w:color="auto" w:fill="FFFFFF"/>
        <w:spacing w:after="120"/>
        <w:rPr>
          <w:sz w:val="24"/>
        </w:rPr>
      </w:pPr>
      <w:r>
        <w:rPr>
          <w:sz w:val="24"/>
        </w:rPr>
        <w:t xml:space="preserve">caso estes valores mobiliários não estejam ainda dados em garantia, o montante do fundo comum de cobertura/dos ativos subjacentes que respaldam estes valores mobiliários deve ser comunicado no modelo AE-ASS como ativos não onerados.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9" w:name="_Toc348096570"/>
      <w:bookmarkStart w:id="50" w:name="_Toc348097331"/>
      <w:bookmarkStart w:id="51" w:name="_Toc348101352"/>
      <w:bookmarkStart w:id="52" w:name="_Toc58600098"/>
      <w:r>
        <w:rPr>
          <w:rFonts w:ascii="Times New Roman" w:hAnsi="Times New Roman"/>
          <w:sz w:val="24"/>
          <w:u w:val="none"/>
        </w:rPr>
        <w:t>Instruções sobre linhas específicas</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Obrigações cobertas e titularizações próprias emitidas e ainda não dadas em garantia</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Obrigações cobertas e titularizações próprias emitidas que são retidas pela instituição que relata e não oneradas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Obrigações cobertas emitidas retidas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Obrigações cobertas próprias emitidas que são retidas pela instituição que relata e não oneradas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Titularizações emitidas retidas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Titularizações próprias emitidas que são retidas pela instituição que relata e não oneradas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Prioritários</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Tranches com prioridade mais elevada das titularizações próprias emitidas que são retidas pela instituição que relata e não oneradas</w:t>
            </w:r>
            <w:r>
              <w:rPr>
                <w:rStyle w:val="InstructionsTabelleberschrift"/>
                <w:rFonts w:ascii="Times New Roman" w:hAnsi="Times New Roman"/>
                <w:b w:val="0"/>
                <w:bCs w:val="0"/>
                <w:sz w:val="24"/>
                <w:u w:val="none"/>
              </w:rPr>
              <w:t xml:space="preserve"> </w:t>
            </w:r>
          </w:p>
          <w:p w:rsidR="00941FAE" w:rsidRPr="00B93E2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bCs w:val="0"/>
                <w:sz w:val="24"/>
                <w:u w:val="none"/>
              </w:rPr>
              <w:t>Ver artigo 4.º, n.º 1, ponto 67, do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Intermédias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Tranches intermédias das titularizações próprias emitidas que são retidas pela instituição que relata e não oneradas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Todas as tranches que não sejam de prioridade mais elevada, ou seja as últimas a absorver a perda ou as tranches de primeiras perdas, são considerados tranches intermédias.</w:t>
            </w:r>
            <w:r>
              <w:rPr>
                <w:rStyle w:val="InstructionsTabelleberschrift"/>
                <w:rFonts w:ascii="Times New Roman" w:hAnsi="Times New Roman"/>
                <w:b w:val="0"/>
                <w:bCs w:val="0"/>
                <w:sz w:val="24"/>
                <w:u w:val="none"/>
              </w:rPr>
              <w:t xml:space="preserve"> Ver artigo 4.º, n.º 1, ponto 67, do CRR.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Primeira perda</w:t>
            </w:r>
          </w:p>
          <w:p w:rsidR="00941FAE" w:rsidRDefault="00941FAE" w:rsidP="005150E8">
            <w:pPr>
              <w:spacing w:before="0"/>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Tranches de primeiras perdas das titularizações próprias emitidas que são retidas pela instituição que relata e que não se encontram oneradas</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bCs w:val="0"/>
                <w:sz w:val="24"/>
                <w:u w:val="none"/>
              </w:rPr>
              <w:t>Ver artigo 4.º, n.º 1, ponto 67, do CRR.</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53" w:name="_Toc348096571"/>
      <w:bookmarkStart w:id="54" w:name="_Toc348097332"/>
      <w:bookmarkStart w:id="55" w:name="_Toc348101353"/>
      <w:bookmarkStart w:id="56" w:name="_Toc58600099"/>
      <w:r>
        <w:rPr>
          <w:rFonts w:ascii="Times New Roman" w:hAnsi="Times New Roman"/>
          <w:sz w:val="24"/>
          <w:u w:val="none"/>
        </w:rPr>
        <w:t>Instruções relativas a colunas específicas</w:t>
      </w:r>
      <w:bookmarkEnd w:id="53"/>
      <w:bookmarkEnd w:id="54"/>
      <w:bookmarkEnd w:id="55"/>
      <w:bookmarkEnd w:id="5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u w:val="single"/>
              </w:rPr>
            </w:pPr>
            <w:r>
              <w:rPr>
                <w:rStyle w:val="InstructionsTabelleText"/>
                <w:rFonts w:ascii="Times New Roman" w:hAnsi="Times New Roman"/>
                <w:sz w:val="24"/>
              </w:rPr>
              <w:t>Colunas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 escriturado do conjunto de ativos subjacente</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 fundo comum de cobertura/ativos subjacentes que apoiam as obrigações cobertas próprias e as titularizações próprias retidas e ainda não dadas em garantia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dos títulos de dívida emitidos disponíveis para oneração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obrigações cobertas próprias e das titularizações próprias retidas e não oneradas mas disponíveis para oneração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Dos quais: elegíveis para operações com os bancos centrais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obrigações cobertas próprias e das titularizações próprias retidas e que satisfazem todas as seguintes condições: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não se encontram oneradas;</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estão disponíveis para oneração;</w:t>
            </w:r>
          </w:p>
          <w:p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são elegíveis para operações com os bancos centrais aos quais a instituição que relata tem acesso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Pr>
                <w:rStyle w:val="instructionstabelleberschrift0"/>
                <w:rFonts w:ascii="Times New Roman" w:hAnsi="Times New Roman"/>
                <w:sz w:val="24"/>
              </w:rPr>
              <w:t>ou seja, podem deixar este campo em branco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035</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EHQLA e HQLA nocionalmente elegíveis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Justo valor das cauções oneradas recebidas, incluindo qualquer operação de contração de empréstimos de valores mobiliários, ou títulos de dívida próprios emitidos detidos/retidos pela instituição que sejam nocionalmente elegíveis para qualificação como EHQLA e HQLA</w:t>
            </w:r>
          </w:p>
          <w:p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Para efeitos do presente regulamento, os EHQLA onerados nocionalmente elegíveis e os HQLA onerados nocionalmente elegíveis são os elementos de </w:t>
            </w:r>
            <w:r>
              <w:rPr>
                <w:rStyle w:val="InstructionsTabelleberschrift"/>
                <w:rFonts w:ascii="Times New Roman" w:hAnsi="Times New Roman"/>
                <w:b w:val="0"/>
                <w:sz w:val="24"/>
                <w:u w:val="none"/>
              </w:rPr>
              <w:lastRenderedPageBreak/>
              <w:t>caução recebidos ou os títulos de dívida próprios emitidos detidos/retidos pela instituição enumerados nos artigos 10.º, 11.º, 12.º e 13.º do Regulamento Delegado (UE) 2015/61 e que cumpririam os requisitos gerais e operacionais estabelecidos nos artigos 7.º e 8.º do referido regulamento delegado, não fosse o seu estatuto de ativos onerados em conformidade com o anexo XVII do Regulamento de Execução (UE) n.º 680/2014. Os EHQLA onerados e os HQLA onerados nocionalmente elegíveis devem também cumprir os requisitos específicos da classe de risco estabelecidos nos artigos 10.º a 16.º e 35.º a 37.º do Regulamento Delegado (UE) 2015/61. O justo valor dos EHQLA onerados nocionalmente elegíveis e dos HQLA onerados nocionalmente elegíveis deve ser o justo valor antes da aplicação das margens de avaliação especificadas nos artigos 10.º a 16.º do Regulamento Delegado (UE) 2015/61.</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dos títulos de dívida próprios emitidos não disponíveis para oneração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nominal das obrigações cobertas próprias e das titularizações próprias retidas que não se encontram oneradas nem estão disponíveis para oneração</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57" w:name="_Toc58600100"/>
      <w:r>
        <w:rPr>
          <w:rFonts w:ascii="Times New Roman" w:hAnsi="Times New Roman"/>
          <w:sz w:val="24"/>
          <w:u w:val="none"/>
        </w:rPr>
        <w:t>Modelo: AE-SOU. Fontes de oneração</w:t>
      </w:r>
      <w:bookmarkEnd w:id="57"/>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8" w:name="_Toc348096573"/>
      <w:bookmarkStart w:id="59" w:name="_Toc348097334"/>
      <w:bookmarkStart w:id="60" w:name="_Toc348101355"/>
      <w:bookmarkStart w:id="61" w:name="_Toc58600101"/>
      <w:r>
        <w:rPr>
          <w:rFonts w:ascii="Times New Roman" w:hAnsi="Times New Roman"/>
          <w:sz w:val="24"/>
          <w:u w:val="none"/>
        </w:rPr>
        <w:t>Observações gerais</w:t>
      </w:r>
      <w:bookmarkEnd w:id="61"/>
    </w:p>
    <w:p w:rsidR="00941FAE" w:rsidRPr="000F059F" w:rsidRDefault="00941FAE" w:rsidP="00941FAE">
      <w:pPr>
        <w:pStyle w:val="InstructionsText2"/>
        <w:shd w:val="clear" w:color="auto" w:fill="FFFFFF"/>
        <w:spacing w:after="120"/>
        <w:rPr>
          <w:sz w:val="24"/>
        </w:rPr>
      </w:pPr>
      <w:r>
        <w:rPr>
          <w:sz w:val="24"/>
        </w:rPr>
        <w:t>Este modelo contém informações sobre a importância, para a instituição que relata, das diferentes fontes de oneração, incluindo as sem financiamento associado como os compromissos de empréstimo ou as garantias financeiras recebidas e os empréstimos de valores mobiliários com caução não monetária.</w:t>
      </w:r>
    </w:p>
    <w:p w:rsidR="00941FAE" w:rsidRPr="000F059F" w:rsidRDefault="00941FAE" w:rsidP="00941FAE">
      <w:pPr>
        <w:pStyle w:val="InstructionsText2"/>
        <w:shd w:val="clear" w:color="auto" w:fill="FFFFFF"/>
        <w:spacing w:after="120"/>
        <w:rPr>
          <w:sz w:val="24"/>
        </w:rPr>
      </w:pPr>
      <w:r>
        <w:rPr>
          <w:sz w:val="24"/>
        </w:rPr>
        <w:t xml:space="preserve">Os montantes totais dos ativos e das cauções recebidas que figuram nos modelos AE-ASS </w:t>
      </w:r>
      <w:r>
        <w:rPr>
          <w:rStyle w:val="InstructionsTabelleberschrift"/>
          <w:rFonts w:ascii="Times New Roman" w:hAnsi="Times New Roman"/>
          <w:b w:val="0"/>
          <w:bCs w:val="0"/>
          <w:sz w:val="24"/>
          <w:u w:val="none"/>
        </w:rPr>
        <w:t>e</w:t>
      </w:r>
      <w:r>
        <w:rPr>
          <w:sz w:val="24"/>
          <w:szCs w:val="24"/>
        </w:rPr>
        <w:t xml:space="preserve"> </w:t>
      </w:r>
      <w:r>
        <w:rPr>
          <w:sz w:val="24"/>
        </w:rPr>
        <w:t xml:space="preserve">AE-COL seguem a seguinte regra de validação: {AE-SOU; r170; c030} = {AE-ASS; r010; c010} + {AE-COL; r130; c010} + {AE-COL; r240; c010}. </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2" w:name="_Toc58600102"/>
      <w:r>
        <w:rPr>
          <w:rFonts w:ascii="Times New Roman" w:hAnsi="Times New Roman"/>
          <w:sz w:val="24"/>
          <w:u w:val="none"/>
        </w:rPr>
        <w:t>Instruções sobre linhas específicas</w:t>
      </w:r>
      <w:bookmarkEnd w:id="58"/>
      <w:bookmarkEnd w:id="59"/>
      <w:bookmarkEnd w:id="60"/>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Montante escriturado de certos passivos financeiros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de certos passivos financeiros com caução da instituição que relata, na medida em que esses passivos suponham para a instituição uma oneração de ativos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derivados com caução da instituição que relata que são passivos financeiros, isto é, com um justo valor negativo, na medida em que esses derivados suponham para a instituição uma oneração de ativos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dos quais: </w:t>
            </w:r>
            <w:r>
              <w:rPr>
                <w:rStyle w:val="InstructionsTabelleberschrift"/>
                <w:rFonts w:ascii="Times New Roman" w:hAnsi="Times New Roman"/>
                <w:bCs w:val="0"/>
                <w:sz w:val="24"/>
              </w:rPr>
              <w:t xml:space="preserve">mercado de balcão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derivados com caução da instituição que relata que são passivos financeiros e que são transacionados no mercado de balcão, na medida em que esses derivados suponham uma oneração de ativos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Montante escriturado dos depósitos com caução da instituição que relata, na medida em que esses depósitos suponham para a instituição uma oneração de </w:t>
            </w:r>
            <w:r>
              <w:rPr>
                <w:rStyle w:val="InstructionsTabelleberschrift"/>
                <w:rFonts w:ascii="Times New Roman" w:hAnsi="Times New Roman"/>
                <w:b w:val="0"/>
                <w:sz w:val="24"/>
                <w:u w:val="none"/>
              </w:rPr>
              <w:lastRenderedPageBreak/>
              <w:t>ativos.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Acordos de recompra</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bruto (</w:t>
            </w:r>
            <w:r>
              <w:t xml:space="preserve">sem que seja permitida qualquer compensação no quadro contabilístico) </w:t>
            </w:r>
            <w:r>
              <w:rPr>
                <w:rStyle w:val="InstructionsTabelleberschrift"/>
                <w:rFonts w:ascii="Times New Roman" w:hAnsi="Times New Roman"/>
                <w:b w:val="0"/>
                <w:sz w:val="24"/>
                <w:u w:val="none"/>
              </w:rPr>
              <w:t>das vendas com acordo de recompra da instituição que relata, na medida em que essas transações suponham para a instituição uma oneração de ativos</w:t>
            </w:r>
          </w:p>
          <w:p w:rsidR="00941FAE" w:rsidRPr="00353E1E" w:rsidRDefault="00941FAE" w:rsidP="005150E8">
            <w:pPr>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 vendas com acordo de recompra (</w:t>
            </w:r>
            <w:r>
              <w:rPr>
                <w:rStyle w:val="InstructionsTabelleberschrift"/>
                <w:rFonts w:ascii="Times New Roman" w:hAnsi="Times New Roman"/>
                <w:b w:val="0"/>
                <w:i/>
                <w:iCs/>
                <w:sz w:val="24"/>
                <w:u w:val="none"/>
              </w:rPr>
              <w:t>repos</w:t>
            </w:r>
            <w:r>
              <w:rPr>
                <w:rStyle w:val="InstructionsTabelleberschrift"/>
                <w:rFonts w:ascii="Times New Roman" w:hAnsi="Times New Roman"/>
                <w:b w:val="0"/>
                <w:sz w:val="24"/>
                <w:u w:val="none"/>
              </w:rPr>
              <w:t>) são as transações em que a instituição que relata recebe numerário em troca de ativos financeiros vendidos a um determinado preço, sob o compromisso de recomprar os mesmos ativos (ou ativos idênticos) a um preço fixo numa determinada data futura. As seguintes variantes de operações de tipo acordo de recompra devem ser comunicadas como acordos de recompra: - montantes recebidos em troca de valores mobiliários temporariamente transferidos para um terceiro sob a forma de empréstimo de valores mobiliários contra caução monetária e - montantes recebidos em troca de valores mobiliários temporariamente transferidos para um terceiro sob a forma de um acordo de venda/recompra.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bancos centrais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acordos de recompra junto de bancos centrais da instituição que relata, na medida em que essas transações suponham uma oneração de ativos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 com caução à exceção de vendas com acordo de recompra</w:t>
            </w:r>
          </w:p>
          <w:p w:rsidR="00941FAE" w:rsidRPr="00353E1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dos depósitos com caução, com exceção das vendas com acordo de recompra, da instituição que relata, na medida em que esses depósitos suponham para a instituição uma oneração de ativos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bancos centrais</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depósitos com caução, com exceção de acordos de recompra, da instituição que relata junto de bancos centrais, na medida em que esses depósitos suponham para a instituição uma oneração de ativos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Títulos de dívida emitidos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dos títulos de dívida emitidos pela instituição que relata, na medida em que esses títulos emitidos suponham para a instituição uma oneração de ativos</w:t>
            </w:r>
          </w:p>
          <w:p w:rsidR="00941FAE" w:rsidRPr="000F059F" w:rsidRDefault="00941FAE" w:rsidP="005150E8">
            <w:pPr>
              <w:pStyle w:val="Default"/>
              <w:spacing w:after="120"/>
              <w:jc w:val="both"/>
              <w:rPr>
                <w:rStyle w:val="InstructionsTabelleberschrift"/>
                <w:rFonts w:ascii="Times New Roman" w:hAnsi="Times New Roman"/>
                <w:b w:val="0"/>
                <w:color w:val="auto"/>
                <w:sz w:val="24"/>
              </w:rPr>
            </w:pPr>
            <w:r>
              <w:rPr>
                <w:rStyle w:val="InstructionsTabelleberschrift"/>
                <w:rFonts w:ascii="Times New Roman" w:hAnsi="Times New Roman"/>
                <w:b w:val="0"/>
                <w:sz w:val="24"/>
                <w:u w:val="none"/>
              </w:rPr>
              <w:t>A parcela retida de uma emissão deve ser objeto do tratamento específico previsto no ponto 15 (</w:t>
            </w:r>
            <w:r>
              <w:rPr>
                <w:rStyle w:val="InstructionsTabelleberschrift"/>
                <w:rFonts w:ascii="Times New Roman" w:hAnsi="Times New Roman"/>
                <w:b w:val="0"/>
                <w:bCs w:val="0"/>
                <w:sz w:val="24"/>
                <w:u w:val="none"/>
              </w:rPr>
              <w:t>vi)</w:t>
            </w:r>
            <w:r>
              <w:rPr>
                <w:rStyle w:val="InstructionsTabelleberschrift"/>
                <w:rFonts w:ascii="Times New Roman" w:hAnsi="Times New Roman"/>
                <w:b w:val="0"/>
                <w:sz w:val="24"/>
                <w:u w:val="none"/>
              </w:rPr>
              <w:t xml:space="preserve">, da </w:t>
            </w:r>
            <w:r>
              <w:rPr>
                <w:rStyle w:val="InstructionsTabelleberschrift"/>
                <w:rFonts w:ascii="Times New Roman" w:hAnsi="Times New Roman"/>
                <w:b w:val="0"/>
                <w:bCs w:val="0"/>
                <w:sz w:val="24"/>
                <w:u w:val="none"/>
              </w:rPr>
              <w:t>parte A</w:t>
            </w:r>
            <w:r>
              <w:rPr>
                <w:rStyle w:val="InstructionsTabelleberschrift"/>
                <w:rFonts w:ascii="Times New Roman" w:hAnsi="Times New Roman"/>
                <w:b w:val="0"/>
                <w:sz w:val="24"/>
                <w:u w:val="none"/>
              </w:rPr>
              <w:t>, de forma que só a parcela de títulos de dívida colocados no exterior das entidades do grupo seja incluída nesta categoria.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obrigações cobertas emitidas</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das obrigações cobertas cujos ativos são originados pela instituição que relata, na medida em que esses valores mobiliários emitidos suponham para a instituição uma oneração de ativos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dos quais: titularizações emitidas</w:t>
            </w:r>
          </w:p>
          <w:p w:rsidR="00941FAE" w:rsidRPr="005C7383" w:rsidRDefault="00941FAE" w:rsidP="005C7383">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Montante escriturado das titularizações emitidas pela instituição que relata, na medida em que esses valores mobiliários emitidos suponham para a instituição </w:t>
            </w:r>
            <w:r>
              <w:rPr>
                <w:rStyle w:val="InstructionsTabelleberschrift"/>
                <w:rFonts w:ascii="Times New Roman" w:hAnsi="Times New Roman"/>
                <w:b w:val="0"/>
                <w:sz w:val="24"/>
                <w:u w:val="none"/>
              </w:rPr>
              <w:lastRenderedPageBreak/>
              <w:t>uma oneração de ativos</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120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Outras fontes de oneração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Montante das transações da instituição que relata que envolvem caução, com exceção de passivos financeiros, na medida em que essas transações suponham para a instituição uma oneração de ativos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dos compromissos de empréstimo recebidos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nominal dos compromissos de empréstimo recebidos pela instituição que relata, na medida em que esses compromissos recebidos suponham uma oneração dos ativos da instituição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nominal das garantias financeiras recebidas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nominal das garantias financeiras recebidas pela instituição que relata, na medida em que essas garantias recebidas suponham uma oneração dos ativos da instituição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Justo valor dos valores mobiliários tomados em empréstimo com caução não monetária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Justo valor dos valores mobiliários tomados em empréstimo sem caução monetária pela instituição que relata, na medida em que essas transações suponham uma oneração dos ativos da instituição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Montante das transações da instituição que relata que envolvem caução, com exceção de passivos financeiros, não abrangidas nas rubricas anteriores, na medida em que essas transações suponham uma oneração dos ativos da instituição</w:t>
            </w:r>
          </w:p>
        </w:tc>
      </w:tr>
      <w:tr w:rsidR="00941FAE" w:rsidRPr="000F059F" w:rsidTr="005150E8">
        <w:tc>
          <w:tcPr>
            <w:tcW w:w="993" w:type="dxa"/>
            <w:shd w:val="clear" w:color="auto" w:fill="D9D9D9"/>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shd w:val="clear" w:color="auto" w:fill="D9D9D9"/>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DAS FONTES DE ONERAÇÃO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Valor de todas as transações da instituição que relata que envolvem caução, na medida em que essas transações suponham para a instituição uma oneração de ativos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63" w:name="_Toc348096574"/>
      <w:bookmarkStart w:id="64" w:name="_Toc348097335"/>
      <w:bookmarkStart w:id="65" w:name="_Toc348101356"/>
      <w:bookmarkStart w:id="66" w:name="_Toc58600103"/>
      <w:r>
        <w:rPr>
          <w:rFonts w:ascii="Times New Roman" w:hAnsi="Times New Roman"/>
          <w:sz w:val="24"/>
          <w:u w:val="none"/>
        </w:rPr>
        <w:t>Instruções relativas a colunas específicas</w:t>
      </w:r>
      <w:bookmarkEnd w:id="63"/>
      <w:bookmarkEnd w:id="64"/>
      <w:bookmarkEnd w:id="65"/>
      <w:bookmarkEnd w:id="6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Colunas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Passivos de contrapartida, passivos contingentes ou valores mobiliários emprestados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dos passivos financeiros de contrapartida, passivos contingentes (compromissos de empréstimo recebidos e garantias financeiras recebidas) e dos valores mobiliários emprestados com caução não monetária, na medida em que essas transações suponham uma oneração dos ativos da instituição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passivos financeiros devem ser comunicados pelo respetivo montante escriturado; os passivos contingentes devem ser comunicados pelo respetivo valor nominal; e os valores mobiliários emprestados com caução não monetária devem ser comunicados pelo respetivo justo valor.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de outras entidades do grupo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dos passivos financeiros de contrapartida, dos passivos contingentes (compromissos de empréstimo recebidos e garantias financeiras recebidas) e dos valores mobiliários emprestados com cauções não monetárias, na medida em que a contraparte seja qualquer outra entidade pertencente ao perímetro de consolidação prudencial e que a transação suponha para a instituição uma oneração de ativos.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Quanto às regras aplicáveis aos tipos de montantes, ver as instruções respeitantes à coluna 010.</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Ativos, cauções recebidas e valores mobiliários próprios emitidos com exceção de obrigações cobertas e titularizações onerados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dos ativos, cauções recebidas e valores mobiliários próprios emitidos, com exceção de obrigações cobertas e titularizações, que se encontram onerados em resultado dos diferentes tipos de transações especificados nas diferentes linhas</w:t>
            </w:r>
          </w:p>
          <w:p w:rsidR="00941FAE" w:rsidRPr="005F7E60"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 fim de assegurar a coerência com os critérios contidos nos modelos AE-ASS e AE-COL, os ativos da instituição que relata registados no balanço devem ser comunicados pelo seu montante escriturado, as cauções reutilizadas recebidas e os valores mobiliários próprios emitidos onerados, com exceção de obrigações cobertas e titularizações, devem ser comunicados pelo seu justo valor.</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dos quais: cauções recebidas reutilizadas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Justo valor das cauções recebidas que são reutilizadas/oneradas em resultado dos diferentes tipos de transações especificados nas diferentes linhas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dos quais: títulos de dívida próprios onerados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Justo valor dos valores mobiliários próprios emitidos, com exceção de obrigações cobertas e titularizações, que se encontram onerados em resultado dos diferentes tipos de transações especificados nas diferentes linhas</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7" w:name="_Toc58600104"/>
      <w:r>
        <w:rPr>
          <w:rFonts w:ascii="Times New Roman" w:hAnsi="Times New Roman"/>
          <w:b/>
          <w:sz w:val="24"/>
          <w:u w:val="none"/>
        </w:rPr>
        <w:t>Parte B: Dados relativos ao vencimento</w:t>
      </w:r>
      <w:bookmarkEnd w:id="67"/>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8" w:name="_Toc58600105"/>
      <w:r>
        <w:rPr>
          <w:rFonts w:ascii="Times New Roman" w:hAnsi="Times New Roman"/>
          <w:sz w:val="24"/>
          <w:u w:val="none"/>
        </w:rPr>
        <w:t>Observações gerais</w:t>
      </w:r>
      <w:bookmarkEnd w:id="68"/>
    </w:p>
    <w:p w:rsidR="00941FAE" w:rsidRPr="000F059F" w:rsidRDefault="00941FAE" w:rsidP="00941FAE">
      <w:pPr>
        <w:pStyle w:val="InstructionsText2"/>
        <w:shd w:val="clear" w:color="auto" w:fill="FFFFFF"/>
        <w:spacing w:after="120"/>
        <w:rPr>
          <w:sz w:val="24"/>
        </w:rPr>
      </w:pPr>
      <w:r>
        <w:rPr>
          <w:sz w:val="24"/>
        </w:rPr>
        <w:t>O modelo incluído na parte B apresenta uma panorâmica geral do montante dos ativos onerados e das cauções recebidas reutilizadas no âmbito dos intervalos definidos para o vencimento residual dos passivos de contrapartida.</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9" w:name="_Toc58600106"/>
      <w:r>
        <w:rPr>
          <w:rFonts w:ascii="Times New Roman" w:hAnsi="Times New Roman"/>
          <w:sz w:val="24"/>
          <w:u w:val="none"/>
        </w:rPr>
        <w:t>Modelo: AE-MAT. Dados relativos ao vencimento</w:t>
      </w:r>
      <w:bookmarkEnd w:id="69"/>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70" w:name="_Toc348096578"/>
      <w:bookmarkStart w:id="71" w:name="_Toc348097339"/>
      <w:bookmarkStart w:id="72" w:name="_Toc348101360"/>
      <w:bookmarkStart w:id="73" w:name="_Toc58600107"/>
      <w:r>
        <w:rPr>
          <w:rFonts w:ascii="Times New Roman" w:hAnsi="Times New Roman"/>
          <w:sz w:val="24"/>
          <w:u w:val="none"/>
        </w:rPr>
        <w:t>Instruções sobre linhas específicas</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Ativos onerados</w:t>
            </w:r>
          </w:p>
          <w:p w:rsidR="00941FAE" w:rsidRPr="005F7E60"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efeitos deste modelo, os ativos onerados incluem todos os seguintes elementos:</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ativos da instituição que relata (ver instruções para a linha 010 do modelo AE-ASS), que devem ser comunicados pelo respetivo montante escriturado;</w:t>
            </w:r>
          </w:p>
          <w:p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Os títulos de dívida próprios emitidos com exceção de obrigações cobertas ou </w:t>
            </w:r>
            <w:r>
              <w:rPr>
                <w:rStyle w:val="InstructionsTabelleberschrift"/>
                <w:rFonts w:ascii="Times New Roman" w:hAnsi="Times New Roman"/>
                <w:b w:val="0"/>
                <w:sz w:val="24"/>
                <w:u w:val="none"/>
              </w:rPr>
              <w:lastRenderedPageBreak/>
              <w:t xml:space="preserve">titularizações (ver instruções para a linha 240 do </w:t>
            </w:r>
            <w:r>
              <w:rPr>
                <w:rStyle w:val="InstructionsTabelleberschrift"/>
                <w:rFonts w:ascii="Times New Roman" w:hAnsi="Times New Roman"/>
                <w:b w:val="0"/>
                <w:bCs w:val="0"/>
                <w:sz w:val="24"/>
                <w:u w:val="none"/>
              </w:rPr>
              <w:t>modelo</w:t>
            </w:r>
            <w:r>
              <w:rPr>
                <w:rStyle w:val="InstructionsTabelleberschrift"/>
                <w:rFonts w:ascii="Times New Roman" w:hAnsi="Times New Roman"/>
                <w:b w:val="0"/>
                <w:sz w:val="24"/>
                <w:u w:val="none"/>
              </w:rPr>
              <w:t xml:space="preserve"> AE-COL), que devem ser comunicados pelo seu justo valor.</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Estes montantes devem ser repartidos entre o conjunto de escalões de prazo de vencimento residual especificados nas colunas, em função do prazo de vencimento residual da fonte da sua oneração (passivo de contrapartida, passivo contingente ou operação de empréstimo de títulos).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Cauções recebidas reutilizadas (componente de receção)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Ver as instruções para a linha 130 do modelo AE-COL e para a coluna 040 do modelo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 instituições devem comunicar os montantes pelo justo valor e reparti-los entre o conjunto de escalões de prazo de vencimento residual especificados nas colunas, em função do prazo de vencimento residual da transação que gerou, para a entidade, a receção da caução que está a ser reutilizada (componente de receção).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Cauções recebidas reutilizadas (componente de reutilização)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Ver as instruções para a linha 130 do modelo AE-COL e para a coluna 040 do modelo AE-SOU</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 instituições devem comunicar os montantes pelo justo valor e reparti-los entre o conjunto de escalões de prazo de vencimento residual especificados nas colunas, em função do prazo de vencimento residual da fonte da sua oneração (componente de reutilização): passivo de contrapartida, passivo contingente ou operação de empréstimo de títulos.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74" w:name="_Toc348096579"/>
      <w:bookmarkStart w:id="75" w:name="_Toc348097340"/>
      <w:bookmarkStart w:id="76" w:name="_Toc348101361"/>
      <w:bookmarkStart w:id="77" w:name="_Toc58600108"/>
      <w:r>
        <w:rPr>
          <w:rFonts w:ascii="Times New Roman" w:hAnsi="Times New Roman"/>
          <w:sz w:val="24"/>
          <w:u w:val="none"/>
        </w:rPr>
        <w:t>Instruções relativas a colunas específicas</w:t>
      </w:r>
      <w:bookmarkEnd w:id="74"/>
      <w:bookmarkEnd w:id="75"/>
      <w:bookmarkEnd w:id="76"/>
      <w:bookmarkEnd w:id="7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Prazo de vencimento em aberto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À vista, sem data de vencimento especificada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i/>
                <w:iCs/>
                <w:sz w:val="24"/>
              </w:rPr>
              <w:t>Overnight</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inferior ou igual a 1 dia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dia &lt; = 1 semana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1 dia e inferior ou igual a 1 semana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semana &lt; = 2 semanas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1 semana e inferior ou igual a 2 semanas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semanas &lt;= 1 mês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2 semanas e inferior ou igual a 1 mês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mês &lt;= 3 meses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1 mês e inferior ou igual a 3 meses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meses &lt;= 6 meses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Prazo de vencimento superior a 3 meses e inferior ou igual a 6 meses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6 meses &lt; = 1 ano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6 meses e inferior ou igual a 1 ano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 ano &lt;= 2 anos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1 ano e inferior ou igual a 2 anos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2 anos &lt;= 3 anos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2 anos e inferior ou igual a 3 anos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3 anos &lt; = 5 anos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3 anos e inferior ou igual a 5 anos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5 anos &lt; = 10 anos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5 anos e inferior ou igual a 10 anos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&gt; 10 anos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Prazo de vencimento superior a 10 anos</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8" w:name="_Toc58600109"/>
      <w:r>
        <w:rPr>
          <w:rFonts w:ascii="Times New Roman" w:hAnsi="Times New Roman"/>
          <w:b/>
          <w:sz w:val="24"/>
          <w:u w:val="none"/>
        </w:rPr>
        <w:t>Parte C: Oneração contingente</w:t>
      </w:r>
      <w:bookmarkEnd w:id="78"/>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9" w:name="_Toc58600110"/>
      <w:r>
        <w:rPr>
          <w:rFonts w:ascii="Times New Roman" w:hAnsi="Times New Roman"/>
          <w:sz w:val="24"/>
          <w:u w:val="none"/>
        </w:rPr>
        <w:t>Observações gerais</w:t>
      </w:r>
      <w:bookmarkEnd w:id="79"/>
    </w:p>
    <w:p w:rsidR="00941FAE" w:rsidRPr="000F059F" w:rsidRDefault="00941FAE" w:rsidP="00941FAE">
      <w:pPr>
        <w:pStyle w:val="InstructionsText2"/>
        <w:shd w:val="clear" w:color="auto" w:fill="FFFFFF"/>
        <w:spacing w:after="120"/>
        <w:rPr>
          <w:sz w:val="24"/>
        </w:rPr>
      </w:pPr>
      <w:r>
        <w:rPr>
          <w:sz w:val="24"/>
        </w:rPr>
        <w:t>Este modelo exige às instituições que calculem o nível de oneração dos seus ativos num certo número de cenários de tensão.</w:t>
      </w:r>
    </w:p>
    <w:p w:rsidR="00941FAE" w:rsidRPr="000F059F" w:rsidRDefault="00941FAE" w:rsidP="00941FAE">
      <w:pPr>
        <w:pStyle w:val="InstructionsText2"/>
        <w:shd w:val="clear" w:color="auto" w:fill="FFFFFF"/>
        <w:spacing w:after="120"/>
        <w:rPr>
          <w:sz w:val="24"/>
        </w:rPr>
      </w:pPr>
      <w:r>
        <w:rPr>
          <w:sz w:val="24"/>
        </w:rPr>
        <w:t>A oneração contingente refere-se aos ativos adicionais que poderão ter de ser onerados quando a instituição que relata se defronta com uma evolução adversa desencadeada por um evento externo sobre o qual não tem qualquer controlo (incluindo uma deterioração da sua notação de risco, uma diminuição do justo valor dos ativos onerados ou uma perda generalizada de confiança). Nestes casos, a instituição que relata terá de onerar ativos adicionais em consequência das transações já existentes. O montante suplementar de ativos onerados deve ser líquido do impacto das operações de cobertura da instituição face aos acontecimentos descritos nos cenários de tensão acima referidos.</w:t>
      </w:r>
    </w:p>
    <w:p w:rsidR="00941FAE" w:rsidRPr="000F059F" w:rsidRDefault="00941FAE" w:rsidP="00941FAE">
      <w:pPr>
        <w:pStyle w:val="InstructionsText2"/>
        <w:shd w:val="clear" w:color="auto" w:fill="FFFFFF"/>
        <w:spacing w:after="120"/>
        <w:rPr>
          <w:sz w:val="24"/>
        </w:rPr>
      </w:pPr>
      <w:r>
        <w:rPr>
          <w:sz w:val="24"/>
        </w:rPr>
        <w:t xml:space="preserve">Este modelo inclui os seguintes dois cenários para a comunicação da oneração contingente, e que são descritos com mais pormenor nos </w:t>
      </w:r>
      <w:r>
        <w:rPr>
          <w:sz w:val="24"/>
          <w:szCs w:val="24"/>
        </w:rPr>
        <w:t>pontos</w:t>
      </w:r>
      <w:r>
        <w:rPr>
          <w:sz w:val="24"/>
        </w:rPr>
        <w:t xml:space="preserve"> 4.1.1 e 4.1.2. As informações comunicadas devem consistir nas estimativas razoáveis da instituição com base nas melhores informações disponíveis.</w:t>
      </w:r>
    </w:p>
    <w:p w:rsidR="00941FAE" w:rsidRPr="000F059F" w:rsidRDefault="00941FAE" w:rsidP="00941FAE">
      <w:pPr>
        <w:pStyle w:val="InstructionsText2"/>
        <w:numPr>
          <w:ilvl w:val="0"/>
          <w:numId w:val="7"/>
        </w:numPr>
        <w:shd w:val="clear" w:color="auto" w:fill="FFFFFF"/>
        <w:spacing w:after="120"/>
        <w:rPr>
          <w:sz w:val="24"/>
        </w:rPr>
      </w:pPr>
      <w:r>
        <w:rPr>
          <w:sz w:val="24"/>
        </w:rPr>
        <w:t>Diminuição em 30 % do justo valor dos ativos onerados. Este cenário apenas abrange uma variação do justo valor subjacente dos ativos, e não qualquer outra alteração suscetível de afetar o seu montante escriturado, como ganhos ou perdas cambiais ou potenciais imparidades. A instituição que presta informações pode nesse caso ser obrigada a reforçar a caução a fim de manter o seu valor constante.</w:t>
      </w:r>
    </w:p>
    <w:p w:rsidR="00941FAE" w:rsidRPr="000F059F" w:rsidRDefault="00941FAE" w:rsidP="00941FAE">
      <w:pPr>
        <w:pStyle w:val="InstructionsText2"/>
        <w:numPr>
          <w:ilvl w:val="0"/>
          <w:numId w:val="7"/>
        </w:numPr>
        <w:shd w:val="clear" w:color="auto" w:fill="FFFFFF"/>
        <w:spacing w:after="120"/>
        <w:rPr>
          <w:sz w:val="24"/>
        </w:rPr>
      </w:pPr>
      <w:r>
        <w:rPr>
          <w:sz w:val="24"/>
        </w:rPr>
        <w:t>Uma depreciação de 10 % em cada uma das divisas nas quais a instituição tem passivos que representam 5 % ou mais do total do seu passivo.</w:t>
      </w:r>
    </w:p>
    <w:p w:rsidR="00941FAE" w:rsidRPr="000F059F" w:rsidRDefault="00941FAE" w:rsidP="00941FAE">
      <w:pPr>
        <w:pStyle w:val="InstructionsText2"/>
        <w:spacing w:after="120"/>
        <w:rPr>
          <w:sz w:val="24"/>
        </w:rPr>
      </w:pPr>
      <w:bookmarkStart w:id="80" w:name="_Toc348096583"/>
      <w:bookmarkStart w:id="81" w:name="_Toc348097344"/>
      <w:bookmarkStart w:id="82" w:name="_Toc348101365"/>
      <w:r>
        <w:rPr>
          <w:sz w:val="24"/>
        </w:rPr>
        <w:t xml:space="preserve">Os cenários devem ser comunicados independentemente um do outro, e as depreciações cambiais significativas devem ser também comunicadas </w:t>
      </w:r>
      <w:r>
        <w:rPr>
          <w:sz w:val="24"/>
        </w:rPr>
        <w:lastRenderedPageBreak/>
        <w:t>independentemente das depreciações de outras divisas significativas. Consequentemente, as instituições não devem ter em consideração as correlações entre os diferentes cenários.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3" w:name="_Toc58600111"/>
      <w:r>
        <w:rPr>
          <w:rFonts w:ascii="Times New Roman" w:hAnsi="Times New Roman"/>
          <w:sz w:val="24"/>
          <w:u w:val="none"/>
        </w:rPr>
        <w:t>Cenário A: Diminuição em 30 % dos ativos onerados</w:t>
      </w:r>
      <w:bookmarkEnd w:id="83"/>
    </w:p>
    <w:p w:rsidR="00941FAE" w:rsidRPr="000F059F" w:rsidRDefault="00941FAE" w:rsidP="00941FAE">
      <w:pPr>
        <w:pStyle w:val="InstructionsText2"/>
        <w:spacing w:after="120"/>
        <w:rPr>
          <w:sz w:val="24"/>
        </w:rPr>
      </w:pPr>
      <w:r>
        <w:rPr>
          <w:sz w:val="24"/>
        </w:rPr>
        <w:t xml:space="preserve">Deve presumir-se que todos os ativos onerados sofrem uma redução de 30 % em valor. A necessidade de um reforço de caução em resultado de uma tal diminuição deve tem em conta os níveis de </w:t>
      </w:r>
      <w:r>
        <w:rPr>
          <w:sz w:val="24"/>
          <w:szCs w:val="24"/>
        </w:rPr>
        <w:t>caução excessiva</w:t>
      </w:r>
      <w:r>
        <w:rPr>
          <w:sz w:val="24"/>
        </w:rPr>
        <w:t xml:space="preserve"> existentes, de modo a manter-se apenas o nível mínimo de caução. A necessidade de um reforço de caução deve igualmente ter em conta os requisitos contratuais dos contratos e acordos afetados, incluindo os limiares de ativação.</w:t>
      </w:r>
    </w:p>
    <w:p w:rsidR="00941FAE" w:rsidRPr="000F059F" w:rsidRDefault="00941FAE" w:rsidP="00941FAE">
      <w:pPr>
        <w:pStyle w:val="InstructionsText2"/>
        <w:spacing w:after="120"/>
        <w:rPr>
          <w:sz w:val="24"/>
        </w:rPr>
      </w:pPr>
      <w:r>
        <w:rPr>
          <w:sz w:val="24"/>
        </w:rPr>
        <w:t>Apenas devem ser incluídos os contratos e acordos em que existe uma obrigação legal de fornecer cauções adicionais. Tal inclui as emissões de obrigações cobertas em que existe uma obrigação legal de manter níveis mínimos de caução excessiva mas nenhuma obrigação de manter os níveis de notação existentes relativamente às obrigações cobertas.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4" w:name="_Toc58600112"/>
      <w:r>
        <w:rPr>
          <w:rFonts w:ascii="Times New Roman" w:hAnsi="Times New Roman"/>
          <w:sz w:val="24"/>
          <w:u w:val="none"/>
        </w:rPr>
        <w:t>Cenário B: Depreciação de 10 % em divisas significativas</w:t>
      </w:r>
      <w:bookmarkEnd w:id="84"/>
    </w:p>
    <w:p w:rsidR="00941FAE" w:rsidRPr="00B93E25" w:rsidRDefault="00941FAE" w:rsidP="00941FAE">
      <w:pPr>
        <w:pStyle w:val="InstructionsText2"/>
        <w:spacing w:after="120"/>
        <w:rPr>
          <w:sz w:val="24"/>
        </w:rPr>
      </w:pPr>
      <w:r>
        <w:rPr>
          <w:sz w:val="24"/>
        </w:rPr>
        <w:t>Considera-se que uma divisa é significativa se a instituição que relata tem passivos, nessa divisa, que representam 5 % ou mais do total do seu passivo.</w:t>
      </w:r>
    </w:p>
    <w:p w:rsidR="00941FAE" w:rsidRPr="000F059F" w:rsidRDefault="00941FAE" w:rsidP="00941FAE">
      <w:pPr>
        <w:pStyle w:val="InstructionsText2"/>
        <w:spacing w:after="120"/>
        <w:rPr>
          <w:sz w:val="24"/>
        </w:rPr>
      </w:pPr>
      <w:r>
        <w:rPr>
          <w:sz w:val="24"/>
        </w:rPr>
        <w:t>O cálculo de uma depreciação de 10 % deve ter em conta as variações tanto do lado do ativo como do passivo, ou seja, refletir as incongruências entre ativos e passivos. Por exemplo, um acordo de recompra em USD apoiado em ativos expressos em USD não ocasiona uma oneração adicional, ao passo que um acordo de recompra em USD apoiado em ativos expressos em EUR ocasiona uma oneração adicional.</w:t>
      </w:r>
    </w:p>
    <w:p w:rsidR="00941FAE" w:rsidRPr="000F059F" w:rsidRDefault="00941FAE" w:rsidP="00941FAE">
      <w:pPr>
        <w:pStyle w:val="InstructionsText2"/>
        <w:spacing w:after="120"/>
        <w:rPr>
          <w:sz w:val="24"/>
        </w:rPr>
      </w:pPr>
      <w:r>
        <w:rPr>
          <w:sz w:val="24"/>
        </w:rPr>
        <w:t>Todas as transações com uma componente de cruzamento de divisas devem ser abrangidas por este cálculo.</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5" w:name="_Toc58600113"/>
      <w:r>
        <w:rPr>
          <w:rFonts w:ascii="Times New Roman" w:hAnsi="Times New Roman"/>
          <w:sz w:val="24"/>
          <w:u w:val="none"/>
        </w:rPr>
        <w:t>Modelo: AE-CONT. Oneração contingente</w:t>
      </w:r>
      <w:bookmarkEnd w:id="85"/>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6" w:name="_Toc58600114"/>
      <w:r>
        <w:rPr>
          <w:rFonts w:ascii="Times New Roman" w:hAnsi="Times New Roman"/>
          <w:sz w:val="24"/>
          <w:u w:val="none"/>
        </w:rPr>
        <w:t>Instruções sobre linhas específicas</w:t>
      </w:r>
      <w:bookmarkEnd w:id="80"/>
      <w:bookmarkEnd w:id="81"/>
      <w:bookmarkEnd w:id="82"/>
      <w:bookmarkEnd w:id="86"/>
    </w:p>
    <w:p w:rsidR="00941FAE" w:rsidRPr="000F059F" w:rsidRDefault="00941FAE" w:rsidP="00941FAE">
      <w:pPr>
        <w:pStyle w:val="InstructionsText2"/>
        <w:shd w:val="clear" w:color="auto" w:fill="FFFFFF"/>
        <w:spacing w:after="120"/>
        <w:rPr>
          <w:sz w:val="24"/>
        </w:rPr>
      </w:pPr>
      <w:bookmarkStart w:id="87" w:name="_Toc348096584"/>
      <w:r>
        <w:rPr>
          <w:sz w:val="24"/>
        </w:rPr>
        <w:t>Ver instruções relativas a linhas específicas do modelo AE-SOU no ponto 2.4.2. O conteúdo das linhas no modelo AE-CONT não difere do modelo AE-SOU.</w:t>
      </w:r>
      <w:bookmarkEnd w:id="87"/>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8" w:name="_Toc348096585"/>
      <w:bookmarkStart w:id="89" w:name="_Toc348097345"/>
      <w:bookmarkStart w:id="90" w:name="_Toc348101366"/>
      <w:bookmarkStart w:id="91" w:name="_Toc58600115"/>
      <w:r>
        <w:rPr>
          <w:rFonts w:ascii="Times New Roman" w:hAnsi="Times New Roman"/>
          <w:sz w:val="24"/>
          <w:u w:val="none"/>
        </w:rPr>
        <w:t>Instruções relativas a colunas específicas</w:t>
      </w:r>
      <w:bookmarkEnd w:id="88"/>
      <w:bookmarkEnd w:id="89"/>
      <w:bookmarkEnd w:id="90"/>
      <w:bookmarkEnd w:id="9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rsidTr="005150E8">
        <w:tc>
          <w:tcPr>
            <w:tcW w:w="1134"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Colunas</w:t>
            </w:r>
          </w:p>
        </w:tc>
        <w:tc>
          <w:tcPr>
            <w:tcW w:w="7938"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Passivos de contrapartida, passivos contingentes ou valores mobiliários emprestados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Mesmas instruções e dados que para a coluna 010 </w:t>
            </w:r>
            <w:r>
              <w:rPr>
                <w:rStyle w:val="InstructionsTabelleberschrift"/>
                <w:rFonts w:ascii="Times New Roman" w:hAnsi="Times New Roman"/>
                <w:b w:val="0"/>
                <w:bCs w:val="0"/>
                <w:sz w:val="24"/>
                <w:u w:val="none"/>
              </w:rPr>
              <w:t>do</w:t>
            </w:r>
            <w:r>
              <w:rPr>
                <w:rStyle w:val="InstructionsTabelleberschrift"/>
                <w:rFonts w:ascii="Times New Roman" w:hAnsi="Times New Roman"/>
                <w:b w:val="0"/>
                <w:sz w:val="24"/>
                <w:u w:val="none"/>
              </w:rPr>
              <w:t xml:space="preserve"> modelo AE-SOU; montante dos passivos financeiros de contrapartida, passivos contingentes (compromissos de empréstimo recebidos e garantias financeiras recebidas) e dos valores mobiliários emprestados com caução não monetária, na medida em que essas transações suponham uma oneração dos ativos da instituição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Tal como referido em relação a cada linha do modelo, as instituições devem comunicar os passivos financeiros pelo seu montante escriturado, os passivos contingentes pelo seu valor nominal e os valores mobiliários emprestados com caução não monetária pelo seu justo valor.</w:t>
            </w:r>
          </w:p>
        </w:tc>
      </w:tr>
      <w:tr w:rsidR="00941FAE" w:rsidRPr="000F059F" w:rsidTr="005150E8">
        <w:tc>
          <w:tcPr>
            <w:tcW w:w="1134"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7938"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A. </w:t>
            </w:r>
            <w:r>
              <w:rPr>
                <w:rStyle w:val="InstructionsTabelleberschrift"/>
                <w:rFonts w:ascii="Times New Roman" w:hAnsi="Times New Roman"/>
                <w:sz w:val="24"/>
              </w:rPr>
              <w:t>Montante adicional de ativos onerados</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adicional de ativos que se tornariam onerados em virtude de uma disposição legal, regulamentar ou contratual suscetível de ser ativada em caso de ocorrência do cenário 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Seguindo as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estabelecidas na parte </w:t>
            </w:r>
            <w:r>
              <w:rPr>
                <w:rStyle w:val="InstructionsTabelleberschrift"/>
                <w:rFonts w:ascii="Times New Roman" w:hAnsi="Times New Roman"/>
                <w:b w:val="0"/>
                <w:bCs w:val="0"/>
                <w:sz w:val="24"/>
                <w:u w:val="none"/>
              </w:rPr>
              <w:t>A</w:t>
            </w:r>
            <w:r>
              <w:rPr>
                <w:rStyle w:val="InstructionsTabelleberschrift"/>
                <w:rFonts w:ascii="Times New Roman" w:hAnsi="Times New Roman"/>
                <w:b w:val="0"/>
                <w:sz w:val="24"/>
                <w:u w:val="none"/>
              </w:rPr>
              <w:t xml:space="preserve"> do presente anexo, as instituições devem comunicar estes montantes pelo seu montante escriturado se o montante disser respeito a ativos da instituição que relata; ou pelo seu justo valor se disser respeito a cauções recebidas. Os montantes que excedem os ativos não onerados e as cauções da instituição devem ser comunicados pelo justo valor.</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Montante adicional de ativos onerados. Divisa significativa 1</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adicional de ativos que se tornariam onerados em virtude de uma disposição legal, regulamentar ou contratual suscetível de ser ativada em caso de depreciação da divisa significativa número 1 no cenário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Ver regras aplicáveis aos tipos de montantes na linha 020.</w:t>
            </w:r>
          </w:p>
        </w:tc>
      </w:tr>
      <w:tr w:rsidR="00941FAE" w:rsidRPr="000F059F" w:rsidTr="005150E8">
        <w:tc>
          <w:tcPr>
            <w:tcW w:w="1134"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u w:val="none"/>
              </w:rPr>
              <w:t xml:space="preserve">B. </w:t>
            </w:r>
            <w:r>
              <w:rPr>
                <w:rStyle w:val="InstructionsTabelleberschrift"/>
                <w:rFonts w:ascii="Times New Roman" w:hAnsi="Times New Roman"/>
                <w:sz w:val="24"/>
              </w:rPr>
              <w:t>Montante adicional de ativos onerados. Divisa significativa 2</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adicional de ativos que se tornariam onerados em virtude de uma disposição legal, regulamentar ou contratual suscetível de ser ativada em caso de depreciação da divisa significativa número 2 no cenário B</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Ver regras aplicáveis aos tipos de montantes na linha 020.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92" w:name="_Toc58600116"/>
      <w:r>
        <w:rPr>
          <w:rFonts w:ascii="Times New Roman" w:hAnsi="Times New Roman"/>
          <w:b/>
          <w:sz w:val="24"/>
          <w:u w:val="none"/>
        </w:rPr>
        <w:t>Parte D: Obrigações cobertas</w:t>
      </w:r>
      <w:bookmarkEnd w:id="92"/>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93" w:name="_Toc58600117"/>
      <w:r>
        <w:rPr>
          <w:rFonts w:ascii="Times New Roman" w:hAnsi="Times New Roman"/>
          <w:sz w:val="24"/>
          <w:u w:val="none"/>
        </w:rPr>
        <w:t>Observações gerais</w:t>
      </w:r>
      <w:bookmarkEnd w:id="93"/>
    </w:p>
    <w:p w:rsidR="00941FAE" w:rsidRPr="000F059F" w:rsidRDefault="00941FAE" w:rsidP="00941FAE">
      <w:pPr>
        <w:pStyle w:val="InstructionsText2"/>
        <w:shd w:val="clear" w:color="auto" w:fill="FFFFFF"/>
        <w:spacing w:after="120"/>
        <w:rPr>
          <w:sz w:val="24"/>
        </w:rPr>
      </w:pPr>
      <w:r>
        <w:rPr>
          <w:sz w:val="24"/>
        </w:rPr>
        <w:t>As informações constantes deste modelo devem ser comunicadas para todas as obrigações cobertas conformes com a Diretiva OICVM emitidas pela instituição que relata. As obrigações cobertas conformes com a Diretiva OICVM são as obrigações do tipo referido no artigo 52.º, n.º 4, primeiro parágrafo, da Diretiva 2009/65/CE. Trata-se de obrigações cobertas emitidas pela instituição que relata caso essa instituição seja, relativamente às obrigações cobertas, sujeita por lei a supervisão pública especial destinada a proteger os detentores de obrigações e se, relativamente a essas obrigações cobertas, lhe for exigido que os montantes obtidos com a emissão das mesmas sejam investidos, nos termos da lei, em ativos que, durante todo o período de vida das obrigações, possam assegurar a cobertura dos direitos a elas inerentes e que, em caso de falência do emitente, sejam utilizados prioritariamente para o reembolso do capital e o pagamento dos juros vencidos.</w:t>
      </w:r>
    </w:p>
    <w:p w:rsidR="00941FAE" w:rsidRPr="000F059F" w:rsidRDefault="00941FAE" w:rsidP="00941FAE">
      <w:pPr>
        <w:pStyle w:val="InstructionsText2"/>
        <w:shd w:val="clear" w:color="auto" w:fill="FFFFFF"/>
        <w:spacing w:after="120"/>
        <w:rPr>
          <w:sz w:val="24"/>
        </w:rPr>
      </w:pPr>
      <w:r>
        <w:rPr>
          <w:sz w:val="24"/>
        </w:rPr>
        <w:t>As obrigações cobertas emitidas por ou em nome da instituição que relata que não sejam obrigações cobertas conformes com a Diretiva OICVM não devem ser comunicadas no modelo AE-CB.</w:t>
      </w:r>
    </w:p>
    <w:p w:rsidR="00941FAE" w:rsidRPr="000F059F" w:rsidRDefault="00941FAE" w:rsidP="00941FAE">
      <w:pPr>
        <w:pStyle w:val="InstructionsText2"/>
        <w:shd w:val="clear" w:color="auto" w:fill="FFFFFF"/>
        <w:spacing w:after="120"/>
        <w:rPr>
          <w:sz w:val="24"/>
        </w:rPr>
      </w:pPr>
      <w:r>
        <w:rPr>
          <w:sz w:val="24"/>
        </w:rPr>
        <w:t>A prestação de informações far-se-á com base no regime legal aplicável às obrigações cobertas, ou seja, o regime jurídico aplicável ao programa de obrigações cobertas.</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4" w:name="_Toc58600118"/>
      <w:r>
        <w:rPr>
          <w:rFonts w:ascii="Times New Roman" w:hAnsi="Times New Roman"/>
          <w:sz w:val="24"/>
          <w:u w:val="none"/>
        </w:rPr>
        <w:lastRenderedPageBreak/>
        <w:t>Modelo: AE-CB. Emissão de obrigações cobertas</w:t>
      </w:r>
      <w:bookmarkEnd w:id="94"/>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5" w:name="_Toc348096589"/>
      <w:bookmarkStart w:id="96" w:name="_Toc348097349"/>
      <w:bookmarkStart w:id="97" w:name="_Toc348101370"/>
      <w:bookmarkStart w:id="98" w:name="_Toc58600119"/>
      <w:r>
        <w:rPr>
          <w:rFonts w:ascii="Times New Roman" w:hAnsi="Times New Roman"/>
          <w:sz w:val="24"/>
          <w:u w:val="none"/>
        </w:rPr>
        <w:t>Instruções relativas ao eixo dos z</w:t>
      </w:r>
      <w:bookmarkEnd w:id="98"/>
      <w:r>
        <w:rPr>
          <w:rFonts w:ascii="Times New Roman" w:hAnsi="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eixo dos z</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Identificador do fundo comum de cobertura (aberto)</w:t>
            </w:r>
          </w:p>
          <w:p w:rsidR="00941FAE" w:rsidRPr="00B93E25" w:rsidRDefault="00941FAE" w:rsidP="005150E8">
            <w:pPr>
              <w:spacing w:before="0"/>
              <w:rPr>
                <w:rFonts w:ascii="Times New Roman" w:hAnsi="Times New Roman"/>
                <w:sz w:val="24"/>
              </w:rPr>
            </w:pPr>
            <w:r>
              <w:rPr>
                <w:rFonts w:ascii="Times New Roman" w:hAnsi="Times New Roman"/>
                <w:sz w:val="24"/>
              </w:rPr>
              <w:t>O identificador do fundo comum de cobertura consiste no nome ou abreviatura inequívoca da entidade emitente desse fundo e na designação do fundo comum de cobertura que está sujeito a título individual às medidas de proteção das obrigações cobertas relevantes.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99" w:name="_Toc58600120"/>
      <w:r>
        <w:rPr>
          <w:rFonts w:ascii="Times New Roman" w:hAnsi="Times New Roman"/>
          <w:sz w:val="24"/>
          <w:u w:val="none"/>
        </w:rPr>
        <w:t>Instruções sobre linhas específicas</w:t>
      </w:r>
      <w:bookmarkEnd w:id="95"/>
      <w:bookmarkEnd w:id="96"/>
      <w:bookmarkEnd w:id="97"/>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FFFFFF"/>
          </w:tcPr>
          <w:p w:rsidR="00941FAE" w:rsidRPr="000F059F"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010</w:t>
            </w:r>
          </w:p>
        </w:tc>
        <w:tc>
          <w:tcPr>
            <w:tcW w:w="8079" w:type="dxa"/>
            <w:shd w:val="clear" w:color="auto" w:fill="FFFFFF"/>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 nominal</w:t>
            </w:r>
          </w:p>
          <w:p w:rsidR="00941FAE" w:rsidRPr="000F059F" w:rsidRDefault="00941FAE" w:rsidP="005150E8">
            <w:pPr>
              <w:spacing w:before="0"/>
              <w:rPr>
                <w:rFonts w:ascii="Times New Roman" w:hAnsi="Times New Roman"/>
                <w:sz w:val="24"/>
              </w:rPr>
            </w:pPr>
            <w:r>
              <w:rPr>
                <w:rFonts w:ascii="Times New Roman" w:hAnsi="Times New Roman"/>
                <w:sz w:val="24"/>
              </w:rPr>
              <w:t>O montante nominal é a soma dos pagamentos de capital devidos, determinados em conformidade com as respetivas regras do regime legal das obrigações cobertas aplicáveis para determinar a cobertura suficiente.</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atual (</w:t>
            </w:r>
            <w:r>
              <w:rPr>
                <w:rStyle w:val="InstructionsTabelleberschrift"/>
                <w:rFonts w:ascii="Times New Roman" w:hAnsi="Times New Roman"/>
                <w:i/>
                <w:iCs/>
                <w:sz w:val="24"/>
              </w:rPr>
              <w:t>swap</w:t>
            </w:r>
            <w:r>
              <w:rPr>
                <w:rStyle w:val="InstructionsTabelleberschrift"/>
                <w:rFonts w:ascii="Times New Roman" w:hAnsi="Times New Roman"/>
                <w:sz w:val="24"/>
              </w:rPr>
              <w:t>)/Valor de mercado</w:t>
            </w:r>
          </w:p>
          <w:p w:rsidR="00941FAE" w:rsidRPr="000F059F" w:rsidRDefault="00941FAE" w:rsidP="005150E8">
            <w:pPr>
              <w:spacing w:before="0"/>
              <w:rPr>
                <w:rFonts w:ascii="Times New Roman" w:hAnsi="Times New Roman"/>
                <w:sz w:val="24"/>
              </w:rPr>
            </w:pPr>
            <w:r>
              <w:rPr>
                <w:rFonts w:ascii="Times New Roman" w:hAnsi="Times New Roman"/>
                <w:sz w:val="24"/>
              </w:rPr>
              <w:t>O valor atual (</w:t>
            </w:r>
            <w:r>
              <w:rPr>
                <w:rFonts w:ascii="Times New Roman" w:hAnsi="Times New Roman"/>
                <w:i/>
                <w:sz w:val="24"/>
              </w:rPr>
              <w:t>swap</w:t>
            </w:r>
            <w:r>
              <w:rPr>
                <w:rFonts w:ascii="Times New Roman" w:hAnsi="Times New Roman"/>
                <w:sz w:val="24"/>
              </w:rPr>
              <w:t>) é a soma dos pagamentos de capital e de juros devidos, atualizados com recurso a uma curva de rendimento sem risco cambial específico, determinada em conformidade com as regras do regime legal das obrigações cobertas aplicáveis para determinar a cobertura suficiente.</w:t>
            </w:r>
          </w:p>
          <w:p w:rsidR="00941FAE" w:rsidRPr="000F059F" w:rsidRDefault="00941FAE" w:rsidP="005150E8">
            <w:pPr>
              <w:spacing w:before="0"/>
              <w:rPr>
                <w:rFonts w:ascii="Times New Roman" w:hAnsi="Times New Roman"/>
                <w:sz w:val="24"/>
              </w:rPr>
            </w:pPr>
            <w:r>
              <w:rPr>
                <w:rFonts w:ascii="Times New Roman" w:hAnsi="Times New Roman"/>
                <w:sz w:val="24"/>
              </w:rPr>
              <w:t>Para as colunas 080 e 210 que dizem respeito às posições sobre derivados do fundo comum de cobertura, deve ser comunicado o valor de mercado.</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Valor específico dos ativos</w:t>
            </w:r>
          </w:p>
          <w:p w:rsidR="00941FAE" w:rsidRPr="000F059F" w:rsidRDefault="00941FAE" w:rsidP="005150E8">
            <w:pPr>
              <w:spacing w:before="0"/>
              <w:rPr>
                <w:rFonts w:ascii="Times New Roman" w:hAnsi="Times New Roman"/>
                <w:sz w:val="24"/>
              </w:rPr>
            </w:pPr>
            <w:r>
              <w:rPr>
                <w:rFonts w:ascii="Times New Roman" w:hAnsi="Times New Roman"/>
                <w:sz w:val="24"/>
              </w:rPr>
              <w:t>O valor específico dos ativos é o valor económico dos ativos do fundo comum de cobertura, que pode consistir no justo valor em conformidade com a IFRS 13, num valor de mercado observável a partir de transações efetuadas em mercados de elevada liquidez, ou num valor atual calculado através do desconto dos fluxos de caixa futuros de um ativo por uma curva de taxas de juro específicas desse ativo.</w:t>
            </w:r>
          </w:p>
        </w:tc>
      </w:tr>
      <w:tr w:rsidR="00941FAE" w:rsidRPr="000F059F" w:rsidTr="005150E8">
        <w:tc>
          <w:tcPr>
            <w:tcW w:w="993" w:type="dxa"/>
            <w:shd w:val="clear" w:color="auto" w:fill="FFFFFF"/>
          </w:tcPr>
          <w:p w:rsidR="00941FAE" w:rsidRPr="00C930E7" w:rsidRDefault="00941FAE" w:rsidP="005150E8">
            <w:pPr>
              <w:spacing w:before="0"/>
              <w:rPr>
                <w:rFonts w:ascii="Times New Roman" w:hAnsi="Times New Roman"/>
                <w:b/>
                <w:sz w:val="24"/>
              </w:rPr>
            </w:pPr>
            <w:r>
              <w:rPr>
                <w:rStyle w:val="InstructionsTabelleberschrift"/>
                <w:rFonts w:ascii="Times New Roman" w:hAnsi="Times New Roman"/>
                <w:b w:val="0"/>
                <w:sz w:val="24"/>
                <w:u w:val="none"/>
              </w:rPr>
              <w:t>040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 escriturado</w:t>
            </w:r>
          </w:p>
          <w:p w:rsidR="00941FAE" w:rsidRPr="005F7E60" w:rsidRDefault="00941FAE" w:rsidP="005150E8">
            <w:pPr>
              <w:spacing w:before="0"/>
              <w:rPr>
                <w:rFonts w:ascii="Times New Roman" w:hAnsi="Times New Roman"/>
                <w:sz w:val="24"/>
              </w:rPr>
            </w:pPr>
            <w:r>
              <w:rPr>
                <w:rFonts w:ascii="Times New Roman" w:hAnsi="Times New Roman"/>
                <w:sz w:val="24"/>
              </w:rPr>
              <w:t>O montante escriturado de um passivo por obrigações cobertas ou de um ativo do fundo comum de cobertura é o valor contabilístico registado no emitente das obrigações cobertas.</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00" w:name="_Toc348096590"/>
      <w:bookmarkStart w:id="101" w:name="_Toc348097350"/>
      <w:bookmarkStart w:id="102" w:name="_Toc348101371"/>
      <w:bookmarkStart w:id="103" w:name="_Toc58600121"/>
      <w:r>
        <w:rPr>
          <w:rFonts w:ascii="Times New Roman" w:hAnsi="Times New Roman"/>
          <w:sz w:val="24"/>
          <w:u w:val="none"/>
        </w:rPr>
        <w:t>Instruções relativas a colunas específicas</w:t>
      </w:r>
      <w:bookmarkEnd w:id="100"/>
      <w:bookmarkEnd w:id="101"/>
      <w:bookmarkEnd w:id="102"/>
      <w:bookmarkEnd w:id="10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Conformidade com o artigo 129.º do CRR? [SIM/NÃO]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As instituições devem especificar se o fundo comum de cobertura satisfaz os requisitos definidos no artigo 129.º do CRR, a fim de ser elegível para o tratamento preferencial previsto no artigo 129.º, n.</w:t>
            </w:r>
            <w:r>
              <w:rPr>
                <w:rStyle w:val="InstructionsTabelleberschrift"/>
                <w:rFonts w:ascii="Times New Roman" w:hAnsi="Times New Roman"/>
                <w:b w:val="0"/>
                <w:sz w:val="24"/>
                <w:u w:val="none"/>
                <w:vertAlign w:val="superscript"/>
              </w:rPr>
              <w:t>os</w:t>
            </w:r>
            <w:r>
              <w:rPr>
                <w:rStyle w:val="InstructionsTabelleberschrift"/>
                <w:rFonts w:ascii="Times New Roman" w:hAnsi="Times New Roman"/>
                <w:b w:val="0"/>
                <w:sz w:val="24"/>
                <w:u w:val="none"/>
              </w:rPr>
              <w:t> 4 e 5, desse regulamento.</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012</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Se SIM, indicar a principal categoria de ativos do fundo comum de cobertura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Se o fundo comum de cobertura for elegível para o tratamento preferencial previsto no artigo 129.º, n.</w:t>
            </w:r>
            <w:r>
              <w:rPr>
                <w:rStyle w:val="InstructionsTabelleberschrift"/>
                <w:rFonts w:ascii="Times New Roman" w:hAnsi="Times New Roman"/>
                <w:b w:val="0"/>
                <w:sz w:val="24"/>
                <w:u w:val="none"/>
                <w:vertAlign w:val="superscript"/>
              </w:rPr>
              <w:t>os</w:t>
            </w:r>
            <w:r>
              <w:rPr>
                <w:rStyle w:val="InstructionsTabelleberschrift"/>
                <w:rFonts w:ascii="Times New Roman" w:hAnsi="Times New Roman"/>
                <w:b w:val="0"/>
                <w:sz w:val="24"/>
                <w:u w:val="none"/>
              </w:rPr>
              <w:t> 4 e 5, do CRR (resposta SIM na coluna 011), a sua principal categoria de ativos deve ser indicada neste campo. A classificação no artigo 129.º, n.º 1, do referido regulamento, deve ser utilizada para este efeito e os códigos «a», «b», «c», «d», «e», «f» e «g» devem ser indicados em conformidade. O código «h» será aplicado quando a principal categoria de ativos do fundo comum de cobertura não se enquadrar em nenhuma das categorias anteriores.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Passivos por obrigações cobertas</w:t>
            </w:r>
          </w:p>
          <w:p w:rsidR="00941FAE" w:rsidRPr="000F059F" w:rsidRDefault="00941FAE" w:rsidP="005150E8">
            <w:pPr>
              <w:spacing w:before="0"/>
              <w:rPr>
                <w:rFonts w:ascii="Times New Roman" w:hAnsi="Times New Roman"/>
                <w:sz w:val="24"/>
              </w:rPr>
            </w:pPr>
            <w:r>
              <w:rPr>
                <w:rFonts w:ascii="Times New Roman" w:hAnsi="Times New Roman"/>
                <w:sz w:val="24"/>
              </w:rPr>
              <w:t>Os passivos por obrigações cobertas são os passivos incorridos pela entidade emitente em virtude da emissão de obrigações cobertas e incluem todas as posições, tal como definido no regime legal aplicável às obrigações cobertas, que estão sujeitas às medidas de proteção das obrigações cobertas relevantes (podem</w:t>
            </w:r>
            <w:r>
              <w:rPr>
                <w:rFonts w:ascii="Times New Roman" w:hAnsi="Times New Roman"/>
                <w:bCs/>
                <w:sz w:val="24"/>
              </w:rPr>
              <w:t>,</w:t>
            </w:r>
            <w:r>
              <w:rPr>
                <w:rFonts w:ascii="Times New Roman" w:hAnsi="Times New Roman"/>
                <w:sz w:val="24"/>
              </w:rPr>
              <w:t xml:space="preserve"> por exemplo</w:t>
            </w:r>
            <w:r>
              <w:rPr>
                <w:rFonts w:ascii="Times New Roman" w:hAnsi="Times New Roman"/>
                <w:bCs/>
                <w:sz w:val="24"/>
              </w:rPr>
              <w:t>,</w:t>
            </w:r>
            <w:r>
              <w:rPr>
                <w:rFonts w:ascii="Times New Roman" w:hAnsi="Times New Roman"/>
                <w:sz w:val="24"/>
              </w:rPr>
              <w:t xml:space="preserve"> incluir-se valores mobiliários em circulação, bem como a posição das contrapartes do emitente das obrigações cobertas em posições sobre derivados, com, do ponto de vista do emitente das obrigações cobertas, </w:t>
            </w:r>
            <w:r>
              <w:rPr>
                <w:rFonts w:ascii="Times New Roman" w:hAnsi="Times New Roman"/>
                <w:bCs/>
                <w:sz w:val="24"/>
              </w:rPr>
              <w:t>um</w:t>
            </w:r>
            <w:r>
              <w:rPr>
                <w:rFonts w:ascii="Times New Roman" w:hAnsi="Times New Roman"/>
                <w:sz w:val="24"/>
              </w:rPr>
              <w:t xml:space="preserve"> valor de mercado negativo atribuído ao fundo comum de cobertura, e tratadas como passivos por obrigações cobertas em conformidade com o regime legal das obrigações cobertas).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Data da comunicação</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Montantes dos passivos por obrigações cobertas, excluindo posições em derivados do fundo comum de cobertura, em função dos diferentes intervalos futuros de datas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+ 6 meses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data «+6 meses» é o momento que se situa 6 meses após a data de referência da prestação de informações. Os montantes devem ser indicados partindo do princípio de que não há qualquer variação dos passivos por obrigações cobertas em relação à data de referência da prestação de informações, com exceção da amortização. Na ausência de um sistema de pagamentos fixos, para os montantes em dívida em datas futuras deve utilizar-se o vencimento esperado de forma coerente.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040-070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meses — + 10 anos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Tal como na rubrica «+6 meses» (coluna 030) para o respetivo momento a partir da data de referência da prestação de informações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Posições sobre derivados do fundo comum de cobertura com valor líquido de mercado negativo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Valor líquido de mercado negativo das posições sobre derivados do fundo comum de cobertura que, na perspetiva do emitente das obrigações cobertas, têm um valor líquido de mercado negativo</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As posições sobre derivados do fundo comum de cobertura são as posições líquidas sobre derivados que, de acordo com o regime legal das obrigações cobertas, foram incluídas nesse fundo e estão sujeitas às medidas de proteção das </w:t>
            </w:r>
            <w:r>
              <w:rPr>
                <w:rStyle w:val="InstructionsTabelleberschrift"/>
                <w:rFonts w:ascii="Times New Roman" w:hAnsi="Times New Roman"/>
                <w:b w:val="0"/>
                <w:sz w:val="24"/>
                <w:u w:val="none"/>
              </w:rPr>
              <w:lastRenderedPageBreak/>
              <w:t>respetivas obrigações cobertas de tal modo que as posições sobre derivados com um valor de mercado negativo exigem cobertura por ativos elegíveis do fundo comum de cobertura.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 valor líquido de mercado negativo deve ser comunicado apenas para a data de referência da prestação de informações.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090-140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Notação de risco externa das obrigações cobertas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As instituições devem fornecer informações sobre notações de risco externas das respetivas obrigações cobertas, se existirem à data da prestação de informações.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Agência de notação de risco 1</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Caso exista uma notação de risco de, pelo menos, uma agência de notação de risco, à data da prestação de informações, a instituição deve indicar o nome de uma dessas agências de notação de risco. No caso de existirem notações de risco de mais de três agências de notação de risco à data da prestação de informações, devem ser selecionadas, com base na respetiva prevalência de mercado, as três agências de notação de risco a quem são fornecidas informações.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Notação de risco 1</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 notação de risco emitida pela agência de notação de risco comunicada na coluna 090 relativa às obrigações cobertas à data de referência da prestação de informações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Caso existam notações de risco a curto e a longo prazo emitidas pela mesma agência de notação de risco, deve ser comunicada a notação de risco a longo prazo. A notação de risco a comunicar deve incluir todas as eventuais modificações.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110, 130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Agência de notação de risco 2 e agência de notação de risco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Tal como para a rubrica «agência de notação de risco 1» (coluna 090) relativamente a outras agências de notação de risco que tenham emitido notações de risco para as obrigações cobertas à data de referência da prestação de informações</w:t>
            </w:r>
          </w:p>
        </w:tc>
      </w:tr>
      <w:tr w:rsidR="00941FAE" w:rsidRPr="000F059F" w:rsidTr="005150E8">
        <w:tc>
          <w:tcPr>
            <w:tcW w:w="993" w:type="dxa"/>
            <w:shd w:val="clear" w:color="auto" w:fill="FFFFFF"/>
          </w:tcPr>
          <w:p w:rsidR="00941FAE" w:rsidRPr="00C930E7" w:rsidRDefault="00941FAE"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120, 140</w:t>
            </w:r>
          </w:p>
        </w:tc>
        <w:tc>
          <w:tcPr>
            <w:tcW w:w="8079" w:type="dxa"/>
          </w:tcPr>
          <w:p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Pr>
                <w:rStyle w:val="InstructionsTabelleberschrift"/>
                <w:rFonts w:ascii="Times New Roman" w:hAnsi="Times New Roman"/>
                <w:sz w:val="24"/>
              </w:rPr>
              <w:t>Notação de risco 2 e notação de risco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Tal como para a rubrica «notação de risco 1» (coluna 100) relativamente a outras notações de risco emitidas pelas agências de notação de risco 2 e 3 para as obrigações cobertas existentes à data de referência da prestação de informações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Fundo comum de cobertura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 fundo comum de cobertura deve consistir em todas as posições, incluindo posições sobre derivados do mesmo, com, do ponto de vista do emitente das obrigações cobertas, um valor líquido de mercado positivo, que estão sujeitas às medidas de proteção das respetivas obrigação cobertas.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Data da comunicação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Montantes dos ativos incluídos no fundo comum de cobertura, excluindo posições sobre derivados do mesmo </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Este montante deve incluir os requisitos mínimos de caução excessiva, acrescidos de quaisquer outras cauções excessivas para além do valor mínimo, na medida </w:t>
            </w:r>
            <w:r>
              <w:rPr>
                <w:rStyle w:val="InstructionsTabelleberschrift"/>
                <w:rFonts w:ascii="Times New Roman" w:hAnsi="Times New Roman"/>
                <w:b w:val="0"/>
                <w:sz w:val="24"/>
                <w:u w:val="none"/>
              </w:rPr>
              <w:lastRenderedPageBreak/>
              <w:t>em que estejam sujeitas às medidas de proteção das respetivas obrigações cobertas.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+ 6 meses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 data da prestação de informações «+ 6 meses» é o momento que se situa 6 meses após a data de referência da prestação de informações. As instituições devem comunicar os montantes partindo do princípio de que não há qualquer variação do fundo comum de cobertura em relação à data da prestação de informações, com exceção da amortização. Na ausência de um sistema de pagamentos fixos, para os montantes em dívida em datas futuras deve utilizar-se o vencimento esperado de forma coerente.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170-200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+ 12 meses — + 10 anos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Tal como na rubrica “+ 6 meses” (coluna 160) para o respetivo momento a partir da data de referência da prestação de informações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Posições sobre derivados do fundo comum de cobertura com valor líquido de mercado positivo</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O valor líquido de mercado positivo das posições sobre derivados do fundo comum de cobertura que, na perspetiva do emitente das obrigações cobertas, têm um valor líquido de mercado positivo </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As posições sobre derivados do fundo comum de cobertura são as posições líquidas sobre derivados que, de acordo com o regime legal das obrigações cobertas, foram incluídas nesse fundo e estão sujeitas às medidas de proteção das respetivas obrigações cobertas de tal modo que as posições sobre derivados com um valor de mercado positivo não fariam parte da massa falida geral do emitente das obrigações cobertas.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 valor líquido de mercado positivo deve ser comunicado apenas para a data da prestação de informações.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Montantes do fundo comum de cobertura que excedem os requisitos de cobertura mínima</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Os montantes do fundo comum de cobertura, incluindo posições sobre derivados do mesmo, com valores líquidos de mercado positivos, que excedem os requisitos de cobertura mínima (cauções excessivas)</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220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 acordo com o regime legal relevante das obrigações cobertas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Montantes das cauções excessivas em comparação com a cobertura mínima exigida pelo regime legal das obrigações cobertas relevante</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 conformidade com a metodologia das agências de notação de risco para manter a atual notação de risco externa para as obrigações cobertas</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Montantes das cauções excessivas em comparação com o nível que, de acordo com a informação de que o emitente de obrigações cobertas dispõe sobre a metodologia da agência de notação de risco, seria, no mínimo, necessário para manter a atual notação de risco emitida pela agência de notação de risco</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Agência de notação de risco 1</w:t>
            </w:r>
          </w:p>
          <w:p w:rsidR="00941FAE" w:rsidRPr="00B93E25"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Montantes das cauções excessivas em comparação com o nível que, de acordo </w:t>
            </w:r>
            <w:r>
              <w:rPr>
                <w:rStyle w:val="InstructionsTabelleberschrift"/>
                <w:rFonts w:ascii="Times New Roman" w:hAnsi="Times New Roman"/>
                <w:b w:val="0"/>
                <w:sz w:val="24"/>
                <w:u w:val="none"/>
              </w:rPr>
              <w:lastRenderedPageBreak/>
              <w:t>com a informação de que o emitente de obrigações cobertas dispõe sobre a metodologia da agência de notação de risco 1 (coluna 090), seria, no mínimo, necessário para manter a notação de risco 1 (coluna 100).</w:t>
            </w:r>
          </w:p>
        </w:tc>
      </w:tr>
      <w:tr w:rsidR="00941FAE" w:rsidRPr="000F059F" w:rsidTr="005150E8">
        <w:tc>
          <w:tcPr>
            <w:tcW w:w="993" w:type="dxa"/>
            <w:shd w:val="clear" w:color="auto" w:fill="FFFFFF"/>
          </w:tcPr>
          <w:p w:rsidR="00941FAE" w:rsidRPr="00C930E7"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240-250</w:t>
            </w:r>
          </w:p>
        </w:tc>
        <w:tc>
          <w:tcPr>
            <w:tcW w:w="8079" w:type="dxa"/>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Agência de notação de risco 2 e agência de notação de risco 3</w:t>
            </w:r>
          </w:p>
          <w:p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As instruções respeitantes à agência de notação de risco 1 (coluna 230) aplicam-se igualmente à agência de notação de risco 2 (coluna 110) e à agência de notação de risco 3 (coluna 130).</w:t>
            </w:r>
          </w:p>
        </w:tc>
      </w:tr>
    </w:tbl>
    <w:p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4" w:name="_Toc365983082"/>
      <w:bookmarkStart w:id="105" w:name="_Toc365983083"/>
      <w:bookmarkStart w:id="106" w:name="_Toc365983084"/>
      <w:bookmarkStart w:id="107" w:name="_Toc365983124"/>
      <w:bookmarkStart w:id="108" w:name="_Toc365983125"/>
      <w:bookmarkStart w:id="109" w:name="_Toc365983151"/>
      <w:bookmarkStart w:id="110" w:name="_Toc58600122"/>
      <w:bookmarkEnd w:id="104"/>
      <w:bookmarkEnd w:id="105"/>
      <w:bookmarkEnd w:id="106"/>
      <w:bookmarkEnd w:id="107"/>
      <w:bookmarkEnd w:id="108"/>
      <w:bookmarkEnd w:id="109"/>
      <w:r>
        <w:rPr>
          <w:rFonts w:ascii="Times New Roman" w:hAnsi="Times New Roman"/>
          <w:b/>
          <w:sz w:val="24"/>
          <w:u w:val="none"/>
        </w:rPr>
        <w:t>Parte E: Dados avançados</w:t>
      </w:r>
      <w:bookmarkEnd w:id="110"/>
    </w:p>
    <w:p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11" w:name="_Toc58600123"/>
      <w:r>
        <w:rPr>
          <w:rFonts w:ascii="Times New Roman" w:hAnsi="Times New Roman"/>
          <w:sz w:val="24"/>
          <w:u w:val="none"/>
        </w:rPr>
        <w:t>Observações gerais</w:t>
      </w:r>
      <w:bookmarkEnd w:id="111"/>
    </w:p>
    <w:p w:rsidR="00941FAE" w:rsidRPr="000F059F" w:rsidRDefault="00941FAE" w:rsidP="00941FAE">
      <w:pPr>
        <w:pStyle w:val="InstructionsText2"/>
        <w:shd w:val="clear" w:color="auto" w:fill="FFFFFF"/>
        <w:spacing w:after="120"/>
        <w:rPr>
          <w:sz w:val="24"/>
        </w:rPr>
      </w:pPr>
      <w:r>
        <w:rPr>
          <w:sz w:val="24"/>
        </w:rPr>
        <w:t xml:space="preserve">A parte E segue a mesma estrutura que nos </w:t>
      </w:r>
      <w:r>
        <w:rPr>
          <w:sz w:val="24"/>
          <w:szCs w:val="24"/>
        </w:rPr>
        <w:t>modelos relativos à visão geral da oneração</w:t>
      </w:r>
      <w:r>
        <w:rPr>
          <w:sz w:val="24"/>
        </w:rPr>
        <w:t xml:space="preserve">, na parte A, com diferentes modelos para a oneração dos </w:t>
      </w:r>
      <w:r>
        <w:rPr>
          <w:sz w:val="24"/>
          <w:szCs w:val="24"/>
        </w:rPr>
        <w:t>ativos</w:t>
      </w:r>
      <w:r>
        <w:rPr>
          <w:sz w:val="24"/>
        </w:rPr>
        <w:t xml:space="preserve"> da instituição que relata e para as cauções recebidas: AE-ADV1 e AE-ADV2, respetivamente. Consequentemente</w:t>
      </w:r>
      <w:r>
        <w:rPr>
          <w:sz w:val="24"/>
          <w:szCs w:val="24"/>
        </w:rPr>
        <w:t>,</w:t>
      </w:r>
      <w:r>
        <w:rPr>
          <w:sz w:val="24"/>
        </w:rPr>
        <w:t xml:space="preserve"> os passivos de contrapartida correspondem aos passivos que são garantidos pelos ativos onerados, não sendo necessário existir uma relação unívoca.</w:t>
      </w:r>
    </w:p>
    <w:p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12" w:name="_Toc58600124"/>
      <w:r>
        <w:rPr>
          <w:rFonts w:ascii="Times New Roman" w:hAnsi="Times New Roman"/>
          <w:sz w:val="24"/>
          <w:u w:val="none"/>
        </w:rPr>
        <w:t>Modelo: AE-ADV1. Modelo avançado para os ativos da instituição que relata</w:t>
      </w:r>
      <w:bookmarkEnd w:id="112"/>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3" w:name="_Toc348096597"/>
      <w:bookmarkStart w:id="114" w:name="_Toc348097357"/>
      <w:bookmarkStart w:id="115" w:name="_Toc348101378"/>
      <w:bookmarkStart w:id="116" w:name="_Toc58600125"/>
      <w:r>
        <w:rPr>
          <w:rFonts w:ascii="Times New Roman" w:hAnsi="Times New Roman"/>
          <w:sz w:val="24"/>
          <w:u w:val="none"/>
        </w:rPr>
        <w:t>Instruções sobre linhas específicas</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Linhas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010-020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Financiamento do banco central (de todos os tipos, incluindo os acordos de recompra)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Todos os tipos de passivos da instituição que relata para os quais a contraparte da transação é um banco central</w:t>
            </w:r>
          </w:p>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Os ativos que tenham sido pré-posicionados junto dos bancos centrais não serão tratados como ativos onerados a não ser que o banco central não permita a retirada de quaisquer ativos colocados sem aprovação prévia. Relativamente às garantias financeiras não utilizadas, a parte não utilizada, ou seja, a parte que excede o montante mínimo exigido pelo banco central, será repartida proporcionalmente entre os ativos colocados junto do banco central.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030-040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 negociados em bolsa</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derivados com caução da instituição que relata e que são passivos financeiros, na medida em que estejam cotados ou sejam negociados num mercado reconhecido ou designado e que suponham uma oneração de ativos para essa instituição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Derivados do mercado de balcão</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 xml:space="preserve">Montante escriturado dos derivados com caução da instituição que relata e que são passivos financeiros, na medida em que sejam negociados no mercado de balcão e que suponham uma oneração de ativos para essa instituição; mesmas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w:t>
            </w:r>
            <w:r>
              <w:rPr>
                <w:rStyle w:val="InstructionsTabelleberschrift"/>
                <w:rFonts w:ascii="Times New Roman" w:hAnsi="Times New Roman"/>
                <w:b w:val="0"/>
                <w:bCs w:val="0"/>
                <w:sz w:val="24"/>
                <w:u w:val="none"/>
              </w:rPr>
              <w:t xml:space="preserve">que </w:t>
            </w:r>
            <w:r>
              <w:rPr>
                <w:rStyle w:val="InstructionsTabelleberschrift"/>
                <w:rFonts w:ascii="Times New Roman" w:hAnsi="Times New Roman"/>
                <w:b w:val="0"/>
                <w:sz w:val="24"/>
                <w:u w:val="none"/>
              </w:rPr>
              <w:t xml:space="preserve">para a linha 030 </w:t>
            </w:r>
            <w:r>
              <w:rPr>
                <w:rStyle w:val="InstructionsTabelleberschrift"/>
                <w:rFonts w:ascii="Times New Roman" w:hAnsi="Times New Roman"/>
                <w:b w:val="0"/>
                <w:bCs w:val="0"/>
                <w:sz w:val="24"/>
                <w:u w:val="none"/>
              </w:rPr>
              <w:t>do</w:t>
            </w:r>
            <w:r>
              <w:rPr>
                <w:rStyle w:val="InstructionsTabelleberschrift"/>
                <w:rFonts w:ascii="Times New Roman" w:hAnsi="Times New Roman"/>
                <w:b w:val="0"/>
                <w:sz w:val="24"/>
                <w:u w:val="none"/>
              </w:rPr>
              <w:t xml:space="preserve"> modelo </w:t>
            </w:r>
            <w:r>
              <w:rPr>
                <w:rStyle w:val="InstructionsTabelleberschrift"/>
                <w:rFonts w:ascii="Times New Roman" w:hAnsi="Times New Roman"/>
                <w:b w:val="0"/>
                <w:bCs w:val="0"/>
                <w:sz w:val="24"/>
                <w:u w:val="none"/>
              </w:rPr>
              <w:t>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Acordos de recompra</w:t>
            </w:r>
          </w:p>
          <w:p w:rsidR="00941FAE" w:rsidRDefault="00941FAE" w:rsidP="005150E8">
            <w:pPr>
              <w:pStyle w:val="Default"/>
              <w:spacing w:after="120"/>
              <w:jc w:val="both"/>
              <w:rPr>
                <w:rStyle w:val="InstructionsTabelleberschrift"/>
                <w:rFonts w:ascii="Times New Roman" w:hAnsi="Times New Roman"/>
                <w:b w:val="0"/>
                <w:color w:val="auto"/>
                <w:sz w:val="24"/>
                <w:u w:val="none"/>
              </w:rPr>
            </w:pPr>
            <w:r>
              <w:rPr>
                <w:rStyle w:val="InstructionsTabelleberschrift"/>
                <w:rFonts w:ascii="Times New Roman" w:hAnsi="Times New Roman"/>
                <w:b w:val="0"/>
                <w:sz w:val="24"/>
                <w:u w:val="none"/>
              </w:rPr>
              <w:t xml:space="preserve">Montante escriturado dos acordos de recompra da instituição que relata nos quais a contraparte da transação não é um banco central, na medida em que essas transações suponham uma oneração de ativos para a instituição </w:t>
            </w:r>
          </w:p>
          <w:p w:rsidR="00941FAE" w:rsidRPr="00353E1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Para os acordos de recompra tripartidos, deve proceder-se da mesma forma que para os acordos de recompra, na medida em que estas transações suponham uma oneração de ativos para a instituição que relata.</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090-100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Depósitos com caução à exceção de vendas com acordo de recompra</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Montante escriturado dos depósitos com caução com exceção das vendas com acordo de recompra da instituição que relata nos quais a contraparte da transação não é um banco central, na medida em que esses depósitos suponham uma oneração de ativos para a instituição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110-120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Obrigações cobertas emitidas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instruções na linha 100 </w:t>
            </w:r>
            <w:r>
              <w:rPr>
                <w:rStyle w:val="InstructionsTabelleberschrift"/>
                <w:rFonts w:ascii="Times New Roman" w:hAnsi="Times New Roman"/>
                <w:b w:val="0"/>
                <w:bCs w:val="0"/>
                <w:sz w:val="24"/>
                <w:u w:val="none"/>
              </w:rPr>
              <w:t xml:space="preserve">do </w:t>
            </w:r>
            <w:r>
              <w:rPr>
                <w:rStyle w:val="InstructionsTabelleberschrift"/>
                <w:rFonts w:ascii="Times New Roman" w:hAnsi="Times New Roman"/>
                <w:b w:val="0"/>
                <w:sz w:val="24"/>
                <w:u w:val="none"/>
              </w:rPr>
              <w:t>modelo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130-140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Titularizações emitidas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instruções na linha 110 </w:t>
            </w:r>
            <w:r>
              <w:rPr>
                <w:rStyle w:val="InstructionsTabelleberschrift"/>
                <w:rFonts w:ascii="Times New Roman" w:hAnsi="Times New Roman"/>
                <w:b w:val="0"/>
                <w:bCs w:val="0"/>
                <w:sz w:val="24"/>
                <w:u w:val="none"/>
              </w:rPr>
              <w:t xml:space="preserve">do </w:t>
            </w:r>
            <w:r>
              <w:rPr>
                <w:rStyle w:val="InstructionsTabelleberschrift"/>
                <w:rFonts w:ascii="Times New Roman" w:hAnsi="Times New Roman"/>
                <w:b w:val="0"/>
                <w:sz w:val="24"/>
                <w:u w:val="none"/>
              </w:rPr>
              <w:t>modelo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Títulos de dívida emitidos com exceção de obrigações cobertas e titularizações</w:t>
            </w:r>
          </w:p>
          <w:p w:rsidR="00941FAE" w:rsidRPr="00141A4E"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Montante escriturado dos títulos de dívida emitidos pela instituição que relata, com exceção de obrigações cobertas e titularizações, na medida em que essas titularizações suponham uma oneração dos ativos da instituição</w:t>
            </w:r>
          </w:p>
          <w:p w:rsidR="00941FAE" w:rsidRPr="005F7E60"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No caso de a instituição que relata ter retido alguns dos títulos de dívida emitidos, quer à data de emissão quer num momento posterior, em resultado de uma recompra, esses títulos retidos não devem ser incluídos nesta rubrica. Além disso, as cauções que lhes são atribuídas devem ser classificadas como não oneradas para efeitos deste modelo.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Outras fontes de oneração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instruções na linha 120 </w:t>
            </w:r>
            <w:r>
              <w:rPr>
                <w:rStyle w:val="InstructionsTabelleberschrift"/>
                <w:rFonts w:ascii="Times New Roman" w:hAnsi="Times New Roman"/>
                <w:b w:val="0"/>
                <w:bCs w:val="0"/>
                <w:sz w:val="24"/>
                <w:u w:val="none"/>
              </w:rPr>
              <w:t xml:space="preserve">do </w:t>
            </w:r>
            <w:r>
              <w:rPr>
                <w:rStyle w:val="InstructionsTabelleberschrift"/>
                <w:rFonts w:ascii="Times New Roman" w:hAnsi="Times New Roman"/>
                <w:b w:val="0"/>
                <w:sz w:val="24"/>
                <w:u w:val="none"/>
              </w:rPr>
              <w:t>modelo AE-SOU.</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ativos onerados</w:t>
            </w:r>
          </w:p>
          <w:p w:rsidR="00941FAE" w:rsidRPr="00141A4E" w:rsidRDefault="00941FAE" w:rsidP="005150E8">
            <w:pPr>
              <w:pStyle w:val="Default"/>
              <w:spacing w:after="120"/>
              <w:jc w:val="both"/>
              <w:rPr>
                <w:rStyle w:val="InstructionsTabelleberschrift"/>
                <w:rFonts w:ascii="Times New Roman" w:hAnsi="Times New Roman"/>
                <w:sz w:val="24"/>
              </w:rPr>
            </w:pPr>
            <w:r>
              <w:rPr>
                <w:rStyle w:val="InstructionsTabelleberschrift"/>
                <w:rFonts w:ascii="Times New Roman" w:hAnsi="Times New Roman"/>
                <w:b w:val="0"/>
                <w:sz w:val="24"/>
                <w:u w:val="none"/>
              </w:rPr>
              <w:t>Para cada tipo de ativos especificados nas linhas do modelo AE-ADV1, montante escriturado dos ativos detidos pela instituição que relata e que são onerados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200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elegíveis para operações com os bancos centrais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Para cada tipo de ativos especificados nas linhas do modelo AE-ADV1, montante escriturado dos ativos detidos pela instituição que relata que são onerados e que são elegíveis para transações com os bancos centrais aos quais essa instituição tem acesso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Pr>
                <w:rStyle w:val="instructionstabelleberschrift0"/>
                <w:rFonts w:ascii="Times New Roman" w:hAnsi="Times New Roman"/>
                <w:sz w:val="24"/>
              </w:rPr>
              <w:t>ou seja, podem deixar este campo em branco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 de ativos livres de encargos</w:t>
            </w:r>
          </w:p>
          <w:p w:rsidR="00941FAE" w:rsidRDefault="00941FAE" w:rsidP="005150E8">
            <w:pPr>
              <w:pStyle w:val="Default"/>
              <w:spacing w:after="120"/>
              <w:jc w:val="both"/>
              <w:rPr>
                <w:rStyle w:val="shorttext"/>
                <w:b/>
                <w:color w:val="auto"/>
                <w:sz w:val="20"/>
              </w:rPr>
            </w:pPr>
            <w:r>
              <w:rPr>
                <w:rStyle w:val="InstructionsTabelleberschrift"/>
                <w:rFonts w:ascii="Times New Roman" w:hAnsi="Times New Roman"/>
                <w:b w:val="0"/>
                <w:color w:val="auto"/>
                <w:sz w:val="24"/>
                <w:u w:val="none"/>
              </w:rPr>
              <w:t xml:space="preserve">Para cada tipo de ativos especificados nas linhas do modelo AE-ADV1, montante </w:t>
            </w:r>
            <w:r>
              <w:rPr>
                <w:rStyle w:val="InstructionsTabelleberschrift"/>
                <w:rFonts w:ascii="Times New Roman" w:hAnsi="Times New Roman"/>
                <w:b w:val="0"/>
                <w:color w:val="auto"/>
                <w:sz w:val="24"/>
                <w:u w:val="none"/>
              </w:rPr>
              <w:lastRenderedPageBreak/>
              <w:t>escriturado dos ativos detidos pela instituição que relata e que são não onerados</w:t>
            </w:r>
          </w:p>
          <w:p w:rsidR="00941FAE" w:rsidRPr="005F7E60" w:rsidRDefault="00941FAE" w:rsidP="005150E8">
            <w:pPr>
              <w:pStyle w:val="Default"/>
              <w:spacing w:after="120"/>
              <w:jc w:val="both"/>
              <w:rPr>
                <w:rStyle w:val="InstructionsTabelleberschrift"/>
                <w:rFonts w:ascii="Times New Roman" w:hAnsi="Times New Roman"/>
                <w:sz w:val="24"/>
              </w:rPr>
            </w:pPr>
            <w:r>
              <w:rPr>
                <w:rStyle w:val="shorttext"/>
              </w:rPr>
              <w:t xml:space="preserve">Por </w:t>
            </w:r>
            <w:r>
              <w:rPr>
                <w:rStyle w:val="InstructionsTabelleberschrift"/>
                <w:rFonts w:ascii="Times New Roman" w:hAnsi="Times New Roman"/>
                <w:b w:val="0"/>
                <w:color w:val="auto"/>
                <w:sz w:val="24"/>
                <w:u w:val="none"/>
              </w:rPr>
              <w:t>montante escriturado entende-se o montante inscrito no lado do ativo do balanço.</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220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elegíveis para operações com os bancos centrais</w:t>
            </w:r>
          </w:p>
          <w:p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Para cada tipo de ativos especificados nas linhas do modelo AE-ADV1, montante escriturado dos ativos detidos pela instituição que relata que são não onerados e que são elegíveis para transações com os bancos centrais aos quais essa instituição tem acesso </w:t>
            </w:r>
          </w:p>
          <w:p w:rsidR="00941FAE" w:rsidRPr="00353E1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As instituições que não possam estabelecer inequivocamente essa elegibilidade relativamente a uma determinada rubrica, por exemplo nas jurisdições que funcionam sem uma definição clara dos ativos elegíveis para acordos de recompra com o banco central, ou que não têm acesso a um mercado contínuo de acordos de recompra com o banco central, podem abster-se de comunicar o montante correspondente a esta rubrica, </w:t>
            </w:r>
            <w:r>
              <w:rPr>
                <w:rStyle w:val="instructionstabelleberschrift0"/>
                <w:rFonts w:ascii="Times New Roman" w:hAnsi="Times New Roman"/>
                <w:sz w:val="24"/>
              </w:rPr>
              <w:t>ou seja, podem deixar este campo em branco</w:t>
            </w:r>
            <w:r>
              <w:rPr>
                <w:rStyle w:val="InstructionsTabelleberschrift"/>
                <w:rFonts w:ascii="Times New Roman" w:hAnsi="Times New Roman"/>
                <w:b w:val="0"/>
                <w:sz w:val="24"/>
                <w:u w:val="none"/>
              </w:rPr>
              <w:t>.</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230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Ativos onerados + não onerados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Para cada tipo de ativos especificados nas linhas do modelo AE-ADV1, montante escriturado dos ativos detidos pela instituição que relata</w:t>
            </w:r>
          </w:p>
        </w:tc>
      </w:tr>
    </w:tbl>
    <w:p w:rsidR="00941FAE" w:rsidRPr="000F059F" w:rsidRDefault="00941FAE" w:rsidP="00941FAE">
      <w:pPr>
        <w:pStyle w:val="Instructionsberschrift2"/>
        <w:numPr>
          <w:ilvl w:val="2"/>
          <w:numId w:val="3"/>
        </w:numPr>
        <w:spacing w:after="120"/>
        <w:rPr>
          <w:rFonts w:ascii="Times New Roman" w:hAnsi="Times New Roman"/>
          <w:sz w:val="24"/>
          <w:u w:val="none"/>
        </w:rPr>
      </w:pPr>
      <w:bookmarkStart w:id="117" w:name="_Toc348096598"/>
      <w:bookmarkStart w:id="118" w:name="_Toc348097358"/>
      <w:bookmarkStart w:id="119" w:name="_Toc348101379"/>
      <w:bookmarkStart w:id="120" w:name="_Toc58600126"/>
      <w:r>
        <w:rPr>
          <w:rFonts w:ascii="Times New Roman" w:hAnsi="Times New Roman"/>
          <w:sz w:val="24"/>
          <w:u w:val="none"/>
        </w:rPr>
        <w:t>Instruções relativas a colunas específicas</w:t>
      </w:r>
      <w:bookmarkEnd w:id="117"/>
      <w:bookmarkEnd w:id="118"/>
      <w:bookmarkEnd w:id="119"/>
      <w:bookmarkEnd w:id="120"/>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rsidTr="005150E8">
        <w:tc>
          <w:tcPr>
            <w:tcW w:w="993" w:type="dxa"/>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Colunas</w:t>
            </w:r>
          </w:p>
        </w:tc>
        <w:tc>
          <w:tcPr>
            <w:tcW w:w="8079" w:type="dxa"/>
            <w:shd w:val="clear" w:color="auto" w:fill="D9D9D9"/>
          </w:tcPr>
          <w:p w:rsidR="00941FAE" w:rsidRPr="000F059F" w:rsidRDefault="00941FAE" w:rsidP="005150E8">
            <w:pPr>
              <w:pStyle w:val="InstructionsText"/>
              <w:spacing w:after="12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79" w:type="dxa"/>
            <w:shd w:val="clear" w:color="auto" w:fill="FFFFFF"/>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Empréstimos à vista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020 do 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020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capital próprio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030 do 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040 do 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dos quais: obrigações cobertas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050 do 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79" w:type="dxa"/>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dos quais: emitidos por outras entidades do grupo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Obrigações cobertas, tal como descritas nas instruções para a </w:t>
            </w:r>
            <w:r>
              <w:rPr>
                <w:rStyle w:val="InstructionsTabelleberschrift"/>
                <w:rFonts w:ascii="Times New Roman" w:hAnsi="Times New Roman"/>
                <w:b w:val="0"/>
                <w:bCs w:val="0"/>
                <w:sz w:val="24"/>
                <w:u w:val="none"/>
              </w:rPr>
              <w:t>linha 050</w:t>
            </w:r>
            <w:r>
              <w:rPr>
                <w:rStyle w:val="InstructionsTabelleberschrift"/>
                <w:rFonts w:ascii="Times New Roman" w:hAnsi="Times New Roman"/>
                <w:b w:val="0"/>
                <w:sz w:val="24"/>
                <w:u w:val="none"/>
              </w:rPr>
              <w:t xml:space="preserve"> do modelo AE-ASS, que são emitidas por qualquer entidade pertencente ao perímetro de consolidação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titularizações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060 do 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outras entidades do grupo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Titularizações, tal como descritas nas instruções para a </w:t>
            </w:r>
            <w:r>
              <w:rPr>
                <w:rStyle w:val="InstructionsTabelleberschrift"/>
                <w:rFonts w:ascii="Times New Roman" w:hAnsi="Times New Roman"/>
                <w:b w:val="0"/>
                <w:bCs w:val="0"/>
                <w:sz w:val="24"/>
                <w:u w:val="none"/>
              </w:rPr>
              <w:t>linha 060</w:t>
            </w:r>
            <w:r>
              <w:rPr>
                <w:rStyle w:val="InstructionsTabelleberschrift"/>
                <w:rFonts w:ascii="Times New Roman" w:hAnsi="Times New Roman"/>
                <w:b w:val="0"/>
                <w:sz w:val="24"/>
                <w:u w:val="none"/>
              </w:rPr>
              <w:t xml:space="preserve"> do modelo AE-ASS, que são emitidas por qualquer entidade pertencente ao perímetro de </w:t>
            </w:r>
            <w:r>
              <w:rPr>
                <w:rStyle w:val="InstructionsTabelleberschrift"/>
                <w:rFonts w:ascii="Times New Roman" w:hAnsi="Times New Roman"/>
                <w:b w:val="0"/>
                <w:sz w:val="24"/>
                <w:u w:val="none"/>
              </w:rPr>
              <w:lastRenderedPageBreak/>
              <w:t>consolidação prudencial</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administrações públicas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070 do 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empresas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080 do 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empresas não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Ver instruções para a linha 090 do 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Bancos centrais e administrações públicas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Empréstimos e adiantamentos, com exceção dos empréstimos à vista, a </w:t>
            </w:r>
            <w:r>
              <w:rPr>
                <w:rStyle w:val="InstructionsTabelleberschrift"/>
                <w:rFonts w:ascii="Times New Roman" w:hAnsi="Times New Roman"/>
                <w:b w:val="0"/>
                <w:bCs w:val="0"/>
                <w:sz w:val="24"/>
                <w:u w:val="none"/>
              </w:rPr>
              <w:t>bancos</w:t>
            </w:r>
            <w:r>
              <w:rPr>
                <w:rStyle w:val="InstructionsTabelleberschrift"/>
                <w:rFonts w:ascii="Times New Roman" w:hAnsi="Times New Roman"/>
                <w:b w:val="0"/>
                <w:sz w:val="24"/>
                <w:u w:val="none"/>
              </w:rPr>
              <w:t xml:space="preserve"> centrais ou administrações </w:t>
            </w:r>
            <w:r>
              <w:rPr>
                <w:rStyle w:val="InstructionsTabelleberschrift"/>
                <w:rFonts w:ascii="Times New Roman" w:hAnsi="Times New Roman"/>
                <w:b w:val="0"/>
                <w:bCs w:val="0"/>
                <w:sz w:val="24"/>
                <w:u w:val="none"/>
              </w:rPr>
              <w:t>públicas</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Empresas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dos empréstimos à vista a empresas financeiras</w:t>
            </w:r>
          </w:p>
        </w:tc>
      </w:tr>
      <w:tr w:rsidR="00941FAE" w:rsidRPr="000F059F" w:rsidTr="005150E8">
        <w:tc>
          <w:tcPr>
            <w:tcW w:w="993" w:type="dxa"/>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79" w:type="dxa"/>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Empresas não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dos empréstimos à vista a empresas não financeiras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79" w:type="dxa"/>
            <w:vAlign w:val="center"/>
          </w:tcPr>
          <w:p w:rsidR="00941FAE" w:rsidRPr="000F059F" w:rsidRDefault="00C6017D"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dos quais: </w:t>
            </w:r>
            <w:r w:rsidR="00941FAE">
              <w:rPr>
                <w:rStyle w:val="InstructionsTabelleberschrift"/>
                <w:rFonts w:ascii="Times New Roman" w:hAnsi="Times New Roman"/>
                <w:sz w:val="24"/>
              </w:rPr>
              <w:t>empréstimos caucionados por imóveis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dos empréstimos à vista caucionados por imóveis concedidos a empresas não financeiras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Famílias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dos empréstimos à vista concedidos a particulares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160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empréstimos caucionados por imóveis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Empréstimos e adiantamentos com exceção dos empréstimos à vista caucionados por imóveis concedidos a particulares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Outros ativos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120 do modelo AE-ASS.</w:t>
            </w:r>
          </w:p>
        </w:tc>
      </w:tr>
      <w:tr w:rsidR="00941FAE" w:rsidRPr="000F059F" w:rsidTr="005150E8">
        <w:tc>
          <w:tcPr>
            <w:tcW w:w="993" w:type="dxa"/>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79" w:type="dxa"/>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010 do modelo AE-ASS.</w:t>
            </w:r>
          </w:p>
        </w:tc>
      </w:tr>
    </w:tbl>
    <w:p w:rsidR="00941FAE" w:rsidRPr="000F059F" w:rsidRDefault="00941FAE" w:rsidP="00941FAE">
      <w:pPr>
        <w:pStyle w:val="Instructionsberschrift2"/>
        <w:numPr>
          <w:ilvl w:val="1"/>
          <w:numId w:val="3"/>
        </w:numPr>
        <w:spacing w:after="120"/>
        <w:rPr>
          <w:rFonts w:ascii="Times New Roman" w:hAnsi="Times New Roman"/>
          <w:sz w:val="24"/>
          <w:u w:val="none"/>
        </w:rPr>
      </w:pPr>
      <w:bookmarkStart w:id="121" w:name="_Toc58600127"/>
      <w:r>
        <w:rPr>
          <w:rFonts w:ascii="Times New Roman" w:hAnsi="Times New Roman"/>
          <w:sz w:val="24"/>
          <w:u w:val="none"/>
        </w:rPr>
        <w:t>Modelo: AE-ADV2. Modelo avançado para as cauções recebidas pela instituição que relata</w:t>
      </w:r>
      <w:bookmarkEnd w:id="121"/>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2" w:name="_Toc348096600"/>
      <w:bookmarkStart w:id="123" w:name="_Toc348097360"/>
      <w:bookmarkStart w:id="124" w:name="_Toc348101381"/>
      <w:bookmarkStart w:id="125" w:name="_Toc58600128"/>
      <w:r>
        <w:rPr>
          <w:rFonts w:ascii="Times New Roman" w:hAnsi="Times New Roman"/>
          <w:sz w:val="24"/>
          <w:u w:val="none"/>
        </w:rPr>
        <w:t>Instruções sobre linhas específicas</w:t>
      </w:r>
      <w:bookmarkEnd w:id="122"/>
      <w:bookmarkEnd w:id="123"/>
      <w:bookmarkEnd w:id="124"/>
      <w:bookmarkEnd w:id="125"/>
    </w:p>
    <w:p w:rsidR="00941FAE" w:rsidRPr="000F059F" w:rsidRDefault="00941FAE" w:rsidP="00941FAE">
      <w:pPr>
        <w:pStyle w:val="InstructionsText2"/>
        <w:shd w:val="clear" w:color="auto" w:fill="FFFFFF"/>
        <w:spacing w:after="120"/>
        <w:rPr>
          <w:sz w:val="24"/>
        </w:rPr>
      </w:pPr>
      <w:r>
        <w:rPr>
          <w:sz w:val="24"/>
        </w:rPr>
        <w:t xml:space="preserve">Ver </w:t>
      </w:r>
      <w:r>
        <w:rPr>
          <w:sz w:val="24"/>
          <w:szCs w:val="24"/>
        </w:rPr>
        <w:t>ponto</w:t>
      </w:r>
      <w:r>
        <w:rPr>
          <w:sz w:val="24"/>
        </w:rPr>
        <w:t xml:space="preserve"> 6.2.1, uma vez que as </w:t>
      </w:r>
      <w:r>
        <w:rPr>
          <w:sz w:val="24"/>
          <w:szCs w:val="24"/>
        </w:rPr>
        <w:t>instruções</w:t>
      </w:r>
      <w:r>
        <w:rPr>
          <w:sz w:val="24"/>
        </w:rPr>
        <w:t xml:space="preserve"> são semelhantes em ambos os modelos.</w:t>
      </w:r>
    </w:p>
    <w:p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6" w:name="_Toc348096601"/>
      <w:bookmarkStart w:id="127" w:name="_Toc348097361"/>
      <w:bookmarkStart w:id="128" w:name="_Toc348101382"/>
      <w:bookmarkStart w:id="129" w:name="_Toc58600129"/>
      <w:r>
        <w:rPr>
          <w:rFonts w:ascii="Times New Roman" w:hAnsi="Times New Roman"/>
          <w:sz w:val="24"/>
          <w:u w:val="none"/>
        </w:rPr>
        <w:t>Instruções relativas a colunas específicas</w:t>
      </w:r>
      <w:bookmarkEnd w:id="126"/>
      <w:bookmarkEnd w:id="127"/>
      <w:bookmarkEnd w:id="128"/>
      <w:bookmarkEnd w:id="129"/>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rsidR="00941FAE" w:rsidRPr="00141A4E"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Colunas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rsidR="00941FAE" w:rsidRPr="000F059F" w:rsidRDefault="00941FAE"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Referências jurídicas e instruções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Empréstimos à vista</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lastRenderedPageBreak/>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140 do modelo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020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Instrumentos de capital próprio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150 do modelo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160 do modelo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obrigações cobertas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170 do modelo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outras entidades do grupo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relata que são obrigações cobertas emitidas por uma entidade pertencente ao perímetro de consolidação prudencial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titularizações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180 do modelo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outras entidades do grupo</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relata que são titularizações emitidas por uma entidade pertencente ao perímetro de consolidação prudencial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administrações públicas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190 do modelo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empresas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200 do modelo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emitidos por empresas não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210 do modelo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Bancos centrais e administrações públicas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Cauções recebidas pela instituição que relata que são empréstimos ou adiantamentos, com exceção dos empréstimos à vista, a </w:t>
            </w:r>
            <w:r>
              <w:rPr>
                <w:rStyle w:val="InstructionsTabelleberschrift"/>
                <w:rFonts w:ascii="Times New Roman" w:hAnsi="Times New Roman"/>
                <w:b w:val="0"/>
                <w:bCs w:val="0"/>
                <w:sz w:val="24"/>
                <w:u w:val="none"/>
              </w:rPr>
              <w:t>bancos</w:t>
            </w:r>
            <w:r>
              <w:rPr>
                <w:rStyle w:val="InstructionsTabelleberschrift"/>
                <w:rFonts w:ascii="Times New Roman" w:hAnsi="Times New Roman"/>
                <w:b w:val="0"/>
                <w:sz w:val="24"/>
                <w:u w:val="none"/>
              </w:rPr>
              <w:t xml:space="preserve"> centrais ou administrações </w:t>
            </w:r>
            <w:r>
              <w:rPr>
                <w:rStyle w:val="InstructionsTabelleberschrift"/>
                <w:rFonts w:ascii="Times New Roman" w:hAnsi="Times New Roman"/>
                <w:b w:val="0"/>
                <w:bCs w:val="0"/>
                <w:sz w:val="24"/>
                <w:u w:val="none"/>
              </w:rPr>
              <w:t>públicas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Empresas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relata que são empréstimos e adiantamentos com exceção dos empréstimos à vista a empresas financeiras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Empresas não financeiras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relata que são empréstimos e adiantamentos com exceção dos empréstimos à vista a empresas não financeiras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dos quais: empréstimos caucionados por imóveis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relata que são empréstimos e adiantamentos caucionados por imóveis transmitidos a empresas não financeiras, com exceção dos empréstimos à vista</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Famílias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Cauções recebidas pela instituição que relata que são empréstimos e </w:t>
            </w:r>
            <w:r>
              <w:rPr>
                <w:rStyle w:val="InstructionsTabelleberschrift"/>
                <w:rFonts w:ascii="Times New Roman" w:hAnsi="Times New Roman"/>
                <w:b w:val="0"/>
                <w:sz w:val="24"/>
                <w:u w:val="none"/>
              </w:rPr>
              <w:lastRenderedPageBreak/>
              <w:t>adiantamentos com exceção dos empréstimos à vista concedidos a particulares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160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 xml:space="preserve">dos quais: empréstimos caucionados por imóveis </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Cauções recebidas pela instituição que relata que são empréstimos e adiantamentos com exceção dos empréstimos à vista caucionados por imóveis concedidos a particulares</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Outros ativos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230 do modelo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sz w:val="24"/>
              </w:rPr>
              <w:t>Títulos de dívida próprios emitidos com exceção de obrigações cobertas ou titularizações próprias</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 linha 240 do modelo AE-COL.</w:t>
            </w:r>
          </w:p>
        </w:tc>
      </w:tr>
      <w:tr w:rsidR="00941FAE" w:rsidRPr="000F059F"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sz w:val="24"/>
              </w:rPr>
              <w:t>Total</w:t>
            </w:r>
          </w:p>
          <w:p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 xml:space="preserve">Ver </w:t>
            </w:r>
            <w:r>
              <w:rPr>
                <w:rStyle w:val="InstructionsTabelleberschrift"/>
                <w:rFonts w:ascii="Times New Roman" w:hAnsi="Times New Roman"/>
                <w:b w:val="0"/>
                <w:bCs w:val="0"/>
                <w:sz w:val="24"/>
                <w:u w:val="none"/>
              </w:rPr>
              <w:t>instruções</w:t>
            </w:r>
            <w:r>
              <w:rPr>
                <w:rStyle w:val="InstructionsTabelleberschrift"/>
                <w:rFonts w:ascii="Times New Roman" w:hAnsi="Times New Roman"/>
                <w:b w:val="0"/>
                <w:sz w:val="24"/>
                <w:u w:val="none"/>
              </w:rPr>
              <w:t xml:space="preserve"> para as linhas 130 e 140 do modelo AE-COL.</w:t>
            </w:r>
          </w:p>
        </w:tc>
      </w:tr>
    </w:tbl>
    <w:p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0E8" w:rsidRDefault="005150E8" w:rsidP="00941FAE">
      <w:pPr>
        <w:spacing w:before="0" w:after="0"/>
      </w:pPr>
      <w:r>
        <w:separator/>
      </w:r>
    </w:p>
  </w:endnote>
  <w:endnote w:type="continuationSeparator" w:id="0">
    <w:p w:rsidR="005150E8" w:rsidRDefault="005150E8"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0204BA">
      <w:rPr>
        <w:noProof/>
      </w:rPr>
      <w:t>2</w:t>
    </w:r>
    <w:r>
      <w:fldChar w:fldCharType="end"/>
    </w:r>
  </w:p>
  <w:p w:rsidR="005150E8" w:rsidRDefault="005150E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Footer"/>
      <w:jc w:val="center"/>
    </w:pPr>
    <w:r>
      <w:fldChar w:fldCharType="begin"/>
    </w:r>
    <w:r>
      <w:instrText xml:space="preserve"> PAGE   \* MERGEFORMAT </w:instrText>
    </w:r>
    <w:r>
      <w:fldChar w:fldCharType="separate"/>
    </w:r>
    <w:r w:rsidR="000204BA">
      <w:rPr>
        <w:noProof/>
      </w:rPr>
      <w:t>1</w:t>
    </w:r>
    <w:r>
      <w:fldChar w:fldCharType="end"/>
    </w:r>
  </w:p>
  <w:p w:rsidR="005150E8" w:rsidRDefault="005150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0E8" w:rsidRDefault="005150E8" w:rsidP="00941FAE">
      <w:pPr>
        <w:spacing w:before="0" w:after="0"/>
      </w:pPr>
      <w:r>
        <w:separator/>
      </w:r>
    </w:p>
  </w:footnote>
  <w:footnote w:type="continuationSeparator" w:id="0">
    <w:p w:rsidR="005150E8" w:rsidRDefault="005150E8" w:rsidP="00941FAE">
      <w:pPr>
        <w:spacing w:before="0" w:after="0"/>
      </w:pPr>
      <w:r>
        <w:continuationSeparator/>
      </w:r>
    </w:p>
  </w:footnote>
  <w:footnote w:id="1">
    <w:p w:rsidR="005150E8" w:rsidRPr="00C87407" w:rsidRDefault="005150E8" w:rsidP="00941FAE">
      <w:pPr>
        <w:pStyle w:val="FootnoteText"/>
      </w:pPr>
      <w:r>
        <w:rPr>
          <w:rStyle w:val="FootnoteReference"/>
        </w:rPr>
        <w:footnoteRef/>
      </w:r>
      <w:r>
        <w:t xml:space="preserve"> </w:t>
      </w:r>
      <w:r>
        <w:tab/>
      </w:r>
      <w:r>
        <w:rPr>
          <w:rFonts w:ascii="Times New Roman" w:hAnsi="Times New Roman"/>
        </w:rPr>
        <w:t>Diretiva 2013/34/UE do Parlamento Europeu e do Conselho, de 26 de junho de 2013, relativa às demonstrações financeiras anuais, às demonstrações financeiras consolidadas e aos relatórios conexos de certas formas de empresas, que altera a Diretiva 2006/43/CE do Parlamento Europeu e do Conselho e revoga as Diretivas 78/660/CEE e 83/349/CEE do Conselho (JO L 182 de 29.6.2013, p. 19)</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Default="005150E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D862D4" w:rsidRDefault="005150E8" w:rsidP="005150E8">
    <w:pPr>
      <w:spacing w:before="0" w:after="0"/>
      <w:jc w:val="center"/>
      <w:rPr>
        <w:rFonts w:ascii="Times New Roman" w:hAnsi="Times New Roman"/>
        <w:sz w:val="22"/>
        <w:szCs w:val="22"/>
      </w:rPr>
    </w:pPr>
  </w:p>
  <w:p w:rsidR="005150E8" w:rsidRDefault="005150E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0E8" w:rsidRPr="00EE37DC" w:rsidRDefault="005150E8">
    <w:pPr>
      <w:pStyle w:val="Header"/>
      <w:rPr>
        <w:sz w:val="24"/>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isplayBackgroundShape/>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41FAE"/>
    <w:rsid w:val="00001C04"/>
    <w:rsid w:val="000204BA"/>
    <w:rsid w:val="000B3548"/>
    <w:rsid w:val="005150E8"/>
    <w:rsid w:val="005C7383"/>
    <w:rsid w:val="0063019A"/>
    <w:rsid w:val="00941FAE"/>
    <w:rsid w:val="00C6017D"/>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A14FF"/>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pt-PT"/>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37</Pages>
  <Words>13683</Words>
  <Characters>76081</Characters>
  <Application>Microsoft Office Word</Application>
  <DocSecurity>0</DocSecurity>
  <Lines>1729</Lines>
  <Paragraphs>1068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DE BRITO RODRIGUES Angelina (DGT)</cp:lastModifiedBy>
  <cp:revision>7</cp:revision>
  <dcterms:created xsi:type="dcterms:W3CDTF">2020-12-02T17:28:00Z</dcterms:created>
  <dcterms:modified xsi:type="dcterms:W3CDTF">2020-12-11T16:45:00Z</dcterms:modified>
</cp:coreProperties>
</file>