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r>
        <w:rPr>
          <w:rFonts w:ascii="Times New Roman" w:hAnsi="Times New Roman"/>
          <w:sz w:val="24"/>
        </w:rPr>
        <w:t>XXI LISA</w:t>
      </w:r>
    </w:p>
    <w:p w14:paraId="55B2E7E1" w14:textId="613A3345" w:rsidR="0040604D" w:rsidRDefault="0040604D" w:rsidP="003E55AB">
      <w:pPr>
        <w:spacing w:before="0"/>
        <w:jc w:val="center"/>
        <w:rPr>
          <w:rFonts w:ascii="Times New Roman" w:hAnsi="Times New Roman"/>
          <w:b/>
          <w:sz w:val="24"/>
        </w:rPr>
      </w:pPr>
      <w:r>
        <w:rPr>
          <w:rFonts w:ascii="Times New Roman" w:hAnsi="Times New Roman"/>
          <w:b/>
          <w:sz w:val="24"/>
        </w:rPr>
        <w:t>TASAKAALUSTAMISSUUTLIKKUSE KONTSENTRATSIOONI ARUANDLUSE</w:t>
      </w:r>
      <w:r w:rsidR="00FC1D73">
        <w:rPr>
          <w:rFonts w:ascii="Times New Roman" w:hAnsi="Times New Roman"/>
          <w:b/>
          <w:sz w:val="24"/>
        </w:rPr>
        <w:t xml:space="preserve"> JUHISED</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tab/>
      </w:r>
      <w:r>
        <w:rPr>
          <w:rFonts w:ascii="Times New Roman" w:hAnsi="Times New Roman"/>
          <w:sz w:val="24"/>
        </w:rPr>
        <w:t>Selleks et saaks vormi C 71.00 alusel koguda teavet aruandva krediidiasutuse või investeerimisühingu tasakaalustamissuutlikkuse kontsentratsiooni kohta kümne suurima tema hoitava vara või talle selleks võimaldatud likviidsusliini kaupa, peavad krediidiasutused ja investeerimisühingud kohaldama käesolevas lisas sisalduvaid juhiseid.</w:t>
      </w:r>
    </w:p>
    <w:p w14:paraId="6D98D095" w14:textId="30D981E4"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tab/>
      </w:r>
      <w:r>
        <w:rPr>
          <w:rFonts w:ascii="Times New Roman" w:hAnsi="Times New Roman"/>
          <w:sz w:val="24"/>
        </w:rPr>
        <w:t>Kui emitendile või vastaspoolele määratakse rohkem kui üks tooteliik, valuuta või krediidikvaliteedi aste, esitatakse kogusumma. Kajastada tuleb tooteliik, valuuta või krediidikvaliteedi aste, mis on seotud tasakaalustamissuutlikkuse k</w:t>
      </w:r>
      <w:r w:rsidR="007C1483">
        <w:rPr>
          <w:rFonts w:ascii="Times New Roman" w:hAnsi="Times New Roman"/>
          <w:sz w:val="24"/>
        </w:rPr>
        <w:t>ontsentratsiooni suurima osaga.</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tab/>
      </w:r>
      <w:r>
        <w:rPr>
          <w:rFonts w:ascii="Times New Roman" w:hAnsi="Times New Roman"/>
          <w:sz w:val="24"/>
        </w:rPr>
        <w:t>Tasakaalustamissuutlikkus vormis C 71.00 on sama, mis vormis C 66.01, kuid vormis C 71.00 tasakaalustamissuutlikkusena kajastatud varad on koormamata, et krediidiasutusel või investeerimisühingul oleks võimalik need aruandekuupäeval raha vastu vahetada.</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tab/>
      </w:r>
      <w:r>
        <w:rPr>
          <w:rFonts w:ascii="Times New Roman" w:hAnsi="Times New Roman"/>
          <w:sz w:val="24"/>
        </w:rPr>
        <w:t>Kontsentratsioonide arvutamisel, et esitada vormis C 71.00 teavet olulise valuuta kaupa, kasutavad krediidiasutused ja investeerimisühingud kontsentratsioone kõigis valuutades.</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tab/>
      </w:r>
      <w:r>
        <w:rPr>
          <w:rFonts w:ascii="Times New Roman" w:hAnsi="Times New Roman"/>
          <w:sz w:val="24"/>
        </w:rPr>
        <w:t>Kui emitent või vastaspool kuulub mitmesse omavahel seotud klientide rühma, kajastatakse teda ainult üks kord rühmas, mille tasakaalustamissuutlikkuse kontsentratsioon on suurem.</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tab/>
      </w:r>
      <w:r>
        <w:rPr>
          <w:rFonts w:ascii="Times New Roman" w:hAnsi="Times New Roman"/>
          <w:sz w:val="24"/>
        </w:rPr>
        <w:t>Kui välja arvata rida 120, siis tasakaalustamissuutlikkuse kontsentratsioone emitendis või vastaspooles, milleks on keskpank, käesolevas vormis ei kajastata. Kui krediidiasutusel on eelnevalt keskpankadesse paigutatud varasid tavapäraste likviidsusoperatsioonide jaoks ja kui need varad kuuluvad koormamata tasakaalustamissuutlikkuse kümne suurima emitendi või vastaspoole alla, esitab krediidiasutus teabe algse emitendi ja algse tooteliigi kohta.</w:t>
      </w:r>
    </w:p>
    <w:p w14:paraId="423289FA" w14:textId="77777777" w:rsidR="00E05204" w:rsidRPr="001C0569"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Veerg</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Viited õigussätetele ja juhised</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Emitendi nimi</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Veerus 010 esitatakse kahanevas järjekorras kümne olulisima koormamata vara emitendi või krediidiasutusele või investeerimisühingule võimaldatud kasutamata likviidsusliini vastaspoole nimed. Suurim kirje kajastatakse kirjes 1.01, suuruselt teine kirjes 1.02 jne. Omavahel seotud klientide rühma moodustavaid emitente ja vastaspooli kajastatakse üheainsa kontsentratsioonina.</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Kajastatav emitendi/vastaspoole nimi peab olema varad emiteerinud või likviidsusliinid võimaldanud juriidilise isiku täielik nimi, sh viited äriühingu liigile riigi äriühinguõiguse kohaselt.</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bCs/>
                <w:sz w:val="24"/>
              </w:rPr>
              <w:lastRenderedPageBreak/>
              <w:t>Vastaspoole</w:t>
            </w:r>
            <w:r>
              <w:rPr>
                <w:rFonts w:ascii="Times New Roman" w:hAnsi="Times New Roman"/>
                <w:sz w:val="24"/>
              </w:rPr>
              <w:t xml:space="preserve"> kui </w:t>
            </w:r>
            <w:r>
              <w:rPr>
                <w:rFonts w:ascii="Times New Roman" w:hAnsi="Times New Roman"/>
                <w:bCs/>
                <w:sz w:val="24"/>
              </w:rPr>
              <w:t xml:space="preserve">juriidilise isiku tunnuskood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Emitendi majandussektor</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Iga emitent või vastaspool liigitatakse ühe majandussektori alla lähtuvalt FINREPi majandussektorite klassidest:</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valitsemissektor, ii) krediidiasutus, iii) muu finantssektori äriühing, iv) finantssektoriväline äriühing, v) kodumajapidamine.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Omavahel</w:t>
            </w:r>
            <w:r>
              <w:rPr>
                <w:rFonts w:ascii="Times New Roman" w:hAnsi="Times New Roman"/>
                <w:sz w:val="24"/>
              </w:rPr>
              <w:t xml:space="preserve"> seotud </w:t>
            </w:r>
            <w:r>
              <w:rPr>
                <w:rStyle w:val="FormatvorlageInstructionsTabelleText"/>
                <w:rFonts w:ascii="Times New Roman" w:hAnsi="Times New Roman"/>
                <w:sz w:val="24"/>
              </w:rPr>
              <w:t xml:space="preserve">klientide rühmade puhul majandussektorit ei märgita.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Emitendi residentsus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Kasutatakse riigi, kus emitent või vastaspool on asutatud, ISO koodi 3166-1-alfa-2 (sealhulgas rahvusvaheliste organisatsioonide pseudo-ISO koodid</w:t>
            </w:r>
            <w:r>
              <w:rPr>
                <w:rFonts w:ascii="Times New Roman" w:hAnsi="Times New Roman"/>
                <w:sz w:val="24"/>
              </w:rPr>
              <w:t>, mis on kättesaadavad Eurostati maksebilansi käsiraamatu viimases väljaandes)</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Omavahel seotud klientide rühmade puhul riiki ei märgita.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Tooteliik</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Veerus 010 loetletud emitentidele/vastaspooltele määratakse toote liik, mis </w:t>
            </w:r>
            <w:r>
              <w:rPr>
                <w:rStyle w:val="FormatvorlageInstructionsTabelleText"/>
                <w:rFonts w:ascii="Times New Roman" w:hAnsi="Times New Roman"/>
                <w:sz w:val="24"/>
              </w:rPr>
              <w:t>vastab</w:t>
            </w:r>
            <w:r>
              <w:rPr>
                <w:rFonts w:ascii="Times New Roman" w:hAnsi="Times New Roman"/>
                <w:sz w:val="24"/>
              </w:rPr>
              <w:t xml:space="preserve"> tootele, milles vara hoitakse või milles ootel likviidsuslimiit on saadud, kasutades järgmisi rasvases kirjas näidatud koode:</w:t>
            </w:r>
          </w:p>
          <w:p w14:paraId="1CB9AEA2" w14:textId="1BFA2F2B" w:rsidR="00E05204" w:rsidRPr="0081623B" w:rsidRDefault="00E05204" w:rsidP="003E55AB">
            <w:pPr>
              <w:pStyle w:val="ListParagraph"/>
              <w:numPr>
                <w:ilvl w:val="0"/>
                <w:numId w:val="4"/>
              </w:numPr>
              <w:spacing w:before="0"/>
              <w:rPr>
                <w:rFonts w:ascii="Times New Roman" w:hAnsi="Times New Roman"/>
                <w:sz w:val="24"/>
              </w:rPr>
            </w:pPr>
            <w:bookmarkStart w:id="0" w:name="OLE_LINK1"/>
            <w:r>
              <w:rPr>
                <w:rFonts w:ascii="Times New Roman" w:hAnsi="Times New Roman"/>
                <w:b/>
                <w:bCs/>
                <w:sz w:val="24"/>
              </w:rPr>
              <w:t>SrB</w:t>
            </w:r>
            <w:r>
              <w:rPr>
                <w:rFonts w:ascii="Times New Roman" w:hAnsi="Times New Roman"/>
                <w:sz w:val="24"/>
              </w:rPr>
              <w:t xml:space="preserve"> (</w:t>
            </w:r>
            <w:r w:rsidRPr="001C0569">
              <w:rPr>
                <w:rStyle w:val="FormatvorlageInstructionsTabelleText"/>
                <w:rFonts w:ascii="Times New Roman" w:hAnsi="Times New Roman"/>
                <w:i/>
                <w:sz w:val="24"/>
              </w:rPr>
              <w:t>Senior Bond</w:t>
            </w:r>
            <w:r>
              <w:rPr>
                <w:rFonts w:ascii="Times New Roman" w:hAnsi="Times New Roman"/>
                <w:sz w:val="24"/>
              </w:rPr>
              <w:t>) – kõr</w:t>
            </w:r>
            <w:r w:rsidR="007C1483">
              <w:rPr>
                <w:rFonts w:ascii="Times New Roman" w:hAnsi="Times New Roman"/>
                <w:sz w:val="24"/>
              </w:rPr>
              <w:t>gema nõudeõiguse järgu võlakiri</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SubB</w:t>
            </w:r>
            <w:r>
              <w:rPr>
                <w:rFonts w:ascii="Times New Roman" w:hAnsi="Times New Roman"/>
                <w:sz w:val="24"/>
              </w:rPr>
              <w:t xml:space="preserve"> (</w:t>
            </w:r>
            <w:r w:rsidRPr="001C0569">
              <w:rPr>
                <w:rStyle w:val="FormatvorlageInstructionsTabelleText"/>
                <w:rFonts w:ascii="Times New Roman" w:hAnsi="Times New Roman"/>
                <w:i/>
                <w:sz w:val="24"/>
              </w:rPr>
              <w:t>Subordinated Bond</w:t>
            </w:r>
            <w:r>
              <w:rPr>
                <w:rFonts w:ascii="Times New Roman" w:hAnsi="Times New Roman"/>
                <w:sz w:val="24"/>
              </w:rPr>
              <w:t>) – allutatud võlakiri</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CP</w:t>
            </w:r>
            <w:r>
              <w:rPr>
                <w:rFonts w:ascii="Times New Roman" w:hAnsi="Times New Roman"/>
                <w:sz w:val="24"/>
              </w:rPr>
              <w:t xml:space="preserve"> (</w:t>
            </w:r>
            <w:r w:rsidRPr="001C0569">
              <w:rPr>
                <w:rStyle w:val="FormatvorlageInstructionsTabelleText"/>
                <w:rFonts w:ascii="Times New Roman" w:hAnsi="Times New Roman"/>
                <w:i/>
                <w:sz w:val="24"/>
              </w:rPr>
              <w:t>Commercial Paper</w:t>
            </w:r>
            <w:r>
              <w:rPr>
                <w:rFonts w:ascii="Times New Roman" w:hAnsi="Times New Roman"/>
                <w:sz w:val="24"/>
              </w:rPr>
              <w:t>) – kommertsväärtpaber</w:t>
            </w:r>
          </w:p>
          <w:p w14:paraId="71AB267C" w14:textId="4F181E56"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CB</w:t>
            </w:r>
            <w:r>
              <w:rPr>
                <w:rFonts w:ascii="Times New Roman" w:hAnsi="Times New Roman"/>
                <w:sz w:val="24"/>
              </w:rPr>
              <w:t xml:space="preserve"> (</w:t>
            </w:r>
            <w:proofErr w:type="spellStart"/>
            <w:r w:rsidRPr="001C0569">
              <w:rPr>
                <w:rStyle w:val="FormatvorlageInstructionsTabelleText"/>
                <w:rFonts w:ascii="Times New Roman" w:hAnsi="Times New Roman"/>
                <w:i/>
                <w:sz w:val="24"/>
              </w:rPr>
              <w:t>Covered</w:t>
            </w:r>
            <w:proofErr w:type="spellEnd"/>
            <w:r w:rsidRPr="001C0569">
              <w:rPr>
                <w:rStyle w:val="FormatvorlageInstructionsTabelleText"/>
                <w:rFonts w:ascii="Times New Roman" w:hAnsi="Times New Roman"/>
                <w:i/>
                <w:sz w:val="24"/>
              </w:rPr>
              <w:t xml:space="preserve"> Bond</w:t>
            </w:r>
            <w:r>
              <w:rPr>
                <w:rFonts w:ascii="Times New Roman" w:hAnsi="Times New Roman"/>
                <w:sz w:val="24"/>
              </w:rPr>
              <w:t>) – pandik</w:t>
            </w:r>
            <w:r w:rsidR="007C1483">
              <w:rPr>
                <w:rFonts w:ascii="Times New Roman" w:hAnsi="Times New Roman"/>
                <w:sz w:val="24"/>
              </w:rPr>
              <w:t>iri</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w:t>
            </w:r>
            <w:r>
              <w:rPr>
                <w:rFonts w:ascii="Times New Roman" w:hAnsi="Times New Roman"/>
                <w:sz w:val="24"/>
              </w:rPr>
              <w:t xml:space="preserve"> (</w:t>
            </w:r>
            <w:r w:rsidRPr="001C0569">
              <w:rPr>
                <w:rStyle w:val="FormatvorlageInstructionsTabelleText"/>
                <w:rFonts w:ascii="Times New Roman" w:hAnsi="Times New Roman"/>
                <w:i/>
                <w:sz w:val="24"/>
              </w:rPr>
              <w:t>UCITS-security</w:t>
            </w:r>
            <w:r>
              <w:rPr>
                <w:rFonts w:ascii="Times New Roman" w:hAnsi="Times New Roman"/>
                <w:sz w:val="24"/>
              </w:rPr>
              <w:t>) – eurofondide väärtpaberid, st finantsinstrumendid, mis kujutavad endast osalust vabalt võõrandatavatesse väärtpaberitesse ühiseks investeerimiseks loodud ettevõtjas (eurofondis) või mille eurofond on välja lasknud</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ABS </w:t>
            </w:r>
            <w:r>
              <w:rPr>
                <w:rFonts w:ascii="Times New Roman" w:hAnsi="Times New Roman"/>
                <w:sz w:val="24"/>
              </w:rPr>
              <w:t>(</w:t>
            </w:r>
            <w:r w:rsidRPr="001C0569">
              <w:rPr>
                <w:rFonts w:ascii="Times New Roman" w:hAnsi="Times New Roman"/>
                <w:i/>
                <w:sz w:val="24"/>
              </w:rPr>
              <w:t>Asset Backed Security</w:t>
            </w:r>
            <w:r>
              <w:rPr>
                <w:rFonts w:ascii="Times New Roman" w:hAnsi="Times New Roman"/>
                <w:sz w:val="24"/>
              </w:rPr>
              <w:t>) – varaga tagatud väärtpaber</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CrCl</w:t>
            </w:r>
            <w:r>
              <w:rPr>
                <w:rFonts w:ascii="Times New Roman" w:hAnsi="Times New Roman"/>
                <w:sz w:val="24"/>
              </w:rPr>
              <w:t xml:space="preserve"> (</w:t>
            </w:r>
            <w:r w:rsidRPr="001C0569">
              <w:rPr>
                <w:rStyle w:val="FormatvorlageInstructionsTabelleText"/>
                <w:rFonts w:ascii="Times New Roman" w:hAnsi="Times New Roman"/>
                <w:i/>
                <w:sz w:val="24"/>
              </w:rPr>
              <w:t>Credit Claim</w:t>
            </w:r>
            <w:r>
              <w:rPr>
                <w:rFonts w:ascii="Times New Roman" w:hAnsi="Times New Roman"/>
                <w:sz w:val="24"/>
              </w:rPr>
              <w:t>) – krediidinõue</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Eq</w:t>
            </w:r>
            <w:r>
              <w:rPr>
                <w:rFonts w:ascii="Times New Roman" w:hAnsi="Times New Roman"/>
                <w:sz w:val="24"/>
              </w:rPr>
              <w:t xml:space="preserve"> (</w:t>
            </w:r>
            <w:r w:rsidRPr="001C0569">
              <w:rPr>
                <w:rStyle w:val="FormatvorlageInstructionsTabelleText"/>
                <w:rFonts w:ascii="Times New Roman" w:hAnsi="Times New Roman"/>
                <w:i/>
                <w:sz w:val="24"/>
              </w:rPr>
              <w:t>Equity</w:t>
            </w:r>
            <w:r>
              <w:rPr>
                <w:rFonts w:ascii="Times New Roman" w:hAnsi="Times New Roman"/>
                <w:sz w:val="24"/>
              </w:rPr>
              <w:t>) – aktsia</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Kuld</w:t>
            </w:r>
            <w:r>
              <w:rPr>
                <w:rFonts w:ascii="Times New Roman" w:hAnsi="Times New Roman"/>
                <w:sz w:val="24"/>
              </w:rPr>
              <w:t xml:space="preserve"> (kui tegemist on füüsilise kullaga, mida saab käsitada ühe vastaspoolena)</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bCs/>
                <w:sz w:val="24"/>
              </w:rPr>
              <w:t>LiqL</w:t>
            </w:r>
            <w:r>
              <w:rPr>
                <w:rFonts w:ascii="Times New Roman" w:hAnsi="Times New Roman"/>
                <w:sz w:val="24"/>
              </w:rPr>
              <w:t xml:space="preserve"> (</w:t>
            </w:r>
            <w:r w:rsidRPr="001C0569">
              <w:rPr>
                <w:rStyle w:val="FormatvorlageInstructionsTabelleText"/>
                <w:rFonts w:ascii="Times New Roman" w:hAnsi="Times New Roman"/>
                <w:i/>
                <w:sz w:val="24"/>
              </w:rPr>
              <w:t>Liquidity Line</w:t>
            </w:r>
            <w:r>
              <w:rPr>
                <w:rFonts w:ascii="Times New Roman" w:hAnsi="Times New Roman"/>
                <w:sz w:val="24"/>
              </w:rPr>
              <w:t>) – krediidiasutusele või investeerimisühingule võimaldatud kasutamata likviidsusliin</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 xml:space="preserve">OPT </w:t>
            </w:r>
            <w:r>
              <w:rPr>
                <w:rFonts w:ascii="Times New Roman" w:hAnsi="Times New Roman"/>
                <w:sz w:val="24"/>
              </w:rPr>
              <w:t>(</w:t>
            </w:r>
            <w:r w:rsidRPr="001C0569">
              <w:rPr>
                <w:rStyle w:val="FormatvorlageInstructionsTabelleText"/>
                <w:rFonts w:ascii="Times New Roman" w:hAnsi="Times New Roman"/>
                <w:i/>
                <w:sz w:val="24"/>
              </w:rPr>
              <w:t>Other</w:t>
            </w:r>
            <w:r w:rsidRPr="001C0569">
              <w:rPr>
                <w:rFonts w:ascii="Times New Roman" w:hAnsi="Times New Roman"/>
                <w:i/>
                <w:sz w:val="24"/>
              </w:rPr>
              <w:t xml:space="preserve"> product type</w:t>
            </w:r>
            <w:r>
              <w:rPr>
                <w:rFonts w:ascii="Times New Roman" w:hAnsi="Times New Roman"/>
                <w:sz w:val="24"/>
              </w:rPr>
              <w:t>) – muu tooteliik</w:t>
            </w:r>
            <w:bookmarkEnd w:id="0"/>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Valuuta</w:t>
            </w:r>
          </w:p>
          <w:p w14:paraId="1D458B95" w14:textId="0BDE393C" w:rsidR="00C05CCA" w:rsidRPr="0081623B" w:rsidRDefault="004C1638" w:rsidP="003E55AB">
            <w:pPr>
              <w:spacing w:before="0"/>
              <w:rPr>
                <w:rFonts w:ascii="Times New Roman" w:hAnsi="Times New Roman"/>
                <w:sz w:val="24"/>
              </w:rPr>
            </w:pPr>
            <w:r>
              <w:rPr>
                <w:rFonts w:ascii="Times New Roman" w:hAnsi="Times New Roman"/>
                <w:sz w:val="24"/>
              </w:rPr>
              <w:t>Veerus 010 loetletud emitendile või vastaspooltele määratakse veerus 060 selle valuuta ISO kood, milles saadud vara või krediidiasutusele või investeerimisühingule võimaldatud kasutamata likviidsusliin on nomineeritud. Märgitakse ISO 4217 kohane kolmetähel</w:t>
            </w:r>
            <w:r w:rsidR="007C1483">
              <w:rPr>
                <w:rFonts w:ascii="Times New Roman" w:hAnsi="Times New Roman"/>
                <w:sz w:val="24"/>
              </w:rPr>
              <w:t>ine valuutakood.</w:t>
            </w:r>
            <w:bookmarkStart w:id="1" w:name="_GoBack"/>
            <w:bookmarkEnd w:id="1"/>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 xml:space="preserve">Kui tasakaalustamissuutlikkuse kontsentratsiooni osa on mitut valuutat hõlmav liin, võetakse seda liini arvesse valuutas, mis on ülejäänud kontsentratsiooni puhul domineeriv. Seoses eraldi kajastamisega olulistes valuutades, nagu on sätestatud määruse (EL) nr 575/2013 artikli 415 artiklis 2, hindavad krediidiasutused valuutat, milles rahavoog tõenäoliselt </w:t>
            </w:r>
            <w:r>
              <w:rPr>
                <w:rFonts w:ascii="Times New Roman" w:hAnsi="Times New Roman"/>
                <w:sz w:val="24"/>
              </w:rPr>
              <w:lastRenderedPageBreak/>
              <w:t>toimub, ja kajastavad kirjet üksnes selles olulises valuutas kooskõlas oluliste valuutade eraldi kajastamise juhistega likviidsuskattekordaja puhul vastavalt määrusele (EL)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Krediidikvaliteedi aste</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Asjakohane krediidikvaliteedi aste määratakse määruse (EL) nr 575/2013 kohaselt ja see on sama, mis lõpptähtaegade jaotuses kajastatud kirjetel. Kui reitingut ei ole, määratakse aste „reitinguta“.</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Turuväärtus/nimiväärtus</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Varade turuväärtus või õiglane väärtus, või kui see on kohaldatav, siis krediidiasutusele või investeerimisühingule võimaldatud kasutamata likviidsusliini nimiväärtus.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Keskpanga seisukohalt aktsepteeritava tagatise väärtus</w:t>
            </w:r>
          </w:p>
          <w:p w14:paraId="507C4FE8" w14:textId="2078D53B"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Tagatise</w:t>
            </w:r>
            <w:r>
              <w:rPr>
                <w:rFonts w:ascii="Times New Roman" w:hAnsi="Times New Roman"/>
                <w:sz w:val="24"/>
              </w:rPr>
              <w:t xml:space="preserve"> väärtus vastavalt püsivõimalusi käsitlevatele keskpanga eeskirjadele, mis on kohaldatavad konkreetse vara suhtes.</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Varade puhul, mis on nomineeritud valuutas, mis on lisatud määrusesse (EL) nr 2015/233 valuutana, mille puhul on keskpanga aktsepteeritavad tagatised määratletud väga kitsalt, jätavad krediidiasutused ja investeerimisühingud selle lahtri tühjaks.</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05D1D43" w:rsidR="008E3ABF" w:rsidRDefault="008E3ABF">
        <w:pPr>
          <w:pStyle w:val="Footer"/>
          <w:jc w:val="center"/>
        </w:pPr>
        <w:r>
          <w:fldChar w:fldCharType="begin"/>
        </w:r>
        <w:r>
          <w:instrText xml:space="preserve"> PAGE   \* MERGEFORMAT </w:instrText>
        </w:r>
        <w:r>
          <w:fldChar w:fldCharType="separate"/>
        </w:r>
        <w:r w:rsidR="007C1483">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14AC9591" w:rsidR="009B3D8D" w:rsidRDefault="009B3D8D">
        <w:pPr>
          <w:pStyle w:val="Footer"/>
          <w:jc w:val="center"/>
        </w:pPr>
        <w:r>
          <w:fldChar w:fldCharType="begin"/>
        </w:r>
        <w:r>
          <w:instrText xml:space="preserve"> PAGE   \* MERGEFORMAT </w:instrText>
        </w:r>
        <w:r>
          <w:fldChar w:fldCharType="separate"/>
        </w:r>
        <w:r w:rsidR="007C1483">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716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0569"/>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1483"/>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2965"/>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D73"/>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t-E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t-E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t-EE"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t-E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t-E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A513FD-BF61-4A4A-A298-1CDE2835441F}">
  <ds:schemaRefs>
    <ds:schemaRef ds:uri="http://schemas.openxmlformats.org/officeDocument/2006/bibliography"/>
  </ds:schemaRefs>
</ds:datastoreItem>
</file>

<file path=customXml/itemProps2.xml><?xml version="1.0" encoding="utf-8"?>
<ds:datastoreItem xmlns:ds="http://schemas.openxmlformats.org/officeDocument/2006/customXml" ds:itemID="{C18DE4FD-434F-4B96-B23C-E1F13D5F6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646</Words>
  <Characters>5096</Characters>
  <Application>Microsoft Office Word</Application>
  <DocSecurity>0</DocSecurity>
  <Lines>115</Lines>
  <Paragraphs>60</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KURG Onne (DGT)</cp:lastModifiedBy>
  <cp:revision>9</cp:revision>
  <cp:lastPrinted>2014-06-12T12:55:00Z</cp:lastPrinted>
  <dcterms:created xsi:type="dcterms:W3CDTF">2020-10-01T13:01:00Z</dcterms:created>
  <dcterms:modified xsi:type="dcterms:W3CDTF">2020-12-15T07:58:00Z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