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bookmarkStart w:id="2" w:name="_GoBack"/>
      <w:bookmarkEnd w:id="2"/>
      <w:r>
        <w:rPr>
          <w:rFonts w:ascii="Times New Roman" w:hAnsi="Times New Roman"/>
          <w:sz w:val="24"/>
        </w:rPr>
        <w:t>BILAG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INSTRUKSER VEDRØRENDE INDBERETNING MED HENBLIK PÅ IDENTIFICERING OG TILDELING AF G-SII-BUFFERSATSER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Indholdsfortegnelse</w:t>
      </w:r>
    </w:p>
    <w:p w14:paraId="48499968" w14:textId="6CC34B1E" w:rsidR="00A7422C" w:rsidRPr="00A7422C" w:rsidRDefault="00745369">
      <w:pPr>
        <w:pStyle w:val="TOC2"/>
        <w:rPr>
          <w:rFonts w:ascii="Times New Roman" w:eastAsiaTheme="minorEastAsia" w:hAnsi="Times New Roman"/>
          <w:b w:val="0"/>
          <w:smallCaps w:val="0"/>
          <w:sz w:val="24"/>
          <w:szCs w:val="24"/>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339249" w:history="1">
        <w:r w:rsidR="00A7422C" w:rsidRPr="00A7422C">
          <w:rPr>
            <w:rStyle w:val="Hyperlink"/>
            <w:rFonts w:ascii="Times New Roman" w:hAnsi="Times New Roman"/>
            <w:sz w:val="24"/>
            <w:szCs w:val="24"/>
          </w:rPr>
          <w:t>DEL I: GENERELLE INSTRUKSER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_Toc58339249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sidR="00D909E8">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4A8F1807" w14:textId="322D45FC"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0" w:history="1">
        <w:r w:rsidR="00A7422C" w:rsidRPr="00A7422C">
          <w:rPr>
            <w:rStyle w:val="Hyperlink"/>
            <w:rFonts w:ascii="Times New Roman" w:hAnsi="Times New Roman"/>
            <w:sz w:val="24"/>
            <w:szCs w:val="24"/>
          </w:rPr>
          <w:t>1.1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 Opbygning og konventioner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_Toc58339250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6E9997F0" w14:textId="2A455A13"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1" w:history="1">
        <w:r w:rsidR="00A7422C" w:rsidRPr="00A7422C">
          <w:rPr>
            <w:rStyle w:val="Hyperlink"/>
            <w:rFonts w:ascii="Times New Roman" w:hAnsi="Times New Roman"/>
            <w:sz w:val="24"/>
            <w:szCs w:val="24"/>
          </w:rPr>
          <w:t>2.1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1.1. Opbygning</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_Toc58339251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1566B266" w14:textId="5029C359"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2" w:history="1">
        <w:r w:rsidR="00A7422C" w:rsidRPr="00A7422C">
          <w:rPr>
            <w:rStyle w:val="Hyperlink"/>
            <w:rFonts w:ascii="Times New Roman" w:hAnsi="Times New Roman"/>
            <w:sz w:val="24"/>
            <w:szCs w:val="24"/>
          </w:rPr>
          <w:t>3.1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1.2. Nummereringskonvention</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_Toc58339252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1FD6AF39" w14:textId="5F3D8A01"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3" w:history="1">
        <w:r w:rsidR="00A7422C" w:rsidRPr="00A7422C">
          <w:rPr>
            <w:rStyle w:val="Hyperlink"/>
            <w:rFonts w:ascii="Times New Roman" w:hAnsi="Times New Roman"/>
            <w:sz w:val="24"/>
            <w:szCs w:val="24"/>
          </w:rPr>
          <w:t>4.1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1.3. Tegnkonvention</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_Toc58339253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0A0CF214" w14:textId="76D5C381"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4" w:history="1">
        <w:r w:rsidR="00A7422C" w:rsidRPr="00A7422C">
          <w:rPr>
            <w:rStyle w:val="Hyperlink"/>
            <w:rFonts w:ascii="Times New Roman" w:hAnsi="Times New Roman"/>
            <w:sz w:val="24"/>
            <w:szCs w:val="24"/>
          </w:rPr>
          <w:t>5.1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1.4. Forkortelser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_Toc58339254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2</w:t>
        </w:r>
        <w:r w:rsidR="00A7422C" w:rsidRPr="00A7422C">
          <w:rPr>
            <w:rFonts w:ascii="Times New Roman" w:hAnsi="Times New Roman"/>
            <w:webHidden/>
            <w:sz w:val="24"/>
            <w:szCs w:val="24"/>
          </w:rPr>
          <w:fldChar w:fldCharType="end"/>
        </w:r>
      </w:hyperlink>
    </w:p>
    <w:p w14:paraId="2DAFB0F9" w14:textId="341FBD07"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5" w:history="1">
        <w:r w:rsidR="00A7422C" w:rsidRPr="00A7422C">
          <w:rPr>
            <w:rStyle w:val="Hyperlink"/>
            <w:rFonts w:ascii="Times New Roman" w:hAnsi="Times New Roman"/>
            <w:sz w:val="24"/>
            <w:szCs w:val="24"/>
          </w:rPr>
          <w:t>DEL II: INSTRUKSER VEDRØRENDE SKEMAER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_Toc58339255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3</w:t>
        </w:r>
        <w:r w:rsidR="00A7422C" w:rsidRPr="00A7422C">
          <w:rPr>
            <w:rFonts w:ascii="Times New Roman" w:hAnsi="Times New Roman"/>
            <w:webHidden/>
            <w:sz w:val="24"/>
            <w:szCs w:val="24"/>
          </w:rPr>
          <w:fldChar w:fldCharType="end"/>
        </w:r>
      </w:hyperlink>
    </w:p>
    <w:p w14:paraId="482513C7" w14:textId="573033E3" w:rsidR="00A7422C" w:rsidRPr="00A7422C" w:rsidRDefault="00D909E8">
      <w:pPr>
        <w:pStyle w:val="TOC2"/>
        <w:rPr>
          <w:rFonts w:ascii="Times New Roman" w:eastAsiaTheme="minorEastAsia" w:hAnsi="Times New Roman"/>
          <w:b w:val="0"/>
          <w:smallCaps w:val="0"/>
          <w:sz w:val="24"/>
          <w:szCs w:val="24"/>
          <w:lang w:val="en-GB" w:eastAsia="en-GB"/>
        </w:rPr>
      </w:pPr>
      <w:hyperlink w:anchor="_Toc58339256" w:history="1">
        <w:r w:rsidR="00A7422C" w:rsidRPr="00A7422C">
          <w:rPr>
            <w:rStyle w:val="Hyperlink"/>
            <w:rFonts w:ascii="Times New Roman" w:hAnsi="Times New Roman"/>
            <w:sz w:val="24"/>
            <w:szCs w:val="24"/>
          </w:rPr>
          <w:t>6.1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1. Generelle bemærkninger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_Toc58339256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3</w:t>
        </w:r>
        <w:r w:rsidR="00A7422C" w:rsidRPr="00A7422C">
          <w:rPr>
            <w:rFonts w:ascii="Times New Roman" w:hAnsi="Times New Roman"/>
            <w:webHidden/>
            <w:sz w:val="24"/>
            <w:szCs w:val="24"/>
          </w:rPr>
          <w:fldChar w:fldCharType="end"/>
        </w:r>
      </w:hyperlink>
    </w:p>
    <w:p w14:paraId="51749288" w14:textId="7C668578" w:rsidR="00A7422C" w:rsidRDefault="00D909E8">
      <w:pPr>
        <w:pStyle w:val="TOC2"/>
        <w:rPr>
          <w:rFonts w:asciiTheme="minorHAnsi" w:eastAsiaTheme="minorEastAsia" w:hAnsiTheme="minorHAnsi" w:cstheme="minorBidi"/>
          <w:b w:val="0"/>
          <w:smallCaps w:val="0"/>
          <w:sz w:val="22"/>
          <w:lang w:val="en-GB" w:eastAsia="en-GB"/>
        </w:rPr>
      </w:pPr>
      <w:hyperlink w:anchor="_Toc58339257" w:history="1">
        <w:r w:rsidR="00A7422C" w:rsidRPr="00A7422C">
          <w:rPr>
            <w:rStyle w:val="Hyperlink"/>
            <w:rFonts w:ascii="Times New Roman" w:hAnsi="Times New Roman"/>
            <w:sz w:val="24"/>
            <w:szCs w:val="24"/>
          </w:rPr>
          <w:t>7.1</w:t>
        </w:r>
        <w:r w:rsidR="00A7422C" w:rsidRPr="00A7422C">
          <w:rPr>
            <w:rFonts w:ascii="Times New Roman" w:eastAsiaTheme="minorEastAsia" w:hAnsi="Times New Roman"/>
            <w:b w:val="0"/>
            <w:smallCaps w:val="0"/>
            <w:sz w:val="24"/>
            <w:szCs w:val="24"/>
            <w:lang w:val="en-GB" w:eastAsia="en-GB"/>
          </w:rPr>
          <w:tab/>
        </w:r>
        <w:r w:rsidR="00A7422C" w:rsidRPr="00A7422C">
          <w:rPr>
            <w:rStyle w:val="Hyperlink"/>
            <w:rFonts w:ascii="Times New Roman" w:hAnsi="Times New Roman"/>
            <w:sz w:val="24"/>
            <w:szCs w:val="24"/>
          </w:rPr>
          <w:t>2. Instrukser vedrørende specifikke positioner</w:t>
        </w:r>
        <w:r w:rsidR="00A7422C" w:rsidRPr="00A7422C">
          <w:rPr>
            <w:rFonts w:ascii="Times New Roman" w:hAnsi="Times New Roman"/>
            <w:webHidden/>
            <w:sz w:val="24"/>
            <w:szCs w:val="24"/>
          </w:rPr>
          <w:tab/>
        </w:r>
        <w:r w:rsidR="00A7422C" w:rsidRPr="00A7422C">
          <w:rPr>
            <w:rFonts w:ascii="Times New Roman" w:hAnsi="Times New Roman"/>
            <w:webHidden/>
            <w:sz w:val="24"/>
            <w:szCs w:val="24"/>
          </w:rPr>
          <w:fldChar w:fldCharType="begin"/>
        </w:r>
        <w:r w:rsidR="00A7422C" w:rsidRPr="00A7422C">
          <w:rPr>
            <w:rFonts w:ascii="Times New Roman" w:hAnsi="Times New Roman"/>
            <w:webHidden/>
            <w:sz w:val="24"/>
            <w:szCs w:val="24"/>
          </w:rPr>
          <w:instrText xml:space="preserve"> PAGEREF _Toc58339257 \h </w:instrText>
        </w:r>
        <w:r w:rsidR="00A7422C" w:rsidRPr="00A7422C">
          <w:rPr>
            <w:rFonts w:ascii="Times New Roman" w:hAnsi="Times New Roman"/>
            <w:webHidden/>
            <w:sz w:val="24"/>
            <w:szCs w:val="24"/>
          </w:rPr>
        </w:r>
        <w:r w:rsidR="00A7422C" w:rsidRPr="00A7422C">
          <w:rPr>
            <w:rFonts w:ascii="Times New Roman" w:hAnsi="Times New Roman"/>
            <w:webHidden/>
            <w:sz w:val="24"/>
            <w:szCs w:val="24"/>
          </w:rPr>
          <w:fldChar w:fldCharType="separate"/>
        </w:r>
        <w:r>
          <w:rPr>
            <w:rFonts w:ascii="Times New Roman" w:hAnsi="Times New Roman"/>
            <w:webHidden/>
            <w:sz w:val="24"/>
            <w:szCs w:val="24"/>
          </w:rPr>
          <w:t>3</w:t>
        </w:r>
        <w:r w:rsidR="00A7422C" w:rsidRPr="00A7422C">
          <w:rPr>
            <w:rFonts w:ascii="Times New Roman" w:hAnsi="Times New Roman"/>
            <w:webHidden/>
            <w:sz w:val="24"/>
            <w:szCs w:val="24"/>
          </w:rPr>
          <w:fldChar w:fldCharType="end"/>
        </w:r>
      </w:hyperlink>
    </w:p>
    <w:p w14:paraId="7AC7042C" w14:textId="2A3EDA4E"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339249"/>
      <w:r>
        <w:lastRenderedPageBreak/>
        <w:t>DEL I:</w:t>
      </w:r>
      <w:bookmarkEnd w:id="3"/>
      <w:r>
        <w:t xml:space="preserve"> GENERELLE INSTRUKSER</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339250"/>
      <w:r>
        <w:rPr>
          <w:sz w:val="24"/>
        </w:rPr>
        <w:t>1.</w:t>
      </w:r>
      <w:r>
        <w:tab/>
      </w:r>
      <w:r>
        <w:rPr>
          <w:sz w:val="24"/>
        </w:rPr>
        <w:t>Opbygning og konventioner</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58339251"/>
      <w:bookmarkStart w:id="13" w:name="_Toc264038399"/>
      <w:bookmarkStart w:id="14" w:name="_Toc294018834"/>
      <w:r>
        <w:rPr>
          <w:sz w:val="24"/>
        </w:rPr>
        <w:t>1.1.</w:t>
      </w:r>
      <w:r>
        <w:tab/>
      </w:r>
      <w:r>
        <w:rPr>
          <w:sz w:val="24"/>
        </w:rPr>
        <w:t>Opbygning</w:t>
      </w:r>
      <w:bookmarkEnd w:id="10"/>
      <w:bookmarkEnd w:id="11"/>
      <w:bookmarkEnd w:id="12"/>
    </w:p>
    <w:p w14:paraId="6C67B776" w14:textId="5BE94C55" w:rsidR="005643EA" w:rsidRPr="00EC067D" w:rsidRDefault="00125707" w:rsidP="00004542">
      <w:pPr>
        <w:pStyle w:val="InstructionsText2"/>
        <w:numPr>
          <w:ilvl w:val="0"/>
          <w:numId w:val="0"/>
        </w:numPr>
        <w:ind w:left="993"/>
      </w:pPr>
      <w:r>
        <w:t>1.</w:t>
      </w:r>
      <w:r>
        <w:tab/>
        <w:t>Disse rammer består af et skema, der omfatter oplysninger om indikatorer af global systemisk betydning og specifikke poster, der er nødvendige med henblik på anvendelsen af EU-metoden til at identificere globale systemisk vigtige institutter (G-</w:t>
      </w:r>
      <w:proofErr w:type="spellStart"/>
      <w:r>
        <w:t>SII'er</w:t>
      </w:r>
      <w:proofErr w:type="spellEnd"/>
      <w:r>
        <w:t>) og tildele tilsvarende G-SII-buffersatser.</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339252"/>
      <w:r>
        <w:rPr>
          <w:sz w:val="24"/>
        </w:rPr>
        <w:t>1.2.</w:t>
      </w:r>
      <w:r>
        <w:tab/>
      </w:r>
      <w:r>
        <w:rPr>
          <w:sz w:val="24"/>
        </w:rPr>
        <w:t>Nummereringskonvention</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Dokumentet følger de konventioner for mærkning, der er beskrevet i punkt 3 til 5, når der henvises til kolonner, rækker og celler i skemaerne. Disse numeriske koder anvendes i vid udstrækning i valideringsreglerne.</w:t>
      </w:r>
    </w:p>
    <w:p w14:paraId="26DC2799" w14:textId="2C43513E" w:rsidR="005643EA" w:rsidRPr="00EC067D" w:rsidRDefault="006137FD" w:rsidP="00004542">
      <w:pPr>
        <w:pStyle w:val="InstructionsText2"/>
        <w:numPr>
          <w:ilvl w:val="0"/>
          <w:numId w:val="0"/>
        </w:numPr>
        <w:ind w:left="993"/>
      </w:pPr>
      <w:r>
        <w:t>3.</w:t>
      </w:r>
      <w:r>
        <w:tab/>
        <w:t>Følgende generelle notation anvendes i instrukserne: {</w:t>
      </w:r>
      <w:proofErr w:type="spellStart"/>
      <w:proofErr w:type="gramStart"/>
      <w:r>
        <w:t>Skema;Række</w:t>
      </w:r>
      <w:proofErr w:type="gramEnd"/>
      <w:r>
        <w:t>;Kolonne</w:t>
      </w:r>
      <w:proofErr w:type="spellEnd"/>
      <w:r>
        <w:t>}.</w:t>
      </w:r>
    </w:p>
    <w:p w14:paraId="6A9F72AA" w14:textId="1B191E59" w:rsidR="005643EA" w:rsidRPr="00EC067D" w:rsidRDefault="006137FD" w:rsidP="00004542">
      <w:pPr>
        <w:pStyle w:val="InstructionsText2"/>
        <w:numPr>
          <w:ilvl w:val="0"/>
          <w:numId w:val="0"/>
        </w:numPr>
        <w:ind w:left="993"/>
      </w:pPr>
      <w:r>
        <w:t>4.</w:t>
      </w:r>
      <w:r>
        <w:tab/>
        <w:t>Ved henvisninger i et skema, hvor kun datapunkter fra det pågældende skema anvendes, henviser notationer ikke til et skema: {</w:t>
      </w:r>
      <w:proofErr w:type="spellStart"/>
      <w:proofErr w:type="gramStart"/>
      <w:r>
        <w:t>Række;Kolonne</w:t>
      </w:r>
      <w:proofErr w:type="spellEnd"/>
      <w:proofErr w:type="gramEnd"/>
      <w:r>
        <w:t>}. For så vidt angår skemaer med kun én kolonne henvises der kun til rækker: {</w:t>
      </w:r>
      <w:proofErr w:type="spellStart"/>
      <w:proofErr w:type="gramStart"/>
      <w:r>
        <w:t>Skema;Række</w:t>
      </w:r>
      <w:proofErr w:type="spellEnd"/>
      <w:proofErr w:type="gramEnd"/>
      <w:r>
        <w:t>}.</w:t>
      </w:r>
    </w:p>
    <w:p w14:paraId="01FECE3C" w14:textId="482B71E1" w:rsidR="002648B0" w:rsidRPr="00EC067D" w:rsidRDefault="006137FD" w:rsidP="00004542">
      <w:pPr>
        <w:pStyle w:val="InstructionsText2"/>
        <w:numPr>
          <w:ilvl w:val="0"/>
          <w:numId w:val="0"/>
        </w:numPr>
        <w:ind w:left="993"/>
      </w:pPr>
      <w:r>
        <w:t>5.</w:t>
      </w:r>
      <w:r>
        <w:tab/>
        <w:t>En asterisk viser, at henvisningen omfatter de tidligere angivne rækker eller kolonner.</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339253"/>
      <w:r>
        <w:rPr>
          <w:sz w:val="24"/>
        </w:rPr>
        <w:t>1.3.</w:t>
      </w:r>
      <w:r>
        <w:tab/>
      </w:r>
      <w:r>
        <w:rPr>
          <w:sz w:val="24"/>
        </w:rPr>
        <w:t>Tegnkonvention</w:t>
      </w:r>
      <w:bookmarkEnd w:id="13"/>
      <w:bookmarkEnd w:id="14"/>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Beløb, der forøger værdien af indikatoren, aktiverne, passiverne eller eksponeringerne, indberettes som et positivt tal. Beløb, der mindsker værdien af indikatoren, aktiverne, passiverne eller eksponeringerne, indberettes som et negativt tal. Hvis der er indsat et negativt fortegn (-) ved teksten ud for en post, indberettes et positivt tal ikke for den pågældende post.</w:t>
      </w:r>
    </w:p>
    <w:p w14:paraId="318F1B9B" w14:textId="19EFDD0F" w:rsidR="00304CA5" w:rsidRPr="00EC067D" w:rsidRDefault="00304CA5" w:rsidP="00EC067D">
      <w:pPr>
        <w:pStyle w:val="Instructionsberschrift2"/>
        <w:rPr>
          <w:rFonts w:cs="Times New Roman"/>
          <w:sz w:val="24"/>
        </w:rPr>
      </w:pPr>
      <w:bookmarkStart w:id="21" w:name="_Toc58339254"/>
      <w:r>
        <w:rPr>
          <w:sz w:val="24"/>
        </w:rPr>
        <w:t>1.4.</w:t>
      </w:r>
      <w:r>
        <w:tab/>
      </w:r>
      <w:r>
        <w:rPr>
          <w:sz w:val="24"/>
        </w:rPr>
        <w:t>Forkortelser</w:t>
      </w:r>
      <w:bookmarkEnd w:id="21"/>
    </w:p>
    <w:p w14:paraId="5A22E3D2" w14:textId="07D28013" w:rsidR="00304CA5" w:rsidRPr="00EC067D" w:rsidRDefault="006137FD" w:rsidP="00004542">
      <w:pPr>
        <w:pStyle w:val="InstructionsText2"/>
        <w:numPr>
          <w:ilvl w:val="0"/>
          <w:numId w:val="0"/>
        </w:numPr>
        <w:ind w:left="993"/>
      </w:pPr>
      <w:r>
        <w:t>7. I dette bilag henvises der til Europa-Parlamentets og Rådets forordning (EU) nr. 575/2013</w:t>
      </w:r>
      <w:r>
        <w:rPr>
          <w:rStyle w:val="FootnoteReference"/>
          <w:rFonts w:ascii="Times New Roman" w:hAnsi="Times New Roman"/>
          <w:sz w:val="24"/>
          <w:szCs w:val="24"/>
          <w:vertAlign w:val="superscript"/>
        </w:rPr>
        <w:footnoteReference w:id="2"/>
      </w:r>
      <w:r>
        <w:t xml:space="preserve"> ved hjælp af forkortelsen "CRR" og til Europa-Parlamentets og Rådets direktiv 2013/36/EU</w:t>
      </w:r>
      <w:r>
        <w:rPr>
          <w:rStyle w:val="FootnoteReference"/>
          <w:rFonts w:ascii="Times New Roman" w:hAnsi="Times New Roman"/>
          <w:sz w:val="24"/>
          <w:szCs w:val="24"/>
          <w:vertAlign w:val="superscript"/>
        </w:rPr>
        <w:footnoteReference w:id="3"/>
      </w:r>
      <w:r>
        <w:t xml:space="preserve"> ved hjælp af forkortelsen "CRD".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339255"/>
      <w:r>
        <w:lastRenderedPageBreak/>
        <w:t>DEL II: INSTRUKSER VEDRØRENDE SKEMAER</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339256"/>
      <w:r>
        <w:rPr>
          <w:sz w:val="24"/>
        </w:rPr>
        <w:t>1.</w:t>
      </w:r>
      <w:r>
        <w:tab/>
      </w:r>
      <w:bookmarkStart w:id="29" w:name="_Toc308175819"/>
      <w:bookmarkStart w:id="30" w:name="_Toc360188324"/>
      <w:bookmarkStart w:id="31" w:name="_Toc473560872"/>
      <w:bookmarkEnd w:id="26"/>
      <w:bookmarkEnd w:id="27"/>
      <w:r>
        <w:rPr>
          <w:sz w:val="24"/>
        </w:rPr>
        <w:t>Generelle bemærkninger</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Skemaet er inddelt i to afsnit. Det øvre afsnit om G-SII-indikatorer omfatter indikatorerne for at identificere globale systemisk vigtige institutter som defineret i den metode, der er udarbejdet af Baselkomitéen for Banktilsyn. Det nedre afsnit indeholder en række poster, der er nødvendige for at beregne de relevante indikatorer i overensstemmelse med den metode, der er fastsat på grundlag af artikel 131, stk. 18, i CRD. </w:t>
      </w:r>
    </w:p>
    <w:p w14:paraId="285BFC5F" w14:textId="50F4BAE2" w:rsidR="005643EA" w:rsidRPr="00EC067D" w:rsidRDefault="00004542" w:rsidP="00004542">
      <w:pPr>
        <w:pStyle w:val="InstructionsText2"/>
        <w:numPr>
          <w:ilvl w:val="0"/>
          <w:numId w:val="0"/>
        </w:numPr>
        <w:ind w:left="993"/>
      </w:pPr>
      <w:r>
        <w:t>9.</w:t>
      </w:r>
      <w:r>
        <w:tab/>
        <w:t>Hvor det er relevant, skal de oplysninger, der angives i dette skema, stemme overens med de oplysninger, der gives til de relevante myndigheder med henblik på deres indsamling af indikatorværdierne som fastsat i artikel 3, stk. 2, i Kommissionens delegerede forordning (EU) nr. 1222/2014.</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339257"/>
      <w:r>
        <w:rPr>
          <w:sz w:val="24"/>
        </w:rPr>
        <w:t>2.</w:t>
      </w:r>
      <w:r>
        <w:tab/>
        <w:t>Instrukser vedrørende specifikke positioner</w:t>
      </w:r>
      <w:bookmarkStart w:id="36" w:name="_Toc308175821"/>
      <w:bookmarkEnd w:id="36"/>
      <w:bookmarkEnd w:id="32"/>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G-SII-indikatorer</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Definitionen på indikatorerne skal være den samme som den definition, der anvendes med henblik på at fastlægge oplysningerne i bilaget til Kommissionens delegerede forordning (EU) nr. 1222/2014.</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I tilfælde af ændringer af metoden skal den samme metode, som anvendes til at bestemme indikatorværdierne ved regnskabsårets udgang, anvendes med henblik på indberetning af oplysninger ved udgangen af første, andet og tredje kvartal i samme regnskabsår.</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Indikatorer, som måler strømme, indberettes kumulativt fra begyndelsen af regnskabsåret, hvor det er relevant.</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Fordringer på tværs af jurisdiktioner</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på tværs af jurisdiktioner</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i alt (gearingsgrad)</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Aktiver inden for det finansielle system</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Passiver inden for det finansielle system</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Udstedte værdipapirer</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Aktiver i depot</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Betalingsaktivitet</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Garanterede transaktioner på gældsbevis- og aktiemarkeder (</w:t>
            </w:r>
            <w:proofErr w:type="spellStart"/>
            <w:r>
              <w:rPr>
                <w:rStyle w:val="InstructionsTabelleberschrift"/>
                <w:rFonts w:ascii="Times New Roman" w:hAnsi="Times New Roman"/>
                <w:sz w:val="24"/>
              </w:rPr>
              <w:t>underwriting</w:t>
            </w:r>
            <w:proofErr w:type="spellEnd"/>
            <w:r>
              <w:rPr>
                <w:rStyle w:val="InstructionsTabelleberschrift"/>
                <w:rFonts w:ascii="Times New Roman" w:hAnsi="Times New Roman"/>
                <w:sz w:val="24"/>
              </w:rPr>
              <w:t>)</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Omfang af transaktioner</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Notionel</w:t>
            </w:r>
            <w:proofErr w:type="spellEnd"/>
            <w:r>
              <w:rPr>
                <w:rStyle w:val="InstructionsTabelleberschrift"/>
                <w:rFonts w:ascii="Times New Roman" w:hAnsi="Times New Roman"/>
                <w:sz w:val="24"/>
              </w:rPr>
              <w:t xml:space="preserve"> værdi af OTC-derivater</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Aktiver på niveau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Værdipapirer, der besiddes med handel for øje, og værdipapirer, der er disponible for salg</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for hvilke Den Europæiske Bankunion betragtes som én jurisdiktion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Med henblik på at bestemme de nedenfor angivne poster og i mangel af specifikationer i nedenstående instrukser skal de anvendte definitioner og begreber så vidt muligt tilpasses de definitioner og begreber, der er fastsat i retningslinjerne for indberetning af de internationale BIS-bankstatistikker.</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t>Som en undtagelse fra ovennævnte skal de indberettende enheders aktiviteter i flere forskellige deltagende medlemsstater, jf. artikel 4 i Europa-Parlamentets og Rådets forordning (EU) nr. 806/2014</w:t>
            </w:r>
            <w:r>
              <w:rPr>
                <w:rStyle w:val="FootnoteReference"/>
                <w:rFonts w:ascii="Times New Roman" w:hAnsi="Times New Roman"/>
                <w:bCs/>
                <w:sz w:val="24"/>
                <w:szCs w:val="24"/>
              </w:rPr>
              <w:footnoteReference w:id="4"/>
            </w:r>
            <w:r>
              <w:t xml:space="preserve"> ikke medtages, dvs. deltagende medlemsstater betragtes som én jurisdiktion.</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fordringer i alt på ultimativ risiko-basis</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Udenlandske fordringer i alt er summen af grænseoverskridende fordringer og lokale fordringer fra udenlandske tilknyttede selskaber i lokal eller fremmed valuta. Fordringer fra positioner i derivatkontrakter medtages ikke. "Fordringer", "grænseoverskridende fordringer" og "lokale fordringer fra udenlandske tilknyttede selskaber i fremmed og lokal valuta" har samme betydning som i retningslinjerne for indberetning af de internationale BIS-bankstatistikker.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henblik på at fastslå, om en fordring er en grænseoverskridende eller lokal fordring, betyder "på ultimativ risiko-basis", at positionen er allokeret til en tredjepart, der har indgået en kontraktlig forpligtelse til at påtage sig den primære modparts gæld eller forpligtelser, hvis modparten ikke opfylder sine forpligtelser, hvis der findes en sådan tredjepart. Denne allokering skal foretages i overensstemmelse med bestemmelserne om risikooverførsel, jf. retningslinjerne for indberetning af de internationale BIS-bankstatistikker.</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derivatfordringer på ultimativ risiko-basis</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 positive dagsværdi af alle derivatfordringer, som er grænseoverskridende fordringer eller lokale fordringer i lokal eller fremmed valuta.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Derivater omfatter terminskontrakter, </w:t>
            </w:r>
            <w:proofErr w:type="spellStart"/>
            <w:r>
              <w:rPr>
                <w:rStyle w:val="FormatvorlageInstructionsTabelleText"/>
                <w:rFonts w:ascii="Times New Roman" w:hAnsi="Times New Roman"/>
                <w:sz w:val="24"/>
              </w:rPr>
              <w:t>swaps</w:t>
            </w:r>
            <w:proofErr w:type="spellEnd"/>
            <w:r>
              <w:rPr>
                <w:rStyle w:val="FormatvorlageInstructionsTabelleText"/>
                <w:rFonts w:ascii="Times New Roman" w:hAnsi="Times New Roman"/>
                <w:sz w:val="24"/>
              </w:rPr>
              <w:t xml:space="preserve"> og optioner vedrørende valuta-, rente-, aktie-, råvare- og kreditinstrumenter. Dette omfatter købte kreditderivater, som afdækker eller modregnes mod solgt kreditrisikoafdækning, eller som besiddes med handel for øje.</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tilfælde af sådanne købte kreditderivater begrænses værdien ikke til værdien af den umiddelbare fordring, den blev købt til at garantere.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positive dagsværdier af derivatkontrakter kan kun modregnes mod negative dagsværdier, hvis positionerne blev gennemført med den samme modpart under en retskraftig </w:t>
            </w:r>
            <w:proofErr w:type="spellStart"/>
            <w:r>
              <w:rPr>
                <w:rStyle w:val="FormatvorlageInstructionsTabelleText"/>
                <w:rFonts w:ascii="Times New Roman" w:hAnsi="Times New Roman"/>
                <w:sz w:val="24"/>
              </w:rPr>
              <w:t>nettingaftale</w:t>
            </w:r>
            <w:proofErr w:type="spellEnd"/>
            <w:r>
              <w:rPr>
                <w:rStyle w:val="FormatvorlageInstructionsTabelleText"/>
                <w:rFonts w:ascii="Times New Roman" w:hAnsi="Times New Roman"/>
                <w:sz w:val="24"/>
              </w:rPr>
              <w:t xml:space="preserve">. Kun </w:t>
            </w:r>
            <w:proofErr w:type="spellStart"/>
            <w:r>
              <w:rPr>
                <w:rStyle w:val="FormatvorlageInstructionsTabelleText"/>
                <w:rFonts w:ascii="Times New Roman" w:hAnsi="Times New Roman"/>
                <w:sz w:val="24"/>
              </w:rPr>
              <w:t>nettinggrupper</w:t>
            </w:r>
            <w:proofErr w:type="spellEnd"/>
            <w:r>
              <w:rPr>
                <w:rStyle w:val="FormatvorlageInstructionsTabelleText"/>
                <w:rFonts w:ascii="Times New Roman" w:hAnsi="Times New Roman"/>
                <w:sz w:val="24"/>
              </w:rPr>
              <w:t xml:space="preserve"> med en positiv værdi medtages i denne post.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Derivatfordringerne indberettes uden indregning af kontant sikkerhed.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Med henblik på indberetning af oplysninger på ultimativ risiko-basis finder følgende anvendelse: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Når den endelige risiko ligger hos modparten, anses et derivat for at være udenlandsk, hvis modparten ikke befinder sig i de indberettende enheders jurisdiktion.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Når den endelige risiko ligger hos garantistilleren, anses et derivat for at være udenlandsk, hvis garantistilleren ikke befinder sig i de indberettende enheders jurisdiktion.</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Udenlandske passiver på umiddelbar risiko-basis, herunder derivater</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Udenlandske passiver, herunder derivater, er summen af udenlandske passiver og udenlandske passiver hidrørende fra derivater. Værdipapirforpligtelser, som er omsættelige finansielle aktiver udstedt af det indberettende institut, medtages ikke i denne post.</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Definitionen på derivater skal være den samme som den, der anvendes i række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 negative dagsværdier af derivatkontrakter kan kun modregnes mod positive dagsværdier, hvis positionerne blev gennemført med den samme modpart under en retskraftig </w:t>
            </w:r>
            <w:proofErr w:type="spellStart"/>
            <w:r>
              <w:rPr>
                <w:rStyle w:val="FormatvorlageInstructionsTabelleText"/>
                <w:rFonts w:ascii="Times New Roman" w:hAnsi="Times New Roman"/>
                <w:sz w:val="24"/>
              </w:rPr>
              <w:t>nettingaftale</w:t>
            </w:r>
            <w:proofErr w:type="spellEnd"/>
            <w:r>
              <w:rPr>
                <w:rStyle w:val="FormatvorlageInstructionsTabelleText"/>
                <w:rFonts w:ascii="Times New Roman" w:hAnsi="Times New Roman"/>
                <w:sz w:val="24"/>
              </w:rPr>
              <w:t xml:space="preserve">. Derivatforpligtelser indberettes uden indregning af kontant sikkerhed (kontanter og ikkekontanter).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Med henblik på at fastslå, om en fordring er en grænseoverskridende eller lokal fordring, betyder "på umiddelbar risiko-basis", at positionen allokeres til den direkte modpart i kontrakten.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herunder: Udenlandske derivatforpligtelser på umiddelbar risiko-basis</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Undergruppe til række 0160, som er derivatforpligtelser.</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7F2AE335"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D909E8">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92AD009"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D909E8">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30B9143"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909E8">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Europa-Parlamentets og Rådets forordning (EU) nr. 575/2013 af 26. juni 2013 om tilsynsmæssige krav til kreditinstitutter og investeringsselskaber og om ændring af forordning (EU) nr. 648/2012 (EUT L 176 af 27.6.2013, s.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4">
    <w:p w14:paraId="7E81C75F" w14:textId="7AFAACB8" w:rsidR="000359E7" w:rsidRPr="00EF0DDB" w:rsidRDefault="000359E7">
      <w:pPr>
        <w:pStyle w:val="FootnoteText"/>
      </w:pPr>
      <w:r>
        <w:rPr>
          <w:rStyle w:val="FootnoteReference"/>
        </w:rPr>
        <w:footnoteRef/>
      </w:r>
      <w:r>
        <w:tab/>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a-DK"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22C"/>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9E8"/>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D59B4F-35BE-4461-A4D8-E1602A1B0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1114</Words>
  <Characters>7695</Characters>
  <Application>Microsoft Office Word</Application>
  <DocSecurity>0</DocSecurity>
  <Lines>183</Lines>
  <Paragraphs>114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CHRISTIANSEN Tine (DGT)</cp:lastModifiedBy>
  <cp:revision>5</cp:revision>
  <dcterms:created xsi:type="dcterms:W3CDTF">2020-12-02T17:25:00Z</dcterms:created>
  <dcterms:modified xsi:type="dcterms:W3CDTF">2020-12-09T10:22:00Z</dcterms:modified>
</cp:coreProperties>
</file>